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spacing w:afterLines="-2147483648" w:line="360" w:lineRule="auto"/>
        <w:jc w:val="center"/>
        <w:rPr>
          <w:rFonts w:hint="eastAsia" w:ascii="宋体" w:hAnsi="宋体" w:eastAsia="宋体" w:cs="宋体"/>
          <w:b/>
          <w:color w:val="000000"/>
          <w:sz w:val="48"/>
          <w:szCs w:val="48"/>
          <w:lang w:eastAsia="zh-CN"/>
        </w:rPr>
      </w:pPr>
      <w:r>
        <w:rPr>
          <w:rFonts w:hint="eastAsia" w:ascii="宋体" w:hAnsi="宋体" w:eastAsia="宋体" w:cs="宋体"/>
          <w:b/>
          <w:color w:val="000000"/>
          <w:sz w:val="48"/>
          <w:szCs w:val="48"/>
          <w:lang w:eastAsia="zh-CN"/>
        </w:rPr>
        <w:t>陕西省石油化工工业贸易有限公司</w:t>
      </w:r>
    </w:p>
    <w:p>
      <w:pPr>
        <w:spacing w:afterLines="-2147483648" w:line="360" w:lineRule="auto"/>
        <w:jc w:val="center"/>
        <w:rPr>
          <w:rFonts w:hint="eastAsia" w:ascii="宋体" w:hAnsi="宋体" w:eastAsia="宋体" w:cs="宋体"/>
          <w:b/>
          <w:color w:val="000000"/>
          <w:sz w:val="48"/>
          <w:szCs w:val="48"/>
          <w:lang w:eastAsia="zh-CN"/>
        </w:rPr>
      </w:pPr>
      <w:r>
        <w:rPr>
          <w:rFonts w:hint="eastAsia" w:ascii="宋体" w:hAnsi="宋体" w:eastAsia="宋体" w:cs="宋体"/>
          <w:b/>
          <w:color w:val="000000"/>
          <w:sz w:val="48"/>
          <w:szCs w:val="48"/>
          <w:lang w:eastAsia="zh-CN"/>
        </w:rPr>
        <w:t>高陵服务区</w:t>
      </w:r>
      <w:r>
        <w:rPr>
          <w:rFonts w:hint="eastAsia" w:cs="宋体"/>
          <w:b/>
          <w:color w:val="000000"/>
          <w:sz w:val="48"/>
          <w:szCs w:val="48"/>
          <w:lang w:val="en-US" w:eastAsia="zh-CN"/>
        </w:rPr>
        <w:t>南</w:t>
      </w:r>
      <w:r>
        <w:rPr>
          <w:rFonts w:hint="eastAsia" w:ascii="宋体" w:hAnsi="宋体" w:eastAsia="宋体" w:cs="宋体"/>
          <w:b/>
          <w:color w:val="000000"/>
          <w:sz w:val="48"/>
          <w:szCs w:val="48"/>
          <w:lang w:eastAsia="zh-CN"/>
        </w:rPr>
        <w:t>加油站建设项目（</w:t>
      </w:r>
      <w:r>
        <w:rPr>
          <w:rFonts w:hint="eastAsia" w:ascii="宋体" w:hAnsi="宋体" w:eastAsia="宋体" w:cs="宋体"/>
          <w:b/>
          <w:color w:val="000000"/>
          <w:sz w:val="48"/>
          <w:szCs w:val="48"/>
          <w:lang w:val="en-US" w:eastAsia="zh-CN"/>
        </w:rPr>
        <w:t>水气声</w:t>
      </w:r>
      <w:r>
        <w:rPr>
          <w:rFonts w:hint="eastAsia" w:ascii="宋体" w:hAnsi="宋体" w:eastAsia="宋体" w:cs="宋体"/>
          <w:b/>
          <w:color w:val="000000"/>
          <w:sz w:val="48"/>
          <w:szCs w:val="48"/>
          <w:lang w:eastAsia="zh-CN"/>
        </w:rPr>
        <w:t>）</w:t>
      </w:r>
    </w:p>
    <w:p>
      <w:pPr>
        <w:spacing w:afterLines="-2147483648" w:line="360" w:lineRule="auto"/>
        <w:jc w:val="center"/>
        <w:rPr>
          <w:rFonts w:hint="default" w:ascii="Times New Roman" w:hAnsi="Times New Roman" w:cs="Times New Roman"/>
          <w:b/>
          <w:sz w:val="48"/>
        </w:rPr>
      </w:pPr>
      <w:bookmarkStart w:id="0" w:name="_Toc13368_WPSOffice_Level1"/>
      <w:r>
        <w:rPr>
          <w:rFonts w:hint="eastAsia" w:ascii="宋体" w:hAnsi="宋体" w:eastAsia="宋体" w:cs="宋体"/>
          <w:b/>
          <w:color w:val="000000"/>
          <w:sz w:val="48"/>
          <w:szCs w:val="48"/>
        </w:rPr>
        <w:t>竣工环境保护验收监测报告</w:t>
      </w:r>
      <w:bookmarkEnd w:id="0"/>
      <w:r>
        <w:rPr>
          <w:rFonts w:hint="eastAsia" w:ascii="宋体" w:hAnsi="宋体" w:eastAsia="宋体" w:cs="宋体"/>
          <w:b/>
          <w:color w:val="000000"/>
          <w:sz w:val="48"/>
          <w:szCs w:val="48"/>
          <w:lang w:val="en-US" w:eastAsia="zh-CN"/>
        </w:rPr>
        <w:t>表</w:t>
      </w: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tbl>
      <w:tblPr>
        <w:tblStyle w:val="11"/>
        <w:tblW w:w="8595"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7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5" w:type="dxa"/>
            <w:vAlign w:val="center"/>
          </w:tcPr>
          <w:p>
            <w:pPr>
              <w:widowControl/>
              <w:autoSpaceDE/>
              <w:autoSpaceDN/>
              <w:adjustRightInd w:val="0"/>
              <w:snapToGrid w:val="0"/>
              <w:spacing w:before="0" w:after="200" w:afterLines="-2147483648" w:line="240" w:lineRule="auto"/>
              <w:ind w:right="0"/>
              <w:jc w:val="center"/>
              <w:rPr>
                <w:rFonts w:hint="eastAsia" w:ascii="宋体" w:hAnsi="宋体" w:eastAsia="宋体" w:cs="宋体"/>
                <w:color w:val="000000"/>
                <w:sz w:val="28"/>
                <w:szCs w:val="28"/>
                <w:vertAlign w:val="baseline"/>
                <w:lang w:val="en-US" w:bidi="ar-SA"/>
              </w:rPr>
            </w:pPr>
            <w:r>
              <w:rPr>
                <w:rFonts w:hint="eastAsia" w:ascii="宋体" w:hAnsi="宋体" w:eastAsia="宋体" w:cs="宋体"/>
                <w:color w:val="000000"/>
                <w:sz w:val="28"/>
                <w:szCs w:val="28"/>
                <w:lang w:val="en-US" w:bidi="ar-SA"/>
              </w:rPr>
              <w:t>建设单位</w:t>
            </w:r>
          </w:p>
        </w:tc>
        <w:tc>
          <w:tcPr>
            <w:tcW w:w="7110" w:type="dxa"/>
            <w:vAlign w:val="center"/>
          </w:tcPr>
          <w:p>
            <w:pPr>
              <w:widowControl/>
              <w:autoSpaceDE/>
              <w:autoSpaceDN/>
              <w:adjustRightInd w:val="0"/>
              <w:snapToGrid w:val="0"/>
              <w:spacing w:before="0" w:after="200" w:afterLines="-2147483648" w:line="240" w:lineRule="auto"/>
              <w:ind w:right="0"/>
              <w:jc w:val="center"/>
              <w:rPr>
                <w:rFonts w:hint="eastAsia" w:ascii="宋体" w:hAnsi="宋体" w:eastAsia="宋体" w:cs="宋体"/>
                <w:color w:val="000000"/>
                <w:sz w:val="28"/>
                <w:szCs w:val="28"/>
                <w:vertAlign w:val="baseline"/>
                <w:lang w:val="en-US" w:bidi="ar-SA"/>
              </w:rPr>
            </w:pPr>
            <w:r>
              <w:rPr>
                <w:rFonts w:hint="eastAsia" w:ascii="宋体" w:hAnsi="宋体" w:eastAsia="宋体" w:cs="宋体"/>
                <w:color w:val="000000"/>
                <w:sz w:val="28"/>
                <w:szCs w:val="28"/>
                <w:lang w:val="en-US" w:bidi="ar-SA"/>
              </w:rPr>
              <w:t>陕西省石油化工工业贸易有限公司高陵服务区</w:t>
            </w:r>
            <w:r>
              <w:rPr>
                <w:rFonts w:hint="eastAsia" w:cs="宋体"/>
                <w:color w:val="000000"/>
                <w:sz w:val="28"/>
                <w:szCs w:val="28"/>
                <w:lang w:val="en-US" w:eastAsia="zh-CN" w:bidi="ar-SA"/>
              </w:rPr>
              <w:t>南</w:t>
            </w:r>
            <w:r>
              <w:rPr>
                <w:rFonts w:hint="eastAsia" w:ascii="宋体" w:hAnsi="宋体" w:eastAsia="宋体" w:cs="宋体"/>
                <w:color w:val="000000"/>
                <w:sz w:val="28"/>
                <w:szCs w:val="28"/>
                <w:lang w:val="en-US" w:bidi="ar-SA"/>
              </w:rPr>
              <w:t>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5" w:type="dxa"/>
            <w:vAlign w:val="center"/>
          </w:tcPr>
          <w:p>
            <w:pPr>
              <w:widowControl/>
              <w:autoSpaceDE/>
              <w:autoSpaceDN/>
              <w:adjustRightInd w:val="0"/>
              <w:snapToGrid w:val="0"/>
              <w:spacing w:before="0" w:after="200" w:afterLines="-2147483648" w:line="240" w:lineRule="auto"/>
              <w:ind w:right="0"/>
              <w:jc w:val="center"/>
              <w:rPr>
                <w:rFonts w:hint="eastAsia" w:ascii="宋体" w:hAnsi="宋体" w:eastAsia="宋体" w:cs="宋体"/>
                <w:color w:val="000000"/>
                <w:sz w:val="28"/>
                <w:szCs w:val="28"/>
                <w:vertAlign w:val="baseline"/>
                <w:lang w:val="en-US" w:bidi="ar-SA"/>
              </w:rPr>
            </w:pPr>
            <w:r>
              <w:rPr>
                <w:rFonts w:hint="eastAsia" w:ascii="宋体" w:hAnsi="宋体" w:eastAsia="宋体" w:cs="宋体"/>
                <w:color w:val="000000"/>
                <w:sz w:val="28"/>
                <w:szCs w:val="28"/>
                <w:lang w:val="en-US" w:bidi="ar-SA"/>
              </w:rPr>
              <w:t>编制单位</w:t>
            </w:r>
          </w:p>
        </w:tc>
        <w:tc>
          <w:tcPr>
            <w:tcW w:w="7110" w:type="dxa"/>
            <w:vAlign w:val="center"/>
          </w:tcPr>
          <w:p>
            <w:pPr>
              <w:widowControl/>
              <w:autoSpaceDE/>
              <w:autoSpaceDN/>
              <w:adjustRightInd w:val="0"/>
              <w:snapToGrid w:val="0"/>
              <w:spacing w:before="0" w:after="200" w:afterLines="-2147483648" w:line="240" w:lineRule="auto"/>
              <w:ind w:right="0"/>
              <w:jc w:val="center"/>
              <w:rPr>
                <w:rFonts w:hint="eastAsia" w:ascii="宋体" w:hAnsi="宋体" w:eastAsia="宋体" w:cs="宋体"/>
                <w:color w:val="000000"/>
                <w:sz w:val="28"/>
                <w:szCs w:val="28"/>
                <w:vertAlign w:val="baseline"/>
                <w:lang w:val="en-US" w:bidi="ar-SA"/>
              </w:rPr>
            </w:pPr>
            <w:r>
              <w:rPr>
                <w:rFonts w:hint="eastAsia" w:ascii="宋体" w:hAnsi="宋体" w:eastAsia="宋体" w:cs="宋体"/>
                <w:color w:val="000000"/>
                <w:sz w:val="28"/>
                <w:szCs w:val="28"/>
                <w:lang w:val="en-US" w:bidi="ar-SA"/>
              </w:rPr>
              <w:t>西安海浪环保科技有限公司</w:t>
            </w:r>
          </w:p>
        </w:tc>
      </w:tr>
    </w:tbl>
    <w:p>
      <w:pPr>
        <w:pStyle w:val="5"/>
        <w:spacing w:before="8"/>
        <w:rPr>
          <w:rFonts w:hint="default" w:ascii="Times New Roman" w:hAnsi="Times New Roman" w:cs="Times New Roman"/>
          <w:sz w:val="26"/>
        </w:rPr>
      </w:pPr>
    </w:p>
    <w:p>
      <w:pPr>
        <w:pStyle w:val="5"/>
        <w:spacing w:before="8"/>
        <w:rPr>
          <w:rFonts w:hint="default" w:ascii="Times New Roman" w:hAnsi="Times New Roman" w:cs="Times New Roman"/>
          <w:sz w:val="26"/>
        </w:rPr>
      </w:pPr>
    </w:p>
    <w:p>
      <w:pPr>
        <w:pStyle w:val="5"/>
        <w:spacing w:before="8"/>
        <w:rPr>
          <w:rFonts w:hint="default" w:ascii="Times New Roman" w:hAnsi="Times New Roman" w:cs="Times New Roman"/>
          <w:sz w:val="26"/>
        </w:rPr>
      </w:pPr>
    </w:p>
    <w:p>
      <w:pPr>
        <w:pStyle w:val="5"/>
        <w:spacing w:before="8"/>
        <w:rPr>
          <w:rFonts w:hint="default" w:ascii="Times New Roman" w:hAnsi="Times New Roman" w:cs="Times New Roman"/>
          <w:sz w:val="26"/>
        </w:rPr>
      </w:pPr>
    </w:p>
    <w:p>
      <w:pPr>
        <w:pStyle w:val="5"/>
        <w:spacing w:before="8"/>
        <w:rPr>
          <w:rFonts w:hint="default" w:ascii="Times New Roman" w:hAnsi="Times New Roman" w:cs="Times New Roman"/>
          <w:sz w:val="26"/>
        </w:rPr>
      </w:pPr>
    </w:p>
    <w:p>
      <w:pPr>
        <w:widowControl/>
        <w:autoSpaceDE/>
        <w:autoSpaceDN/>
        <w:adjustRightInd w:val="0"/>
        <w:snapToGrid w:val="0"/>
        <w:spacing w:before="0" w:after="200" w:afterLines="-2147483648" w:line="240" w:lineRule="auto"/>
        <w:ind w:left="0" w:right="0"/>
        <w:jc w:val="center"/>
        <w:rPr>
          <w:rFonts w:hint="default" w:ascii="Times New Roman" w:hAnsi="Times New Roman" w:eastAsia="华文新魏" w:cs="Times New Roman"/>
          <w:color w:val="000000"/>
          <w:sz w:val="28"/>
          <w:szCs w:val="28"/>
          <w:vertAlign w:val="baseline"/>
          <w:lang w:val="en-US" w:bidi="ar-SA"/>
        </w:rPr>
      </w:pPr>
      <w:r>
        <w:rPr>
          <w:rFonts w:hint="eastAsia" w:ascii="宋体" w:hAnsi="宋体" w:eastAsia="宋体" w:cs="宋体"/>
          <w:color w:val="000000"/>
          <w:sz w:val="28"/>
          <w:szCs w:val="28"/>
          <w:lang w:val="en-US" w:bidi="ar-SA"/>
        </w:rPr>
        <w:t>2019年10月</w:t>
      </w:r>
    </w:p>
    <w:p>
      <w:pPr>
        <w:widowControl/>
        <w:autoSpaceDE/>
        <w:autoSpaceDN/>
        <w:adjustRightInd w:val="0"/>
        <w:snapToGrid w:val="0"/>
        <w:spacing w:before="0" w:after="200" w:afterLines="-2147483648" w:line="240" w:lineRule="auto"/>
        <w:ind w:left="0" w:right="0"/>
        <w:jc w:val="center"/>
        <w:rPr>
          <w:rFonts w:hint="default" w:ascii="Times New Roman" w:hAnsi="Times New Roman" w:eastAsia="华文新魏" w:cs="Times New Roman"/>
          <w:color w:val="000000"/>
          <w:sz w:val="28"/>
          <w:szCs w:val="28"/>
          <w:lang w:val="en-US" w:bidi="ar-SA"/>
        </w:rPr>
      </w:pPr>
    </w:p>
    <w:p>
      <w:pPr>
        <w:rPr>
          <w:rFonts w:hint="default" w:ascii="Times New Roman" w:hAnsi="Times New Roman" w:eastAsia="华文新魏" w:cs="Times New Roman"/>
          <w:color w:val="000000"/>
          <w:sz w:val="28"/>
          <w:szCs w:val="28"/>
          <w:lang w:val="en-US" w:bidi="ar-SA"/>
        </w:rPr>
      </w:pPr>
      <w:r>
        <w:rPr>
          <w:rFonts w:hint="default" w:ascii="Times New Roman" w:hAnsi="Times New Roman" w:eastAsia="华文新魏" w:cs="Times New Roman"/>
          <w:color w:val="000000"/>
          <w:sz w:val="28"/>
          <w:szCs w:val="28"/>
          <w:lang w:val="en-US" w:bidi="ar-SA"/>
        </w:rPr>
        <w:br w:type="page"/>
      </w:r>
    </w:p>
    <w:p>
      <w:pPr>
        <w:pStyle w:val="2"/>
        <w:rPr>
          <w:rFonts w:hint="default"/>
          <w:lang w:val="en-US"/>
        </w:rPr>
      </w:pPr>
    </w:p>
    <w:p>
      <w:pPr>
        <w:rPr>
          <w:rFonts w:hint="default"/>
          <w:lang w:val="en-US"/>
        </w:rPr>
      </w:pPr>
      <w:r>
        <w:rPr>
          <w:rFonts w:hint="default"/>
          <w:lang w:val="en-US"/>
        </w:rPr>
        <w:br w:type="page"/>
      </w:r>
    </w:p>
    <w:p>
      <w:pPr>
        <w:pStyle w:val="2"/>
        <w:rPr>
          <w:rFonts w:hint="default"/>
          <w:lang w:val="en-US"/>
        </w:rPr>
      </w:pPr>
      <w:r>
        <w:rPr>
          <w:rFonts w:hint="default" w:ascii="Times New Roman" w:hAnsi="Times New Roman" w:eastAsia="宋体" w:cs="Times New Roman"/>
          <w:lang w:eastAsia="zh-CN"/>
        </w:rPr>
        <w:drawing>
          <wp:anchor distT="0" distB="0" distL="114300" distR="114300" simplePos="0" relativeHeight="251421696" behindDoc="0" locked="0" layoutInCell="1" allowOverlap="1">
            <wp:simplePos x="0" y="0"/>
            <wp:positionH relativeFrom="column">
              <wp:posOffset>-1134745</wp:posOffset>
            </wp:positionH>
            <wp:positionV relativeFrom="paragraph">
              <wp:posOffset>-698500</wp:posOffset>
            </wp:positionV>
            <wp:extent cx="7171690" cy="10682605"/>
            <wp:effectExtent l="0" t="0" r="10160" b="4445"/>
            <wp:wrapNone/>
            <wp:docPr id="4" name="图片 4" descr="南站编制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南站编制盖章页"/>
                    <pic:cNvPicPr>
                      <a:picLocks noChangeAspect="1"/>
                    </pic:cNvPicPr>
                  </pic:nvPicPr>
                  <pic:blipFill>
                    <a:blip r:embed="rId6"/>
                    <a:stretch>
                      <a:fillRect/>
                    </a:stretch>
                  </pic:blipFill>
                  <pic:spPr>
                    <a:xfrm>
                      <a:off x="0" y="0"/>
                      <a:ext cx="7171690" cy="10682605"/>
                    </a:xfrm>
                    <a:prstGeom prst="rect">
                      <a:avLst/>
                    </a:prstGeom>
                  </pic:spPr>
                </pic:pic>
              </a:graphicData>
            </a:graphic>
          </wp:anchor>
        </w:drawing>
      </w:r>
    </w:p>
    <w:p>
      <w:r>
        <w:br w:type="page"/>
      </w:r>
    </w:p>
    <w:p>
      <w:r>
        <w:br w:type="page"/>
      </w:r>
    </w:p>
    <w:p>
      <w:pPr>
        <w:spacing w:before="30"/>
        <w:ind w:left="998" w:right="1395" w:firstLine="0"/>
        <w:jc w:val="center"/>
        <w:rPr>
          <w:rFonts w:hint="default" w:ascii="Times New Roman" w:hAnsi="Times New Roman" w:cs="Times New Roman"/>
          <w:b/>
          <w:sz w:val="32"/>
        </w:rPr>
      </w:pPr>
      <w:r>
        <w:rPr>
          <w:rFonts w:hint="default" w:ascii="Times New Roman" w:hAnsi="Times New Roman" w:cs="Times New Roman"/>
          <w:b/>
          <w:sz w:val="32"/>
        </w:rPr>
        <w:t>目录</w:t>
      </w:r>
    </w:p>
    <w:sdt>
      <w:sdtPr>
        <w:rPr>
          <w:rFonts w:ascii="宋体" w:hAnsi="宋体" w:eastAsia="宋体" w:cs="宋体"/>
          <w:sz w:val="21"/>
          <w:szCs w:val="22"/>
          <w:lang w:val="zh-CN" w:eastAsia="zh-CN" w:bidi="zh-CN"/>
        </w:rPr>
        <w:id w:val="147465226"/>
        <w15:color w:val="DBDBDB"/>
        <w:docPartObj>
          <w:docPartGallery w:val="Table of Contents"/>
          <w:docPartUnique/>
        </w:docPartObj>
      </w:sdtPr>
      <w:sdtEndPr>
        <w:rPr>
          <w:rFonts w:ascii="宋体" w:hAnsi="宋体" w:eastAsia="宋体" w:cs="宋体"/>
          <w:sz w:val="20"/>
          <w:szCs w:val="20"/>
          <w:lang w:val="zh-CN" w:eastAsia="zh-CN" w:bidi="zh-CN"/>
        </w:rPr>
      </w:sdtEndPr>
      <w:sdtContent>
        <w:p>
          <w:pPr>
            <w:spacing w:before="0" w:beforeLines="0" w:after="0" w:afterLines="0" w:line="240" w:lineRule="auto"/>
            <w:ind w:left="0" w:leftChars="0" w:right="0" w:rightChars="0" w:firstLine="0" w:firstLineChars="0"/>
            <w:jc w:val="center"/>
          </w:pPr>
          <w:bookmarkStart w:id="1" w:name="_Toc6130_WPSOffice_Type1"/>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_Toc16323_WPSOffice_Level1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6ded8700-4511-424d-8b51-56a3fc54b226}"/>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1  建设项目基本情况及验收依据</w:t>
              </w:r>
            </w:sdtContent>
          </w:sdt>
          <w:r>
            <w:rPr>
              <w:rFonts w:hint="default" w:ascii="Times New Roman" w:hAnsi="Times New Roman" w:eastAsia="宋体" w:cs="Times New Roman"/>
              <w:sz w:val="24"/>
              <w:szCs w:val="24"/>
            </w:rPr>
            <w:tab/>
          </w:r>
          <w:bookmarkStart w:id="2" w:name="_Toc16323_WPSOffice_Level1Page"/>
          <w:r>
            <w:rPr>
              <w:rFonts w:hint="default" w:ascii="Times New Roman" w:hAnsi="Times New Roman" w:eastAsia="宋体" w:cs="Times New Roman"/>
              <w:sz w:val="24"/>
              <w:szCs w:val="24"/>
            </w:rPr>
            <w:t>4</w:t>
          </w:r>
          <w:bookmarkEnd w:id="2"/>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_Toc6130_WPSOffice_Level1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44d0ec52-06a4-44a8-9246-cca19d50cbed}"/>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2</w:t>
              </w:r>
              <w:r>
                <w:rPr>
                  <w:rFonts w:hint="default" w:ascii="Times New Roman" w:hAnsi="Times New Roman" w:eastAsia="宋体" w:cs="Times New Roman"/>
                  <w:sz w:val="24"/>
                  <w:szCs w:val="24"/>
                </w:rPr>
                <w:t xml:space="preserve">  建设项目工程概况</w:t>
              </w:r>
            </w:sdtContent>
          </w:sdt>
          <w:r>
            <w:rPr>
              <w:rFonts w:hint="default" w:ascii="Times New Roman" w:hAnsi="Times New Roman" w:eastAsia="宋体" w:cs="Times New Roman"/>
              <w:sz w:val="24"/>
              <w:szCs w:val="24"/>
            </w:rPr>
            <w:tab/>
          </w:r>
          <w:bookmarkStart w:id="3" w:name="_Toc6130_WPSOffice_Level1Page"/>
          <w:r>
            <w:rPr>
              <w:rFonts w:hint="default" w:ascii="Times New Roman" w:hAnsi="Times New Roman" w:eastAsia="宋体" w:cs="Times New Roman"/>
              <w:sz w:val="24"/>
              <w:szCs w:val="24"/>
            </w:rPr>
            <w:t>4</w:t>
          </w:r>
          <w:bookmarkEnd w:id="3"/>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_Toc21658_WPSOffice_Level1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ac937153-85fd-4b54-9f51-b3403f06375b}"/>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3  主要污染源、污染物处理和排放</w:t>
              </w:r>
            </w:sdtContent>
          </w:sdt>
          <w:r>
            <w:rPr>
              <w:rFonts w:hint="default" w:ascii="Times New Roman" w:hAnsi="Times New Roman" w:eastAsia="宋体" w:cs="Times New Roman"/>
              <w:sz w:val="24"/>
              <w:szCs w:val="24"/>
            </w:rPr>
            <w:tab/>
          </w:r>
          <w:bookmarkStart w:id="4" w:name="_Toc21658_WPSOffice_Level1Page"/>
          <w:r>
            <w:rPr>
              <w:rFonts w:hint="default" w:ascii="Times New Roman" w:hAnsi="Times New Roman" w:eastAsia="宋体" w:cs="Times New Roman"/>
              <w:sz w:val="24"/>
              <w:szCs w:val="24"/>
            </w:rPr>
            <w:t>4</w:t>
          </w:r>
          <w:bookmarkEnd w:id="4"/>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_Toc20346_WPSOffice_Level1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7af051be-48ff-4afe-8950-c6ca3868302e}"/>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4  建设项目环境影响报告表主要结论及审批部门审批决定</w:t>
              </w:r>
            </w:sdtContent>
          </w:sdt>
          <w:r>
            <w:rPr>
              <w:rFonts w:hint="default" w:ascii="Times New Roman" w:hAnsi="Times New Roman" w:eastAsia="宋体" w:cs="Times New Roman"/>
              <w:sz w:val="24"/>
              <w:szCs w:val="24"/>
            </w:rPr>
            <w:tab/>
          </w:r>
          <w:bookmarkStart w:id="5" w:name="_Toc20346_WPSOffice_Level1Page"/>
          <w:r>
            <w:rPr>
              <w:rFonts w:hint="default" w:ascii="Times New Roman" w:hAnsi="Times New Roman" w:eastAsia="宋体" w:cs="Times New Roman"/>
              <w:sz w:val="24"/>
              <w:szCs w:val="24"/>
            </w:rPr>
            <w:t>4</w:t>
          </w:r>
          <w:bookmarkEnd w:id="5"/>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_Toc26695_WPSOffice_Level1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bb8fc99a-7abe-481f-8653-88e69355dfbe}"/>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5  验收监测质量保证及质量控制</w:t>
              </w:r>
            </w:sdtContent>
          </w:sdt>
          <w:r>
            <w:rPr>
              <w:rFonts w:hint="default" w:ascii="Times New Roman" w:hAnsi="Times New Roman" w:eastAsia="宋体" w:cs="Times New Roman"/>
              <w:sz w:val="24"/>
              <w:szCs w:val="24"/>
            </w:rPr>
            <w:tab/>
          </w:r>
          <w:bookmarkStart w:id="6" w:name="_Toc26695_WPSOffice_Level1Page"/>
          <w:r>
            <w:rPr>
              <w:rFonts w:hint="default" w:ascii="Times New Roman" w:hAnsi="Times New Roman" w:eastAsia="宋体" w:cs="Times New Roman"/>
              <w:sz w:val="24"/>
              <w:szCs w:val="24"/>
            </w:rPr>
            <w:t>4</w:t>
          </w:r>
          <w:bookmarkEnd w:id="6"/>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_Toc28103_WPSOffice_Level1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137da37b-5a27-43af-956f-cf55c4d3a87f}"/>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6  验收监测内容</w:t>
              </w:r>
            </w:sdtContent>
          </w:sdt>
          <w:r>
            <w:rPr>
              <w:rFonts w:hint="default" w:ascii="Times New Roman" w:hAnsi="Times New Roman" w:eastAsia="宋体" w:cs="Times New Roman"/>
              <w:sz w:val="24"/>
              <w:szCs w:val="24"/>
            </w:rPr>
            <w:tab/>
          </w:r>
          <w:bookmarkStart w:id="7" w:name="_Toc28103_WPSOffice_Level1Page"/>
          <w:r>
            <w:rPr>
              <w:rFonts w:hint="default" w:ascii="Times New Roman" w:hAnsi="Times New Roman" w:eastAsia="宋体" w:cs="Times New Roman"/>
              <w:sz w:val="24"/>
              <w:szCs w:val="24"/>
            </w:rPr>
            <w:t>4</w:t>
          </w:r>
          <w:bookmarkEnd w:id="7"/>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_Toc26878_WPSOffice_Level1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5e322ff8-d8ec-4417-b422-5aa2cb16b8e1}"/>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7  验收监测期间工况调查及验收监测结果</w:t>
              </w:r>
            </w:sdtContent>
          </w:sdt>
          <w:r>
            <w:rPr>
              <w:rFonts w:hint="default" w:ascii="Times New Roman" w:hAnsi="Times New Roman" w:eastAsia="宋体" w:cs="Times New Roman"/>
              <w:sz w:val="24"/>
              <w:szCs w:val="24"/>
            </w:rPr>
            <w:tab/>
          </w:r>
          <w:bookmarkStart w:id="8" w:name="_Toc26878_WPSOffice_Level1Page"/>
          <w:r>
            <w:rPr>
              <w:rFonts w:hint="default" w:ascii="Times New Roman" w:hAnsi="Times New Roman" w:eastAsia="宋体" w:cs="Times New Roman"/>
              <w:sz w:val="24"/>
              <w:szCs w:val="24"/>
            </w:rPr>
            <w:t>4</w:t>
          </w:r>
          <w:bookmarkEnd w:id="8"/>
          <w:r>
            <w:rPr>
              <w:rFonts w:hint="default" w:ascii="Times New Roman" w:hAnsi="Times New Roman" w:eastAsia="宋体" w:cs="Times New Roman"/>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_Toc8675_WPSOffice_Level1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lang w:val="zh-CN" w:eastAsia="zh-CN" w:bidi="zh-CN"/>
              </w:rPr>
              <w:id w:val="147465226"/>
              <w:placeholder>
                <w:docPart w:val="{ed308eba-2d60-40dd-abed-2cf3ed242e44}"/>
              </w:placeholder>
              <w15:color w:val="509DF3"/>
            </w:sdtPr>
            <w:sdtEndPr>
              <w:rPr>
                <w:rFonts w:hint="default" w:ascii="Times New Roman" w:hAnsi="Times New Roman" w:eastAsia="宋体" w:cs="Times New Roman"/>
                <w:sz w:val="24"/>
                <w:szCs w:val="24"/>
                <w:lang w:val="zh-CN" w:eastAsia="zh-CN" w:bidi="zh-CN"/>
              </w:rPr>
            </w:sdtEndPr>
            <w:sdtContent>
              <w:r>
                <w:rPr>
                  <w:rFonts w:hint="default" w:ascii="Times New Roman" w:hAnsi="Times New Roman" w:eastAsia="宋体" w:cs="Times New Roman"/>
                  <w:sz w:val="24"/>
                  <w:szCs w:val="24"/>
                  <w:lang w:val="zh-CN" w:eastAsia="zh-CN" w:bidi="zh-CN"/>
                </w:rPr>
                <w:t>表</w:t>
              </w:r>
              <w:r>
                <w:rPr>
                  <w:rFonts w:hint="default" w:ascii="Times New Roman" w:hAnsi="Times New Roman" w:eastAsia="宋体" w:cs="Times New Roman"/>
                  <w:sz w:val="24"/>
                  <w:szCs w:val="24"/>
                  <w:lang w:val="en-US" w:eastAsia="zh-CN" w:bidi="zh-CN"/>
                </w:rPr>
                <w:t>8  验收监测结论</w:t>
              </w:r>
            </w:sdtContent>
          </w:sdt>
          <w:r>
            <w:rPr>
              <w:rFonts w:hint="default" w:ascii="Times New Roman" w:hAnsi="Times New Roman" w:eastAsia="宋体" w:cs="Times New Roman"/>
              <w:sz w:val="24"/>
              <w:szCs w:val="24"/>
            </w:rPr>
            <w:tab/>
          </w:r>
          <w:bookmarkStart w:id="9" w:name="_Toc8675_WPSOffice_Level1Page"/>
          <w:r>
            <w:rPr>
              <w:rFonts w:hint="default" w:ascii="Times New Roman" w:hAnsi="Times New Roman" w:eastAsia="宋体" w:cs="Times New Roman"/>
              <w:sz w:val="24"/>
              <w:szCs w:val="24"/>
            </w:rPr>
            <w:t>4</w:t>
          </w:r>
          <w:bookmarkEnd w:id="9"/>
          <w:r>
            <w:rPr>
              <w:rFonts w:hint="default" w:ascii="Times New Roman" w:hAnsi="Times New Roman" w:eastAsia="宋体" w:cs="Times New Roman"/>
              <w:sz w:val="24"/>
              <w:szCs w:val="24"/>
            </w:rPr>
            <w:fldChar w:fldCharType="end"/>
          </w:r>
        </w:p>
        <w:bookmarkEnd w:id="1"/>
        <w:p>
          <w:pPr>
            <w:pStyle w:val="13"/>
            <w:tabs>
              <w:tab w:val="right" w:leader="dot" w:pos="8306"/>
            </w:tabs>
          </w:pPr>
        </w:p>
      </w:sdtContent>
    </w:sdt>
    <w:p>
      <w:pPr>
        <w:spacing w:before="1"/>
        <w:ind w:right="0"/>
        <w:jc w:val="left"/>
        <w:rPr>
          <w:rFonts w:hint="default" w:ascii="Times New Roman" w:hAnsi="Times New Roman" w:eastAsia="宋体" w:cs="Times New Roman"/>
          <w:b/>
          <w:sz w:val="24"/>
          <w:szCs w:val="24"/>
        </w:rPr>
      </w:pPr>
      <w:bookmarkStart w:id="10" w:name="_Toc16323_WPSOffice_Level1"/>
      <w:r>
        <w:rPr>
          <w:rFonts w:hint="default" w:ascii="Times New Roman" w:hAnsi="Times New Roman" w:eastAsia="宋体" w:cs="Times New Roman"/>
          <w:b/>
          <w:sz w:val="24"/>
          <w:szCs w:val="24"/>
        </w:rPr>
        <w:t>附表</w:t>
      </w:r>
      <w:bookmarkEnd w:id="10"/>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rPr>
      </w:pPr>
      <w:bookmarkStart w:id="11" w:name="_Toc6130_WPSOffice_Level1"/>
      <w:r>
        <w:rPr>
          <w:rFonts w:hint="default" w:ascii="Times New Roman" w:hAnsi="Times New Roman" w:eastAsia="宋体" w:cs="Times New Roman"/>
          <w:sz w:val="24"/>
          <w:szCs w:val="24"/>
        </w:rPr>
        <w:t>附表1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建设项目竣工环境保护</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验收登记表</w:t>
      </w:r>
      <w:bookmarkEnd w:id="11"/>
    </w:p>
    <w:p>
      <w:pPr>
        <w:spacing w:before="1"/>
        <w:ind w:right="0"/>
        <w:jc w:val="left"/>
        <w:rPr>
          <w:rFonts w:hint="default" w:ascii="Times New Roman" w:hAnsi="Times New Roman" w:eastAsia="宋体" w:cs="Times New Roman"/>
          <w:b/>
          <w:sz w:val="24"/>
          <w:szCs w:val="24"/>
          <w:lang w:val="en-US" w:eastAsia="zh-CN"/>
        </w:rPr>
      </w:pPr>
      <w:bookmarkStart w:id="12" w:name="_Toc21658_WPSOffice_Level1"/>
      <w:r>
        <w:rPr>
          <w:rFonts w:hint="default" w:ascii="Times New Roman" w:hAnsi="Times New Roman" w:eastAsia="宋体" w:cs="Times New Roman"/>
          <w:b/>
          <w:sz w:val="24"/>
          <w:szCs w:val="24"/>
          <w:lang w:val="en-US" w:eastAsia="zh-CN"/>
        </w:rPr>
        <w:t>附图</w:t>
      </w:r>
      <w:bookmarkEnd w:id="12"/>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bookmarkStart w:id="13" w:name="表1 建设项目基本情况及验收依据"/>
      <w:bookmarkEnd w:id="13"/>
      <w:bookmarkStart w:id="14" w:name="_bookmark0"/>
      <w:bookmarkEnd w:id="14"/>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_Toc16466 </w:instrText>
      </w:r>
      <w:r>
        <w:rPr>
          <w:rFonts w:hint="default" w:ascii="Times New Roman" w:hAnsi="Times New Roman" w:eastAsia="宋体" w:cs="Times New Roman"/>
          <w:sz w:val="24"/>
          <w:szCs w:val="24"/>
          <w:lang w:val="zh-CN" w:eastAsia="zh-CN"/>
        </w:rPr>
        <w:fldChar w:fldCharType="separate"/>
      </w:r>
      <w:bookmarkStart w:id="15" w:name="_Toc20346_WPSOffice_Level1"/>
      <w:r>
        <w:rPr>
          <w:rFonts w:hint="default" w:ascii="Times New Roman" w:hAnsi="Times New Roman" w:eastAsia="宋体" w:cs="Times New Roman"/>
          <w:sz w:val="24"/>
          <w:szCs w:val="24"/>
          <w:lang w:val="en-US" w:eastAsia="zh-CN"/>
        </w:rPr>
        <w:t>附图1  项目地理位置图</w:t>
      </w:r>
      <w:bookmarkEnd w:id="15"/>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_Toc19608 </w:instrText>
      </w:r>
      <w:r>
        <w:rPr>
          <w:rFonts w:hint="default" w:ascii="Times New Roman" w:hAnsi="Times New Roman" w:eastAsia="宋体" w:cs="Times New Roman"/>
          <w:sz w:val="24"/>
          <w:szCs w:val="24"/>
          <w:lang w:val="zh-CN" w:eastAsia="zh-CN"/>
        </w:rPr>
        <w:fldChar w:fldCharType="separate"/>
      </w:r>
      <w:bookmarkStart w:id="16" w:name="_Toc26695_WPSOffice_Level1"/>
      <w:r>
        <w:rPr>
          <w:rFonts w:hint="default" w:ascii="Times New Roman" w:hAnsi="Times New Roman" w:eastAsia="宋体" w:cs="Times New Roman"/>
          <w:sz w:val="24"/>
          <w:szCs w:val="24"/>
          <w:lang w:val="en-US" w:eastAsia="zh-CN"/>
        </w:rPr>
        <w:t>附图2  项目总平面布置图</w:t>
      </w:r>
      <w:bookmarkEnd w:id="16"/>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_Toc3752 </w:instrText>
      </w:r>
      <w:r>
        <w:rPr>
          <w:rFonts w:hint="default" w:ascii="Times New Roman" w:hAnsi="Times New Roman" w:eastAsia="宋体" w:cs="Times New Roman"/>
          <w:sz w:val="24"/>
          <w:szCs w:val="24"/>
          <w:lang w:val="zh-CN" w:eastAsia="zh-CN"/>
        </w:rPr>
        <w:fldChar w:fldCharType="separate"/>
      </w:r>
      <w:bookmarkStart w:id="17" w:name="_Toc28103_WPSOffice_Level1"/>
      <w:r>
        <w:rPr>
          <w:rFonts w:hint="default" w:ascii="Times New Roman" w:hAnsi="Times New Roman" w:eastAsia="宋体" w:cs="Times New Roman"/>
          <w:sz w:val="24"/>
          <w:szCs w:val="24"/>
          <w:lang w:val="en-US" w:eastAsia="zh-CN"/>
        </w:rPr>
        <w:t>附图3  项目四邻关系图</w:t>
      </w:r>
      <w:bookmarkEnd w:id="17"/>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_Toc17853 </w:instrText>
      </w:r>
      <w:r>
        <w:rPr>
          <w:rFonts w:hint="default" w:ascii="Times New Roman" w:hAnsi="Times New Roman" w:eastAsia="宋体" w:cs="Times New Roman"/>
          <w:sz w:val="24"/>
          <w:szCs w:val="24"/>
          <w:lang w:val="zh-CN" w:eastAsia="zh-CN"/>
        </w:rPr>
        <w:fldChar w:fldCharType="separate"/>
      </w:r>
      <w:bookmarkStart w:id="18" w:name="_Toc26878_WPSOffice_Level1"/>
      <w:r>
        <w:rPr>
          <w:rFonts w:hint="default" w:ascii="Times New Roman" w:hAnsi="Times New Roman" w:eastAsia="宋体" w:cs="Times New Roman"/>
          <w:sz w:val="24"/>
          <w:szCs w:val="24"/>
          <w:lang w:val="en-US" w:eastAsia="zh-CN"/>
        </w:rPr>
        <w:t>附图4  项目周围敏感目标图</w:t>
      </w:r>
      <w:bookmarkEnd w:id="18"/>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_Toc21217 </w:instrText>
      </w:r>
      <w:r>
        <w:rPr>
          <w:rFonts w:hint="default" w:ascii="Times New Roman" w:hAnsi="Times New Roman" w:eastAsia="宋体" w:cs="Times New Roman"/>
          <w:sz w:val="24"/>
          <w:szCs w:val="24"/>
          <w:lang w:val="zh-CN" w:eastAsia="zh-CN"/>
        </w:rPr>
        <w:fldChar w:fldCharType="separate"/>
      </w:r>
      <w:bookmarkStart w:id="19" w:name="_Toc8675_WPSOffice_Level1"/>
      <w:r>
        <w:rPr>
          <w:rFonts w:hint="default" w:ascii="Times New Roman" w:hAnsi="Times New Roman" w:eastAsia="宋体" w:cs="Times New Roman"/>
          <w:sz w:val="24"/>
          <w:szCs w:val="24"/>
          <w:lang w:val="en-US" w:eastAsia="zh-CN"/>
        </w:rPr>
        <w:t>附图5  项目工艺流程图</w:t>
      </w:r>
      <w:bookmarkEnd w:id="19"/>
      <w:r>
        <w:rPr>
          <w:rFonts w:hint="default" w:ascii="Times New Roman" w:hAnsi="Times New Roman" w:eastAsia="宋体" w:cs="Times New Roman"/>
          <w:sz w:val="24"/>
          <w:szCs w:val="24"/>
          <w:lang w:val="zh-CN" w:eastAsia="zh-CN"/>
        </w:rPr>
        <w:fldChar w:fldCharType="end"/>
      </w:r>
    </w:p>
    <w:p>
      <w:pPr>
        <w:spacing w:before="1"/>
        <w:ind w:right="0"/>
        <w:jc w:val="left"/>
        <w:rPr>
          <w:rFonts w:hint="default" w:ascii="Times New Roman" w:hAnsi="Times New Roman" w:eastAsia="宋体" w:cs="Times New Roman"/>
          <w:b/>
          <w:sz w:val="24"/>
          <w:szCs w:val="24"/>
          <w:lang w:val="en-US" w:eastAsia="zh-CN"/>
        </w:rPr>
      </w:pPr>
      <w:bookmarkStart w:id="20" w:name="_Toc20105_WPSOffice_Level1"/>
      <w:r>
        <w:rPr>
          <w:rFonts w:hint="default" w:ascii="Times New Roman" w:hAnsi="Times New Roman" w:eastAsia="宋体" w:cs="Times New Roman"/>
          <w:b/>
          <w:sz w:val="24"/>
          <w:szCs w:val="24"/>
          <w:lang w:val="en-US" w:eastAsia="zh-CN"/>
        </w:rPr>
        <w:t>附件</w:t>
      </w:r>
      <w:bookmarkEnd w:id="20"/>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_Toc21952 </w:instrText>
      </w:r>
      <w:r>
        <w:rPr>
          <w:rFonts w:hint="default" w:ascii="Times New Roman" w:hAnsi="Times New Roman" w:eastAsia="宋体" w:cs="Times New Roman"/>
          <w:sz w:val="24"/>
          <w:szCs w:val="24"/>
          <w:lang w:val="zh-CN" w:eastAsia="zh-CN"/>
        </w:rPr>
        <w:fldChar w:fldCharType="separate"/>
      </w:r>
      <w:bookmarkStart w:id="21" w:name="_Toc32199_WPSOffice_Level1"/>
      <w:r>
        <w:rPr>
          <w:rFonts w:hint="default" w:ascii="Times New Roman" w:hAnsi="Times New Roman" w:eastAsia="宋体" w:cs="Times New Roman"/>
          <w:sz w:val="24"/>
          <w:szCs w:val="24"/>
          <w:lang w:val="en-US" w:eastAsia="zh-CN"/>
        </w:rPr>
        <w:t>附件1  委托书</w:t>
      </w:r>
      <w:bookmarkEnd w:id="21"/>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_Toc18928 </w:instrText>
      </w:r>
      <w:r>
        <w:rPr>
          <w:rFonts w:hint="default" w:ascii="Times New Roman" w:hAnsi="Times New Roman" w:eastAsia="宋体" w:cs="Times New Roman"/>
          <w:sz w:val="24"/>
          <w:szCs w:val="24"/>
          <w:lang w:val="zh-CN" w:eastAsia="zh-CN"/>
        </w:rPr>
        <w:fldChar w:fldCharType="separate"/>
      </w:r>
      <w:bookmarkStart w:id="22" w:name="_Toc24300_WPSOffice_Level1"/>
      <w:r>
        <w:rPr>
          <w:rFonts w:hint="default" w:ascii="Times New Roman" w:hAnsi="Times New Roman" w:eastAsia="宋体" w:cs="Times New Roman"/>
          <w:sz w:val="24"/>
          <w:szCs w:val="24"/>
          <w:lang w:val="en-US" w:eastAsia="zh-CN"/>
        </w:rPr>
        <w:t>附件2  营业执照</w:t>
      </w:r>
      <w:bookmarkEnd w:id="22"/>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_Toc17381 </w:instrText>
      </w:r>
      <w:r>
        <w:rPr>
          <w:rFonts w:hint="default" w:ascii="Times New Roman" w:hAnsi="Times New Roman" w:eastAsia="宋体" w:cs="Times New Roman"/>
          <w:sz w:val="24"/>
          <w:szCs w:val="24"/>
          <w:lang w:val="zh-CN" w:eastAsia="zh-CN"/>
        </w:rPr>
        <w:fldChar w:fldCharType="separate"/>
      </w:r>
      <w:bookmarkStart w:id="23" w:name="_Toc916_WPSOffice_Level1"/>
      <w:r>
        <w:rPr>
          <w:rFonts w:hint="default" w:ascii="Times New Roman" w:hAnsi="Times New Roman" w:eastAsia="宋体" w:cs="Times New Roman"/>
          <w:sz w:val="24"/>
          <w:szCs w:val="24"/>
          <w:lang w:val="en-US" w:eastAsia="zh-CN"/>
        </w:rPr>
        <w:t>附件3  项目备案确认书</w:t>
      </w:r>
      <w:bookmarkEnd w:id="23"/>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_Toc11177 </w:instrText>
      </w:r>
      <w:r>
        <w:rPr>
          <w:rFonts w:hint="default" w:ascii="Times New Roman" w:hAnsi="Times New Roman" w:eastAsia="宋体" w:cs="Times New Roman"/>
          <w:sz w:val="24"/>
          <w:szCs w:val="24"/>
          <w:lang w:val="zh-CN" w:eastAsia="zh-CN"/>
        </w:rPr>
        <w:fldChar w:fldCharType="separate"/>
      </w:r>
      <w:bookmarkStart w:id="24" w:name="_Toc16197_WPSOffice_Level1"/>
      <w:r>
        <w:rPr>
          <w:rFonts w:hint="default" w:ascii="Times New Roman" w:hAnsi="Times New Roman" w:eastAsia="宋体" w:cs="Times New Roman"/>
          <w:sz w:val="24"/>
          <w:szCs w:val="24"/>
          <w:lang w:val="en-US" w:eastAsia="zh-CN"/>
        </w:rPr>
        <w:t>附件4  项目规划文件</w:t>
      </w:r>
      <w:bookmarkEnd w:id="24"/>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_Toc10215 </w:instrText>
      </w:r>
      <w:r>
        <w:rPr>
          <w:rFonts w:hint="default" w:ascii="Times New Roman" w:hAnsi="Times New Roman" w:eastAsia="宋体" w:cs="Times New Roman"/>
          <w:sz w:val="24"/>
          <w:szCs w:val="24"/>
          <w:lang w:val="zh-CN" w:eastAsia="zh-CN"/>
        </w:rPr>
        <w:fldChar w:fldCharType="separate"/>
      </w:r>
      <w:bookmarkStart w:id="25" w:name="_Toc18791_WPSOffice_Level1"/>
      <w:r>
        <w:rPr>
          <w:rFonts w:hint="default" w:ascii="Times New Roman" w:hAnsi="Times New Roman" w:eastAsia="宋体" w:cs="Times New Roman"/>
          <w:sz w:val="24"/>
          <w:szCs w:val="24"/>
          <w:lang w:val="en-US" w:eastAsia="zh-CN"/>
        </w:rPr>
        <w:t>附件5  关于省级高速公路西咸北环线工程环境影响报告书的批复</w:t>
      </w:r>
      <w:bookmarkEnd w:id="25"/>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fldChar w:fldCharType="begin"/>
      </w:r>
      <w:r>
        <w:rPr>
          <w:rFonts w:hint="default" w:ascii="Times New Roman" w:hAnsi="Times New Roman" w:eastAsia="宋体" w:cs="Times New Roman"/>
          <w:sz w:val="24"/>
          <w:szCs w:val="24"/>
          <w:lang w:val="zh-CN" w:eastAsia="zh-CN"/>
        </w:rPr>
        <w:instrText xml:space="preserve"> HYPERLINK \l _Toc15169 </w:instrText>
      </w:r>
      <w:r>
        <w:rPr>
          <w:rFonts w:hint="default" w:ascii="Times New Roman" w:hAnsi="Times New Roman" w:eastAsia="宋体" w:cs="Times New Roman"/>
          <w:sz w:val="24"/>
          <w:szCs w:val="24"/>
          <w:lang w:val="zh-CN" w:eastAsia="zh-CN"/>
        </w:rPr>
        <w:fldChar w:fldCharType="separate"/>
      </w:r>
      <w:bookmarkStart w:id="26" w:name="_Toc1232_WPSOffice_Level1"/>
      <w:r>
        <w:rPr>
          <w:rFonts w:hint="default" w:ascii="Times New Roman" w:hAnsi="Times New Roman" w:eastAsia="宋体" w:cs="Times New Roman"/>
          <w:sz w:val="24"/>
          <w:szCs w:val="24"/>
          <w:lang w:val="en-US" w:eastAsia="zh-CN"/>
        </w:rPr>
        <w:t>附件6  关于西咸北环线高速公路项目（重大变动）环境影响报告书的批复</w:t>
      </w:r>
      <w:bookmarkEnd w:id="26"/>
      <w:r>
        <w:rPr>
          <w:rFonts w:hint="default" w:ascii="Times New Roman" w:hAnsi="Times New Roman" w:eastAsia="宋体" w:cs="Times New Roman"/>
          <w:sz w:val="24"/>
          <w:szCs w:val="24"/>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bookmarkStart w:id="27" w:name="_Toc20695_WPSOffice_Level1"/>
      <w:r>
        <w:rPr>
          <w:rFonts w:hint="default" w:ascii="Times New Roman" w:hAnsi="Times New Roman" w:eastAsia="宋体" w:cs="Times New Roman"/>
          <w:sz w:val="24"/>
          <w:szCs w:val="24"/>
          <w:lang w:val="zh-CN" w:eastAsia="zh-CN"/>
        </w:rPr>
        <w:t>附件</w:t>
      </w:r>
      <w:r>
        <w:rPr>
          <w:rFonts w:hint="default" w:ascii="Times New Roman" w:hAnsi="Times New Roman" w:eastAsia="宋体" w:cs="Times New Roman"/>
          <w:sz w:val="24"/>
          <w:szCs w:val="24"/>
          <w:lang w:val="en-US" w:eastAsia="zh-CN"/>
        </w:rPr>
        <w:t>7  高陵服务区</w:t>
      </w:r>
      <w:r>
        <w:rPr>
          <w:rFonts w:hint="eastAsia" w:ascii="Times New Roman" w:hAnsi="Times New Roman" w:cs="Times New Roman"/>
          <w:sz w:val="24"/>
          <w:szCs w:val="24"/>
          <w:lang w:val="en-US" w:eastAsia="zh-CN"/>
        </w:rPr>
        <w:t>南</w:t>
      </w:r>
      <w:r>
        <w:rPr>
          <w:rFonts w:hint="default" w:ascii="Times New Roman" w:hAnsi="Times New Roman" w:eastAsia="宋体" w:cs="Times New Roman"/>
          <w:sz w:val="24"/>
          <w:szCs w:val="24"/>
          <w:lang w:val="en-US" w:eastAsia="zh-CN"/>
        </w:rPr>
        <w:t>加油站建设项目环境影响报告表的批复</w:t>
      </w:r>
      <w:bookmarkEnd w:id="27"/>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sz w:val="24"/>
          <w:szCs w:val="24"/>
          <w:lang w:val="en-US" w:eastAsia="zh-CN"/>
        </w:rPr>
      </w:pPr>
      <w:bookmarkStart w:id="28" w:name="_Toc3820_WPSOffice_Level1"/>
      <w:r>
        <w:rPr>
          <w:rFonts w:hint="default" w:ascii="Times New Roman" w:hAnsi="Times New Roman" w:eastAsia="宋体" w:cs="Times New Roman"/>
          <w:sz w:val="24"/>
          <w:szCs w:val="24"/>
          <w:lang w:val="en-US" w:eastAsia="zh-CN"/>
        </w:rPr>
        <w:t>附件8  危险废物处置协议</w:t>
      </w:r>
      <w:bookmarkEnd w:id="28"/>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en-US" w:eastAsia="zh-CN"/>
        </w:rPr>
      </w:pPr>
      <w:bookmarkStart w:id="29" w:name="_Toc22371_WPSOffice_Level1"/>
      <w:r>
        <w:rPr>
          <w:rFonts w:hint="default" w:ascii="Times New Roman" w:hAnsi="Times New Roman" w:eastAsia="宋体" w:cs="Times New Roman"/>
          <w:sz w:val="24"/>
          <w:szCs w:val="24"/>
          <w:lang w:val="en-US" w:eastAsia="zh-CN"/>
        </w:rPr>
        <w:t>附件9  突发环境事件应急预案备案表</w:t>
      </w:r>
      <w:bookmarkEnd w:id="29"/>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eastAsia" w:ascii="Times New Roman" w:hAnsi="Times New Roman" w:cs="Times New Roman"/>
          <w:lang w:val="en-US" w:eastAsia="zh-CN"/>
        </w:rPr>
      </w:pPr>
      <w:bookmarkStart w:id="30" w:name="_Toc31307_WPSOffice_Level1"/>
      <w:r>
        <w:rPr>
          <w:rFonts w:hint="eastAsia" w:ascii="Times New Roman" w:hAnsi="Times New Roman" w:cs="Times New Roman"/>
          <w:lang w:val="en-US" w:eastAsia="zh-CN"/>
        </w:rPr>
        <w:t>附件10  危化证</w:t>
      </w:r>
      <w:bookmarkEnd w:id="30"/>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eastAsia" w:ascii="Times New Roman" w:hAnsi="Times New Roman" w:cs="Times New Roman"/>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cs="Times New Roman"/>
          <w:lang w:val="en-US" w:eastAsia="zh-CN"/>
        </w:rPr>
      </w:pPr>
    </w:p>
    <w:p>
      <w:pPr>
        <w:pStyle w:val="2"/>
        <w:rPr>
          <w:rFonts w:hint="eastAsia" w:ascii="黑体" w:hAnsi="黑体" w:eastAsia="黑体" w:cs="黑体"/>
          <w:b w:val="0"/>
          <w:bCs w:val="0"/>
          <w:sz w:val="28"/>
          <w:szCs w:val="28"/>
        </w:rPr>
        <w:sectPr>
          <w:footerReference r:id="rId3" w:type="default"/>
          <w:pgSz w:w="11906" w:h="16838"/>
          <w:pgMar w:top="1100" w:right="1800" w:bottom="1100" w:left="1800" w:header="851" w:footer="992" w:gutter="0"/>
          <w:cols w:space="425" w:num="1"/>
          <w:docGrid w:type="lines" w:linePitch="312" w:charSpace="0"/>
        </w:sectPr>
      </w:pPr>
    </w:p>
    <w:p>
      <w:pPr>
        <w:pStyle w:val="2"/>
        <w:rPr>
          <w:rFonts w:hint="eastAsia" w:ascii="黑体" w:hAnsi="黑体" w:eastAsia="黑体" w:cs="黑体"/>
          <w:b w:val="0"/>
          <w:bCs w:val="0"/>
          <w:sz w:val="28"/>
          <w:szCs w:val="28"/>
        </w:rPr>
      </w:pPr>
      <w:r>
        <w:rPr>
          <w:rFonts w:hint="eastAsia" w:ascii="黑体" w:hAnsi="黑体" w:eastAsia="黑体" w:cs="黑体"/>
          <w:b w:val="0"/>
          <w:bCs w:val="0"/>
          <w:sz w:val="28"/>
          <w:szCs w:val="28"/>
        </w:rPr>
        <w:t>表</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1</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建设项目基本情况及验收依据</w:t>
      </w:r>
    </w:p>
    <w:tbl>
      <w:tblPr>
        <w:tblStyle w:val="10"/>
        <w:tblW w:w="916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1580"/>
        <w:gridCol w:w="2356"/>
        <w:gridCol w:w="1153"/>
        <w:gridCol w:w="157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4"/>
              <w:spacing w:before="80"/>
              <w:jc w:val="center"/>
              <w:rPr>
                <w:rFonts w:hint="default" w:ascii="Times New Roman" w:hAnsi="Times New Roman" w:cs="Times New Roman"/>
                <w:sz w:val="24"/>
              </w:rPr>
            </w:pPr>
            <w:r>
              <w:rPr>
                <w:rFonts w:hint="default" w:ascii="Times New Roman" w:hAnsi="Times New Roman" w:cs="Times New Roman"/>
                <w:sz w:val="24"/>
              </w:rPr>
              <w:t>建设项目名称</w:t>
            </w:r>
          </w:p>
        </w:tc>
        <w:tc>
          <w:tcPr>
            <w:tcW w:w="7643" w:type="dxa"/>
            <w:gridSpan w:val="5"/>
            <w:vAlign w:val="center"/>
          </w:tcPr>
          <w:p>
            <w:pPr>
              <w:pStyle w:val="14"/>
              <w:spacing w:before="80"/>
              <w:ind w:left="163" w:right="155"/>
              <w:jc w:val="center"/>
              <w:rPr>
                <w:rFonts w:hint="default" w:ascii="Times New Roman" w:hAnsi="Times New Roman" w:cs="Times New Roman"/>
                <w:sz w:val="24"/>
              </w:rPr>
            </w:pPr>
            <w:r>
              <w:rPr>
                <w:rFonts w:hint="default" w:ascii="Times New Roman" w:hAnsi="Times New Roman" w:cs="Times New Roman"/>
                <w:sz w:val="24"/>
              </w:rPr>
              <w:t>陕西省石油化工工业贸易有限公司高陵服务区</w:t>
            </w:r>
            <w:r>
              <w:rPr>
                <w:rFonts w:hint="eastAsia" w:ascii="Times New Roman" w:hAnsi="Times New Roman" w:cs="Times New Roman"/>
                <w:sz w:val="24"/>
                <w:lang w:eastAsia="zh-CN"/>
              </w:rPr>
              <w:t>南</w:t>
            </w:r>
            <w:r>
              <w:rPr>
                <w:rFonts w:hint="default" w:ascii="Times New Roman" w:hAnsi="Times New Roman" w:cs="Times New Roman"/>
                <w:sz w:val="24"/>
              </w:rPr>
              <w:t>加油站建设项目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2"/>
              <w:jc w:val="center"/>
              <w:rPr>
                <w:rFonts w:hint="default" w:ascii="Times New Roman" w:hAnsi="Times New Roman" w:cs="Times New Roman"/>
                <w:sz w:val="24"/>
              </w:rPr>
            </w:pPr>
            <w:r>
              <w:rPr>
                <w:rFonts w:hint="default" w:ascii="Times New Roman" w:hAnsi="Times New Roman" w:cs="Times New Roman"/>
                <w:sz w:val="24"/>
              </w:rPr>
              <w:t>建设单位名称</w:t>
            </w:r>
          </w:p>
        </w:tc>
        <w:tc>
          <w:tcPr>
            <w:tcW w:w="7643" w:type="dxa"/>
            <w:gridSpan w:val="5"/>
            <w:vAlign w:val="center"/>
          </w:tcPr>
          <w:p>
            <w:pPr>
              <w:pStyle w:val="14"/>
              <w:spacing w:before="82"/>
              <w:jc w:val="center"/>
              <w:rPr>
                <w:rFonts w:hint="default" w:ascii="Times New Roman" w:hAnsi="Times New Roman" w:cs="Times New Roman"/>
                <w:sz w:val="24"/>
              </w:rPr>
            </w:pPr>
            <w:r>
              <w:rPr>
                <w:rFonts w:hint="default" w:ascii="Times New Roman" w:hAnsi="Times New Roman" w:eastAsia="宋体" w:cs="Times New Roman"/>
                <w:color w:val="auto"/>
                <w:sz w:val="24"/>
                <w:szCs w:val="24"/>
                <w:lang w:eastAsia="zh-CN"/>
              </w:rPr>
              <w:t>陕西省石油化工工业贸易有限公司</w:t>
            </w:r>
            <w:r>
              <w:rPr>
                <w:rFonts w:hint="default" w:ascii="Times New Roman" w:hAnsi="Times New Roman" w:cs="Times New Roman"/>
                <w:sz w:val="24"/>
              </w:rPr>
              <w:t>高陵服务区</w:t>
            </w:r>
            <w:r>
              <w:rPr>
                <w:rFonts w:hint="eastAsia" w:ascii="Times New Roman" w:hAnsi="Times New Roman" w:cs="Times New Roman"/>
                <w:sz w:val="24"/>
                <w:lang w:eastAsia="zh-CN"/>
              </w:rPr>
              <w:t>南</w:t>
            </w:r>
            <w:r>
              <w:rPr>
                <w:rFonts w:hint="default" w:ascii="Times New Roman" w:hAnsi="Times New Roman" w:cs="Times New Roman"/>
                <w:sz w:val="24"/>
              </w:rPr>
              <w:t>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517" w:type="dxa"/>
            <w:vAlign w:val="center"/>
          </w:tcPr>
          <w:p>
            <w:pPr>
              <w:pStyle w:val="14"/>
              <w:spacing w:before="81"/>
              <w:jc w:val="center"/>
              <w:rPr>
                <w:rFonts w:hint="default" w:ascii="Times New Roman" w:hAnsi="Times New Roman" w:cs="Times New Roman"/>
                <w:sz w:val="24"/>
              </w:rPr>
            </w:pPr>
            <w:r>
              <w:rPr>
                <w:rFonts w:hint="default" w:ascii="Times New Roman" w:hAnsi="Times New Roman" w:cs="Times New Roman"/>
                <w:sz w:val="24"/>
              </w:rPr>
              <w:t>建设单位性质</w:t>
            </w:r>
          </w:p>
        </w:tc>
        <w:tc>
          <w:tcPr>
            <w:tcW w:w="7643" w:type="dxa"/>
            <w:gridSpan w:val="5"/>
            <w:vAlign w:val="center"/>
          </w:tcPr>
          <w:p>
            <w:pPr>
              <w:pStyle w:val="14"/>
              <w:tabs>
                <w:tab w:val="left" w:pos="1683"/>
                <w:tab w:val="left" w:pos="2883"/>
                <w:tab w:val="left" w:pos="3843"/>
                <w:tab w:val="left" w:pos="4803"/>
              </w:tabs>
              <w:spacing w:before="81"/>
              <w:jc w:val="center"/>
              <w:rPr>
                <w:rFonts w:hint="default" w:ascii="Times New Roman" w:hAnsi="Times New Roman" w:cs="Times New Roman"/>
                <w:sz w:val="24"/>
              </w:rPr>
            </w:pPr>
            <w:r>
              <w:rPr>
                <w:rFonts w:hint="default" w:ascii="Times New Roman" w:hAnsi="Times New Roman" w:cs="Times New Roman"/>
                <w:sz w:val="24"/>
              </w:rPr>
              <w:t>新建</w:t>
            </w:r>
            <w:r>
              <w:rPr>
                <w:rFonts w:hint="default" w:ascii="Times New Roman" w:hAnsi="Times New Roman" w:eastAsia="Arial"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改扩建</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技改</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迁建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jc w:val="center"/>
        </w:trPr>
        <w:tc>
          <w:tcPr>
            <w:tcW w:w="1517" w:type="dxa"/>
            <w:vAlign w:val="center"/>
          </w:tcPr>
          <w:p>
            <w:pPr>
              <w:pStyle w:val="14"/>
              <w:jc w:val="center"/>
              <w:rPr>
                <w:rFonts w:hint="default" w:ascii="Times New Roman" w:hAnsi="Times New Roman" w:cs="Times New Roman"/>
                <w:sz w:val="24"/>
              </w:rPr>
            </w:pPr>
            <w:r>
              <w:rPr>
                <w:rFonts w:hint="default" w:ascii="Times New Roman" w:hAnsi="Times New Roman" w:eastAsia="宋体" w:cs="Times New Roman"/>
                <w:sz w:val="24"/>
              </w:rPr>
              <w:t>建设地点</w:t>
            </w:r>
          </w:p>
        </w:tc>
        <w:tc>
          <w:tcPr>
            <w:tcW w:w="7643" w:type="dxa"/>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cs="Times New Roman"/>
                <w:sz w:val="24"/>
              </w:rPr>
            </w:pPr>
            <w:r>
              <w:rPr>
                <w:rFonts w:hint="default" w:ascii="Times New Roman" w:hAnsi="Times New Roman" w:cs="Times New Roman"/>
                <w:sz w:val="24"/>
              </w:rPr>
              <w:t>西安市高陵区西咸北环线高速公路高陵服务区</w:t>
            </w:r>
            <w:r>
              <w:rPr>
                <w:rFonts w:hint="eastAsia" w:ascii="Times New Roman" w:hAnsi="Times New Roman" w:cs="Times New Roman"/>
                <w:sz w:val="24"/>
                <w:lang w:eastAsia="zh-CN"/>
              </w:rPr>
              <w:t>南</w:t>
            </w:r>
            <w:r>
              <w:rPr>
                <w:rFonts w:hint="default" w:ascii="Times New Roman" w:hAnsi="Times New Roman" w:cs="Times New Roman"/>
                <w:sz w:val="24"/>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4"/>
              <w:spacing w:before="81"/>
              <w:jc w:val="center"/>
              <w:rPr>
                <w:rFonts w:hint="default" w:ascii="Times New Roman" w:hAnsi="Times New Roman" w:cs="Times New Roman"/>
                <w:sz w:val="24"/>
              </w:rPr>
            </w:pPr>
            <w:r>
              <w:rPr>
                <w:rFonts w:hint="default" w:ascii="Times New Roman" w:hAnsi="Times New Roman" w:cs="Times New Roman"/>
                <w:sz w:val="24"/>
              </w:rPr>
              <w:t>主要产品名称</w:t>
            </w:r>
          </w:p>
        </w:tc>
        <w:tc>
          <w:tcPr>
            <w:tcW w:w="7643" w:type="dxa"/>
            <w:gridSpan w:val="5"/>
            <w:vAlign w:val="center"/>
          </w:tcPr>
          <w:p>
            <w:pPr>
              <w:pStyle w:val="14"/>
              <w:spacing w:before="81"/>
              <w:ind w:left="163" w:right="155"/>
              <w:jc w:val="center"/>
              <w:rPr>
                <w:rFonts w:hint="default" w:ascii="Times New Roman" w:hAnsi="Times New Roman" w:eastAsia="宋体" w:cs="Times New Roman"/>
                <w:sz w:val="24"/>
                <w:highlight w:val="yellow"/>
                <w:lang w:val="en-US" w:eastAsia="zh-CN"/>
              </w:rPr>
            </w:pPr>
            <w:r>
              <w:rPr>
                <w:rFonts w:hint="default" w:ascii="Times New Roman" w:hAnsi="Times New Roman" w:cs="Times New Roman"/>
                <w:sz w:val="24"/>
                <w:highlight w:val="none"/>
                <w:lang w:val="en-US" w:eastAsia="zh-CN"/>
              </w:rPr>
              <w:t>汽油、柴油零售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0"/>
              <w:jc w:val="center"/>
              <w:rPr>
                <w:rFonts w:hint="default" w:ascii="Times New Roman" w:hAnsi="Times New Roman" w:cs="Times New Roman"/>
                <w:sz w:val="24"/>
              </w:rPr>
            </w:pPr>
            <w:r>
              <w:rPr>
                <w:rFonts w:hint="default" w:ascii="Times New Roman" w:hAnsi="Times New Roman" w:cs="Times New Roman"/>
                <w:sz w:val="24"/>
              </w:rPr>
              <w:t>设计生产能力</w:t>
            </w:r>
          </w:p>
        </w:tc>
        <w:tc>
          <w:tcPr>
            <w:tcW w:w="7643" w:type="dxa"/>
            <w:gridSpan w:val="5"/>
            <w:vAlign w:val="center"/>
          </w:tcPr>
          <w:p>
            <w:pPr>
              <w:keepLines w:val="0"/>
              <w:pageBreakBefore w:val="0"/>
              <w:kinsoku/>
              <w:overflowPunct/>
              <w:topLinePunct w:val="0"/>
              <w:bidi w:val="0"/>
              <w:spacing w:line="360" w:lineRule="auto"/>
              <w:jc w:val="left"/>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项目设有税控燃油加油机6台，储罐总容积175m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汽油罐2具，柴油罐折半计算）为一级加油站。年销售1500t汽油、2500t柴油</w:t>
            </w:r>
            <w:r>
              <w:rPr>
                <w:rFonts w:hint="eastAsia" w:ascii="Times New Roman" w:hAnsi="Times New Roman" w:cs="Times New Roman"/>
                <w:sz w:val="24"/>
                <w:szCs w:val="22"/>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0"/>
              <w:jc w:val="center"/>
              <w:rPr>
                <w:rFonts w:hint="default" w:ascii="Times New Roman" w:hAnsi="Times New Roman" w:cs="Times New Roman"/>
                <w:sz w:val="24"/>
              </w:rPr>
            </w:pPr>
            <w:r>
              <w:rPr>
                <w:rFonts w:hint="default" w:ascii="Times New Roman" w:hAnsi="Times New Roman" w:cs="Times New Roman"/>
                <w:sz w:val="24"/>
              </w:rPr>
              <w:t>实际生产能力</w:t>
            </w:r>
          </w:p>
        </w:tc>
        <w:tc>
          <w:tcPr>
            <w:tcW w:w="7643" w:type="dxa"/>
            <w:gridSpan w:val="5"/>
            <w:vAlign w:val="center"/>
          </w:tcPr>
          <w:p>
            <w:pPr>
              <w:keepLines w:val="0"/>
              <w:pageBreakBefore w:val="0"/>
              <w:kinsoku/>
              <w:overflowPunct/>
              <w:topLinePunct w:val="0"/>
              <w:bidi w:val="0"/>
              <w:spacing w:line="360" w:lineRule="auto"/>
              <w:jc w:val="left"/>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项目设有税控燃油加油机6台，储罐总容积175m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汽油罐2具，柴油罐折半计算）为一级加油站。年销售1500t汽油、2500t柴油</w:t>
            </w:r>
            <w:r>
              <w:rPr>
                <w:rFonts w:hint="eastAsia" w:ascii="Times New Roman" w:hAnsi="Times New Roman" w:cs="Times New Roman"/>
                <w:sz w:val="24"/>
                <w:szCs w:val="22"/>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4"/>
              <w:spacing w:before="82"/>
              <w:ind w:left="117"/>
              <w:jc w:val="center"/>
              <w:rPr>
                <w:rFonts w:hint="default" w:ascii="Times New Roman" w:hAnsi="Times New Roman" w:cs="Times New Roman"/>
                <w:sz w:val="24"/>
              </w:rPr>
            </w:pPr>
            <w:r>
              <w:rPr>
                <w:rFonts w:hint="default" w:ascii="Times New Roman" w:hAnsi="Times New Roman" w:cs="Times New Roman"/>
                <w:sz w:val="24"/>
              </w:rPr>
              <w:t>建设项目</w:t>
            </w:r>
          </w:p>
          <w:p>
            <w:pPr>
              <w:pStyle w:val="14"/>
              <w:spacing w:before="82"/>
              <w:ind w:left="117"/>
              <w:jc w:val="center"/>
              <w:rPr>
                <w:rFonts w:hint="default" w:ascii="Times New Roman" w:hAnsi="Times New Roman" w:cs="Times New Roman"/>
                <w:sz w:val="24"/>
              </w:rPr>
            </w:pPr>
            <w:r>
              <w:rPr>
                <w:rFonts w:hint="default" w:ascii="Times New Roman" w:hAnsi="Times New Roman" w:cs="Times New Roman"/>
                <w:sz w:val="24"/>
              </w:rPr>
              <w:t>环评时间</w:t>
            </w:r>
          </w:p>
        </w:tc>
        <w:tc>
          <w:tcPr>
            <w:tcW w:w="1580" w:type="dxa"/>
            <w:vAlign w:val="center"/>
          </w:tcPr>
          <w:p>
            <w:pPr>
              <w:pStyle w:val="14"/>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201</w:t>
            </w:r>
            <w:r>
              <w:rPr>
                <w:rFonts w:hint="default" w:ascii="Times New Roman" w:hAnsi="Times New Roman" w:cs="Times New Roman"/>
                <w:sz w:val="24"/>
                <w:lang w:val="en-US" w:eastAsia="zh-CN"/>
              </w:rPr>
              <w:t>9</w:t>
            </w:r>
            <w:r>
              <w:rPr>
                <w:rFonts w:hint="default" w:ascii="Times New Roman" w:hAnsi="Times New Roman" w:cs="Times New Roman"/>
                <w:sz w:val="24"/>
              </w:rPr>
              <w:t>年</w:t>
            </w:r>
            <w:r>
              <w:rPr>
                <w:rFonts w:hint="default" w:ascii="Times New Roman" w:hAnsi="Times New Roman" w:cs="Times New Roman"/>
                <w:sz w:val="24"/>
                <w:lang w:val="en-US" w:eastAsia="zh-CN"/>
              </w:rPr>
              <w:t>9</w:t>
            </w:r>
            <w:r>
              <w:rPr>
                <w:rFonts w:hint="default" w:ascii="Times New Roman" w:hAnsi="Times New Roman" w:cs="Times New Roman"/>
                <w:sz w:val="24"/>
              </w:rPr>
              <w:t>月</w:t>
            </w:r>
          </w:p>
        </w:tc>
        <w:tc>
          <w:tcPr>
            <w:tcW w:w="2356" w:type="dxa"/>
            <w:vAlign w:val="center"/>
          </w:tcPr>
          <w:p>
            <w:pPr>
              <w:pStyle w:val="14"/>
              <w:spacing w:before="82"/>
              <w:ind w:left="103" w:right="97"/>
              <w:jc w:val="center"/>
              <w:rPr>
                <w:rFonts w:hint="default" w:ascii="Times New Roman" w:hAnsi="Times New Roman" w:cs="Times New Roman"/>
                <w:sz w:val="24"/>
              </w:rPr>
            </w:pPr>
            <w:r>
              <w:rPr>
                <w:rFonts w:hint="default" w:ascii="Times New Roman" w:hAnsi="Times New Roman" w:cs="Times New Roman"/>
                <w:sz w:val="24"/>
              </w:rPr>
              <w:t>开工建设时间</w:t>
            </w:r>
          </w:p>
        </w:tc>
        <w:tc>
          <w:tcPr>
            <w:tcW w:w="3707" w:type="dxa"/>
            <w:gridSpan w:val="3"/>
            <w:vAlign w:val="center"/>
          </w:tcPr>
          <w:p>
            <w:pPr>
              <w:pStyle w:val="14"/>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2018</w:t>
            </w:r>
            <w:r>
              <w:rPr>
                <w:rFonts w:hint="default" w:ascii="Times New Roman" w:hAnsi="Times New Roman" w:cs="Times New Roman"/>
                <w:sz w:val="24"/>
              </w:rPr>
              <w:t>年</w:t>
            </w:r>
            <w:r>
              <w:rPr>
                <w:rFonts w:hint="default" w:ascii="Times New Roman" w:hAnsi="Times New Roman" w:eastAsia="Times New Roman" w:cs="Times New Roman"/>
                <w:sz w:val="24"/>
              </w:rPr>
              <w:t>0</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1"/>
              <w:jc w:val="center"/>
              <w:rPr>
                <w:rFonts w:hint="default" w:ascii="Times New Roman" w:hAnsi="Times New Roman" w:cs="Times New Roman"/>
                <w:sz w:val="24"/>
              </w:rPr>
            </w:pPr>
            <w:r>
              <w:rPr>
                <w:rFonts w:hint="default" w:ascii="Times New Roman" w:hAnsi="Times New Roman" w:cs="Times New Roman"/>
                <w:sz w:val="24"/>
              </w:rPr>
              <w:t>调试时间</w:t>
            </w:r>
          </w:p>
        </w:tc>
        <w:tc>
          <w:tcPr>
            <w:tcW w:w="1580" w:type="dxa"/>
            <w:vAlign w:val="center"/>
          </w:tcPr>
          <w:p>
            <w:pPr>
              <w:pStyle w:val="14"/>
              <w:spacing w:before="95"/>
              <w:ind w:left="7"/>
              <w:jc w:val="center"/>
              <w:rPr>
                <w:rFonts w:hint="default" w:ascii="Times New Roman" w:hAnsi="Times New Roman" w:cs="Times New Roman"/>
                <w:sz w:val="24"/>
              </w:rPr>
            </w:pPr>
            <w:r>
              <w:rPr>
                <w:rFonts w:hint="default" w:ascii="Times New Roman" w:hAnsi="Times New Roman" w:cs="Times New Roman"/>
                <w:sz w:val="24"/>
              </w:rPr>
              <w:t>/</w:t>
            </w:r>
          </w:p>
        </w:tc>
        <w:tc>
          <w:tcPr>
            <w:tcW w:w="2356" w:type="dxa"/>
            <w:vAlign w:val="center"/>
          </w:tcPr>
          <w:p>
            <w:pPr>
              <w:pStyle w:val="14"/>
              <w:spacing w:before="81"/>
              <w:ind w:left="103" w:right="97"/>
              <w:jc w:val="center"/>
              <w:rPr>
                <w:rFonts w:hint="default" w:ascii="Times New Roman" w:hAnsi="Times New Roman" w:cs="Times New Roman"/>
                <w:sz w:val="24"/>
              </w:rPr>
            </w:pPr>
            <w:r>
              <w:rPr>
                <w:rFonts w:hint="default" w:ascii="Times New Roman" w:hAnsi="Times New Roman" w:cs="Times New Roman"/>
                <w:sz w:val="24"/>
              </w:rPr>
              <w:t>验收监测时间</w:t>
            </w:r>
          </w:p>
        </w:tc>
        <w:tc>
          <w:tcPr>
            <w:tcW w:w="3707" w:type="dxa"/>
            <w:gridSpan w:val="3"/>
            <w:vAlign w:val="center"/>
          </w:tcPr>
          <w:p>
            <w:pPr>
              <w:pStyle w:val="14"/>
              <w:spacing w:before="81"/>
              <w:ind w:left="110"/>
              <w:jc w:val="center"/>
              <w:rPr>
                <w:rFonts w:hint="default" w:ascii="Times New Roman" w:hAnsi="Times New Roman" w:eastAsia="宋体" w:cs="Times New Roman"/>
                <w:sz w:val="24"/>
                <w:highlight w:val="yellow"/>
                <w:lang w:val="en-US" w:eastAsia="zh-CN"/>
              </w:rPr>
            </w:pPr>
            <w:r>
              <w:rPr>
                <w:rFonts w:hint="eastAsia" w:ascii="Times New Roman" w:hAnsi="Times New Roman" w:cs="Times New Roman"/>
                <w:sz w:val="24"/>
                <w:highlight w:val="none"/>
                <w:lang w:val="en-US" w:eastAsia="zh-CN"/>
              </w:rPr>
              <w:t>2019年10月9日-10月10日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17" w:type="dxa"/>
            <w:vAlign w:val="center"/>
          </w:tcPr>
          <w:p>
            <w:pPr>
              <w:pStyle w:val="14"/>
              <w:spacing w:before="81"/>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4"/>
              <w:spacing w:before="160"/>
              <w:jc w:val="center"/>
              <w:rPr>
                <w:rFonts w:hint="default" w:ascii="Times New Roman" w:hAnsi="Times New Roman" w:cs="Times New Roman"/>
                <w:sz w:val="24"/>
              </w:rPr>
            </w:pPr>
            <w:r>
              <w:rPr>
                <w:rFonts w:hint="default" w:ascii="Times New Roman" w:hAnsi="Times New Roman" w:cs="Times New Roman"/>
                <w:sz w:val="24"/>
              </w:rPr>
              <w:t>审批部门</w:t>
            </w:r>
          </w:p>
        </w:tc>
        <w:tc>
          <w:tcPr>
            <w:tcW w:w="1580" w:type="dxa"/>
            <w:vAlign w:val="center"/>
          </w:tcPr>
          <w:p>
            <w:pPr>
              <w:pStyle w:val="14"/>
              <w:spacing w:before="81"/>
              <w:ind w:left="151" w:right="144"/>
              <w:jc w:val="center"/>
              <w:rPr>
                <w:rFonts w:hint="default" w:ascii="Times New Roman" w:hAnsi="Times New Roman" w:cs="Times New Roman"/>
                <w:sz w:val="24"/>
              </w:rPr>
            </w:pPr>
            <w:r>
              <w:rPr>
                <w:rFonts w:hint="default" w:ascii="Times New Roman" w:hAnsi="Times New Roman" w:cs="Times New Roman"/>
                <w:sz w:val="24"/>
              </w:rPr>
              <w:t>西安市</w:t>
            </w:r>
            <w:r>
              <w:rPr>
                <w:rFonts w:hint="eastAsia" w:ascii="Times New Roman" w:hAnsi="Times New Roman" w:cs="Times New Roman"/>
                <w:sz w:val="24"/>
                <w:lang w:eastAsia="zh-CN"/>
              </w:rPr>
              <w:t>生态环境局</w:t>
            </w:r>
            <w:r>
              <w:rPr>
                <w:rFonts w:hint="default" w:ascii="Times New Roman" w:hAnsi="Times New Roman" w:cs="Times New Roman"/>
                <w:sz w:val="24"/>
              </w:rPr>
              <w:t>高陵分局</w:t>
            </w:r>
          </w:p>
        </w:tc>
        <w:tc>
          <w:tcPr>
            <w:tcW w:w="2356" w:type="dxa"/>
            <w:vAlign w:val="center"/>
          </w:tcPr>
          <w:p>
            <w:pPr>
              <w:pStyle w:val="14"/>
              <w:spacing w:before="81"/>
              <w:ind w:left="243"/>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4"/>
              <w:spacing w:before="160"/>
              <w:ind w:left="363"/>
              <w:jc w:val="center"/>
              <w:rPr>
                <w:rFonts w:hint="default" w:ascii="Times New Roman" w:hAnsi="Times New Roman" w:cs="Times New Roman"/>
                <w:sz w:val="24"/>
              </w:rPr>
            </w:pPr>
            <w:r>
              <w:rPr>
                <w:rFonts w:hint="default" w:ascii="Times New Roman" w:hAnsi="Times New Roman" w:cs="Times New Roman"/>
                <w:sz w:val="24"/>
              </w:rPr>
              <w:t>编制单位</w:t>
            </w:r>
          </w:p>
        </w:tc>
        <w:tc>
          <w:tcPr>
            <w:tcW w:w="3707" w:type="dxa"/>
            <w:gridSpan w:val="3"/>
            <w:vAlign w:val="center"/>
          </w:tcPr>
          <w:p>
            <w:pPr>
              <w:pStyle w:val="14"/>
              <w:spacing w:before="160"/>
              <w:ind w:right="217"/>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宝鸡博源环境科技有限公司西安分公司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17" w:type="dxa"/>
            <w:vAlign w:val="center"/>
          </w:tcPr>
          <w:p>
            <w:pPr>
              <w:pStyle w:val="14"/>
              <w:jc w:val="center"/>
              <w:rPr>
                <w:rFonts w:hint="default" w:ascii="Times New Roman" w:hAnsi="Times New Roman" w:cs="Times New Roman"/>
                <w:sz w:val="24"/>
              </w:rPr>
            </w:pPr>
            <w:r>
              <w:rPr>
                <w:rFonts w:hint="default" w:ascii="Times New Roman" w:hAnsi="Times New Roman" w:cs="Times New Roman"/>
                <w:sz w:val="24"/>
              </w:rPr>
              <w:t>环保设施</w:t>
            </w:r>
          </w:p>
          <w:p>
            <w:pPr>
              <w:pStyle w:val="14"/>
              <w:jc w:val="center"/>
              <w:rPr>
                <w:rFonts w:hint="default" w:ascii="Times New Roman" w:hAnsi="Times New Roman" w:cs="Times New Roman"/>
                <w:sz w:val="24"/>
              </w:rPr>
            </w:pPr>
            <w:r>
              <w:rPr>
                <w:rFonts w:hint="default" w:ascii="Times New Roman" w:hAnsi="Times New Roman" w:cs="Times New Roman"/>
                <w:sz w:val="24"/>
              </w:rPr>
              <w:t>设计单位</w:t>
            </w:r>
          </w:p>
        </w:tc>
        <w:tc>
          <w:tcPr>
            <w:tcW w:w="1580" w:type="dxa"/>
            <w:vAlign w:val="center"/>
          </w:tcPr>
          <w:p>
            <w:pPr>
              <w:pStyle w:val="14"/>
              <w:spacing w:before="160"/>
              <w:ind w:left="151" w:right="144"/>
              <w:jc w:val="center"/>
              <w:rPr>
                <w:rFonts w:hint="default" w:ascii="Times New Roman" w:hAnsi="Times New Roman" w:cs="Times New Roman"/>
                <w:sz w:val="24"/>
              </w:rPr>
            </w:pPr>
            <w:r>
              <w:rPr>
                <w:rFonts w:hint="default" w:ascii="Times New Roman" w:hAnsi="Times New Roman" w:cs="Times New Roman"/>
                <w:sz w:val="24"/>
              </w:rPr>
              <w:t>中北工程设计咨询有限公司</w:t>
            </w:r>
          </w:p>
        </w:tc>
        <w:tc>
          <w:tcPr>
            <w:tcW w:w="2356" w:type="dxa"/>
            <w:vAlign w:val="center"/>
          </w:tcPr>
          <w:p>
            <w:pPr>
              <w:pStyle w:val="14"/>
              <w:spacing w:before="81"/>
              <w:ind w:left="363"/>
              <w:jc w:val="center"/>
              <w:rPr>
                <w:rFonts w:hint="default" w:ascii="Times New Roman" w:hAnsi="Times New Roman" w:cs="Times New Roman"/>
                <w:sz w:val="24"/>
              </w:rPr>
            </w:pPr>
            <w:r>
              <w:rPr>
                <w:rFonts w:hint="default" w:ascii="Times New Roman" w:hAnsi="Times New Roman" w:cs="Times New Roman"/>
                <w:sz w:val="24"/>
              </w:rPr>
              <w:t>环保设施</w:t>
            </w:r>
          </w:p>
          <w:p>
            <w:pPr>
              <w:pStyle w:val="14"/>
              <w:spacing w:before="160"/>
              <w:ind w:left="363"/>
              <w:jc w:val="center"/>
              <w:rPr>
                <w:rFonts w:hint="default" w:ascii="Times New Roman" w:hAnsi="Times New Roman" w:cs="Times New Roman"/>
                <w:sz w:val="24"/>
              </w:rPr>
            </w:pPr>
            <w:r>
              <w:rPr>
                <w:rFonts w:hint="default" w:ascii="Times New Roman" w:hAnsi="Times New Roman" w:cs="Times New Roman"/>
                <w:sz w:val="24"/>
              </w:rPr>
              <w:t>施工单位</w:t>
            </w:r>
          </w:p>
        </w:tc>
        <w:tc>
          <w:tcPr>
            <w:tcW w:w="3707" w:type="dxa"/>
            <w:gridSpan w:val="3"/>
            <w:vAlign w:val="center"/>
          </w:tcPr>
          <w:p>
            <w:pPr>
              <w:pStyle w:val="14"/>
              <w:jc w:val="center"/>
              <w:rPr>
                <w:rFonts w:hint="default" w:ascii="Times New Roman" w:hAnsi="Times New Roman" w:cs="Times New Roman"/>
                <w:sz w:val="24"/>
              </w:rPr>
            </w:pPr>
            <w:r>
              <w:rPr>
                <w:rFonts w:hint="default" w:ascii="Times New Roman" w:hAnsi="Times New Roman" w:cs="Times New Roman"/>
                <w:sz w:val="24"/>
              </w:rPr>
              <w:t>陕西宇泰建筑有限公司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投资总概算</w:t>
            </w:r>
            <w:r>
              <w:rPr>
                <w:rFonts w:hint="default" w:ascii="Times New Roman" w:hAnsi="Times New Roman" w:cs="Times New Roman"/>
                <w:sz w:val="24"/>
              </w:rPr>
              <w:t>（万元）</w:t>
            </w:r>
          </w:p>
        </w:tc>
        <w:tc>
          <w:tcPr>
            <w:tcW w:w="1580" w:type="dxa"/>
            <w:vAlign w:val="center"/>
          </w:tcPr>
          <w:p>
            <w:pPr>
              <w:pStyle w:val="14"/>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567.75</w:t>
            </w:r>
          </w:p>
        </w:tc>
        <w:tc>
          <w:tcPr>
            <w:tcW w:w="2356" w:type="dxa"/>
            <w:vAlign w:val="center"/>
          </w:tcPr>
          <w:p>
            <w:pPr>
              <w:pStyle w:val="14"/>
              <w:spacing w:before="80"/>
              <w:ind w:left="107"/>
              <w:jc w:val="center"/>
              <w:rPr>
                <w:rFonts w:hint="default" w:ascii="Times New Roman" w:hAnsi="Times New Roman" w:cs="Times New Roman"/>
                <w:sz w:val="24"/>
              </w:rPr>
            </w:pPr>
            <w:r>
              <w:rPr>
                <w:rFonts w:hint="default" w:ascii="Times New Roman" w:hAnsi="Times New Roman" w:cs="Times New Roman"/>
                <w:sz w:val="24"/>
              </w:rPr>
              <w:t>环保投资总概算</w:t>
            </w:r>
          </w:p>
          <w:p>
            <w:pPr>
              <w:pStyle w:val="14"/>
              <w:spacing w:before="80"/>
              <w:ind w:left="107"/>
              <w:jc w:val="center"/>
              <w:rPr>
                <w:rFonts w:hint="default" w:ascii="Times New Roman" w:hAnsi="Times New Roman" w:cs="Times New Roman"/>
                <w:sz w:val="24"/>
              </w:rPr>
            </w:pPr>
            <w:r>
              <w:rPr>
                <w:rFonts w:hint="default" w:ascii="Times New Roman" w:hAnsi="Times New Roman" w:cs="Times New Roman"/>
                <w:sz w:val="24"/>
              </w:rPr>
              <w:t>（万元）</w:t>
            </w:r>
          </w:p>
        </w:tc>
        <w:tc>
          <w:tcPr>
            <w:tcW w:w="1153" w:type="dxa"/>
            <w:vAlign w:val="center"/>
          </w:tcPr>
          <w:p>
            <w:pPr>
              <w:pStyle w:val="14"/>
              <w:spacing w:before="96"/>
              <w:ind w:firstLine="240" w:firstLineChars="10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73.1</w:t>
            </w:r>
          </w:p>
        </w:tc>
        <w:tc>
          <w:tcPr>
            <w:tcW w:w="1578" w:type="dxa"/>
            <w:vAlign w:val="center"/>
          </w:tcPr>
          <w:p>
            <w:pPr>
              <w:pStyle w:val="14"/>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976" w:type="dxa"/>
            <w:vAlign w:val="center"/>
          </w:tcPr>
          <w:p>
            <w:pPr>
              <w:pStyle w:val="14"/>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4"/>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实际总投资</w:t>
            </w:r>
            <w:r>
              <w:rPr>
                <w:rFonts w:hint="default" w:ascii="Times New Roman" w:hAnsi="Times New Roman" w:cs="Times New Roman"/>
                <w:sz w:val="24"/>
              </w:rPr>
              <w:t>（万元）</w:t>
            </w:r>
          </w:p>
        </w:tc>
        <w:tc>
          <w:tcPr>
            <w:tcW w:w="1580" w:type="dxa"/>
            <w:vAlign w:val="center"/>
          </w:tcPr>
          <w:p>
            <w:pPr>
              <w:pStyle w:val="14"/>
              <w:spacing w:before="96"/>
              <w:ind w:firstLine="240" w:firstLineChars="10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567.75</w:t>
            </w:r>
          </w:p>
        </w:tc>
        <w:tc>
          <w:tcPr>
            <w:tcW w:w="2356" w:type="dxa"/>
            <w:vAlign w:val="center"/>
          </w:tcPr>
          <w:p>
            <w:pPr>
              <w:pStyle w:val="14"/>
              <w:spacing w:before="80"/>
              <w:ind w:left="423"/>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1153" w:type="dxa"/>
            <w:vAlign w:val="center"/>
          </w:tcPr>
          <w:p>
            <w:pPr>
              <w:pStyle w:val="14"/>
              <w:spacing w:before="96"/>
              <w:ind w:firstLine="240" w:firstLineChars="100"/>
              <w:jc w:val="center"/>
              <w:rPr>
                <w:rFonts w:hint="default" w:ascii="Times New Roman" w:hAnsi="Times New Roman" w:cs="Times New Roman"/>
                <w:sz w:val="24"/>
              </w:rPr>
            </w:pPr>
            <w:r>
              <w:rPr>
                <w:rFonts w:hint="default" w:ascii="Times New Roman" w:hAnsi="Times New Roman" w:cs="Times New Roman"/>
                <w:sz w:val="24"/>
                <w:lang w:val="en-US" w:eastAsia="zh-CN"/>
              </w:rPr>
              <w:t>73.1</w:t>
            </w:r>
          </w:p>
        </w:tc>
        <w:tc>
          <w:tcPr>
            <w:tcW w:w="1578" w:type="dxa"/>
            <w:vAlign w:val="center"/>
          </w:tcPr>
          <w:p>
            <w:pPr>
              <w:pStyle w:val="14"/>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976" w:type="dxa"/>
            <w:vAlign w:val="center"/>
          </w:tcPr>
          <w:p>
            <w:pPr>
              <w:pStyle w:val="14"/>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4" w:hRule="atLeast"/>
          <w:jc w:val="center"/>
        </w:trPr>
        <w:tc>
          <w:tcPr>
            <w:tcW w:w="1517" w:type="dxa"/>
            <w:vAlign w:val="center"/>
          </w:tcPr>
          <w:p>
            <w:pPr>
              <w:pStyle w:val="14"/>
              <w:jc w:val="center"/>
              <w:rPr>
                <w:rFonts w:hint="default" w:ascii="Times New Roman" w:hAnsi="Times New Roman" w:cs="Times New Roman"/>
                <w:sz w:val="24"/>
              </w:rPr>
            </w:pPr>
            <w:r>
              <w:rPr>
                <w:rFonts w:hint="default" w:ascii="Times New Roman" w:hAnsi="Times New Roman" w:cs="Times New Roman"/>
                <w:sz w:val="24"/>
              </w:rPr>
              <w:t>验收监测</w:t>
            </w:r>
          </w:p>
          <w:p>
            <w:pPr>
              <w:pStyle w:val="14"/>
              <w:jc w:val="center"/>
              <w:rPr>
                <w:rFonts w:hint="default" w:ascii="Times New Roman" w:hAnsi="Times New Roman" w:cs="Times New Roman"/>
                <w:sz w:val="24"/>
              </w:rPr>
            </w:pPr>
            <w:r>
              <w:rPr>
                <w:rFonts w:hint="default" w:ascii="Times New Roman" w:hAnsi="Times New Roman" w:cs="Times New Roman"/>
                <w:sz w:val="24"/>
              </w:rPr>
              <w:t>依据</w:t>
            </w:r>
          </w:p>
        </w:tc>
        <w:tc>
          <w:tcPr>
            <w:tcW w:w="7643" w:type="dxa"/>
            <w:gridSpan w:val="5"/>
            <w:vAlign w:val="center"/>
          </w:tcPr>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（1）《中华人民共和国环境保护法》（2015.1.1）；</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（2）《中华人民共和国大气污染防治法》（2018.10.26）；</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（3）《中华人民共和国水污染防治法》（2018.1.1）；</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（4）《中华人民共和国环境噪声污染防治法》（2018.12.29）；</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（5）《建设项目环境保护管理条例》（2017.10.1）</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color w:val="auto"/>
                <w:sz w:val="24"/>
                <w:szCs w:val="22"/>
                <w:lang w:val="en-US" w:eastAsia="zh-CN"/>
              </w:rPr>
              <w:t>6</w:t>
            </w:r>
            <w:r>
              <w:rPr>
                <w:rFonts w:hint="default" w:ascii="Times New Roman" w:hAnsi="Times New Roman" w:eastAsia="宋体" w:cs="Times New Roman"/>
                <w:b w:val="0"/>
                <w:bCs w:val="0"/>
                <w:color w:val="auto"/>
                <w:sz w:val="24"/>
                <w:szCs w:val="22"/>
                <w:lang w:val="en-US" w:eastAsia="zh-CN"/>
              </w:rPr>
              <w:t>）《关于规范建设单位自主开展建设项目竣工环境保护验收的通知（征求意见稿）》（环办环评函[2017]1235号）；</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color w:val="auto"/>
                <w:sz w:val="24"/>
                <w:szCs w:val="22"/>
                <w:lang w:val="en-US" w:eastAsia="zh-CN"/>
              </w:rPr>
              <w:t>7</w:t>
            </w:r>
            <w:r>
              <w:rPr>
                <w:rFonts w:hint="default" w:ascii="Times New Roman" w:hAnsi="Times New Roman" w:eastAsia="宋体" w:cs="Times New Roman"/>
                <w:b w:val="0"/>
                <w:bCs w:val="0"/>
                <w:color w:val="auto"/>
                <w:sz w:val="24"/>
                <w:szCs w:val="22"/>
                <w:lang w:val="en-US" w:eastAsia="zh-CN"/>
              </w:rPr>
              <w:t>）《关于印发建设项目竣工环境保护验收现场检查及审查要点的通知》（环办〔2015〕113号）；</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color w:val="auto"/>
                <w:sz w:val="24"/>
                <w:szCs w:val="22"/>
                <w:lang w:val="en-US" w:eastAsia="zh-CN"/>
              </w:rPr>
              <w:t>8</w:t>
            </w:r>
            <w:r>
              <w:rPr>
                <w:rFonts w:hint="default" w:ascii="Times New Roman" w:hAnsi="Times New Roman" w:eastAsia="宋体" w:cs="Times New Roman"/>
                <w:b w:val="0"/>
                <w:bCs w:val="0"/>
                <w:color w:val="auto"/>
                <w:sz w:val="24"/>
                <w:szCs w:val="22"/>
                <w:lang w:val="en-US" w:eastAsia="zh-CN"/>
              </w:rPr>
              <w:t>）《建设项目竣工环境保护验收技术指南 污染影响类》（2018.5.16）；</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color w:val="auto"/>
                <w:sz w:val="24"/>
                <w:szCs w:val="22"/>
                <w:lang w:val="en-US" w:eastAsia="zh-CN"/>
              </w:rPr>
              <w:t>9</w:t>
            </w:r>
            <w:r>
              <w:rPr>
                <w:rFonts w:hint="default" w:ascii="Times New Roman" w:hAnsi="Times New Roman" w:eastAsia="宋体" w:cs="Times New Roman"/>
                <w:b w:val="0"/>
                <w:bCs w:val="0"/>
                <w:color w:val="auto"/>
                <w:sz w:val="24"/>
                <w:szCs w:val="22"/>
                <w:lang w:val="en-US" w:eastAsia="zh-CN"/>
              </w:rPr>
              <w:t>）《加油站地下水污染防治技术指南（试行）》（2017.3.9）</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highlight w:val="none"/>
                <w:lang w:val="en-US" w:eastAsia="zh-CN"/>
              </w:rPr>
            </w:pPr>
            <w:r>
              <w:rPr>
                <w:rFonts w:hint="eastAsia" w:ascii="Times New Roman" w:hAnsi="Times New Roman" w:cs="Times New Roman"/>
                <w:b w:val="0"/>
                <w:bCs w:val="0"/>
                <w:color w:val="auto"/>
                <w:sz w:val="24"/>
                <w:szCs w:val="22"/>
                <w:highlight w:val="none"/>
                <w:lang w:val="en-US" w:eastAsia="zh-CN"/>
              </w:rPr>
              <w:t>（10）《关于进一步规范适用环境行政处罚自由裁量权的指导意见》（环执法〔2019〕42号）</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11</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》（长安大学，20</w:t>
            </w:r>
            <w:r>
              <w:rPr>
                <w:rFonts w:hint="default" w:ascii="Times New Roman" w:hAnsi="Times New Roman" w:eastAsia="宋体" w:cs="Times New Roman"/>
                <w:color w:val="000000"/>
                <w:sz w:val="24"/>
                <w:szCs w:val="24"/>
                <w:highlight w:val="none"/>
                <w:lang w:val="en-US" w:eastAsia="zh-CN"/>
              </w:rPr>
              <w:t>11</w:t>
            </w:r>
            <w:r>
              <w:rPr>
                <w:rFonts w:hint="default" w:ascii="Times New Roman" w:hAnsi="Times New Roman" w:eastAsia="宋体" w:cs="Times New Roman"/>
                <w:color w:val="000000"/>
                <w:sz w:val="24"/>
                <w:szCs w:val="24"/>
                <w:highlight w:val="none"/>
                <w:lang w:eastAsia="zh-CN"/>
              </w:rPr>
              <w:t>年</w:t>
            </w:r>
            <w:r>
              <w:rPr>
                <w:rFonts w:hint="default"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eastAsia="zh-CN"/>
              </w:rPr>
              <w:t>月）；</w:t>
            </w:r>
          </w:p>
          <w:p>
            <w:pPr>
              <w:spacing w:after="0" w:line="360" w:lineRule="auto"/>
              <w:ind w:firstLine="0" w:firstLineChars="0"/>
              <w:jc w:val="both"/>
              <w:rPr>
                <w:rFonts w:hint="default" w:ascii="Times New Roman" w:hAnsi="Times New Roman" w:eastAsia="宋体" w:cstheme="minorBidi"/>
                <w:sz w:val="28"/>
                <w:szCs w:val="22"/>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12</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eastAsia="zh-CN"/>
              </w:rPr>
              <w:t>的批复</w:t>
            </w:r>
            <w:r>
              <w:rPr>
                <w:rFonts w:hint="default" w:ascii="Times New Roman" w:hAnsi="Times New Roman" w:eastAsia="宋体" w:cs="Times New Roman"/>
                <w:color w:val="000000"/>
                <w:sz w:val="24"/>
                <w:highlight w:val="none"/>
                <w:lang w:val="en-US" w:eastAsia="zh-CN"/>
              </w:rPr>
              <w:t>（陕环批复〔2011〕408号）</w:t>
            </w:r>
            <w:r>
              <w:rPr>
                <w:rFonts w:hint="default" w:ascii="Times New Roman" w:hAnsi="Times New Roman" w:eastAsia="宋体" w:cs="Times New Roman"/>
                <w:color w:val="000000"/>
                <w:sz w:val="24"/>
                <w:szCs w:val="24"/>
                <w:highlight w:val="none"/>
                <w:lang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（13）</w:t>
            </w:r>
            <w:r>
              <w:rPr>
                <w:rFonts w:hint="default" w:ascii="Times New Roman" w:hAnsi="Times New Roman" w:cs="Times New Roman" w:eastAsiaTheme="minorEastAsia"/>
                <w:bCs/>
                <w:kern w:val="2"/>
                <w:sz w:val="24"/>
                <w:szCs w:val="24"/>
                <w:highlight w:val="none"/>
                <w:lang w:val="en-US" w:eastAsia="zh-CN"/>
              </w:rPr>
              <w:t>《西咸北环线高速公路项目（重大变动）环境影响报告书》的批复</w:t>
            </w:r>
            <w:r>
              <w:rPr>
                <w:rFonts w:hint="eastAsia"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[2018]404号批复</w:t>
            </w:r>
            <w:r>
              <w:rPr>
                <w:rFonts w:hint="eastAsia" w:ascii="Times New Roman" w:hAnsi="Times New Roman" w:cs="Times New Roman" w:eastAsiaTheme="minorEastAsia"/>
                <w:bCs/>
                <w:kern w:val="2"/>
                <w:sz w:val="24"/>
                <w:szCs w:val="24"/>
                <w:highlight w:val="none"/>
                <w:lang w:val="en-US"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（14）</w:t>
            </w:r>
            <w:r>
              <w:rPr>
                <w:rFonts w:hint="default" w:ascii="Times New Roman" w:hAnsi="Times New Roman" w:cs="Times New Roman" w:eastAsiaTheme="minorEastAsia"/>
                <w:bCs/>
                <w:kern w:val="2"/>
                <w:sz w:val="24"/>
                <w:szCs w:val="24"/>
                <w:highlight w:val="none"/>
                <w:lang w:val="en-US" w:eastAsia="zh-CN"/>
              </w:rPr>
              <w:t>《高陵服务区</w:t>
            </w:r>
            <w:r>
              <w:rPr>
                <w:rFonts w:hint="eastAsia" w:ascii="Times New Roman" w:hAnsi="Times New Roman" w:cs="Times New Roman" w:eastAsiaTheme="minorEastAsia"/>
                <w:bCs/>
                <w:kern w:val="2"/>
                <w:sz w:val="24"/>
                <w:szCs w:val="24"/>
                <w:highlight w:val="none"/>
                <w:lang w:val="en-US" w:eastAsia="zh-CN"/>
              </w:rPr>
              <w:t>南</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（宝鸡博源环境科技有限公司西安分公司，2019年8月）；</w:t>
            </w:r>
          </w:p>
          <w:p>
            <w:pPr>
              <w:keepLines w:val="0"/>
              <w:pageBreakBefore w:val="0"/>
              <w:kinsoku/>
              <w:overflowPunct/>
              <w:topLinePunct w:val="0"/>
              <w:bidi w:val="0"/>
              <w:spacing w:line="360" w:lineRule="auto"/>
              <w:jc w:val="left"/>
              <w:outlineLvl w:val="9"/>
              <w:rPr>
                <w:rFonts w:hint="eastAsia" w:ascii="Times New Roman" w:hAnsi="Times New Roman" w:eastAsia="宋体" w:cs="Times New Roman"/>
                <w:lang w:val="en-US"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12</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《高陵服务区</w:t>
            </w:r>
            <w:r>
              <w:rPr>
                <w:rFonts w:hint="eastAsia" w:ascii="Times New Roman" w:hAnsi="Times New Roman" w:cs="Times New Roman" w:eastAsiaTheme="minorEastAsia"/>
                <w:bCs/>
                <w:kern w:val="2"/>
                <w:sz w:val="24"/>
                <w:szCs w:val="24"/>
                <w:highlight w:val="none"/>
                <w:lang w:val="en-US" w:eastAsia="zh-CN"/>
              </w:rPr>
              <w:t>南</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的批复</w:t>
            </w:r>
            <w:r>
              <w:rPr>
                <w:rFonts w:hint="default" w:ascii="Times New Roman" w:hAnsi="Times New Roman" w:cs="Times New Roman" w:eastAsiaTheme="minorEastAsia"/>
                <w:bCs/>
                <w:kern w:val="2"/>
                <w:sz w:val="24"/>
                <w:szCs w:val="24"/>
                <w:highlight w:val="none"/>
                <w:lang w:val="en-US" w:eastAsia="zh-CN"/>
              </w:rPr>
              <w:t>（市环高[2019]7</w:t>
            </w:r>
            <w:r>
              <w:rPr>
                <w:rFonts w:hint="eastAsia" w:ascii="Times New Roman" w:hAnsi="Times New Roman" w:cs="Times New Roman" w:eastAsiaTheme="minorEastAsia"/>
                <w:bCs/>
                <w:kern w:val="2"/>
                <w:sz w:val="24"/>
                <w:szCs w:val="24"/>
                <w:highlight w:val="none"/>
                <w:lang w:val="en-US" w:eastAsia="zh-CN"/>
              </w:rPr>
              <w:t>4</w:t>
            </w:r>
            <w:r>
              <w:rPr>
                <w:rFonts w:hint="default" w:ascii="Times New Roman" w:hAnsi="Times New Roman" w:cs="Times New Roman" w:eastAsiaTheme="minorEastAsia"/>
                <w:bCs/>
                <w:kern w:val="2"/>
                <w:sz w:val="24"/>
                <w:szCs w:val="24"/>
                <w:highlight w:val="none"/>
                <w:lang w:val="en-US" w:eastAsia="zh-CN"/>
              </w:rPr>
              <w:t>号）的批复</w:t>
            </w:r>
            <w:r>
              <w:rPr>
                <w:rFonts w:hint="eastAsia" w:ascii="Times New Roman" w:hAnsi="Times New Roman" w:cs="Times New Roman"/>
                <w:lang w:eastAsia="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）建设单位竣工验收委托函；</w:t>
            </w:r>
          </w:p>
          <w:p>
            <w:pPr>
              <w:keepLines w:val="0"/>
              <w:pageBreakBefore w:val="0"/>
              <w:kinsoku/>
              <w:overflowPunct/>
              <w:topLinePunct w:val="0"/>
              <w:bidi w:val="0"/>
              <w:spacing w:line="360" w:lineRule="auto"/>
              <w:jc w:val="left"/>
              <w:outlineLvl w:val="9"/>
              <w:rPr>
                <w:rFonts w:hint="default" w:ascii="Times New Roman" w:hAnsi="Times New Roman" w:cs="Times New Roman"/>
                <w:sz w:val="24"/>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）其他工程相关技术文件。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1" w:hRule="atLeast"/>
          <w:jc w:val="center"/>
        </w:trPr>
        <w:tc>
          <w:tcPr>
            <w:tcW w:w="1517" w:type="dxa"/>
            <w:vAlign w:val="center"/>
          </w:tcPr>
          <w:p>
            <w:pPr>
              <w:pStyle w:val="14"/>
              <w:keepNext w:val="0"/>
              <w:keepLines w:val="0"/>
              <w:pageBreakBefore w:val="0"/>
              <w:widowControl w:val="0"/>
              <w:kinsoku/>
              <w:wordWrap/>
              <w:overflowPunct/>
              <w:topLinePunct w:val="0"/>
              <w:autoSpaceDE w:val="0"/>
              <w:autoSpaceDN w:val="0"/>
              <w:bidi w:val="0"/>
              <w:adjustRightInd/>
              <w:snapToGrid/>
              <w:spacing w:line="365" w:lineRule="auto"/>
              <w:jc w:val="center"/>
              <w:textAlignment w:val="auto"/>
              <w:rPr>
                <w:rFonts w:hint="default" w:ascii="Times New Roman" w:hAnsi="Times New Roman" w:cs="Times New Roman"/>
                <w:sz w:val="24"/>
              </w:rPr>
            </w:pPr>
            <w:r>
              <w:rPr>
                <w:rFonts w:hint="default" w:ascii="Times New Roman" w:hAnsi="Times New Roman" w:eastAsia="宋体" w:cs="Times New Roman"/>
                <w:sz w:val="24"/>
                <w:szCs w:val="22"/>
                <w:lang w:val="en-US" w:eastAsia="zh-CN" w:bidi="zh-CN"/>
              </w:rPr>
              <w:t>验收监测标准 标号、级别、限值</w:t>
            </w:r>
          </w:p>
        </w:tc>
        <w:tc>
          <w:tcPr>
            <w:tcW w:w="764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default" w:ascii="Times New Roman" w:hAnsi="Times New Roman" w:cs="Times New Roman" w:eastAsiaTheme="minorEastAsia"/>
                <w:b w:val="0"/>
                <w:bCs/>
                <w:color w:val="auto"/>
                <w:sz w:val="24"/>
              </w:rPr>
            </w:pPr>
            <w:r>
              <w:rPr>
                <w:rFonts w:hint="default" w:ascii="Times New Roman" w:hAnsi="Times New Roman" w:cs="Times New Roman" w:eastAsiaTheme="minorEastAsia"/>
                <w:b w:val="0"/>
                <w:bCs/>
                <w:color w:val="auto"/>
                <w:sz w:val="24"/>
                <w:lang w:eastAsia="zh-CN"/>
              </w:rPr>
              <w:t>（</w:t>
            </w:r>
            <w:r>
              <w:rPr>
                <w:rFonts w:hint="default" w:ascii="Times New Roman" w:hAnsi="Times New Roman" w:cs="Times New Roman" w:eastAsiaTheme="minorEastAsia"/>
                <w:b w:val="0"/>
                <w:bCs/>
                <w:color w:val="auto"/>
                <w:sz w:val="24"/>
                <w:lang w:val="en-US" w:eastAsia="zh-CN"/>
              </w:rPr>
              <w:t>1</w:t>
            </w:r>
            <w:r>
              <w:rPr>
                <w:rFonts w:hint="default" w:ascii="Times New Roman" w:hAnsi="Times New Roman" w:cs="Times New Roman" w:eastAsiaTheme="minorEastAsia"/>
                <w:b w:val="0"/>
                <w:bCs/>
                <w:color w:val="auto"/>
                <w:sz w:val="24"/>
                <w:lang w:eastAsia="zh-CN"/>
              </w:rPr>
              <w:t>）</w:t>
            </w:r>
            <w:r>
              <w:rPr>
                <w:rFonts w:hint="default" w:ascii="Times New Roman" w:hAnsi="Times New Roman" w:cs="Times New Roman" w:eastAsiaTheme="minorEastAsia"/>
                <w:b w:val="0"/>
                <w:bCs/>
                <w:color w:val="auto"/>
                <w:sz w:val="24"/>
              </w:rPr>
              <w:t>废水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污水排放执行《污水综合排放标准》（GB8978—1996）中的</w:t>
            </w:r>
            <w:r>
              <w:rPr>
                <w:rFonts w:hint="default" w:ascii="Times New Roman" w:hAnsi="Times New Roman" w:cs="Times New Roman" w:eastAsiaTheme="minorEastAsia"/>
                <w:color w:val="auto"/>
                <w:sz w:val="24"/>
                <w:lang w:eastAsia="zh-CN"/>
              </w:rPr>
              <w:t>一</w:t>
            </w:r>
            <w:r>
              <w:rPr>
                <w:rFonts w:hint="default" w:ascii="Times New Roman" w:hAnsi="Times New Roman" w:cs="Times New Roman" w:eastAsiaTheme="minorEastAsia"/>
                <w:color w:val="auto"/>
                <w:sz w:val="24"/>
              </w:rPr>
              <w:t>级标准以及《</w:t>
            </w:r>
            <w:r>
              <w:rPr>
                <w:rFonts w:hint="default" w:ascii="Times New Roman" w:hAnsi="Times New Roman" w:cs="Times New Roman" w:eastAsiaTheme="minorEastAsia"/>
                <w:color w:val="auto"/>
                <w:sz w:val="24"/>
                <w:lang w:eastAsia="zh-CN"/>
              </w:rPr>
              <w:t>城市污水再生利用城市杂用水水质标准</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GB T 18920-2002</w:t>
            </w:r>
            <w:r>
              <w:rPr>
                <w:rFonts w:hint="default" w:ascii="Times New Roman" w:hAnsi="Times New Roman" w:cs="Times New Roman" w:eastAsiaTheme="minorEastAsia"/>
                <w:color w:val="auto"/>
                <w:sz w:val="24"/>
              </w:rPr>
              <w:t>）中</w:t>
            </w:r>
            <w:r>
              <w:rPr>
                <w:rFonts w:hint="default" w:ascii="Times New Roman" w:hAnsi="Times New Roman" w:cs="Times New Roman" w:eastAsiaTheme="minorEastAsia"/>
                <w:color w:val="auto"/>
                <w:sz w:val="24"/>
                <w:lang w:eastAsia="zh-CN"/>
              </w:rPr>
              <w:t>冲厕及绿化水质标准</w:t>
            </w:r>
            <w:r>
              <w:rPr>
                <w:rFonts w:hint="default" w:ascii="Times New Roman" w:hAnsi="Times New Roman" w:cs="Times New Roman" w:eastAsiaTheme="minorEastAsia"/>
                <w:color w:val="auto"/>
                <w:sz w:val="24"/>
              </w:rPr>
              <w:t>。</w:t>
            </w:r>
          </w:p>
          <w:p>
            <w:pPr>
              <w:keepLines w:val="0"/>
              <w:pageBreakBefore w:val="0"/>
              <w:kinsoku/>
              <w:overflowPunct/>
              <w:topLinePunct w:val="0"/>
              <w:bidi w:val="0"/>
              <w:spacing w:after="0" w:line="360" w:lineRule="auto"/>
              <w:jc w:val="center"/>
              <w:outlineLvl w:val="9"/>
              <w:rPr>
                <w:rFonts w:hint="default" w:ascii="Times New Roman" w:hAnsi="Times New Roman" w:cs="Times New Roman" w:eastAsiaTheme="minorEastAsia"/>
                <w:b/>
                <w:color w:val="auto"/>
                <w:sz w:val="21"/>
                <w:szCs w:val="21"/>
              </w:rPr>
            </w:pPr>
            <w:bookmarkStart w:id="31" w:name="_Toc8264_WPSOffice_Level2"/>
            <w:bookmarkStart w:id="32" w:name="_Toc1493_WPSOffice_Level2"/>
            <w:r>
              <w:rPr>
                <w:rFonts w:hint="default" w:ascii="Times New Roman" w:hAnsi="Times New Roman" w:cs="Times New Roman" w:eastAsiaTheme="minorEastAsia"/>
                <w:b/>
                <w:color w:val="auto"/>
                <w:sz w:val="21"/>
                <w:szCs w:val="21"/>
              </w:rPr>
              <w:t>表</w:t>
            </w:r>
            <w:r>
              <w:rPr>
                <w:rFonts w:hint="eastAsia" w:ascii="Times New Roman" w:hAnsi="Times New Roman" w:cs="Times New Roman" w:eastAsiaTheme="minorEastAsia"/>
                <w:b/>
                <w:color w:val="auto"/>
                <w:sz w:val="21"/>
                <w:szCs w:val="21"/>
                <w:lang w:val="en-US" w:eastAsia="zh-CN"/>
              </w:rPr>
              <w:t>1</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rPr>
              <w:t>废水排放标准（单位：mg/L）</w:t>
            </w:r>
            <w:bookmarkEnd w:id="31"/>
            <w:bookmarkEnd w:id="32"/>
          </w:p>
          <w:tbl>
            <w:tblPr>
              <w:tblStyle w:val="10"/>
              <w:tblW w:w="7603"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946"/>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限值</w:t>
                  </w:r>
                </w:p>
              </w:tc>
              <w:tc>
                <w:tcPr>
                  <w:tcW w:w="406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pH</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6~9</w:t>
                  </w:r>
                </w:p>
              </w:tc>
              <w:tc>
                <w:tcPr>
                  <w:tcW w:w="4062" w:type="dxa"/>
                  <w:vMerge w:val="restart"/>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《污水综合排放标准》</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（GB8978—1996）中的</w:t>
                  </w:r>
                  <w:r>
                    <w:rPr>
                      <w:rFonts w:hint="default" w:ascii="Times New Roman" w:hAnsi="Times New Roman" w:cs="Times New Roman" w:eastAsiaTheme="minorEastAsia"/>
                      <w:color w:val="auto"/>
                      <w:sz w:val="21"/>
                      <w:szCs w:val="21"/>
                      <w:lang w:eastAsia="zh-CN"/>
                    </w:rPr>
                    <w:t>一</w:t>
                  </w:r>
                  <w:r>
                    <w:rPr>
                      <w:rFonts w:hint="default" w:ascii="Times New Roman" w:hAnsi="Times New Roman" w:cs="Times New Roman" w:eastAsiaTheme="minorEastAsia"/>
                      <w:color w:val="auto"/>
                      <w:sz w:val="21"/>
                      <w:szCs w:val="21"/>
                    </w:rPr>
                    <w:t>级标准</w:t>
                  </w:r>
                </w:p>
                <w:p>
                  <w:pPr>
                    <w:keepNext w:val="0"/>
                    <w:keepLines w:val="0"/>
                    <w:pageBreakBefore w:val="0"/>
                    <w:widowControl w:val="0"/>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《城市污水再生利用城市杂用水水质标准》（GB T 18920-2002）中冲厕及绿化水质标准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COD</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100</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green"/>
                    </w:rPr>
                  </w:pPr>
                  <w:r>
                    <w:rPr>
                      <w:rFonts w:hint="default" w:ascii="Times New Roman" w:hAnsi="Times New Roman" w:cs="Times New Roman" w:eastAsiaTheme="minorEastAsia"/>
                      <w:color w:val="auto"/>
                      <w:sz w:val="21"/>
                      <w:szCs w:val="21"/>
                      <w:highlight w:val="none"/>
                    </w:rPr>
                    <w:t>BOD</w:t>
                  </w:r>
                  <w:r>
                    <w:rPr>
                      <w:rFonts w:hint="default" w:ascii="Times New Roman" w:hAnsi="Times New Roman" w:cs="Times New Roman" w:eastAsiaTheme="minorEastAsia"/>
                      <w:color w:val="auto"/>
                      <w:sz w:val="21"/>
                      <w:szCs w:val="21"/>
                      <w:highlight w:val="none"/>
                      <w:vertAlign w:val="subscript"/>
                    </w:rPr>
                    <w:t>5</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green"/>
                      <w:lang w:val="en-US" w:eastAsia="zh-CN"/>
                    </w:rPr>
                  </w:pPr>
                  <w:r>
                    <w:rPr>
                      <w:rFonts w:hint="default" w:ascii="Times New Roman" w:hAnsi="Times New Roman" w:cs="Times New Roman" w:eastAsiaTheme="minorEastAsia"/>
                      <w:color w:val="auto"/>
                      <w:sz w:val="21"/>
                      <w:szCs w:val="21"/>
                      <w:highlight w:val="none"/>
                      <w:lang w:val="en-US" w:eastAsia="zh-CN"/>
                    </w:rPr>
                    <w:t>10</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SS</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70</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NH</w:t>
                  </w:r>
                  <w:r>
                    <w:rPr>
                      <w:rFonts w:hint="default" w:ascii="Times New Roman" w:hAnsi="Times New Roman" w:cs="Times New Roman" w:eastAsiaTheme="minorEastAsia"/>
                      <w:color w:val="auto"/>
                      <w:sz w:val="21"/>
                      <w:szCs w:val="21"/>
                      <w:highlight w:val="none"/>
                      <w:vertAlign w:val="subscript"/>
                    </w:rPr>
                    <w:t>3</w:t>
                  </w:r>
                  <w:r>
                    <w:rPr>
                      <w:rFonts w:hint="default" w:ascii="Times New Roman" w:hAnsi="Times New Roman" w:cs="Times New Roman" w:eastAsiaTheme="minorEastAsia"/>
                      <w:color w:val="auto"/>
                      <w:sz w:val="21"/>
                      <w:szCs w:val="21"/>
                      <w:highlight w:val="none"/>
                    </w:rPr>
                    <w:t>-N</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石油类</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动植物油</w:t>
                  </w:r>
                </w:p>
              </w:tc>
              <w:tc>
                <w:tcPr>
                  <w:tcW w:w="1946"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w:t>
                  </w:r>
                </w:p>
              </w:tc>
              <w:tc>
                <w:tcPr>
                  <w:tcW w:w="4062"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bl>
          <w:p>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right="0" w:rightChars="0"/>
              <w:jc w:val="both"/>
              <w:textAlignment w:val="auto"/>
              <w:outlineLvl w:val="9"/>
              <w:rPr>
                <w:rFonts w:hint="default" w:ascii="Times New Roman" w:hAnsi="Times New Roman" w:cs="Times New Roman" w:eastAsiaTheme="minorEastAsia"/>
                <w:b w:val="0"/>
                <w:bCs/>
                <w:color w:val="auto"/>
                <w:sz w:val="24"/>
                <w:lang w:eastAsia="zh-CN"/>
              </w:rPr>
            </w:pPr>
            <w:bookmarkStart w:id="33" w:name="_Toc10925_WPSOffice_Level1"/>
            <w:bookmarkStart w:id="34" w:name="_Toc9631_WPSOffice_Level1"/>
            <w:r>
              <w:rPr>
                <w:rFonts w:hint="default" w:ascii="Times New Roman" w:hAnsi="Times New Roman" w:cs="Times New Roman" w:eastAsiaTheme="minorEastAsia"/>
                <w:b w:val="0"/>
                <w:bCs/>
                <w:color w:val="auto"/>
                <w:sz w:val="24"/>
                <w:lang w:eastAsia="zh-CN"/>
              </w:rPr>
              <w:t>（</w:t>
            </w:r>
            <w:r>
              <w:rPr>
                <w:rFonts w:hint="default" w:ascii="Times New Roman" w:hAnsi="Times New Roman" w:cs="Times New Roman" w:eastAsiaTheme="minorEastAsia"/>
                <w:b w:val="0"/>
                <w:bCs/>
                <w:color w:val="auto"/>
                <w:sz w:val="24"/>
                <w:lang w:val="en-US" w:eastAsia="zh-CN"/>
              </w:rPr>
              <w:t>2</w:t>
            </w:r>
            <w:r>
              <w:rPr>
                <w:rFonts w:hint="default" w:ascii="Times New Roman" w:hAnsi="Times New Roman" w:cs="Times New Roman" w:eastAsiaTheme="minorEastAsia"/>
                <w:b w:val="0"/>
                <w:bCs/>
                <w:color w:val="auto"/>
                <w:sz w:val="24"/>
                <w:lang w:eastAsia="zh-CN"/>
              </w:rPr>
              <w:t>）废气</w:t>
            </w:r>
            <w:bookmarkEnd w:id="33"/>
            <w:bookmarkEnd w:id="34"/>
          </w:p>
          <w:p>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站区内非甲烷总烃执行</w:t>
            </w:r>
            <w:r>
              <w:rPr>
                <w:rFonts w:hint="default" w:ascii="Times New Roman" w:hAnsi="Times New Roman" w:cs="Times New Roman" w:eastAsiaTheme="minorEastAsia"/>
                <w:sz w:val="24"/>
                <w:szCs w:val="24"/>
                <w:lang w:val="en-US" w:eastAsia="zh-CN"/>
              </w:rPr>
              <w:t>《大气污染物综合排放标准详解》</w:t>
            </w:r>
            <w:r>
              <w:rPr>
                <w:rFonts w:hint="default" w:ascii="Times New Roman" w:hAnsi="Times New Roman" w:cs="Times New Roman" w:eastAsiaTheme="minorEastAsia"/>
                <w:color w:val="auto"/>
                <w:kern w:val="0"/>
                <w:sz w:val="24"/>
              </w:rPr>
              <w:t>中</w:t>
            </w:r>
            <w:r>
              <w:rPr>
                <w:rFonts w:hint="default" w:ascii="Times New Roman" w:hAnsi="Times New Roman" w:cs="Times New Roman" w:eastAsiaTheme="minorEastAsia"/>
                <w:color w:val="auto"/>
                <w:kern w:val="0"/>
                <w:sz w:val="24"/>
                <w:lang w:val="en-US" w:eastAsia="zh-CN"/>
              </w:rPr>
              <w:t>规定，取值2.0mg/m</w:t>
            </w:r>
            <w:r>
              <w:rPr>
                <w:rFonts w:hint="default" w:ascii="Times New Roman" w:hAnsi="Times New Roman" w:cs="Times New Roman" w:eastAsiaTheme="minorEastAsia"/>
                <w:color w:val="auto"/>
                <w:kern w:val="0"/>
                <w:sz w:val="24"/>
                <w:vertAlign w:val="superscript"/>
                <w:lang w:val="en-US" w:eastAsia="zh-CN"/>
              </w:rPr>
              <w:t>3</w:t>
            </w:r>
            <w:r>
              <w:rPr>
                <w:rFonts w:hint="default" w:ascii="Times New Roman" w:hAnsi="Times New Roman" w:cs="Times New Roman" w:eastAsiaTheme="minorEastAsia"/>
                <w:color w:val="auto"/>
                <w:kern w:val="0"/>
                <w:sz w:val="24"/>
                <w:lang w:eastAsia="zh-CN"/>
              </w:rPr>
              <w:t>；油气回收装置排放口</w:t>
            </w:r>
            <w:r>
              <w:rPr>
                <w:rFonts w:hint="default" w:ascii="Times New Roman" w:hAnsi="Times New Roman" w:cs="Times New Roman" w:eastAsiaTheme="minorEastAsia"/>
                <w:color w:val="auto"/>
                <w:kern w:val="0"/>
                <w:sz w:val="24"/>
              </w:rPr>
              <w:t>非甲烷总烃执行</w:t>
            </w:r>
            <w:r>
              <w:rPr>
                <w:rFonts w:hint="default" w:ascii="Times New Roman" w:hAnsi="Times New Roman" w:cs="Times New Roman" w:eastAsiaTheme="minorEastAsia"/>
                <w:b w:val="0"/>
                <w:bCs/>
                <w:color w:val="auto"/>
                <w:sz w:val="24"/>
                <w:lang w:eastAsia="zh-CN"/>
              </w:rPr>
              <w:t>执行《加油站大气污染物排放标准》（</w:t>
            </w:r>
            <w:r>
              <w:rPr>
                <w:rFonts w:hint="default" w:ascii="Times New Roman" w:hAnsi="Times New Roman" w:cs="Times New Roman" w:eastAsiaTheme="minorEastAsia"/>
                <w:b w:val="0"/>
                <w:bCs/>
                <w:color w:val="auto"/>
                <w:sz w:val="24"/>
                <w:lang w:val="en-US" w:eastAsia="zh-CN"/>
              </w:rPr>
              <w:t>GB20957-2007</w:t>
            </w:r>
            <w:r>
              <w:rPr>
                <w:rFonts w:hint="default" w:ascii="Times New Roman" w:hAnsi="Times New Roman" w:cs="Times New Roman" w:eastAsiaTheme="minorEastAsia"/>
                <w:b w:val="0"/>
                <w:bCs/>
                <w:color w:val="auto"/>
                <w:sz w:val="24"/>
                <w:lang w:eastAsia="zh-CN"/>
              </w:rPr>
              <w:t>）。</w:t>
            </w:r>
          </w:p>
          <w:p>
            <w:pPr>
              <w:keepLines w:val="0"/>
              <w:pageBreakBefore w:val="0"/>
              <w:kinsoku/>
              <w:overflowPunct/>
              <w:topLinePunct w:val="0"/>
              <w:bidi w:val="0"/>
              <w:spacing w:after="0" w:line="360" w:lineRule="auto"/>
              <w:jc w:val="center"/>
              <w:outlineLvl w:val="9"/>
              <w:rPr>
                <w:rFonts w:hint="default" w:ascii="Times New Roman" w:hAnsi="Times New Roman" w:cs="Times New Roman" w:eastAsiaTheme="minorEastAsia"/>
                <w:b/>
                <w:color w:val="auto"/>
                <w:sz w:val="21"/>
                <w:szCs w:val="21"/>
              </w:rPr>
            </w:pPr>
            <w:bookmarkStart w:id="35" w:name="_Toc21833_WPSOffice_Level2"/>
            <w:bookmarkStart w:id="36" w:name="_Toc23397_WPSOffice_Level2"/>
            <w:r>
              <w:rPr>
                <w:rFonts w:hint="default" w:ascii="Times New Roman" w:hAnsi="Times New Roman" w:cs="Times New Roman" w:eastAsiaTheme="minorEastAsia"/>
                <w:b/>
                <w:color w:val="auto"/>
                <w:sz w:val="21"/>
                <w:szCs w:val="21"/>
              </w:rPr>
              <w:t>表</w:t>
            </w:r>
            <w:r>
              <w:rPr>
                <w:rFonts w:hint="eastAsia" w:ascii="Times New Roman" w:hAnsi="Times New Roman" w:cs="Times New Roman" w:eastAsiaTheme="minorEastAsia"/>
                <w:b/>
                <w:color w:val="auto"/>
                <w:sz w:val="21"/>
                <w:szCs w:val="21"/>
                <w:lang w:val="en-US" w:eastAsia="zh-CN"/>
              </w:rPr>
              <w:t>2</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rPr>
              <w:t>项目废气排放标准（单位：mg/m</w:t>
            </w:r>
            <w:r>
              <w:rPr>
                <w:rFonts w:hint="default" w:ascii="Times New Roman" w:hAnsi="Times New Roman" w:cs="Times New Roman" w:eastAsiaTheme="minorEastAsia"/>
                <w:b/>
                <w:color w:val="auto"/>
                <w:sz w:val="21"/>
                <w:szCs w:val="21"/>
                <w:vertAlign w:val="superscript"/>
              </w:rPr>
              <w:t>3</w:t>
            </w:r>
            <w:r>
              <w:rPr>
                <w:rFonts w:hint="default" w:ascii="Times New Roman" w:hAnsi="Times New Roman" w:cs="Times New Roman" w:eastAsiaTheme="minorEastAsia"/>
                <w:b/>
                <w:color w:val="auto"/>
                <w:sz w:val="21"/>
                <w:szCs w:val="21"/>
              </w:rPr>
              <w:t>）</w:t>
            </w:r>
            <w:bookmarkEnd w:id="35"/>
            <w:bookmarkEnd w:id="36"/>
          </w:p>
          <w:tbl>
            <w:tblPr>
              <w:tblStyle w:val="10"/>
              <w:tblW w:w="760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220"/>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3"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污染物名称</w:t>
                  </w:r>
                </w:p>
              </w:tc>
              <w:tc>
                <w:tcPr>
                  <w:tcW w:w="222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排放浓度限值</w:t>
                  </w:r>
                </w:p>
              </w:tc>
              <w:tc>
                <w:tcPr>
                  <w:tcW w:w="397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3" w:type="dxa"/>
                  <w:vMerge w:val="restart"/>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非甲烷总烃</w:t>
                  </w:r>
                </w:p>
              </w:tc>
              <w:tc>
                <w:tcPr>
                  <w:tcW w:w="222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yellow"/>
                      <w:lang w:val="en-US" w:eastAsia="zh-CN"/>
                    </w:rPr>
                  </w:pPr>
                  <w:r>
                    <w:rPr>
                      <w:rFonts w:hint="default" w:ascii="Times New Roman" w:hAnsi="Times New Roman" w:cs="Times New Roman" w:eastAsiaTheme="minorEastAsia"/>
                      <w:color w:val="auto"/>
                      <w:sz w:val="22"/>
                      <w:szCs w:val="22"/>
                      <w:highlight w:val="none"/>
                      <w:lang w:val="en-US" w:eastAsia="zh-CN"/>
                    </w:rPr>
                    <w:t>2.0</w:t>
                  </w:r>
                </w:p>
              </w:tc>
              <w:tc>
                <w:tcPr>
                  <w:tcW w:w="397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lang w:val="en-US" w:eastAsia="zh-CN"/>
                    </w:rPr>
                    <w:t>《大气污染物综合排放标准详解》</w:t>
                  </w:r>
                  <w:r>
                    <w:rPr>
                      <w:rFonts w:hint="default" w:ascii="Times New Roman" w:hAnsi="Times New Roman" w:cs="Times New Roman" w:eastAsiaTheme="minorEastAsia"/>
                      <w:color w:val="auto"/>
                      <w:kern w:val="0"/>
                      <w:sz w:val="21"/>
                      <w:szCs w:val="21"/>
                    </w:rPr>
                    <w:t>中</w:t>
                  </w:r>
                  <w:r>
                    <w:rPr>
                      <w:rFonts w:hint="default" w:ascii="Times New Roman" w:hAnsi="Times New Roman" w:cs="Times New Roman" w:eastAsiaTheme="minorEastAsia"/>
                      <w:color w:val="auto"/>
                      <w:kern w:val="0"/>
                      <w:sz w:val="21"/>
                      <w:szCs w:val="21"/>
                      <w:lang w:val="en-US" w:eastAsia="zh-CN"/>
                    </w:rPr>
                    <w:t>规定，取值2.0mg/m</w:t>
                  </w:r>
                  <w:r>
                    <w:rPr>
                      <w:rFonts w:hint="default" w:ascii="Times New Roman" w:hAnsi="Times New Roman" w:cs="Times New Roman" w:eastAsiaTheme="minorEastAsia"/>
                      <w:color w:val="auto"/>
                      <w:kern w:val="0"/>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3" w:type="dxa"/>
                  <w:vMerge w:val="continue"/>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222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25g/m</w:t>
                  </w:r>
                  <w:r>
                    <w:rPr>
                      <w:rFonts w:hint="default" w:ascii="Times New Roman" w:hAnsi="Times New Roman" w:cs="Times New Roman" w:eastAsiaTheme="minorEastAsia"/>
                      <w:color w:val="auto"/>
                      <w:sz w:val="21"/>
                      <w:szCs w:val="21"/>
                      <w:vertAlign w:val="superscript"/>
                      <w:lang w:val="en-US" w:eastAsia="zh-CN"/>
                    </w:rPr>
                    <w:t>3</w:t>
                  </w:r>
                </w:p>
              </w:tc>
              <w:tc>
                <w:tcPr>
                  <w:tcW w:w="3970"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《加油站大气污染物排放标准》（</w:t>
                  </w:r>
                  <w:r>
                    <w:rPr>
                      <w:rFonts w:hint="default" w:ascii="Times New Roman" w:hAnsi="Times New Roman" w:cs="Times New Roman" w:eastAsiaTheme="minorEastAsia"/>
                      <w:color w:val="auto"/>
                      <w:sz w:val="21"/>
                      <w:szCs w:val="21"/>
                      <w:lang w:val="en-US" w:eastAsia="zh-CN"/>
                    </w:rPr>
                    <w:t>GB20957-2007</w:t>
                  </w:r>
                  <w:r>
                    <w:rPr>
                      <w:rFonts w:hint="default" w:ascii="Times New Roman" w:hAnsi="Times New Roman" w:cs="Times New Roman" w:eastAsiaTheme="minorEastAsia"/>
                      <w:color w:val="auto"/>
                      <w:sz w:val="21"/>
                      <w:szCs w:val="21"/>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sz w:val="24"/>
              </w:rPr>
            </w:pPr>
            <w:bookmarkStart w:id="37" w:name="_Toc20433_WPSOffice_Level1"/>
            <w:bookmarkStart w:id="38" w:name="_Toc18666_WPSOffice_Level1"/>
            <w:r>
              <w:rPr>
                <w:rFonts w:hint="default" w:ascii="Times New Roman" w:hAnsi="Times New Roman" w:cs="Times New Roman" w:eastAsiaTheme="minorEastAsia"/>
                <w:b w:val="0"/>
                <w:bCs/>
                <w:color w:val="auto"/>
                <w:sz w:val="24"/>
                <w:lang w:eastAsia="zh-CN"/>
              </w:rPr>
              <w:t>（</w:t>
            </w:r>
            <w:r>
              <w:rPr>
                <w:rFonts w:hint="default" w:ascii="Times New Roman" w:hAnsi="Times New Roman" w:cs="Times New Roman" w:eastAsiaTheme="minorEastAsia"/>
                <w:b w:val="0"/>
                <w:bCs/>
                <w:color w:val="auto"/>
                <w:sz w:val="24"/>
                <w:lang w:val="en-US" w:eastAsia="zh-CN"/>
              </w:rPr>
              <w:t>3</w:t>
            </w:r>
            <w:r>
              <w:rPr>
                <w:rFonts w:hint="default" w:ascii="Times New Roman" w:hAnsi="Times New Roman" w:cs="Times New Roman" w:eastAsiaTheme="minorEastAsia"/>
                <w:b w:val="0"/>
                <w:bCs/>
                <w:color w:val="auto"/>
                <w:sz w:val="24"/>
                <w:lang w:eastAsia="zh-CN"/>
              </w:rPr>
              <w:t>）</w:t>
            </w:r>
            <w:r>
              <w:rPr>
                <w:rFonts w:hint="default" w:ascii="Times New Roman" w:hAnsi="Times New Roman" w:cs="Times New Roman" w:eastAsiaTheme="minorEastAsia"/>
                <w:b w:val="0"/>
                <w:bCs/>
                <w:color w:val="auto"/>
                <w:sz w:val="24"/>
              </w:rPr>
              <w:t>噪声排放</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站区</w:t>
            </w:r>
            <w:r>
              <w:rPr>
                <w:rFonts w:hint="eastAsia" w:ascii="Times New Roman" w:hAnsi="Times New Roman" w:cs="Times New Roman" w:eastAsiaTheme="minorEastAsia"/>
                <w:color w:val="auto"/>
                <w:sz w:val="24"/>
                <w:lang w:val="en-US" w:eastAsia="zh-CN"/>
              </w:rPr>
              <w:t>西</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北</w:t>
            </w:r>
            <w:r>
              <w:rPr>
                <w:rFonts w:hint="default" w:ascii="Times New Roman" w:hAnsi="Times New Roman" w:cs="Times New Roman" w:eastAsiaTheme="minorEastAsia"/>
                <w:color w:val="auto"/>
                <w:sz w:val="24"/>
              </w:rPr>
              <w:t>侧距离西咸北环线高速路道路红线35m范围内执行执行《工业企业厂界环境噪声排放标准》（GB12348-2008）中4</w:t>
            </w:r>
            <w:r>
              <w:rPr>
                <w:rFonts w:hint="default" w:ascii="Times New Roman" w:hAnsi="Times New Roman" w:cs="Times New Roman" w:eastAsiaTheme="minorEastAsia"/>
                <w:color w:val="auto"/>
                <w:sz w:val="24"/>
                <w:lang w:val="en-US" w:eastAsia="zh-CN"/>
              </w:rPr>
              <w:t>a</w:t>
            </w:r>
            <w:r>
              <w:rPr>
                <w:rFonts w:hint="default" w:ascii="Times New Roman" w:hAnsi="Times New Roman" w:cs="Times New Roman" w:eastAsiaTheme="minorEastAsia"/>
                <w:color w:val="auto"/>
                <w:sz w:val="24"/>
              </w:rPr>
              <w:t>类标准，其余范围内执行执行《工业企业厂界环境噪声排放标准》（GB12348-2008）中2类区标准。</w:t>
            </w:r>
          </w:p>
          <w:p>
            <w:pPr>
              <w:keepLines w:val="0"/>
              <w:pageBreakBefore w:val="0"/>
              <w:kinsoku/>
              <w:overflowPunct/>
              <w:topLinePunct w:val="0"/>
              <w:bidi w:val="0"/>
              <w:spacing w:after="0" w:line="360" w:lineRule="auto"/>
              <w:jc w:val="center"/>
              <w:outlineLvl w:val="9"/>
              <w:rPr>
                <w:rFonts w:hint="default" w:ascii="Times New Roman" w:hAnsi="Times New Roman" w:cs="Times New Roman" w:eastAsiaTheme="minorEastAsia"/>
                <w:b/>
                <w:color w:val="auto"/>
                <w:sz w:val="21"/>
                <w:szCs w:val="21"/>
              </w:rPr>
            </w:pPr>
            <w:bookmarkStart w:id="39" w:name="_Toc9670_WPSOffice_Level2"/>
            <w:bookmarkStart w:id="40" w:name="_Toc27426_WPSOffice_Level2"/>
            <w:r>
              <w:rPr>
                <w:rFonts w:hint="default" w:ascii="Times New Roman" w:hAnsi="Times New Roman" w:cs="Times New Roman" w:eastAsiaTheme="minorEastAsia"/>
                <w:b/>
                <w:color w:val="auto"/>
                <w:sz w:val="21"/>
                <w:szCs w:val="21"/>
              </w:rPr>
              <w:t>表</w:t>
            </w:r>
            <w:r>
              <w:rPr>
                <w:rFonts w:hint="eastAsia" w:ascii="Times New Roman" w:hAnsi="Times New Roman" w:cs="Times New Roman" w:eastAsiaTheme="minorEastAsia"/>
                <w:b/>
                <w:color w:val="auto"/>
                <w:sz w:val="21"/>
                <w:szCs w:val="21"/>
                <w:lang w:val="en-US" w:eastAsia="zh-CN"/>
              </w:rPr>
              <w:t>3</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rPr>
              <w:t>工业企业厂界环境噪声排放标准（dB（A））</w:t>
            </w:r>
            <w:bookmarkEnd w:id="39"/>
            <w:bookmarkEnd w:id="40"/>
          </w:p>
          <w:tbl>
            <w:tblPr>
              <w:tblStyle w:val="10"/>
              <w:tblW w:w="7603"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34"/>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3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类别</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昼间</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3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2类</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60</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35"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w:t>
                  </w:r>
                  <w:r>
                    <w:rPr>
                      <w:rFonts w:hint="eastAsia" w:ascii="Times New Roman" w:hAnsi="Times New Roman" w:cs="Times New Roman" w:eastAsiaTheme="minorEastAsia"/>
                      <w:color w:val="auto"/>
                      <w:sz w:val="21"/>
                      <w:szCs w:val="21"/>
                      <w:lang w:val="en-US" w:eastAsia="zh-CN"/>
                    </w:rPr>
                    <w:t>a</w:t>
                  </w:r>
                  <w:r>
                    <w:rPr>
                      <w:rFonts w:hint="default" w:ascii="Times New Roman" w:hAnsi="Times New Roman" w:cs="Times New Roman" w:eastAsiaTheme="minorEastAsia"/>
                      <w:color w:val="auto"/>
                      <w:sz w:val="21"/>
                      <w:szCs w:val="21"/>
                      <w:lang w:eastAsia="zh-CN"/>
                    </w:rPr>
                    <w:t>类</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70</w:t>
                  </w:r>
                </w:p>
              </w:tc>
              <w:tc>
                <w:tcPr>
                  <w:tcW w:w="2534"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55</w:t>
                  </w:r>
                </w:p>
              </w:tc>
            </w:tr>
          </w:tbl>
          <w:p>
            <w:pPr>
              <w:pStyle w:val="14"/>
              <w:numPr>
                <w:ilvl w:val="0"/>
                <w:numId w:val="0"/>
              </w:numPr>
              <w:spacing w:before="0" w:line="360" w:lineRule="auto"/>
              <w:ind w:right="-29" w:rightChars="0"/>
              <w:jc w:val="left"/>
              <w:rPr>
                <w:rFonts w:hint="default" w:ascii="Times New Roman" w:hAnsi="Times New Roman" w:cs="Times New Roman"/>
                <w:color w:val="auto"/>
                <w:sz w:val="24"/>
                <w:szCs w:val="24"/>
                <w:highlight w:val="none"/>
                <w:lang w:val="en-US" w:eastAsia="zh-CN"/>
              </w:rPr>
            </w:pPr>
          </w:p>
        </w:tc>
      </w:tr>
    </w:tbl>
    <w:p>
      <w:pPr>
        <w:rPr>
          <w:rFonts w:hint="eastAsia"/>
          <w:lang w:val="en-US" w:eastAsia="zh-CN"/>
        </w:rPr>
      </w:pPr>
      <w:r>
        <w:rPr>
          <w:rFonts w:hint="eastAsia"/>
          <w:lang w:val="en-US" w:eastAsia="zh-CN"/>
        </w:rPr>
        <w:br w:type="page"/>
      </w:r>
    </w:p>
    <w:p>
      <w:pPr>
        <w:pStyle w:val="3"/>
        <w:rPr>
          <w:rFonts w:hint="default" w:ascii="Times New Roman" w:hAnsi="Times New Roman" w:eastAsia="黑体" w:cs="Times New Roman"/>
        </w:rPr>
      </w:pPr>
      <w:r>
        <w:rPr>
          <w:rFonts w:hint="default" w:ascii="Times New Roman" w:hAnsi="Times New Roman" w:eastAsia="黑体" w:cs="Times New Roman"/>
        </w:rPr>
        <w:t>表 2 建设项目工程概况</w:t>
      </w:r>
    </w:p>
    <w:tbl>
      <w:tblPr>
        <w:tblStyle w:val="10"/>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3" w:hRule="atLeast"/>
        </w:trPr>
        <w:tc>
          <w:tcPr>
            <w:tcW w:w="8522" w:type="dxa"/>
          </w:tcPr>
          <w:p>
            <w:pPr>
              <w:pStyle w:val="14"/>
              <w:spacing w:before="80"/>
              <w:ind w:left="107"/>
              <w:rPr>
                <w:rFonts w:hint="default" w:ascii="Times New Roman" w:hAnsi="Times New Roman" w:cs="Times New Roman"/>
                <w:b/>
                <w:sz w:val="24"/>
              </w:rPr>
            </w:pPr>
            <w:r>
              <w:rPr>
                <w:rFonts w:hint="default" w:ascii="Times New Roman" w:hAnsi="Times New Roman" w:cs="Times New Roman"/>
                <w:b/>
                <w:sz w:val="24"/>
              </w:rPr>
              <w:t>一、建设项目基本情况</w:t>
            </w:r>
          </w:p>
          <w:p>
            <w:pPr>
              <w:pStyle w:val="14"/>
              <w:keepNext w:val="0"/>
              <w:keepLines w:val="0"/>
              <w:pageBreakBefore w:val="0"/>
              <w:widowControl w:val="0"/>
              <w:kinsoku/>
              <w:wordWrap/>
              <w:overflowPunct/>
              <w:topLinePunct w:val="0"/>
              <w:autoSpaceDE w:val="0"/>
              <w:autoSpaceDN w:val="0"/>
              <w:bidi w:val="0"/>
              <w:adjustRightInd/>
              <w:snapToGrid/>
              <w:spacing w:before="120" w:after="0" w:afterLines="50"/>
              <w:ind w:left="108"/>
              <w:textAlignment w:val="auto"/>
              <w:rPr>
                <w:rFonts w:hint="default" w:ascii="Times New Roman" w:hAnsi="Times New Roman" w:cs="Times New Roman"/>
                <w:sz w:val="24"/>
              </w:rPr>
            </w:pPr>
            <w:r>
              <w:rPr>
                <w:rFonts w:hint="default" w:ascii="Times New Roman" w:hAnsi="Times New Roman" w:eastAsia="Times New Roman" w:cs="Times New Roman"/>
                <w:sz w:val="24"/>
              </w:rPr>
              <w:t>1</w:t>
            </w:r>
            <w:r>
              <w:rPr>
                <w:rFonts w:hint="default" w:ascii="Times New Roman" w:hAnsi="Times New Roman" w:cs="Times New Roman"/>
                <w:sz w:val="24"/>
              </w:rPr>
              <w:t>、项目基本情况</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项目名称：陕西省石油化工工业贸易有限公司高陵服务区</w:t>
            </w:r>
            <w:r>
              <w:rPr>
                <w:rFonts w:hint="eastAsia" w:ascii="Times New Roman" w:hAnsi="Times New Roman" w:cs="Times New Roman"/>
                <w:spacing w:val="-11"/>
                <w:sz w:val="24"/>
                <w:lang w:eastAsia="zh-CN"/>
              </w:rPr>
              <w:t>南</w:t>
            </w:r>
            <w:r>
              <w:rPr>
                <w:rFonts w:hint="default" w:ascii="Times New Roman" w:hAnsi="Times New Roman" w:eastAsia="宋体" w:cs="Times New Roman"/>
                <w:spacing w:val="-11"/>
                <w:sz w:val="24"/>
              </w:rPr>
              <w:t>加油站建设项目</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建设单位：</w:t>
            </w:r>
            <w:r>
              <w:rPr>
                <w:rFonts w:hint="default" w:ascii="Times New Roman" w:hAnsi="Times New Roman" w:eastAsia="宋体" w:cs="Times New Roman"/>
                <w:spacing w:val="-11"/>
                <w:sz w:val="24"/>
                <w:lang w:eastAsia="zh-CN"/>
              </w:rPr>
              <w:t>陕西省石油化工工业贸易有限公司</w:t>
            </w:r>
            <w:r>
              <w:rPr>
                <w:rFonts w:hint="default" w:ascii="Times New Roman" w:hAnsi="Times New Roman" w:cs="Times New Roman"/>
                <w:sz w:val="24"/>
              </w:rPr>
              <w:t>高陵服务区</w:t>
            </w:r>
            <w:r>
              <w:rPr>
                <w:rFonts w:hint="eastAsia" w:ascii="Times New Roman" w:hAnsi="Times New Roman" w:cs="Times New Roman"/>
                <w:sz w:val="24"/>
                <w:lang w:eastAsia="zh-CN"/>
              </w:rPr>
              <w:t>南</w:t>
            </w:r>
            <w:r>
              <w:rPr>
                <w:rFonts w:hint="default" w:ascii="Times New Roman" w:hAnsi="Times New Roman" w:cs="Times New Roman"/>
                <w:sz w:val="24"/>
              </w:rPr>
              <w:t>加油站</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项目性质：新建</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cs="Times New Roman"/>
                <w:sz w:val="24"/>
              </w:rPr>
            </w:pPr>
            <w:r>
              <w:rPr>
                <w:rFonts w:hint="default" w:ascii="Times New Roman" w:hAnsi="Times New Roman" w:cs="Times New Roman"/>
                <w:spacing w:val="-11"/>
                <w:sz w:val="24"/>
              </w:rPr>
              <w:t>建设地点：</w:t>
            </w:r>
            <w:r>
              <w:rPr>
                <w:rFonts w:hint="default" w:ascii="Times New Roman" w:hAnsi="Times New Roman" w:cs="Times New Roman" w:eastAsiaTheme="minorEastAsia"/>
                <w:color w:val="auto"/>
                <w:sz w:val="24"/>
                <w:szCs w:val="24"/>
              </w:rPr>
              <w:t>西安市高陵区西咸北环线高速公路高陵服务区</w:t>
            </w:r>
            <w:r>
              <w:rPr>
                <w:rFonts w:hint="eastAsia" w:ascii="Times New Roman" w:hAnsi="Times New Roman" w:cs="Times New Roman" w:eastAsiaTheme="minorEastAsia"/>
                <w:color w:val="auto"/>
                <w:sz w:val="24"/>
                <w:szCs w:val="24"/>
                <w:lang w:eastAsia="zh-CN"/>
              </w:rPr>
              <w:t>南</w:t>
            </w:r>
            <w:r>
              <w:rPr>
                <w:rFonts w:hint="default" w:ascii="Times New Roman" w:hAnsi="Times New Roman" w:cs="Times New Roman" w:eastAsiaTheme="minorEastAsia"/>
                <w:color w:val="auto"/>
                <w:sz w:val="24"/>
                <w:szCs w:val="24"/>
              </w:rPr>
              <w:t>区，具体地理坐标为E：109.1486455331，N：34.544392046，</w:t>
            </w:r>
            <w:r>
              <w:rPr>
                <w:rFonts w:hint="eastAsia" w:ascii="Times New Roman" w:hAnsi="Times New Roman" w:cs="Times New Roman" w:eastAsiaTheme="minorEastAsia"/>
                <w:color w:val="auto"/>
                <w:sz w:val="24"/>
                <w:szCs w:val="24"/>
                <w:lang w:val="en-US" w:eastAsia="zh-CN"/>
              </w:rPr>
              <w:t>项目北侧为西咸北环线，东侧为空地，南侧为空地，西侧为高陵服务区空地，</w:t>
            </w:r>
            <w:r>
              <w:rPr>
                <w:rFonts w:hint="default" w:ascii="Times New Roman" w:hAnsi="Times New Roman" w:cs="Times New Roman" w:eastAsiaTheme="minorEastAsia"/>
                <w:color w:val="auto"/>
                <w:sz w:val="24"/>
                <w:szCs w:val="24"/>
              </w:rPr>
              <w:t>项目地理位置见附图1</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站区平面布置详见附图2。</w:t>
            </w:r>
          </w:p>
          <w:p>
            <w:pPr>
              <w:pStyle w:val="14"/>
              <w:spacing w:before="80"/>
              <w:ind w:left="107"/>
              <w:rPr>
                <w:rFonts w:hint="default" w:ascii="Times New Roman" w:hAnsi="Times New Roman" w:eastAsia="宋体" w:cs="Times New Roman"/>
                <w:b/>
                <w:sz w:val="24"/>
              </w:rPr>
            </w:pPr>
            <w:r>
              <w:rPr>
                <w:rFonts w:hint="default" w:ascii="Times New Roman" w:hAnsi="Times New Roman" w:eastAsia="宋体" w:cs="Times New Roman"/>
                <w:b/>
                <w:sz w:val="24"/>
              </w:rPr>
              <w:t>二、建设内容</w:t>
            </w:r>
          </w:p>
          <w:p>
            <w:pPr>
              <w:pStyle w:val="14"/>
              <w:spacing w:before="160" w:line="364" w:lineRule="auto"/>
              <w:ind w:left="107" w:right="95" w:firstLine="48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项目总投资567.75万元，项目占地面积7306.27m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，总建筑面积1064.84m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，项目环评及批复建设内容与实际建设内容一览表见表</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所示。</w:t>
            </w:r>
          </w:p>
          <w:p>
            <w:pPr>
              <w:pStyle w:val="9"/>
              <w:keepLines w:val="0"/>
              <w:pageBreakBefore w:val="0"/>
              <w:kinsoku/>
              <w:overflowPunct/>
              <w:topLinePunct w:val="0"/>
              <w:bidi w:val="0"/>
              <w:outlineLvl w:val="9"/>
              <w:rPr>
                <w:rFonts w:hint="default" w:ascii="Times New Roman" w:hAnsi="Times New Roman" w:cs="Times New Roman" w:eastAsiaTheme="minorEastAsia"/>
                <w:color w:val="auto"/>
                <w:lang w:val="en-US" w:eastAsia="zh-CN"/>
              </w:rPr>
            </w:pPr>
            <w:bookmarkStart w:id="41" w:name="_Toc31362"/>
            <w:bookmarkStart w:id="42" w:name="_Toc17286_WPSOffice_Level2"/>
            <w:bookmarkStart w:id="43" w:name="_Toc16857"/>
            <w:bookmarkStart w:id="44" w:name="_Toc11255"/>
            <w:bookmarkStart w:id="45" w:name="_Toc20060_WPSOffice_Level2"/>
            <w:r>
              <w:rPr>
                <w:rFonts w:hint="default" w:ascii="Times New Roman" w:hAnsi="Times New Roman" w:cs="Times New Roman" w:eastAsiaTheme="minorEastAsia"/>
                <w:color w:val="auto"/>
                <w:lang w:val="en-US" w:eastAsia="zh-CN"/>
              </w:rPr>
              <w:t xml:space="preserve">表1 </w:t>
            </w:r>
            <w:bookmarkEnd w:id="41"/>
            <w:bookmarkEnd w:id="42"/>
            <w:bookmarkEnd w:id="43"/>
            <w:bookmarkEnd w:id="44"/>
            <w:bookmarkEnd w:id="45"/>
            <w:r>
              <w:rPr>
                <w:rFonts w:hint="eastAsia"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lang w:val="en-US" w:eastAsia="zh-CN"/>
              </w:rPr>
              <w:t>环评及批复建设内容与实际建设内容一览表</w:t>
            </w:r>
          </w:p>
          <w:tbl>
            <w:tblPr>
              <w:tblStyle w:val="10"/>
              <w:tblW w:w="8489" w:type="dxa"/>
              <w:jc w:val="center"/>
              <w:tblInd w:w="1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03"/>
              <w:gridCol w:w="613"/>
              <w:gridCol w:w="3088"/>
              <w:gridCol w:w="3025"/>
              <w:gridCol w:w="684"/>
              <w:gridCol w:w="67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名称</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环评及批复建设内容</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实际建设内容</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与环评审批的一致性</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cs="Times New Roman"/>
                      <w:sz w:val="21"/>
                      <w:lang w:eastAsia="zh-CN"/>
                    </w:rPr>
                  </w:pPr>
                  <w:r>
                    <w:rPr>
                      <w:rFonts w:hint="eastAsia" w:ascii="Times New Roman" w:hAnsi="Times New Roman" w:cs="Times New Roman"/>
                      <w:sz w:val="21"/>
                      <w:lang w:eastAsia="zh-CN"/>
                    </w:rPr>
                    <w:t>是否有重大变动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项目名称</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rPr>
                      <w:rFonts w:ascii="Times New Roman" w:hAnsi="Times New Roman" w:cs="Times New Roman"/>
                      <w:sz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南</w:t>
                  </w:r>
                  <w:r>
                    <w:rPr>
                      <w:rFonts w:hint="default" w:ascii="Times New Roman" w:hAnsi="Times New Roman" w:cs="Times New Roman"/>
                      <w:sz w:val="21"/>
                    </w:rPr>
                    <w:t>加油站建设项目</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rPr>
                      <w:rFonts w:ascii="Times New Roman" w:hAnsi="Times New Roman" w:cs="Times New Roman"/>
                      <w:sz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南</w:t>
                  </w:r>
                  <w:r>
                    <w:rPr>
                      <w:rFonts w:hint="default" w:ascii="Times New Roman" w:hAnsi="Times New Roman" w:cs="Times New Roman"/>
                      <w:sz w:val="21"/>
                    </w:rPr>
                    <w:t>加油站建设项目</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投资规模</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占地面积</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rPr>
                    <w:t>7306.27m</w:t>
                  </w:r>
                  <w:r>
                    <w:rPr>
                      <w:rFonts w:hint="default" w:ascii="Times New Roman" w:hAnsi="Times New Roman" w:cs="Times New Roman"/>
                      <w:sz w:val="21"/>
                      <w:vertAlign w:val="superscript"/>
                    </w:rPr>
                    <w:t>2</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rPr>
                    <w:t>7306.27m</w:t>
                  </w:r>
                  <w:r>
                    <w:rPr>
                      <w:rFonts w:hint="default" w:ascii="Times New Roman" w:hAnsi="Times New Roman" w:cs="Times New Roman"/>
                      <w:sz w:val="21"/>
                      <w:vertAlign w:val="superscript"/>
                    </w:rPr>
                    <w:t>2</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销售规模及产品</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rPr>
                      <w:rFonts w:ascii="Times New Roman" w:hAnsi="Times New Roman" w:cs="Times New Roman"/>
                      <w:sz w:val="21"/>
                    </w:rPr>
                  </w:pPr>
                  <w:r>
                    <w:rPr>
                      <w:rFonts w:ascii="Times New Roman" w:hAnsi="Times New Roman" w:cs="Times New Roman"/>
                      <w:sz w:val="21"/>
                    </w:rPr>
                    <w:t>年销售</w:t>
                  </w:r>
                  <w:r>
                    <w:rPr>
                      <w:rFonts w:ascii="Times New Roman" w:hAnsi="Times New Roman" w:eastAsia="Times New Roman" w:cs="Times New Roman"/>
                      <w:sz w:val="21"/>
                    </w:rPr>
                    <w:t>1</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default" w:ascii="Times New Roman" w:hAnsi="Times New Roman" w:cs="Times New Roman"/>
                      <w:sz w:val="21"/>
                      <w:lang w:val="en-US" w:eastAsia="zh-CN"/>
                    </w:rPr>
                    <w:t>25</w:t>
                  </w:r>
                  <w:r>
                    <w:rPr>
                      <w:rFonts w:ascii="Times New Roman" w:hAnsi="Times New Roman" w:eastAsia="Times New Roman" w:cs="Times New Roman"/>
                      <w:sz w:val="21"/>
                    </w:rPr>
                    <w:t>00t</w:t>
                  </w:r>
                  <w:r>
                    <w:rPr>
                      <w:rFonts w:ascii="Times New Roman" w:hAnsi="Times New Roman" w:cs="Times New Roman"/>
                      <w:sz w:val="21"/>
                    </w:rPr>
                    <w:t>柴油</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rPr>
                      <w:rFonts w:ascii="Times New Roman" w:hAnsi="Times New Roman" w:cs="Times New Roman"/>
                      <w:sz w:val="21"/>
                    </w:rPr>
                  </w:pPr>
                  <w:r>
                    <w:rPr>
                      <w:rFonts w:ascii="Times New Roman" w:hAnsi="Times New Roman" w:cs="Times New Roman"/>
                      <w:sz w:val="21"/>
                    </w:rPr>
                    <w:t>年销售</w:t>
                  </w:r>
                  <w:r>
                    <w:rPr>
                      <w:rFonts w:ascii="Times New Roman" w:hAnsi="Times New Roman" w:eastAsia="Times New Roman" w:cs="Times New Roman"/>
                      <w:sz w:val="21"/>
                    </w:rPr>
                    <w:t>1</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default" w:ascii="Times New Roman" w:hAnsi="Times New Roman" w:cs="Times New Roman"/>
                      <w:sz w:val="21"/>
                      <w:lang w:val="en-US" w:eastAsia="zh-CN"/>
                    </w:rPr>
                    <w:t>25</w:t>
                  </w:r>
                  <w:r>
                    <w:rPr>
                      <w:rFonts w:ascii="Times New Roman" w:hAnsi="Times New Roman" w:eastAsia="Times New Roman" w:cs="Times New Roman"/>
                      <w:sz w:val="21"/>
                    </w:rPr>
                    <w:t>00t</w:t>
                  </w:r>
                  <w:r>
                    <w:rPr>
                      <w:rFonts w:ascii="Times New Roman" w:hAnsi="Times New Roman" w:cs="Times New Roman"/>
                      <w:sz w:val="21"/>
                    </w:rPr>
                    <w:t>柴油</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1016" w:type="dxa"/>
                  <w:gridSpan w:val="2"/>
                  <w:vMerge w:val="restart"/>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主体工程</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bidi w:val="0"/>
                    <w:jc w:val="center"/>
                    <w:rPr>
                      <w:rFonts w:hint="eastAsia" w:eastAsia="宋体"/>
                      <w:lang w:eastAsia="zh-CN"/>
                    </w:rPr>
                  </w:pPr>
                  <w:r>
                    <w:rPr>
                      <w:rFonts w:hint="eastAsia"/>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016" w:type="dxa"/>
                  <w:gridSpan w:val="2"/>
                  <w:vMerge w:val="continue"/>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016" w:type="dxa"/>
                  <w:gridSpan w:val="2"/>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辅助工程</w:t>
                  </w:r>
                </w:p>
              </w:tc>
              <w:tc>
                <w:tcPr>
                  <w:tcW w:w="3088" w:type="dxa"/>
                  <w:tcBorders>
                    <w:tl2br w:val="nil"/>
                    <w:tr2bl w:val="nil"/>
                  </w:tcBorders>
                  <w:vAlign w:val="center"/>
                </w:tcPr>
                <w:p>
                  <w:pPr>
                    <w:pStyle w:val="14"/>
                    <w:widowControl w:val="0"/>
                    <w:autoSpaceDE w:val="0"/>
                    <w:autoSpaceDN w:val="0"/>
                    <w:adjustRightInd/>
                    <w:snapToGrid/>
                    <w:spacing w:before="1" w:after="0" w:afterLines="-2147483648"/>
                    <w:ind w:left="11" w:right="2"/>
                    <w:rPr>
                      <w:rFonts w:hint="default" w:ascii="Times New Roman" w:hAnsi="Times New Roman" w:eastAsia="宋体" w:cs="Times New Roman"/>
                      <w:sz w:val="21"/>
                      <w:lang w:val="en-US"/>
                    </w:rPr>
                  </w:pPr>
                  <w:r>
                    <w:rPr>
                      <w:rFonts w:ascii="Times New Roman" w:hAnsi="Times New Roman" w:cs="Times New Roman"/>
                      <w:sz w:val="21"/>
                    </w:rPr>
                    <w:t>站房建筑面积</w:t>
                  </w:r>
                  <w:r>
                    <w:rPr>
                      <w:rFonts w:hint="default" w:ascii="Times New Roman" w:hAnsi="Times New Roman" w:cs="Times New Roman"/>
                      <w:sz w:val="21"/>
                    </w:rPr>
                    <w:t>127.44</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3025" w:type="dxa"/>
                  <w:tcBorders>
                    <w:tl2br w:val="nil"/>
                    <w:tr2bl w:val="nil"/>
                  </w:tcBorders>
                  <w:vAlign w:val="center"/>
                </w:tcPr>
                <w:p>
                  <w:pPr>
                    <w:pStyle w:val="14"/>
                    <w:widowControl w:val="0"/>
                    <w:autoSpaceDE w:val="0"/>
                    <w:autoSpaceDN w:val="0"/>
                    <w:adjustRightInd/>
                    <w:snapToGrid/>
                    <w:spacing w:before="1" w:after="0" w:afterLines="-2147483648"/>
                    <w:ind w:left="11" w:right="2"/>
                    <w:rPr>
                      <w:rFonts w:ascii="Times New Roman" w:hAnsi="Times New Roman" w:eastAsia="宋体" w:cs="Times New Roman"/>
                      <w:sz w:val="21"/>
                    </w:rPr>
                  </w:pPr>
                  <w:r>
                    <w:rPr>
                      <w:rFonts w:ascii="Times New Roman" w:hAnsi="Times New Roman" w:cs="Times New Roman"/>
                      <w:sz w:val="21"/>
                    </w:rPr>
                    <w:t>站房建筑面积</w:t>
                  </w:r>
                  <w:r>
                    <w:rPr>
                      <w:rFonts w:hint="default" w:ascii="Times New Roman" w:hAnsi="Times New Roman" w:cs="Times New Roman"/>
                      <w:sz w:val="21"/>
                    </w:rPr>
                    <w:t>127.44</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403" w:type="dxa"/>
                  <w:vMerge w:val="restart"/>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环保工程</w:t>
                  </w:r>
                </w:p>
              </w:tc>
              <w:tc>
                <w:tcPr>
                  <w:tcW w:w="61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废水治理</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firstLine="0"/>
                    <w:jc w:val="center"/>
                    <w:rPr>
                      <w:rFonts w:hint="default" w:ascii="Times New Roman" w:hAnsi="Times New Roman" w:cs="Times New Roman"/>
                      <w:sz w:val="21"/>
                      <w:lang w:val="en-US"/>
                    </w:rPr>
                  </w:pPr>
                  <w:r>
                    <w:rPr>
                      <w:rFonts w:ascii="Times New Roman" w:hAnsi="Times New Roman" w:cs="Times New Roman"/>
                      <w:sz w:val="21"/>
                      <w:szCs w:val="21"/>
                    </w:rPr>
                    <w:t>项目场地冲洗废水经隔油池处理后和生活污水一并进入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项目场地</w:t>
                  </w:r>
                  <w:r>
                    <w:rPr>
                      <w:rFonts w:hint="eastAsia" w:ascii="Times New Roman" w:hAnsi="Times New Roman" w:cs="Times New Roman"/>
                      <w:sz w:val="21"/>
                      <w:szCs w:val="21"/>
                      <w:lang w:eastAsia="zh-CN"/>
                    </w:rPr>
                    <w:t>设置隔油池，项目产生废水主要为</w:t>
                  </w:r>
                  <w:r>
                    <w:rPr>
                      <w:rFonts w:ascii="Times New Roman" w:hAnsi="Times New Roman" w:cs="Times New Roman"/>
                      <w:sz w:val="21"/>
                      <w:szCs w:val="21"/>
                    </w:rPr>
                    <w:t>生活污水</w:t>
                  </w:r>
                  <w:r>
                    <w:rPr>
                      <w:rFonts w:hint="eastAsia" w:ascii="Times New Roman" w:hAnsi="Times New Roman" w:cs="Times New Roman"/>
                      <w:sz w:val="21"/>
                      <w:szCs w:val="21"/>
                      <w:lang w:eastAsia="zh-CN"/>
                    </w:rPr>
                    <w:t>，生活污水</w:t>
                  </w:r>
                  <w:r>
                    <w:rPr>
                      <w:rFonts w:ascii="Times New Roman" w:hAnsi="Times New Roman" w:cs="Times New Roman"/>
                      <w:sz w:val="21"/>
                      <w:szCs w:val="21"/>
                    </w:rPr>
                    <w:t>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eastAsia" w:ascii="Times New Roman" w:hAnsi="Times New Roman" w:cs="Times New Roman"/>
                      <w:sz w:val="21"/>
                      <w:lang w:eastAsia="zh-CN"/>
                    </w:rPr>
                    <w:t>不一致（无场地冲洗废水）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jc w:val="center"/>
              </w:trPr>
              <w:tc>
                <w:tcPr>
                  <w:tcW w:w="403" w:type="dxa"/>
                  <w:vMerge w:val="continue"/>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1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废气治理</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napToGrid w:val="0"/>
                      <w:kern w:val="0"/>
                      <w:sz w:val="21"/>
                      <w:szCs w:val="21"/>
                    </w:rPr>
                    <w:t>储罐设有阻火器、呼吸阀，加油、卸油设三级油气回收装置</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napToGrid w:val="0"/>
                      <w:kern w:val="0"/>
                      <w:sz w:val="21"/>
                      <w:szCs w:val="21"/>
                    </w:rPr>
                    <w:t>储罐设有阻火器、呼吸阀，加油、卸油设三级油气回收装置</w:t>
                  </w:r>
                </w:p>
              </w:tc>
              <w:tc>
                <w:tcPr>
                  <w:tcW w:w="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default" w:ascii="Times New Roman" w:hAnsi="Times New Roman" w:cs="Times New Roman"/>
                      <w:sz w:val="21"/>
                    </w:rPr>
                  </w:pPr>
                  <w:r>
                    <w:rPr>
                      <w:rFonts w:hint="default" w:ascii="Times New Roman" w:hAnsi="Times New Roman" w:cs="Times New Roman"/>
                      <w:sz w:val="21"/>
                      <w:lang w:val="en-US" w:eastAsia="zh-CN"/>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jc w:val="center"/>
              </w:trPr>
              <w:tc>
                <w:tcPr>
                  <w:tcW w:w="403" w:type="dxa"/>
                  <w:vMerge w:val="continue"/>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1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噪声治理</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napToGrid w:val="0"/>
                      <w:kern w:val="0"/>
                      <w:sz w:val="21"/>
                      <w:szCs w:val="21"/>
                    </w:rPr>
                  </w:pPr>
                  <w:r>
                    <w:rPr>
                      <w:rFonts w:ascii="Times New Roman" w:hAnsi="Times New Roman" w:cs="Times New Roman"/>
                      <w:sz w:val="21"/>
                      <w:szCs w:val="21"/>
                    </w:rPr>
                    <w:t>设施减震垫及禁止鸣笛标志</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rPr>
                      <w:rFonts w:ascii="Times New Roman" w:hAnsi="Times New Roman" w:cs="Times New Roman"/>
                      <w:snapToGrid w:val="0"/>
                      <w:kern w:val="0"/>
                      <w:sz w:val="21"/>
                      <w:szCs w:val="21"/>
                    </w:rPr>
                  </w:pPr>
                  <w:r>
                    <w:rPr>
                      <w:rFonts w:ascii="Times New Roman" w:hAnsi="Times New Roman" w:cs="Times New Roman"/>
                      <w:sz w:val="21"/>
                      <w:szCs w:val="21"/>
                    </w:rPr>
                    <w:t>设施减震垫及禁止鸣笛标志</w:t>
                  </w:r>
                </w:p>
              </w:tc>
              <w:tc>
                <w:tcPr>
                  <w:tcW w:w="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atLeast"/>
                <w:jc w:val="center"/>
              </w:trPr>
              <w:tc>
                <w:tcPr>
                  <w:tcW w:w="403" w:type="dxa"/>
                  <w:vMerge w:val="continue"/>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1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pacing w:val="0"/>
                      <w:sz w:val="21"/>
                    </w:rPr>
                    <w:t>一般</w:t>
                  </w:r>
                  <w:r>
                    <w:rPr>
                      <w:rFonts w:ascii="Times New Roman" w:hAnsi="Times New Roman" w:cs="Times New Roman"/>
                      <w:spacing w:val="0"/>
                      <w:w w:val="100"/>
                      <w:sz w:val="21"/>
                    </w:rPr>
                    <w:t>固废</w:t>
                  </w:r>
                </w:p>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pacing w:val="0"/>
                      <w:w w:val="100"/>
                      <w:sz w:val="21"/>
                    </w:rPr>
                    <w:t>处置</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sz w:val="21"/>
                    </w:rPr>
                  </w:pPr>
                  <w:r>
                    <w:rPr>
                      <w:rFonts w:ascii="Times New Roman" w:hAnsi="Times New Roman" w:cs="Times New Roman"/>
                      <w:w w:val="100"/>
                      <w:sz w:val="21"/>
                    </w:rPr>
                    <w:t>生活垃圾设置垃圾桶若干，</w:t>
                  </w:r>
                  <w:r>
                    <w:rPr>
                      <w:rFonts w:hint="eastAsia" w:ascii="Times New Roman" w:hAnsi="Times New Roman" w:cs="Times New Roman"/>
                      <w:w w:val="100"/>
                      <w:sz w:val="21"/>
                      <w:lang w:eastAsia="zh-CN"/>
                    </w:rPr>
                    <w:t>分类收集后</w:t>
                  </w:r>
                  <w:r>
                    <w:rPr>
                      <w:rFonts w:ascii="Times New Roman" w:hAnsi="Times New Roman" w:cs="Times New Roman"/>
                      <w:w w:val="100"/>
                      <w:sz w:val="21"/>
                    </w:rPr>
                    <w:t>由环卫部</w:t>
                  </w:r>
                  <w:r>
                    <w:rPr>
                      <w:rFonts w:ascii="Times New Roman" w:hAnsi="Times New Roman" w:cs="Times New Roman"/>
                      <w:sz w:val="21"/>
                    </w:rPr>
                    <w:t>门统一处理</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sz w:val="21"/>
                    </w:rPr>
                  </w:pPr>
                  <w:r>
                    <w:rPr>
                      <w:rFonts w:ascii="Times New Roman" w:hAnsi="Times New Roman" w:cs="Times New Roman"/>
                      <w:spacing w:val="0"/>
                      <w:sz w:val="21"/>
                    </w:rPr>
                    <w:t>生活垃圾设置垃圾桶若干，</w:t>
                  </w:r>
                  <w:r>
                    <w:rPr>
                      <w:rFonts w:hint="eastAsia" w:ascii="Times New Roman" w:hAnsi="Times New Roman" w:cs="Times New Roman"/>
                      <w:spacing w:val="0"/>
                      <w:sz w:val="21"/>
                      <w:lang w:eastAsia="zh-CN"/>
                    </w:rPr>
                    <w:t>分类收集后</w:t>
                  </w:r>
                  <w:r>
                    <w:rPr>
                      <w:rFonts w:ascii="Times New Roman" w:hAnsi="Times New Roman" w:cs="Times New Roman"/>
                      <w:spacing w:val="0"/>
                      <w:sz w:val="21"/>
                    </w:rPr>
                    <w:t>由环</w:t>
                  </w:r>
                  <w:r>
                    <w:rPr>
                      <w:rFonts w:ascii="Times New Roman" w:hAnsi="Times New Roman" w:cs="Times New Roman"/>
                      <w:sz w:val="21"/>
                    </w:rPr>
                    <w:t>卫部门统一处理</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676" w:type="dxa"/>
                  <w:tcBorders>
                    <w:tl2br w:val="nil"/>
                    <w:tr2bl w:val="nil"/>
                  </w:tcBorders>
                  <w:vAlign w:val="center"/>
                </w:tcPr>
                <w:p>
                  <w:pPr>
                    <w:pStyle w:val="14"/>
                    <w:widowControl w:val="0"/>
                    <w:tabs>
                      <w:tab w:val="left" w:pos="286"/>
                    </w:tabs>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atLeast"/>
                <w:jc w:val="center"/>
              </w:trPr>
              <w:tc>
                <w:tcPr>
                  <w:tcW w:w="403" w:type="dxa"/>
                  <w:vMerge w:val="continue"/>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1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hint="eastAsia" w:ascii="Times New Roman" w:hAnsi="Times New Roman" w:eastAsia="宋体" w:cs="Times New Roman"/>
                      <w:spacing w:val="0"/>
                      <w:w w:val="100"/>
                      <w:sz w:val="21"/>
                      <w:lang w:eastAsia="zh-CN"/>
                    </w:rPr>
                  </w:pPr>
                  <w:r>
                    <w:rPr>
                      <w:rFonts w:hint="eastAsia" w:ascii="Times New Roman" w:hAnsi="Times New Roman" w:cs="Times New Roman"/>
                      <w:spacing w:val="0"/>
                      <w:w w:val="100"/>
                      <w:sz w:val="21"/>
                      <w:lang w:eastAsia="zh-CN"/>
                    </w:rPr>
                    <w:t>危险废物处置</w:t>
                  </w:r>
                </w:p>
              </w:tc>
              <w:tc>
                <w:tcPr>
                  <w:tcW w:w="3088"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w w:val="100"/>
                      <w:sz w:val="21"/>
                    </w:rPr>
                  </w:pPr>
                  <w:r>
                    <w:rPr>
                      <w:rFonts w:ascii="Times New Roman" w:hAnsi="Times New Roman" w:cs="Times New Roman"/>
                      <w:sz w:val="21"/>
                      <w:szCs w:val="21"/>
                    </w:rPr>
                    <w:t>设置</w:t>
                  </w:r>
                  <w:r>
                    <w:rPr>
                      <w:rFonts w:ascii="Times New Roman" w:hAnsi="Times New Roman" w:eastAsia="宋体" w:cs="Times New Roman"/>
                      <w:sz w:val="21"/>
                      <w:szCs w:val="21"/>
                    </w:rPr>
                    <w:t>1</w:t>
                  </w:r>
                  <w:r>
                    <w:rPr>
                      <w:rFonts w:ascii="Times New Roman" w:hAnsi="Times New Roman" w:cs="Times New Roman"/>
                      <w:sz w:val="21"/>
                      <w:szCs w:val="21"/>
                    </w:rPr>
                    <w:t>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ascii="Times New Roman" w:hAnsi="Times New Roman" w:cs="Times New Roman"/>
                      <w:sz w:val="21"/>
                      <w:szCs w:val="21"/>
                    </w:rPr>
                    <w:t>危险废物暂</w:t>
                  </w:r>
                  <w:r>
                    <w:rPr>
                      <w:rFonts w:hint="default" w:ascii="Times New Roman" w:hAnsi="Times New Roman" w:eastAsia="宋体" w:cs="Times New Roman"/>
                      <w:sz w:val="21"/>
                      <w:szCs w:val="21"/>
                      <w:lang w:val="en-US" w:eastAsia="zh-CN"/>
                    </w:rPr>
                    <w:t>存</w:t>
                  </w:r>
                  <w:r>
                    <w:rPr>
                      <w:rFonts w:ascii="Times New Roman" w:hAnsi="Times New Roman" w:cs="Times New Roman"/>
                      <w:sz w:val="21"/>
                      <w:szCs w:val="21"/>
                    </w:rPr>
                    <w:t>间，分区分类存放，交由</w:t>
                  </w:r>
                  <w:r>
                    <w:rPr>
                      <w:rFonts w:hint="default" w:ascii="Times New Roman" w:hAnsi="Times New Roman" w:eastAsia="宋体" w:cs="Times New Roman"/>
                      <w:sz w:val="21"/>
                      <w:szCs w:val="21"/>
                      <w:lang w:val="en-US" w:eastAsia="zh-CN"/>
                    </w:rPr>
                    <w:t>有</w:t>
                  </w:r>
                  <w:r>
                    <w:rPr>
                      <w:rFonts w:ascii="Times New Roman" w:hAnsi="Times New Roman" w:cs="Times New Roman"/>
                      <w:sz w:val="21"/>
                      <w:szCs w:val="21"/>
                    </w:rPr>
                    <w:t>资质单位处理处置</w:t>
                  </w:r>
                </w:p>
              </w:tc>
              <w:tc>
                <w:tcPr>
                  <w:tcW w:w="302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spacing w:val="0"/>
                      <w:sz w:val="21"/>
                    </w:rPr>
                  </w:pPr>
                  <w:r>
                    <w:rPr>
                      <w:rFonts w:ascii="Times New Roman" w:hAnsi="Times New Roman" w:cs="Times New Roman"/>
                      <w:sz w:val="21"/>
                      <w:szCs w:val="21"/>
                    </w:rPr>
                    <w:t>设置</w:t>
                  </w:r>
                  <w:r>
                    <w:rPr>
                      <w:rFonts w:ascii="Times New Roman" w:hAnsi="Times New Roman" w:eastAsia="宋体" w:cs="Times New Roman"/>
                      <w:sz w:val="21"/>
                      <w:szCs w:val="21"/>
                    </w:rPr>
                    <w:t>1</w:t>
                  </w:r>
                  <w:r>
                    <w:rPr>
                      <w:rFonts w:ascii="Times New Roman" w:hAnsi="Times New Roman" w:cs="Times New Roman"/>
                      <w:sz w:val="21"/>
                      <w:szCs w:val="21"/>
                    </w:rPr>
                    <w:t>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ascii="Times New Roman" w:hAnsi="Times New Roman" w:cs="Times New Roman"/>
                      <w:sz w:val="21"/>
                      <w:szCs w:val="21"/>
                    </w:rPr>
                    <w:t>危险废物暂</w:t>
                  </w:r>
                  <w:r>
                    <w:rPr>
                      <w:rFonts w:hint="default" w:ascii="Times New Roman" w:hAnsi="Times New Roman" w:eastAsia="宋体" w:cs="Times New Roman"/>
                      <w:sz w:val="21"/>
                      <w:szCs w:val="21"/>
                      <w:lang w:val="en-US" w:eastAsia="zh-CN"/>
                    </w:rPr>
                    <w:t>存</w:t>
                  </w:r>
                  <w:r>
                    <w:rPr>
                      <w:rFonts w:ascii="Times New Roman" w:hAnsi="Times New Roman" w:cs="Times New Roman"/>
                      <w:sz w:val="21"/>
                      <w:szCs w:val="21"/>
                    </w:rPr>
                    <w:t>间，分区分类存放，交由</w:t>
                  </w:r>
                  <w:r>
                    <w:rPr>
                      <w:rFonts w:hint="default" w:ascii="Times New Roman" w:hAnsi="Times New Roman" w:eastAsia="宋体" w:cs="Times New Roman"/>
                      <w:sz w:val="21"/>
                      <w:szCs w:val="21"/>
                      <w:lang w:val="en-US" w:eastAsia="zh-CN"/>
                    </w:rPr>
                    <w:t>有</w:t>
                  </w:r>
                  <w:r>
                    <w:rPr>
                      <w:rFonts w:ascii="Times New Roman" w:hAnsi="Times New Roman" w:cs="Times New Roman"/>
                      <w:sz w:val="21"/>
                      <w:szCs w:val="21"/>
                    </w:rPr>
                    <w:t>资质单位处理处置</w:t>
                  </w:r>
                </w:p>
              </w:tc>
              <w:tc>
                <w:tcPr>
                  <w:tcW w:w="684"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一致</w:t>
                  </w:r>
                </w:p>
              </w:tc>
              <w:tc>
                <w:tcPr>
                  <w:tcW w:w="67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jc w:val="center"/>
              </w:trPr>
              <w:tc>
                <w:tcPr>
                  <w:tcW w:w="1016" w:type="dxa"/>
                  <w:gridSpan w:val="2"/>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spacing w:val="0"/>
                      <w:w w:val="100"/>
                      <w:sz w:val="21"/>
                      <w:szCs w:val="21"/>
                    </w:rPr>
                  </w:pPr>
                  <w:r>
                    <w:rPr>
                      <w:rFonts w:hint="default" w:ascii="Times New Roman" w:hAnsi="Times New Roman" w:eastAsia="宋体" w:cs="Times New Roman"/>
                      <w:color w:val="000000"/>
                      <w:sz w:val="21"/>
                      <w:szCs w:val="21"/>
                    </w:rPr>
                    <w:t>风险防范措施</w:t>
                  </w:r>
                </w:p>
              </w:tc>
              <w:tc>
                <w:tcPr>
                  <w:tcW w:w="3088" w:type="dxa"/>
                  <w:tcBorders>
                    <w:tl2br w:val="nil"/>
                    <w:tr2bl w:val="nil"/>
                  </w:tcBorders>
                  <w:vAlign w:val="center"/>
                </w:tcPr>
                <w:p>
                  <w:pPr>
                    <w:widowControl w:val="0"/>
                    <w:adjustRightInd/>
                    <w:spacing w:after="0" w:line="240" w:lineRule="auto"/>
                    <w:ind w:left="0" w:right="0" w:firstLine="0"/>
                    <w:jc w:val="both"/>
                    <w:outlineLvl w:val="9"/>
                    <w:rPr>
                      <w:rFonts w:hint="default" w:ascii="Times New Roman" w:hAnsi="Times New Roman" w:eastAsia="宋体" w:cs="Times New Roman"/>
                      <w:color w:val="000000"/>
                      <w:w w:val="10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3025" w:type="dxa"/>
                  <w:tcBorders>
                    <w:tl2br w:val="nil"/>
                    <w:tr2bl w:val="nil"/>
                  </w:tcBorders>
                  <w:vAlign w:val="center"/>
                </w:tcPr>
                <w:p>
                  <w:pPr>
                    <w:widowControl w:val="0"/>
                    <w:adjustRightInd/>
                    <w:spacing w:after="0" w:line="240" w:lineRule="auto"/>
                    <w:ind w:left="0" w:right="0" w:firstLine="0"/>
                    <w:jc w:val="both"/>
                    <w:outlineLvl w:val="9"/>
                    <w:rPr>
                      <w:rFonts w:hint="default" w:ascii="Times New Roman" w:hAnsi="Times New Roman" w:eastAsia="宋体" w:cs="Times New Roman"/>
                      <w:color w:val="000000"/>
                      <w:spacing w:val="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684" w:type="dxa"/>
                  <w:tcBorders>
                    <w:tl2br w:val="nil"/>
                    <w:tr2bl w:val="nil"/>
                  </w:tcBorders>
                  <w:vAlign w:val="center"/>
                </w:tcPr>
                <w:p>
                  <w:pPr>
                    <w:widowControl w:val="0"/>
                    <w:adjustRightInd/>
                    <w:spacing w:after="0"/>
                    <w:ind w:left="0" w:right="0"/>
                    <w:jc w:val="center"/>
                    <w:outlineLvl w:val="9"/>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一致</w:t>
                  </w:r>
                </w:p>
              </w:tc>
              <w:tc>
                <w:tcPr>
                  <w:tcW w:w="676" w:type="dxa"/>
                  <w:tcBorders>
                    <w:tl2br w:val="nil"/>
                    <w:tr2bl w:val="nil"/>
                  </w:tcBorders>
                  <w:vAlign w:val="center"/>
                </w:tcPr>
                <w:p>
                  <w:pPr>
                    <w:widowControl w:val="0"/>
                    <w:adjustRightInd/>
                    <w:spacing w:after="0"/>
                    <w:ind w:left="0" w:right="0"/>
                    <w:jc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否</w:t>
                  </w:r>
                </w:p>
              </w:tc>
            </w:tr>
          </w:tbl>
          <w:p>
            <w:pPr>
              <w:pStyle w:val="14"/>
              <w:spacing w:before="1" w:line="364" w:lineRule="auto"/>
              <w:ind w:left="0" w:right="95" w:firstLine="0"/>
              <w:jc w:val="both"/>
              <w:rPr>
                <w:rFonts w:hint="default" w:ascii="Times New Roman" w:hAnsi="Times New Roman" w:cs="Times New Roman"/>
                <w:sz w:val="24"/>
              </w:rPr>
            </w:pPr>
            <w:r>
              <w:rPr>
                <w:rFonts w:hint="default" w:ascii="Times New Roman" w:hAnsi="Times New Roman" w:eastAsia="宋体" w:cs="Times New Roman"/>
                <w:b/>
                <w:color w:val="auto"/>
                <w:sz w:val="24"/>
                <w:szCs w:val="22"/>
                <w:lang w:val="en-US" w:eastAsia="zh-CN"/>
              </w:rPr>
              <w:t>三、主要设备设施</w:t>
            </w:r>
          </w:p>
          <w:p>
            <w:pPr>
              <w:pStyle w:val="9"/>
              <w:keepLines w:val="0"/>
              <w:pageBreakBefore w:val="0"/>
              <w:kinsoku/>
              <w:overflowPunct/>
              <w:topLinePunct w:val="0"/>
              <w:bidi w:val="0"/>
              <w:spacing w:line="360" w:lineRule="auto"/>
              <w:ind w:firstLine="480" w:firstLineChars="200"/>
              <w:jc w:val="left"/>
              <w:outlineLvl w:val="9"/>
              <w:rPr>
                <w:rFonts w:hint="default" w:ascii="Times New Roman" w:hAnsi="Times New Roman" w:cs="Times New Roman" w:eastAsiaTheme="minorEastAsia"/>
                <w:b w:val="0"/>
                <w:color w:val="auto"/>
                <w:sz w:val="24"/>
                <w:szCs w:val="24"/>
                <w:lang w:val="en-US" w:eastAsia="zh-CN" w:bidi="ar-SA"/>
              </w:rPr>
            </w:pPr>
            <w:r>
              <w:rPr>
                <w:rFonts w:hint="default" w:ascii="Times New Roman" w:hAnsi="Times New Roman" w:cs="Times New Roman" w:eastAsiaTheme="minorEastAsia"/>
                <w:b w:val="0"/>
                <w:color w:val="auto"/>
                <w:sz w:val="24"/>
                <w:szCs w:val="24"/>
                <w:lang w:val="en-US" w:eastAsia="zh-CN" w:bidi="ar-SA"/>
              </w:rPr>
              <w:t>项目主要设备情况见下表2。</w:t>
            </w:r>
          </w:p>
          <w:p>
            <w:pPr>
              <w:pStyle w:val="9"/>
              <w:keepLines w:val="0"/>
              <w:pageBreakBefore w:val="0"/>
              <w:kinsoku/>
              <w:overflowPunct/>
              <w:topLinePunct w:val="0"/>
              <w:bidi w:val="0"/>
              <w:ind w:firstLine="0" w:firstLineChars="0"/>
              <w:jc w:val="center"/>
              <w:outlineLvl w:val="9"/>
              <w:rPr>
                <w:rFonts w:hint="default" w:ascii="Times New Roman" w:hAnsi="Times New Roman" w:cs="Times New Roman" w:eastAsiaTheme="minorEastAsia"/>
                <w:b w:val="0"/>
                <w:color w:val="auto"/>
                <w:sz w:val="24"/>
                <w:szCs w:val="24"/>
                <w:lang w:val="en-US" w:eastAsia="zh-CN" w:bidi="ar-SA"/>
              </w:rPr>
            </w:pPr>
            <w:r>
              <w:rPr>
                <w:rFonts w:hint="default" w:ascii="Times New Roman" w:hAnsi="Times New Roman" w:cs="Times New Roman" w:eastAsiaTheme="minorEastAsia"/>
                <w:color w:val="auto"/>
                <w:sz w:val="21"/>
                <w:szCs w:val="22"/>
                <w:lang w:val="en-US" w:eastAsia="zh-CN"/>
              </w:rPr>
              <w:t>表2  建设项目主要设备一览表</w:t>
            </w:r>
          </w:p>
          <w:tbl>
            <w:tblPr>
              <w:tblStyle w:val="10"/>
              <w:tblW w:w="8482"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126"/>
              <w:gridCol w:w="1127"/>
              <w:gridCol w:w="3967"/>
              <w:gridCol w:w="799"/>
              <w:gridCol w:w="7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rPr>
                    <w:t>及型号</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加油机</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双枪双油品污泵加油机</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vMerge w:val="restart"/>
                  <w:noWrap w:val="0"/>
                  <w:vAlign w:val="center"/>
                </w:tcPr>
                <w:p>
                  <w:pPr>
                    <w:autoSpaceDE/>
                    <w:autoSpaceDN/>
                    <w:adjustRightInd/>
                    <w:snapToGrid/>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26" w:type="dxa"/>
                  <w:vMerge w:val="restart"/>
                  <w:tcBorders>
                    <w:righ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柴油储罐</w:t>
                  </w:r>
                </w:p>
              </w:tc>
              <w:tc>
                <w:tcPr>
                  <w:tcW w:w="1127" w:type="dxa"/>
                  <w:tcBorders>
                    <w:lef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6" w:type="dxa"/>
                  <w:vMerge w:val="continue"/>
                  <w:tcBorders>
                    <w:righ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7" w:type="dxa"/>
                  <w:tcBorders>
                    <w:lef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vMerge w:val="restart"/>
                  <w:noWrap w:val="0"/>
                  <w:vAlign w:val="center"/>
                </w:tcPr>
                <w:p>
                  <w:pPr>
                    <w:autoSpaceDE/>
                    <w:autoSpaceDN/>
                    <w:adjustRightInd/>
                    <w:snapToGrid/>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26" w:type="dxa"/>
                  <w:vMerge w:val="restart"/>
                  <w:tcBorders>
                    <w:righ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汽油储罐</w:t>
                  </w:r>
                </w:p>
              </w:tc>
              <w:tc>
                <w:tcPr>
                  <w:tcW w:w="1127" w:type="dxa"/>
                  <w:tcBorders>
                    <w:lef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6" w:type="dxa"/>
                  <w:vMerge w:val="continue"/>
                  <w:tcBorders>
                    <w:righ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7" w:type="dxa"/>
                  <w:tcBorders>
                    <w:left w:val="single" w:color="auto" w:sz="4" w:space="0"/>
                  </w:tcBorders>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cr/>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消防沙箱</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5"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消防器材</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高液位报警装置</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防漏监测仪</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8</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潜油泵</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1.0HP</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9</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bl>
          <w:p>
            <w:pPr>
              <w:pStyle w:val="14"/>
              <w:numPr>
                <w:ilvl w:val="0"/>
                <w:numId w:val="1"/>
              </w:numPr>
              <w:spacing w:before="161" w:line="364" w:lineRule="auto"/>
              <w:ind w:left="0" w:right="93" w:firstLine="0"/>
              <w:rPr>
                <w:rFonts w:hint="eastAsia" w:ascii="Times New Roman" w:hAnsi="Times New Roman" w:cs="Times New Roman"/>
                <w:b/>
                <w:spacing w:val="0"/>
                <w:sz w:val="24"/>
                <w:lang w:val="en-US" w:eastAsia="zh-CN"/>
              </w:rPr>
            </w:pPr>
            <w:r>
              <w:rPr>
                <w:rFonts w:hint="eastAsia" w:ascii="Times New Roman" w:hAnsi="Times New Roman" w:cs="Times New Roman"/>
                <w:b/>
                <w:spacing w:val="0"/>
                <w:sz w:val="24"/>
                <w:lang w:val="en-US" w:eastAsia="zh-CN"/>
              </w:rPr>
              <w:t>主要原辅材料及燃料</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黑体" w:cs="Times New Roman"/>
                <w:lang w:val="en-US" w:eastAsia="zh-CN"/>
              </w:rPr>
            </w:pPr>
            <w:r>
              <w:rPr>
                <w:rFonts w:ascii="Times New Roman" w:hAnsi="Times New Roman" w:cs="Times New Roman" w:eastAsiaTheme="minorEastAsia"/>
                <w:bCs/>
                <w:color w:val="auto"/>
                <w:kern w:val="2"/>
                <w:sz w:val="24"/>
                <w:szCs w:val="24"/>
              </w:rPr>
              <w:t>项目主要原辅材料用量见表3所示。</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sz w:val="21"/>
                <w:szCs w:val="21"/>
                <w:lang w:val="en-US" w:eastAsia="zh-CN"/>
              </w:rPr>
              <w:t xml:space="preserve">表3  </w:t>
            </w:r>
            <w:r>
              <w:rPr>
                <w:rFonts w:hint="default" w:ascii="Times New Roman" w:hAnsi="Times New Roman" w:cs="Times New Roman" w:eastAsiaTheme="minorEastAsia"/>
                <w:b/>
                <w:bCs/>
                <w:sz w:val="21"/>
                <w:szCs w:val="21"/>
              </w:rPr>
              <w:t>项目实际主要原辅材料及能源使用一览表</w:t>
            </w:r>
          </w:p>
          <w:tbl>
            <w:tblPr>
              <w:tblStyle w:val="10"/>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99"/>
              <w:gridCol w:w="1985"/>
              <w:gridCol w:w="15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序号</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年销售量t/a</w:t>
                  </w:r>
                </w:p>
              </w:tc>
              <w:tc>
                <w:tcPr>
                  <w:tcW w:w="2537" w:type="dxa"/>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92#、95#</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500</w:t>
                  </w:r>
                </w:p>
              </w:tc>
              <w:tc>
                <w:tcPr>
                  <w:tcW w:w="25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不同型号产品数量根据市场的需求进行调整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2500</w:t>
                  </w:r>
                </w:p>
              </w:tc>
              <w:tc>
                <w:tcPr>
                  <w:tcW w:w="2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p>
              </w:tc>
            </w:tr>
          </w:tbl>
          <w:p>
            <w:pPr>
              <w:pStyle w:val="14"/>
              <w:numPr>
                <w:ilvl w:val="-1"/>
                <w:numId w:val="0"/>
              </w:numPr>
              <w:spacing w:before="161" w:line="364" w:lineRule="auto"/>
              <w:ind w:left="0" w:right="93" w:firstLine="0"/>
              <w:rPr>
                <w:rFonts w:hint="default" w:ascii="Times New Roman" w:hAnsi="Times New Roman" w:cs="Times New Roman"/>
                <w:b/>
                <w:spacing w:val="0"/>
                <w:sz w:val="24"/>
                <w:lang w:val="en-US" w:eastAsia="zh-CN"/>
              </w:rPr>
            </w:pPr>
            <w:r>
              <w:rPr>
                <w:rFonts w:hint="eastAsia" w:ascii="Times New Roman" w:hAnsi="Times New Roman" w:cs="Times New Roman"/>
                <w:b/>
                <w:spacing w:val="0"/>
                <w:sz w:val="24"/>
                <w:lang w:val="en-US" w:eastAsia="zh-CN"/>
              </w:rPr>
              <w:t>五、劳动定员及工作制度</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本项目站场劳动定员设计为10人，其中站长1人、安全员1人、会计1人、技术员1人、加油工6人。该站营运期每年工作日为365天，采用三班制，每班工作8小时。</w:t>
            </w:r>
          </w:p>
          <w:p>
            <w:pPr>
              <w:pStyle w:val="14"/>
              <w:numPr>
                <w:ilvl w:val="-1"/>
                <w:numId w:val="0"/>
              </w:numPr>
              <w:spacing w:before="161" w:line="364" w:lineRule="auto"/>
              <w:ind w:left="0" w:right="93" w:firstLine="0"/>
              <w:rPr>
                <w:rFonts w:hint="default" w:ascii="Times New Roman" w:hAnsi="Times New Roman" w:eastAsia="宋体" w:cs="Times New Roman"/>
                <w:spacing w:val="-3"/>
                <w:sz w:val="24"/>
                <w:lang w:val="en-US" w:eastAsia="zh-CN"/>
              </w:rPr>
            </w:pPr>
            <w:r>
              <w:rPr>
                <w:rFonts w:hint="eastAsia" w:ascii="Times New Roman" w:hAnsi="Times New Roman" w:cs="Times New Roman"/>
                <w:b/>
                <w:spacing w:val="0"/>
                <w:sz w:val="24"/>
                <w:lang w:val="en-US" w:eastAsia="zh-CN"/>
              </w:rPr>
              <w:t>六、水源及水平衡</w:t>
            </w:r>
          </w:p>
          <w:p>
            <w:pPr>
              <w:pStyle w:val="15"/>
              <w:numPr>
                <w:ilvl w:val="-1"/>
                <w:numId w:val="0"/>
              </w:numPr>
              <w:tabs>
                <w:tab w:val="left" w:pos="1319"/>
              </w:tabs>
              <w:spacing w:before="0" w:after="0" w:line="360" w:lineRule="auto"/>
              <w:ind w:left="0" w:right="0" w:firstLine="480" w:firstLineChars="200"/>
              <w:jc w:val="left"/>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eastAsiaTheme="minorEastAsia"/>
                <w:bCs/>
                <w:color w:val="auto"/>
                <w:spacing w:val="0"/>
                <w:kern w:val="2"/>
                <w:sz w:val="24"/>
                <w:szCs w:val="24"/>
                <w:lang w:val="en-US" w:eastAsia="zh-CN" w:bidi="ar-SA"/>
              </w:rPr>
              <w:t>（1）</w:t>
            </w:r>
            <w:r>
              <w:rPr>
                <w:rFonts w:ascii="Times New Roman" w:hAnsi="Times New Roman" w:cs="Times New Roman" w:eastAsiaTheme="minorEastAsia"/>
                <w:bCs/>
                <w:color w:val="auto"/>
                <w:spacing w:val="0"/>
                <w:kern w:val="2"/>
                <w:sz w:val="24"/>
                <w:szCs w:val="24"/>
                <w:lang w:val="en-US" w:bidi="ar-SA"/>
              </w:rPr>
              <w:t>给水：全厂用水量为</w:t>
            </w:r>
            <w:r>
              <w:rPr>
                <w:rFonts w:hint="eastAsia" w:ascii="Times New Roman" w:hAnsi="Times New Roman" w:cs="Times New Roman" w:eastAsiaTheme="minorEastAsia"/>
                <w:bCs/>
                <w:color w:val="auto"/>
                <w:spacing w:val="0"/>
                <w:kern w:val="2"/>
                <w:sz w:val="24"/>
                <w:szCs w:val="24"/>
                <w:lang w:val="en-US" w:eastAsia="zh-CN" w:bidi="ar-SA"/>
              </w:rPr>
              <w:t>193.355</w:t>
            </w:r>
            <w:r>
              <w:rPr>
                <w:rFonts w:ascii="Times New Roman" w:hAnsi="Times New Roman" w:cs="Times New Roman" w:eastAsiaTheme="minorEastAsia"/>
                <w:bCs/>
                <w:color w:val="auto"/>
                <w:kern w:val="2"/>
                <w:sz w:val="24"/>
                <w:szCs w:val="24"/>
                <w:lang w:val="en-US" w:bidi="ar-SA"/>
              </w:rPr>
              <w:t>m</w:t>
            </w:r>
            <w:r>
              <w:rPr>
                <w:rFonts w:ascii="Times New Roman" w:hAnsi="Times New Roman" w:cs="Times New Roman" w:eastAsiaTheme="minorEastAsia"/>
                <w:bCs/>
                <w:color w:val="auto"/>
                <w:kern w:val="2"/>
                <w:position w:val="0"/>
                <w:sz w:val="24"/>
                <w:szCs w:val="24"/>
                <w:vertAlign w:val="superscript"/>
                <w:lang w:val="en-US" w:bidi="ar-SA"/>
              </w:rPr>
              <w:t>3</w:t>
            </w:r>
            <w:r>
              <w:rPr>
                <w:rFonts w:ascii="Times New Roman" w:hAnsi="Times New Roman" w:cs="Times New Roman" w:eastAsiaTheme="minorEastAsia"/>
                <w:bCs/>
                <w:color w:val="auto"/>
                <w:kern w:val="2"/>
                <w:sz w:val="24"/>
                <w:szCs w:val="24"/>
                <w:lang w:val="en-US" w:bidi="ar-SA"/>
              </w:rPr>
              <w:t>/a，由</w:t>
            </w:r>
            <w:r>
              <w:rPr>
                <w:rFonts w:hint="default" w:ascii="Times New Roman" w:hAnsi="Times New Roman" w:cs="Times New Roman" w:eastAsiaTheme="minorEastAsia"/>
                <w:bCs/>
                <w:color w:val="auto"/>
                <w:kern w:val="2"/>
                <w:sz w:val="24"/>
                <w:szCs w:val="24"/>
                <w:lang w:val="en-US" w:eastAsia="zh-CN" w:bidi="ar-SA"/>
              </w:rPr>
              <w:t>西咸北环线高陵服务区</w:t>
            </w:r>
            <w:r>
              <w:rPr>
                <w:rFonts w:ascii="Times New Roman" w:hAnsi="Times New Roman" w:cs="Times New Roman" w:eastAsiaTheme="minorEastAsia"/>
                <w:bCs/>
                <w:color w:val="auto"/>
                <w:kern w:val="2"/>
                <w:sz w:val="24"/>
                <w:szCs w:val="24"/>
                <w:lang w:val="en-US" w:bidi="ar-SA"/>
              </w:rPr>
              <w:t>提供，可以满足项目需求。</w:t>
            </w:r>
          </w:p>
          <w:p>
            <w:pPr>
              <w:pStyle w:val="15"/>
              <w:numPr>
                <w:ilvl w:val="-1"/>
                <w:numId w:val="0"/>
              </w:numPr>
              <w:tabs>
                <w:tab w:val="left" w:pos="1315"/>
              </w:tabs>
              <w:spacing w:before="5" w:after="0" w:line="360" w:lineRule="auto"/>
              <w:ind w:left="0" w:right="0" w:firstLine="480" w:firstLineChars="200"/>
              <w:jc w:val="left"/>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eastAsiaTheme="minorEastAsia"/>
                <w:bCs/>
                <w:color w:val="auto"/>
                <w:spacing w:val="0"/>
                <w:kern w:val="2"/>
                <w:sz w:val="24"/>
                <w:szCs w:val="24"/>
                <w:lang w:val="en-US" w:eastAsia="zh-CN" w:bidi="ar-SA"/>
              </w:rPr>
              <w:t>（2）</w:t>
            </w:r>
            <w:r>
              <w:rPr>
                <w:rFonts w:ascii="Times New Roman" w:hAnsi="Times New Roman" w:cs="Times New Roman" w:eastAsiaTheme="minorEastAsia"/>
                <w:bCs/>
                <w:color w:val="auto"/>
                <w:spacing w:val="0"/>
                <w:kern w:val="2"/>
                <w:sz w:val="24"/>
                <w:szCs w:val="24"/>
                <w:lang w:val="en-US" w:bidi="ar-SA"/>
              </w:rPr>
              <w:t>排水：项目试运营过程污水量约</w:t>
            </w:r>
            <w:r>
              <w:rPr>
                <w:rFonts w:hint="eastAsia" w:ascii="Times New Roman" w:hAnsi="Times New Roman" w:cs="Times New Roman" w:eastAsiaTheme="minorEastAsia"/>
                <w:bCs/>
                <w:color w:val="auto"/>
                <w:spacing w:val="0"/>
                <w:kern w:val="2"/>
                <w:sz w:val="24"/>
                <w:szCs w:val="24"/>
                <w:lang w:val="en-US" w:eastAsia="zh-CN" w:bidi="ar-SA"/>
              </w:rPr>
              <w:t>138.7</w:t>
            </w:r>
            <w:r>
              <w:rPr>
                <w:rFonts w:ascii="Times New Roman" w:hAnsi="Times New Roman" w:cs="Times New Roman" w:eastAsiaTheme="minorEastAsia"/>
                <w:bCs/>
                <w:color w:val="auto"/>
                <w:spacing w:val="0"/>
                <w:kern w:val="2"/>
                <w:sz w:val="24"/>
                <w:szCs w:val="24"/>
                <w:lang w:val="en-US" w:bidi="ar-SA"/>
              </w:rPr>
              <w:t>m</w:t>
            </w:r>
            <w:r>
              <w:rPr>
                <w:rFonts w:ascii="Times New Roman" w:hAnsi="Times New Roman" w:cs="Times New Roman" w:eastAsiaTheme="minorEastAsia"/>
                <w:bCs/>
                <w:color w:val="auto"/>
                <w:spacing w:val="0"/>
                <w:kern w:val="2"/>
                <w:position w:val="0"/>
                <w:sz w:val="24"/>
                <w:szCs w:val="24"/>
                <w:vertAlign w:val="superscript"/>
                <w:lang w:val="en-US" w:bidi="ar-SA"/>
              </w:rPr>
              <w:t>3</w:t>
            </w:r>
            <w:r>
              <w:rPr>
                <w:rFonts w:ascii="Times New Roman" w:hAnsi="Times New Roman" w:cs="Times New Roman" w:eastAsiaTheme="minorEastAsia"/>
                <w:bCs/>
                <w:color w:val="auto"/>
                <w:spacing w:val="0"/>
                <w:kern w:val="2"/>
                <w:sz w:val="24"/>
                <w:szCs w:val="24"/>
                <w:lang w:val="en-US" w:bidi="ar-SA"/>
              </w:rPr>
              <w:t>/a，经厂区一体化污水处理设备处理后，</w:t>
            </w:r>
            <w:r>
              <w:rPr>
                <w:rFonts w:hint="default" w:ascii="Times New Roman" w:hAnsi="Times New Roman" w:cs="Times New Roman" w:eastAsiaTheme="minorEastAsia"/>
                <w:bCs/>
                <w:color w:val="auto"/>
                <w:spacing w:val="0"/>
                <w:kern w:val="2"/>
                <w:sz w:val="24"/>
                <w:szCs w:val="24"/>
                <w:lang w:val="en-US" w:eastAsia="zh-CN" w:bidi="ar-SA"/>
              </w:rPr>
              <w:t>回</w:t>
            </w:r>
            <w:r>
              <w:rPr>
                <w:rFonts w:ascii="Times New Roman" w:hAnsi="Times New Roman" w:cs="Times New Roman" w:eastAsiaTheme="minorEastAsia"/>
                <w:bCs/>
                <w:color w:val="auto"/>
                <w:spacing w:val="0"/>
                <w:kern w:val="2"/>
                <w:sz w:val="24"/>
                <w:szCs w:val="24"/>
                <w:lang w:val="en-US" w:bidi="ar-SA"/>
              </w:rPr>
              <w:t>用于</w:t>
            </w:r>
            <w:r>
              <w:rPr>
                <w:rFonts w:hint="default" w:ascii="Times New Roman" w:hAnsi="Times New Roman" w:cs="Times New Roman" w:eastAsiaTheme="minorEastAsia"/>
                <w:bCs/>
                <w:color w:val="auto"/>
                <w:spacing w:val="0"/>
                <w:kern w:val="2"/>
                <w:sz w:val="24"/>
                <w:szCs w:val="24"/>
                <w:lang w:val="en-US" w:eastAsia="zh-CN" w:bidi="ar-SA"/>
              </w:rPr>
              <w:t>冲厕用水及</w:t>
            </w:r>
            <w:r>
              <w:rPr>
                <w:rFonts w:ascii="Times New Roman" w:hAnsi="Times New Roman" w:cs="Times New Roman" w:eastAsiaTheme="minorEastAsia"/>
                <w:bCs/>
                <w:color w:val="auto"/>
                <w:spacing w:val="0"/>
                <w:kern w:val="2"/>
                <w:sz w:val="24"/>
                <w:szCs w:val="24"/>
                <w:lang w:val="en-US" w:bidi="ar-SA"/>
              </w:rPr>
              <w:t>绿化用水，综合利用不外排。</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ascii="Times New Roman" w:hAnsi="Times New Roman" w:cs="Times New Roman" w:eastAsiaTheme="minorEastAsia"/>
                <w:bCs/>
                <w:color w:val="auto"/>
                <w:kern w:val="2"/>
                <w:sz w:val="24"/>
                <w:szCs w:val="24"/>
              </w:rPr>
            </w:pPr>
            <w:r>
              <w:rPr>
                <w:rFonts w:ascii="Times New Roman" w:hAnsi="Times New Roman" w:cs="Times New Roman" w:eastAsiaTheme="minorEastAsia"/>
                <w:bCs/>
                <w:color w:val="auto"/>
                <w:kern w:val="2"/>
                <w:sz w:val="24"/>
                <w:szCs w:val="24"/>
              </w:rPr>
              <w:t>本次工程用排水平衡见图1。</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drawing>
                <wp:inline distT="0" distB="0" distL="114300" distR="114300">
                  <wp:extent cx="5404485" cy="2527300"/>
                  <wp:effectExtent l="0" t="0" r="5715" b="6350"/>
                  <wp:docPr id="9" name="图片 9" descr="高陵加油站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高陵加油站水平衡图"/>
                          <pic:cNvPicPr>
                            <a:picLocks noChangeAspect="1"/>
                          </pic:cNvPicPr>
                        </pic:nvPicPr>
                        <pic:blipFill>
                          <a:blip r:embed="rId7"/>
                          <a:srcRect t="6933" b="9454"/>
                          <a:stretch>
                            <a:fillRect/>
                          </a:stretch>
                        </pic:blipFill>
                        <pic:spPr>
                          <a:xfrm>
                            <a:off x="0" y="0"/>
                            <a:ext cx="5404485" cy="2527300"/>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val="0"/>
                <w:color w:val="auto"/>
                <w:kern w:val="2"/>
                <w:sz w:val="21"/>
                <w:szCs w:val="21"/>
                <w:lang w:val="en-US" w:eastAsia="zh-CN" w:bidi="ar-SA"/>
              </w:rPr>
            </w:pPr>
            <w:r>
              <w:rPr>
                <w:rFonts w:hint="eastAsia" w:ascii="Times New Roman" w:hAnsi="Times New Roman" w:cs="Times New Roman" w:eastAsiaTheme="minorEastAsia"/>
                <w:b/>
                <w:bCs w:val="0"/>
                <w:color w:val="auto"/>
                <w:kern w:val="2"/>
                <w:sz w:val="21"/>
                <w:szCs w:val="21"/>
                <w:lang w:val="en-US" w:eastAsia="zh-CN" w:bidi="ar-SA"/>
              </w:rPr>
              <w:t xml:space="preserve">图1  </w:t>
            </w:r>
            <w:r>
              <w:rPr>
                <w:rFonts w:ascii="Times New Roman" w:hAnsi="Times New Roman" w:cs="Times New Roman" w:eastAsiaTheme="minorEastAsia"/>
                <w:b/>
                <w:bCs w:val="0"/>
                <w:color w:val="auto"/>
                <w:kern w:val="2"/>
                <w:sz w:val="21"/>
                <w:szCs w:val="21"/>
              </w:rPr>
              <w:t>工程用排水平衡</w:t>
            </w:r>
            <w:r>
              <w:rPr>
                <w:rFonts w:hint="eastAsia" w:ascii="Times New Roman" w:hAnsi="Times New Roman" w:cs="Times New Roman" w:eastAsiaTheme="minorEastAsia"/>
                <w:b/>
                <w:bCs w:val="0"/>
                <w:color w:val="auto"/>
                <w:kern w:val="2"/>
                <w:sz w:val="21"/>
                <w:szCs w:val="21"/>
                <w:lang w:eastAsia="zh-CN"/>
              </w:rPr>
              <w:t>图</w:t>
            </w:r>
            <w:r>
              <w:rPr>
                <w:rFonts w:hint="eastAsia" w:ascii="Times New Roman" w:hAnsi="Times New Roman" w:cs="Times New Roman" w:eastAsiaTheme="minorEastAsia"/>
                <w:b/>
                <w:bCs w:val="0"/>
                <w:color w:val="auto"/>
                <w:kern w:val="2"/>
                <w:sz w:val="21"/>
                <w:szCs w:val="21"/>
                <w:lang w:val="en-US" w:eastAsia="zh-CN"/>
              </w:rPr>
              <w:t xml:space="preserve">    单位：m</w:t>
            </w:r>
            <w:r>
              <w:rPr>
                <w:rFonts w:hint="eastAsia" w:ascii="Times New Roman" w:hAnsi="Times New Roman" w:cs="Times New Roman" w:eastAsiaTheme="minorEastAsia"/>
                <w:b/>
                <w:bCs w:val="0"/>
                <w:color w:val="auto"/>
                <w:kern w:val="2"/>
                <w:sz w:val="21"/>
                <w:szCs w:val="21"/>
                <w:vertAlign w:val="superscript"/>
                <w:lang w:val="en-US" w:eastAsia="zh-CN"/>
              </w:rPr>
              <w:t>3</w:t>
            </w:r>
            <w:r>
              <w:rPr>
                <w:rFonts w:hint="eastAsia" w:ascii="Times New Roman" w:hAnsi="Times New Roman" w:cs="Times New Roman" w:eastAsiaTheme="minorEastAsia"/>
                <w:b/>
                <w:bCs w:val="0"/>
                <w:color w:val="auto"/>
                <w:kern w:val="2"/>
                <w:sz w:val="21"/>
                <w:szCs w:val="21"/>
                <w:lang w:val="en-US" w:eastAsia="zh-CN"/>
              </w:rPr>
              <w:t>/a</w:t>
            </w:r>
          </w:p>
          <w:p>
            <w:pPr>
              <w:pStyle w:val="5"/>
              <w:keepLines w:val="0"/>
              <w:pageBreakBefore w:val="0"/>
              <w:numPr>
                <w:ilvl w:val="0"/>
                <w:numId w:val="2"/>
              </w:numPr>
              <w:kinsoku/>
              <w:overflowPunct/>
              <w:topLinePunct w:val="0"/>
              <w:autoSpaceDE/>
              <w:autoSpaceDN/>
              <w:bidi w:val="0"/>
              <w:adjustRightInd/>
              <w:snapToGrid/>
              <w:spacing w:afterLines="50" w:line="360" w:lineRule="auto"/>
              <w:ind w:left="0" w:leftChars="0" w:right="0" w:rightChars="0"/>
              <w:outlineLvl w:val="9"/>
              <w:rPr>
                <w:rFonts w:hint="eastAsia" w:ascii="Times New Roman" w:hAnsi="Times New Roman" w:eastAsia="宋体" w:cs="Times New Roman"/>
                <w:b/>
                <w:sz w:val="24"/>
                <w:szCs w:val="22"/>
                <w:lang w:val="en-US" w:eastAsia="zh-CN"/>
              </w:rPr>
            </w:pPr>
            <w:r>
              <w:rPr>
                <w:rFonts w:hint="eastAsia" w:ascii="Times New Roman" w:hAnsi="Times New Roman" w:eastAsia="宋体" w:cs="Times New Roman"/>
                <w:b/>
                <w:color w:val="auto"/>
                <w:sz w:val="24"/>
                <w:szCs w:val="22"/>
                <w:lang w:val="en-US" w:eastAsia="zh-CN"/>
              </w:rPr>
              <w:t>运营期加油站总工艺流程及产污环节图</w:t>
            </w:r>
          </w:p>
          <w:p>
            <w:pPr>
              <w:keepLines w:val="0"/>
              <w:pageBreakBefore w:val="0"/>
              <w:numPr>
                <w:ilvl w:val="0"/>
                <w:numId w:val="0"/>
              </w:numPr>
              <w:kinsoku/>
              <w:overflowPunct/>
              <w:topLinePunct w:val="0"/>
              <w:bidi w:val="0"/>
              <w:adjustRightInd w:val="0"/>
              <w:snapToGrid w:val="0"/>
              <w:spacing w:line="360" w:lineRule="auto"/>
              <w:ind w:left="480" w:leftChars="0" w:right="0" w:rightChars="0"/>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加油站总工艺流程及产污环节见图</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p>
            <w:pPr>
              <w:keepLines w:val="0"/>
              <w:pageBreakBefore w:val="0"/>
              <w:numPr>
                <w:ilvl w:val="0"/>
                <w:numId w:val="0"/>
              </w:numPr>
              <w:kinsoku/>
              <w:overflowPunct/>
              <w:topLinePunct w:val="0"/>
              <w:bidi w:val="0"/>
              <w:adjustRightInd w:val="0"/>
              <w:snapToGrid w:val="0"/>
              <w:spacing w:line="360" w:lineRule="auto"/>
              <w:ind w:right="0" w:rightChars="0"/>
              <w:outlineLvl w:val="9"/>
              <w:rPr>
                <w:rFonts w:hint="default" w:ascii="Times New Roman" w:hAnsi="Times New Roman" w:eastAsia="宋体" w:cs="Times New Roman"/>
                <w:color w:val="auto"/>
                <w:sz w:val="24"/>
                <w:szCs w:val="24"/>
                <w:lang w:val="en-US" w:eastAsia="zh-CN"/>
              </w:rPr>
            </w:pPr>
            <w:r>
              <w:drawing>
                <wp:inline distT="0" distB="0" distL="114300" distR="114300">
                  <wp:extent cx="5402580" cy="2393950"/>
                  <wp:effectExtent l="0" t="0" r="7620" b="6350"/>
                  <wp:docPr id="1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
                          <pic:cNvPicPr>
                            <a:picLocks noChangeAspect="1"/>
                          </pic:cNvPicPr>
                        </pic:nvPicPr>
                        <pic:blipFill>
                          <a:blip r:embed="rId8"/>
                          <a:stretch>
                            <a:fillRect/>
                          </a:stretch>
                        </pic:blipFill>
                        <pic:spPr>
                          <a:xfrm>
                            <a:off x="0" y="0"/>
                            <a:ext cx="5402580" cy="2393950"/>
                          </a:xfrm>
                          <a:prstGeom prst="rect">
                            <a:avLst/>
                          </a:prstGeom>
                          <a:noFill/>
                          <a:ln>
                            <a:noFill/>
                          </a:ln>
                        </pic:spPr>
                      </pic:pic>
                    </a:graphicData>
                  </a:graphic>
                </wp:inline>
              </w:drawing>
            </w:r>
          </w:p>
          <w:p>
            <w:pPr>
              <w:keepLines w:val="0"/>
              <w:pageBreakBefore w:val="0"/>
              <w:numPr>
                <w:ilvl w:val="0"/>
                <w:numId w:val="0"/>
              </w:numPr>
              <w:kinsoku/>
              <w:overflowPunct/>
              <w:topLinePunct w:val="0"/>
              <w:bidi w:val="0"/>
              <w:adjustRightInd w:val="0"/>
              <w:snapToGrid w:val="0"/>
              <w:spacing w:line="360" w:lineRule="auto"/>
              <w:ind w:right="0" w:right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color w:val="auto"/>
                <w:sz w:val="21"/>
                <w:szCs w:val="21"/>
                <w:lang w:val="en-US" w:eastAsia="zh-CN"/>
              </w:rPr>
              <w:t>加油站总工艺流程及产污环节图</w:t>
            </w:r>
          </w:p>
          <w:p>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工艺流程及产污环节简述：</w:t>
            </w:r>
          </w:p>
          <w:p>
            <w:pPr>
              <w:pStyle w:val="5"/>
              <w:keepLines w:val="0"/>
              <w:pageBreakBefore w:val="0"/>
              <w:numPr>
                <w:ilvl w:val="0"/>
                <w:numId w:val="3"/>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卸油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default"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油罐车将成品油运至加油站处，本项目储油罐均为埋地式，采用浸没式密闭卸油方式，将成品油分别卸到个储油罐中。在卸油过程中，由于机械力的作用，加剧了油品的挥发程度，产生了油气。而储油罐中的气体空间随着油品的液位升高而减少，气体压力增大。为保持压力的平衡，一部分气体通过呼吸阀排出，形成了“大呼吸”的油气排放。</w:t>
            </w:r>
          </w:p>
          <w:p>
            <w:pPr>
              <w:pStyle w:val="5"/>
              <w:keepLines w:val="0"/>
              <w:pageBreakBefore w:val="0"/>
              <w:numPr>
                <w:ilvl w:val="0"/>
                <w:numId w:val="3"/>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储油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成品油在储罐内静置储存过程中，储油罐内的温度昼夜有规律变化。白天温度升高，热量使油气膨胀，压力增高，造成油气的挥发；晚间温度降低，罐内气体压力降低，吸入新鲜空气，为平衡蒸气压，油气从液相中蒸发，至止油面上的气体达到新的饱和蒸气压，造成油气的挥发。上述过程昼夜交替进行，形成了“小呼吸”的油气排放。</w:t>
            </w:r>
          </w:p>
          <w:p>
            <w:pPr>
              <w:pStyle w:val="5"/>
              <w:keepLines w:val="0"/>
              <w:pageBreakBefore w:val="0"/>
              <w:numPr>
                <w:ilvl w:val="0"/>
                <w:numId w:val="3"/>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加油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在向车用邮箱加油是，先通过加油机本身自带的压力泵将埋地罐中的成品油送至加油机计量系统进行计量，然后再通过与加油机连接点加油枪将油品送至车用油箱中，每个加油枪设单独管线吸油。此时，若不进行油气回收，产生的油气在车用油箱的加油口处无组织排放。</w:t>
            </w:r>
          </w:p>
          <w:p>
            <w:pPr>
              <w:pStyle w:val="2"/>
              <w:spacing w:before="0" w:line="360" w:lineRule="auto"/>
              <w:ind w:left="0" w:firstLine="480" w:firstLineChars="200"/>
              <w:rPr>
                <w:rFonts w:hint="default"/>
              </w:rPr>
            </w:pPr>
            <w:r>
              <w:rPr>
                <w:rFonts w:hint="eastAsia" w:ascii="Times New Roman" w:hAnsi="Times New Roman" w:cs="Times New Roman"/>
                <w:b w:val="0"/>
                <w:bCs/>
                <w:sz w:val="24"/>
                <w:szCs w:val="22"/>
                <w:lang w:val="en-US" w:eastAsia="zh-CN"/>
              </w:rPr>
              <w:t>项目安装分散式油气回收系统回收汽油加油、储油、卸油过程中产生的油气进行密闭收集、储存和回收处理，抑制油气无组织逸散挥发，达到保护环境及顾客、员工身体健康的目的。</w:t>
            </w:r>
          </w:p>
          <w:p>
            <w:pPr>
              <w:pStyle w:val="5"/>
              <w:keepLines w:val="0"/>
              <w:pageBreakBefore w:val="0"/>
              <w:numPr>
                <w:ilvl w:val="0"/>
                <w:numId w:val="2"/>
              </w:numPr>
              <w:kinsoku/>
              <w:overflowPunct/>
              <w:topLinePunct w:val="0"/>
              <w:autoSpaceDE/>
              <w:autoSpaceDN/>
              <w:bidi w:val="0"/>
              <w:adjustRightInd/>
              <w:snapToGrid/>
              <w:spacing w:afterLines="50" w:line="360" w:lineRule="auto"/>
              <w:ind w:left="0" w:leftChars="0" w:right="0" w:rightChars="0"/>
              <w:outlineLvl w:val="9"/>
              <w:rPr>
                <w:rFonts w:hint="eastAsia" w:ascii="Times New Roman" w:hAnsi="Times New Roman" w:eastAsia="宋体" w:cs="Times New Roman"/>
                <w:b/>
                <w:sz w:val="24"/>
                <w:szCs w:val="22"/>
                <w:lang w:val="en-US" w:eastAsia="zh-CN"/>
              </w:rPr>
            </w:pPr>
            <w:r>
              <w:rPr>
                <w:rFonts w:hint="eastAsia" w:ascii="Times New Roman" w:hAnsi="Times New Roman" w:cs="Times New Roman"/>
                <w:b/>
                <w:sz w:val="24"/>
                <w:szCs w:val="22"/>
                <w:lang w:val="en-US" w:eastAsia="zh-CN"/>
              </w:rPr>
              <w:t>项目变动情况</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480" w:firstLineChars="200"/>
              <w:textAlignment w:val="auto"/>
              <w:outlineLvl w:val="9"/>
              <w:rPr>
                <w:rFonts w:hint="default" w:ascii="Times New Roman" w:hAnsi="Times New Roman" w:cs="Times New Roman" w:eastAsiaTheme="minorEastAsia"/>
                <w:b w:val="0"/>
                <w:color w:val="auto"/>
                <w:sz w:val="24"/>
                <w:szCs w:val="24"/>
              </w:rPr>
            </w:pPr>
            <w:r>
              <w:rPr>
                <w:rFonts w:hint="default" w:ascii="Times New Roman" w:hAnsi="Times New Roman" w:cs="Times New Roman" w:eastAsiaTheme="minorEastAsia"/>
                <w:b w:val="0"/>
                <w:color w:val="000000"/>
                <w:sz w:val="24"/>
                <w:szCs w:val="24"/>
              </w:rPr>
              <w:t>根据现场调查，本项目实际建设情况及原环评内容变化情况见表</w:t>
            </w:r>
            <w:r>
              <w:rPr>
                <w:rFonts w:hint="default" w:ascii="Times New Roman" w:hAnsi="Times New Roman" w:cs="Times New Roman" w:eastAsiaTheme="minorEastAsia"/>
                <w:b w:val="0"/>
                <w:color w:val="auto"/>
                <w:sz w:val="24"/>
                <w:szCs w:val="24"/>
                <w:lang w:eastAsia="zh-CN"/>
              </w:rPr>
              <w:t>4</w:t>
            </w:r>
            <w:r>
              <w:rPr>
                <w:rFonts w:hint="default" w:ascii="Times New Roman" w:hAnsi="Times New Roman" w:cs="Times New Roman" w:eastAsiaTheme="minorEastAsia"/>
                <w:b w:val="0"/>
                <w:color w:val="auto"/>
                <w:sz w:val="24"/>
                <w:szCs w:val="24"/>
              </w:rPr>
              <w:t>。</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auto"/>
                <w:sz w:val="21"/>
                <w:szCs w:val="21"/>
                <w:lang w:val="en-US" w:eastAsia="zh-CN"/>
              </w:rPr>
              <w:t xml:space="preserve">表4  </w:t>
            </w:r>
            <w:r>
              <w:rPr>
                <w:rFonts w:hint="default" w:ascii="Times New Roman" w:hAnsi="Times New Roman" w:cs="Times New Roman" w:eastAsiaTheme="minorEastAsia"/>
                <w:b/>
                <w:bCs/>
                <w:sz w:val="21"/>
                <w:szCs w:val="21"/>
              </w:rPr>
              <w:t>项目变动情况一览表</w:t>
            </w:r>
          </w:p>
          <w:tbl>
            <w:tblPr>
              <w:tblStyle w:val="10"/>
              <w:tblpPr w:leftFromText="180" w:rightFromText="180" w:vertAnchor="text" w:horzAnchor="page" w:tblpX="1423" w:tblpY="147"/>
              <w:tblOverlap w:val="never"/>
              <w:tblW w:w="848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10"/>
              <w:gridCol w:w="565"/>
              <w:gridCol w:w="2684"/>
              <w:gridCol w:w="15"/>
              <w:gridCol w:w="2703"/>
              <w:gridCol w:w="775"/>
              <w:gridCol w:w="518"/>
              <w:gridCol w:w="61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1175" w:type="dxa"/>
                  <w:gridSpan w:val="2"/>
                  <w:vMerge w:val="restart"/>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分类</w:t>
                  </w:r>
                </w:p>
              </w:tc>
              <w:tc>
                <w:tcPr>
                  <w:tcW w:w="5402" w:type="dxa"/>
                  <w:gridSpan w:val="3"/>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内容及规模</w:t>
                  </w:r>
                </w:p>
              </w:tc>
              <w:tc>
                <w:tcPr>
                  <w:tcW w:w="775"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变动情况</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变动原因</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pacing w:val="0"/>
                      <w:sz w:val="21"/>
                      <w:szCs w:val="21"/>
                    </w:rPr>
                    <w:t>是否属于</w:t>
                  </w:r>
                  <w:r>
                    <w:rPr>
                      <w:rFonts w:ascii="Times New Roman" w:hAnsi="Times New Roman" w:eastAsia="宋体" w:cs="Times New Roman"/>
                      <w:spacing w:val="0"/>
                      <w:w w:val="100"/>
                      <w:sz w:val="21"/>
                      <w:szCs w:val="21"/>
                    </w:rPr>
                    <w:t>重大</w:t>
                  </w:r>
                </w:p>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pacing w:val="0"/>
                      <w:w w:val="100"/>
                      <w:sz w:val="21"/>
                      <w:szCs w:val="21"/>
                    </w:rPr>
                    <w:t>变动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75" w:type="dxa"/>
                  <w:gridSpan w:val="2"/>
                  <w:vMerge w:val="continue"/>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环评及批复建设内容</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实际建设内容</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建设地点</w:t>
                  </w:r>
                </w:p>
              </w:tc>
              <w:tc>
                <w:tcPr>
                  <w:tcW w:w="2684" w:type="dxa"/>
                  <w:tcBorders>
                    <w:tl2br w:val="nil"/>
                    <w:tr2bl w:val="nil"/>
                  </w:tcBorders>
                  <w:vAlign w:val="center"/>
                </w:tcPr>
                <w:p>
                  <w:pPr>
                    <w:pStyle w:val="14"/>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南</w:t>
                  </w:r>
                  <w:r>
                    <w:rPr>
                      <w:rFonts w:hint="default" w:ascii="Times New Roman" w:hAnsi="Times New Roman" w:cs="Times New Roman"/>
                      <w:sz w:val="21"/>
                    </w:rPr>
                    <w:t>加油站建设项目</w:t>
                  </w:r>
                </w:p>
              </w:tc>
              <w:tc>
                <w:tcPr>
                  <w:tcW w:w="2718" w:type="dxa"/>
                  <w:gridSpan w:val="2"/>
                  <w:tcBorders>
                    <w:tl2br w:val="nil"/>
                    <w:tr2bl w:val="nil"/>
                  </w:tcBorders>
                  <w:vAlign w:val="center"/>
                </w:tcPr>
                <w:p>
                  <w:pPr>
                    <w:pStyle w:val="14"/>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南</w:t>
                  </w:r>
                  <w:r>
                    <w:rPr>
                      <w:rFonts w:hint="default" w:ascii="Times New Roman" w:hAnsi="Times New Roman" w:cs="Times New Roman"/>
                      <w:sz w:val="21"/>
                    </w:rPr>
                    <w:t>加油站建设项目</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平面布置</w:t>
                  </w:r>
                </w:p>
              </w:tc>
              <w:tc>
                <w:tcPr>
                  <w:tcW w:w="2684" w:type="dxa"/>
                  <w:tcBorders>
                    <w:tl2br w:val="nil"/>
                    <w:tr2bl w:val="nil"/>
                  </w:tcBorders>
                  <w:vAlign w:val="center"/>
                </w:tcPr>
                <w:p>
                  <w:pPr>
                    <w:autoSpaceDE w:val="0"/>
                    <w:autoSpaceDN w:val="0"/>
                    <w:spacing w:before="0" w:after="0"/>
                    <w:ind w:left="0" w:leftChars="0" w:right="0" w:rightChars="0"/>
                    <w:jc w:val="both"/>
                    <w:rPr>
                      <w:rFonts w:ascii="Times New Roman" w:hAnsi="Times New Roman" w:eastAsia="宋体" w:cs="Times New Roman"/>
                      <w:sz w:val="21"/>
                      <w:szCs w:val="21"/>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val="en-US" w:eastAsia="zh-CN"/>
                    </w:rPr>
                    <w:t>南</w:t>
                  </w:r>
                  <w:r>
                    <w:rPr>
                      <w:rFonts w:ascii="Times New Roman" w:hAnsi="Times New Roman" w:eastAsia="宋体" w:cs="Times New Roman"/>
                      <w:w w:val="100"/>
                      <w:sz w:val="21"/>
                      <w:szCs w:val="21"/>
                    </w:rPr>
                    <w:t>部，储罐区在</w:t>
                  </w:r>
                  <w:r>
                    <w:rPr>
                      <w:rFonts w:hint="eastAsia" w:ascii="Times New Roman" w:hAnsi="Times New Roman" w:eastAsia="宋体" w:cs="Times New Roman"/>
                      <w:w w:val="100"/>
                      <w:sz w:val="21"/>
                      <w:szCs w:val="21"/>
                      <w:lang w:val="en-US" w:eastAsia="zh-CN"/>
                    </w:rPr>
                    <w:t>西南</w:t>
                  </w:r>
                  <w:r>
                    <w:rPr>
                      <w:rFonts w:ascii="Times New Roman" w:hAnsi="Times New Roman" w:eastAsia="宋体" w:cs="Times New Roman"/>
                      <w:w w:val="100"/>
                      <w:sz w:val="21"/>
                      <w:szCs w:val="21"/>
                    </w:rPr>
                    <w:t>部，加油区布置在场地</w:t>
                  </w:r>
                  <w:r>
                    <w:rPr>
                      <w:rFonts w:hint="eastAsia" w:ascii="Times New Roman" w:hAnsi="Times New Roman" w:eastAsia="宋体" w:cs="Times New Roman"/>
                      <w:w w:val="100"/>
                      <w:sz w:val="21"/>
                      <w:szCs w:val="21"/>
                      <w:lang w:val="en-US" w:eastAsia="zh-CN"/>
                    </w:rPr>
                    <w:t>北</w:t>
                  </w:r>
                  <w:r>
                    <w:rPr>
                      <w:rFonts w:ascii="Times New Roman" w:hAnsi="Times New Roman" w:eastAsia="宋体" w:cs="Times New Roman"/>
                      <w:w w:val="100"/>
                      <w:sz w:val="21"/>
                      <w:szCs w:val="21"/>
                    </w:rPr>
                    <w:t>部</w:t>
                  </w:r>
                </w:p>
              </w:tc>
              <w:tc>
                <w:tcPr>
                  <w:tcW w:w="2718" w:type="dxa"/>
                  <w:gridSpan w:val="2"/>
                  <w:tcBorders>
                    <w:tl2br w:val="nil"/>
                    <w:tr2bl w:val="nil"/>
                  </w:tcBorders>
                  <w:vAlign w:val="center"/>
                </w:tcPr>
                <w:p>
                  <w:pPr>
                    <w:autoSpaceDE w:val="0"/>
                    <w:autoSpaceDN w:val="0"/>
                    <w:spacing w:before="0" w:after="0"/>
                    <w:ind w:left="0" w:leftChars="0" w:right="0" w:rightChars="0"/>
                    <w:jc w:val="both"/>
                    <w:rPr>
                      <w:rFonts w:hint="eastAsia" w:ascii="Times New Roman" w:hAnsi="Times New Roman" w:eastAsia="宋体" w:cs="Times New Roman"/>
                      <w:sz w:val="21"/>
                      <w:szCs w:val="21"/>
                      <w:lang w:eastAsia="zh-CN"/>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val="en-US" w:eastAsia="zh-CN"/>
                    </w:rPr>
                    <w:t>南</w:t>
                  </w:r>
                  <w:r>
                    <w:rPr>
                      <w:rFonts w:ascii="Times New Roman" w:hAnsi="Times New Roman" w:eastAsia="宋体" w:cs="Times New Roman"/>
                      <w:w w:val="100"/>
                      <w:sz w:val="21"/>
                      <w:szCs w:val="21"/>
                    </w:rPr>
                    <w:t>部，储罐区</w:t>
                  </w:r>
                  <w:r>
                    <w:rPr>
                      <w:rFonts w:hint="eastAsia" w:ascii="Times New Roman" w:hAnsi="Times New Roman" w:eastAsia="宋体" w:cs="Times New Roman"/>
                      <w:w w:val="100"/>
                      <w:sz w:val="21"/>
                      <w:szCs w:val="21"/>
                      <w:lang w:val="en-US" w:eastAsia="zh-CN"/>
                    </w:rPr>
                    <w:t>西南</w:t>
                  </w:r>
                  <w:r>
                    <w:rPr>
                      <w:rFonts w:ascii="Times New Roman" w:hAnsi="Times New Roman" w:eastAsia="宋体" w:cs="Times New Roman"/>
                      <w:w w:val="100"/>
                      <w:sz w:val="21"/>
                      <w:szCs w:val="21"/>
                    </w:rPr>
                    <w:t>部，加油区布置在场地</w:t>
                  </w:r>
                  <w:r>
                    <w:rPr>
                      <w:rFonts w:hint="eastAsia" w:ascii="Times New Roman" w:hAnsi="Times New Roman" w:eastAsia="宋体" w:cs="Times New Roman"/>
                      <w:w w:val="100"/>
                      <w:sz w:val="21"/>
                      <w:szCs w:val="21"/>
                      <w:lang w:val="en-US" w:eastAsia="zh-CN"/>
                    </w:rPr>
                    <w:t>北</w:t>
                  </w:r>
                  <w:r>
                    <w:rPr>
                      <w:rFonts w:hint="eastAsia" w:ascii="Times New Roman" w:hAnsi="Times New Roman" w:eastAsia="宋体" w:cs="Times New Roman"/>
                      <w:w w:val="100"/>
                      <w:sz w:val="21"/>
                      <w:szCs w:val="21"/>
                      <w:lang w:eastAsia="zh-CN"/>
                    </w:rPr>
                    <w:t>部</w:t>
                  </w:r>
                </w:p>
              </w:tc>
              <w:tc>
                <w:tcPr>
                  <w:tcW w:w="775"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280"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工程内容</w:t>
                  </w: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满足安全要求</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设备清单</w:t>
                  </w:r>
                </w:p>
              </w:tc>
              <w:tc>
                <w:tcPr>
                  <w:tcW w:w="2684" w:type="dxa"/>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2718" w:type="dxa"/>
                  <w:gridSpan w:val="2"/>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生产工艺</w:t>
                  </w:r>
                </w:p>
              </w:tc>
              <w:tc>
                <w:tcPr>
                  <w:tcW w:w="2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2718"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775"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4"/>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0" w:type="dxa"/>
                  <w:vMerge w:val="restart"/>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废水治理</w:t>
                  </w:r>
                </w:p>
              </w:tc>
              <w:tc>
                <w:tcPr>
                  <w:tcW w:w="2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项目场地冲洗废水经隔油池处理后和生活污水一并进入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2718"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项目场地</w:t>
                  </w:r>
                  <w:r>
                    <w:rPr>
                      <w:rFonts w:hint="eastAsia" w:ascii="Times New Roman" w:hAnsi="Times New Roman" w:cs="Times New Roman"/>
                      <w:sz w:val="21"/>
                      <w:szCs w:val="21"/>
                      <w:lang w:eastAsia="zh-CN"/>
                    </w:rPr>
                    <w:t>设置隔油池，项目产生</w:t>
                  </w:r>
                  <w:r>
                    <w:rPr>
                      <w:rFonts w:ascii="Times New Roman" w:hAnsi="Times New Roman" w:cs="Times New Roman"/>
                      <w:sz w:val="21"/>
                      <w:szCs w:val="21"/>
                    </w:rPr>
                    <w:t>废水</w:t>
                  </w:r>
                  <w:r>
                    <w:rPr>
                      <w:rFonts w:hint="eastAsia" w:ascii="Times New Roman" w:hAnsi="Times New Roman" w:cs="Times New Roman"/>
                      <w:sz w:val="21"/>
                      <w:szCs w:val="21"/>
                      <w:lang w:eastAsia="zh-CN"/>
                    </w:rPr>
                    <w:t>主要为</w:t>
                  </w:r>
                  <w:r>
                    <w:rPr>
                      <w:rFonts w:ascii="Times New Roman" w:hAnsi="Times New Roman" w:cs="Times New Roman"/>
                      <w:sz w:val="21"/>
                      <w:szCs w:val="21"/>
                    </w:rPr>
                    <w:t>生活污水</w:t>
                  </w:r>
                  <w:r>
                    <w:rPr>
                      <w:rFonts w:hint="eastAsia" w:ascii="Times New Roman" w:hAnsi="Times New Roman" w:cs="Times New Roman"/>
                      <w:sz w:val="21"/>
                      <w:szCs w:val="21"/>
                      <w:lang w:eastAsia="zh-CN"/>
                    </w:rPr>
                    <w:t>，生活污水</w:t>
                  </w:r>
                  <w:r>
                    <w:rPr>
                      <w:rFonts w:ascii="Times New Roman" w:hAnsi="Times New Roman" w:cs="Times New Roman"/>
                      <w:sz w:val="21"/>
                      <w:szCs w:val="21"/>
                    </w:rPr>
                    <w:t>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775" w:type="dxa"/>
                  <w:tcBorders>
                    <w:tl2br w:val="nil"/>
                    <w:tr2bl w:val="nil"/>
                  </w:tcBorders>
                  <w:vAlign w:val="center"/>
                </w:tcPr>
                <w:p>
                  <w:pPr>
                    <w:pStyle w:val="14"/>
                    <w:widowControl w:val="0"/>
                    <w:autoSpaceDE w:val="0"/>
                    <w:autoSpaceDN w:val="0"/>
                    <w:adjustRightInd/>
                    <w:snapToGrid/>
                    <w:spacing w:before="1" w:after="0" w:afterLines="-2147483648"/>
                    <w:ind w:left="11" w:leftChars="0" w:right="2" w:rightChars="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sz w:val="21"/>
                      <w:lang w:eastAsia="zh-CN"/>
                    </w:rPr>
                    <w:t>变化（项目场地无地面冲洗废水）</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w w:val="100"/>
                      <w:sz w:val="21"/>
                      <w:szCs w:val="21"/>
                      <w:lang w:val="en-US" w:eastAsia="zh-CN"/>
                    </w:rPr>
                    <w:t>管理优化</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废气治理</w:t>
                  </w:r>
                </w:p>
              </w:tc>
              <w:tc>
                <w:tcPr>
                  <w:tcW w:w="2684"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2718"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77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sz w:val="21"/>
                      <w:szCs w:val="21"/>
                    </w:rPr>
                    <w:t>一般</w:t>
                  </w:r>
                  <w:r>
                    <w:rPr>
                      <w:rFonts w:ascii="Times New Roman" w:hAnsi="Times New Roman" w:cs="Times New Roman"/>
                      <w:spacing w:val="0"/>
                      <w:w w:val="100"/>
                      <w:sz w:val="21"/>
                      <w:szCs w:val="21"/>
                    </w:rPr>
                    <w:t>固废</w:t>
                  </w:r>
                </w:p>
                <w:p>
                  <w:pPr>
                    <w:pStyle w:val="14"/>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生活垃圾设置垃圾桶若干，由环卫部门统一处理</w:t>
                  </w:r>
                </w:p>
              </w:tc>
              <w:tc>
                <w:tcPr>
                  <w:tcW w:w="270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生活垃圾设置垃圾桶若干</w:t>
                  </w:r>
                  <w:r>
                    <w:rPr>
                      <w:rFonts w:hint="eastAsia" w:ascii="Times New Roman" w:hAnsi="Times New Roman" w:cs="Times New Roman"/>
                      <w:sz w:val="21"/>
                      <w:szCs w:val="21"/>
                      <w:lang w:eastAsia="zh-CN"/>
                    </w:rPr>
                    <w:t>，</w:t>
                  </w:r>
                  <w:r>
                    <w:rPr>
                      <w:rFonts w:ascii="Times New Roman" w:hAnsi="Times New Roman" w:cs="Times New Roman"/>
                      <w:sz w:val="21"/>
                      <w:szCs w:val="21"/>
                    </w:rPr>
                    <w:t>由环卫部门统一处理</w:t>
                  </w:r>
                </w:p>
              </w:tc>
              <w:tc>
                <w:tcPr>
                  <w:tcW w:w="775"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4"/>
                    <w:ind w:left="0" w:leftChars="0"/>
                    <w:jc w:val="center"/>
                    <w:rPr>
                      <w:rFonts w:ascii="Times New Roman" w:hAnsi="Times New Roman" w:eastAsia="宋体" w:cs="Times New Roman"/>
                      <w:w w:val="100"/>
                      <w:sz w:val="21"/>
                      <w:szCs w:val="21"/>
                    </w:rPr>
                  </w:pPr>
                  <w:r>
                    <w:rPr>
                      <w:rFonts w:ascii="Times New Roman" w:hAnsi="Times New Roman" w:cs="Times New Roman"/>
                      <w:w w:val="99"/>
                      <w:sz w:val="21"/>
                    </w:rPr>
                    <w:t>/</w:t>
                  </w:r>
                </w:p>
              </w:tc>
              <w:tc>
                <w:tcPr>
                  <w:tcW w:w="612" w:type="dxa"/>
                  <w:tcBorders>
                    <w:tl2br w:val="nil"/>
                    <w:tr2bl w:val="nil"/>
                  </w:tcBorders>
                  <w:vAlign w:val="center"/>
                </w:tcPr>
                <w:p>
                  <w:pPr>
                    <w:pStyle w:val="14"/>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危险</w:t>
                  </w:r>
                </w:p>
                <w:p>
                  <w:pPr>
                    <w:pStyle w:val="14"/>
                    <w:widowControl w:val="0"/>
                    <w:autoSpaceDE w:val="0"/>
                    <w:autoSpaceDN w:val="0"/>
                    <w:adjustRightInd/>
                    <w:snapToGrid/>
                    <w:spacing w:before="1" w:after="0" w:afterLines="-2147483648" w:line="240" w:lineRule="auto"/>
                    <w:ind w:left="11" w:leftChars="0" w:right="2" w:rightChars="0"/>
                    <w:jc w:val="center"/>
                    <w:rPr>
                      <w:rFonts w:ascii="Times New Roman" w:hAnsi="Times New Roman" w:eastAsia="宋体" w:cs="Times New Roman"/>
                      <w:sz w:val="21"/>
                      <w:szCs w:val="21"/>
                    </w:rPr>
                  </w:pPr>
                  <w:r>
                    <w:rPr>
                      <w:rFonts w:ascii="Times New Roman" w:hAnsi="Times New Roman" w:cs="Times New Roman"/>
                      <w:spacing w:val="0"/>
                      <w:sz w:val="21"/>
                      <w:szCs w:val="21"/>
                    </w:rPr>
                    <w:t>废物</w:t>
                  </w: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设置</w:t>
                  </w:r>
                  <w:r>
                    <w:rPr>
                      <w:rFonts w:ascii="Times New Roman" w:hAnsi="Times New Roman" w:eastAsia="宋体" w:cs="Times New Roman"/>
                      <w:sz w:val="21"/>
                      <w:szCs w:val="21"/>
                    </w:rPr>
                    <w:t>1</w:t>
                  </w:r>
                  <w:r>
                    <w:rPr>
                      <w:rFonts w:ascii="Times New Roman" w:hAnsi="Times New Roman" w:cs="Times New Roman"/>
                      <w:sz w:val="21"/>
                      <w:szCs w:val="21"/>
                    </w:rPr>
                    <w:t>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ascii="Times New Roman" w:hAnsi="Times New Roman" w:cs="Times New Roman"/>
                      <w:sz w:val="21"/>
                      <w:szCs w:val="21"/>
                    </w:rPr>
                    <w:t>危险废物暂</w:t>
                  </w:r>
                  <w:r>
                    <w:rPr>
                      <w:rFonts w:hint="default" w:ascii="Times New Roman" w:hAnsi="Times New Roman" w:eastAsia="宋体" w:cs="Times New Roman"/>
                      <w:sz w:val="21"/>
                      <w:szCs w:val="21"/>
                      <w:lang w:val="en-US" w:eastAsia="zh-CN"/>
                    </w:rPr>
                    <w:t>存</w:t>
                  </w:r>
                  <w:r>
                    <w:rPr>
                      <w:rFonts w:ascii="Times New Roman" w:hAnsi="Times New Roman" w:cs="Times New Roman"/>
                      <w:sz w:val="21"/>
                      <w:szCs w:val="21"/>
                    </w:rPr>
                    <w:t>间，分区分类存放，交由</w:t>
                  </w:r>
                  <w:r>
                    <w:rPr>
                      <w:rFonts w:hint="default" w:ascii="Times New Roman" w:hAnsi="Times New Roman" w:eastAsia="宋体" w:cs="Times New Roman"/>
                      <w:sz w:val="21"/>
                      <w:szCs w:val="21"/>
                      <w:lang w:val="en-US" w:eastAsia="zh-CN"/>
                    </w:rPr>
                    <w:t>有</w:t>
                  </w:r>
                  <w:r>
                    <w:rPr>
                      <w:rFonts w:ascii="Times New Roman" w:hAnsi="Times New Roman" w:cs="Times New Roman"/>
                      <w:sz w:val="21"/>
                      <w:szCs w:val="21"/>
                    </w:rPr>
                    <w:t>资质单位处理处置</w:t>
                  </w:r>
                </w:p>
              </w:tc>
              <w:tc>
                <w:tcPr>
                  <w:tcW w:w="2703"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设置1座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hint="default" w:ascii="Times New Roman" w:hAnsi="Times New Roman" w:eastAsia="宋体" w:cs="Times New Roman"/>
                      <w:position w:val="0"/>
                      <w:sz w:val="21"/>
                      <w:szCs w:val="21"/>
                      <w:vertAlign w:val="baseline"/>
                      <w:lang w:val="en-US" w:eastAsia="zh-CN"/>
                    </w:rPr>
                    <w:t>危险废物暂存</w:t>
                  </w:r>
                  <w:r>
                    <w:rPr>
                      <w:rFonts w:ascii="Times New Roman" w:hAnsi="Times New Roman" w:eastAsia="宋体" w:cs="Times New Roman"/>
                      <w:sz w:val="21"/>
                      <w:szCs w:val="21"/>
                    </w:rPr>
                    <w:t>间，</w:t>
                  </w:r>
                  <w:r>
                    <w:rPr>
                      <w:rFonts w:hint="default" w:ascii="Times New Roman" w:hAnsi="Times New Roman" w:eastAsia="宋体" w:cs="Times New Roman"/>
                      <w:sz w:val="21"/>
                      <w:szCs w:val="21"/>
                      <w:lang w:val="en-US" w:eastAsia="zh-CN"/>
                    </w:rPr>
                    <w:t>分区分类存放，交由有资质单位处理</w:t>
                  </w:r>
                </w:p>
              </w:tc>
              <w:tc>
                <w:tcPr>
                  <w:tcW w:w="775"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4"/>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噪声</w:t>
                  </w:r>
                </w:p>
                <w:p>
                  <w:pPr>
                    <w:pStyle w:val="14"/>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治理</w:t>
                  </w:r>
                </w:p>
              </w:tc>
              <w:tc>
                <w:tcPr>
                  <w:tcW w:w="2699" w:type="dxa"/>
                  <w:gridSpan w:val="2"/>
                  <w:tcBorders>
                    <w:tl2br w:val="nil"/>
                    <w:tr2bl w:val="nil"/>
                  </w:tcBorders>
                  <w:vAlign w:val="center"/>
                </w:tcPr>
                <w:p>
                  <w:pPr>
                    <w:pStyle w:val="14"/>
                    <w:widowControl w:val="0"/>
                    <w:autoSpaceDE w:val="0"/>
                    <w:autoSpaceDN w:val="0"/>
                    <w:adjustRightInd/>
                    <w:snapToGrid/>
                    <w:spacing w:before="1" w:after="0" w:afterLines="-2147483648"/>
                    <w:ind w:left="11" w:leftChars="0" w:right="2"/>
                    <w:jc w:val="center"/>
                    <w:rPr>
                      <w:rFonts w:ascii="Times New Roman" w:hAnsi="Times New Roman" w:eastAsia="宋体" w:cs="Times New Roman"/>
                      <w:sz w:val="21"/>
                      <w:szCs w:val="21"/>
                    </w:rPr>
                  </w:pPr>
                  <w:r>
                    <w:rPr>
                      <w:rFonts w:ascii="Times New Roman" w:hAnsi="Times New Roman" w:cs="Times New Roman"/>
                      <w:sz w:val="21"/>
                      <w:szCs w:val="21"/>
                    </w:rPr>
                    <w:t>设施减震垫及禁止鸣笛标志</w:t>
                  </w:r>
                </w:p>
              </w:tc>
              <w:tc>
                <w:tcPr>
                  <w:tcW w:w="2703" w:type="dxa"/>
                  <w:tcBorders>
                    <w:tl2br w:val="nil"/>
                    <w:tr2bl w:val="nil"/>
                  </w:tcBorders>
                  <w:vAlign w:val="center"/>
                </w:tcPr>
                <w:p>
                  <w:pPr>
                    <w:pStyle w:val="14"/>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设置减振基础及禁鸣标志</w:t>
                  </w:r>
                </w:p>
              </w:tc>
              <w:tc>
                <w:tcPr>
                  <w:tcW w:w="775"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4"/>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4"/>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风险防范措施</w:t>
                  </w:r>
                </w:p>
              </w:tc>
              <w:tc>
                <w:tcPr>
                  <w:tcW w:w="2699" w:type="dxa"/>
                  <w:gridSpan w:val="2"/>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2703" w:type="dxa"/>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775" w:type="dxa"/>
                  <w:tcBorders>
                    <w:tl2br w:val="nil"/>
                    <w:tr2bl w:val="nil"/>
                  </w:tcBorders>
                  <w:vAlign w:val="center"/>
                </w:tcPr>
                <w:p>
                  <w:pPr>
                    <w:widowControl w:val="0"/>
                    <w:adjustRightInd/>
                    <w:spacing w:after="0"/>
                    <w:ind w:left="0" w:leftChars="0" w:right="0" w:rightChars="0"/>
                    <w:jc w:val="center"/>
                    <w:outlineLvl w:val="9"/>
                    <w:rPr>
                      <w:rFonts w:hint="default" w:ascii="Times New Roman" w:hAnsi="Times New Roman" w:eastAsia="宋体" w:cs="Times New Roman"/>
                      <w:w w:val="100"/>
                      <w:sz w:val="21"/>
                      <w:szCs w:val="21"/>
                      <w:lang w:val="en-US" w:eastAsia="zh-CN"/>
                    </w:rPr>
                  </w:pPr>
                  <w:r>
                    <w:rPr>
                      <w:rFonts w:hint="eastAsia" w:ascii="Times New Roman" w:hAnsi="Times New Roman" w:cs="Times New Roman"/>
                      <w:color w:val="000000"/>
                      <w:sz w:val="21"/>
                      <w:szCs w:val="21"/>
                      <w:lang w:val="en-US"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bl>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综上所述，根据《中华人民共和国环境影响评价法》和《建设项目环境保护管理条例》有关规定，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ind w:firstLine="480" w:firstLineChars="200"/>
              <w:jc w:val="both"/>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cs="Times New Roman"/>
                <w:b w:val="0"/>
                <w:bCs/>
                <w:color w:val="auto"/>
                <w:kern w:val="2"/>
                <w:sz w:val="24"/>
                <w:szCs w:val="24"/>
                <w:highlight w:val="none"/>
                <w:lang w:val="en-US" w:eastAsia="zh-CN" w:bidi="ar-SA"/>
              </w:rPr>
              <w:t>结合</w:t>
            </w:r>
            <w:r>
              <w:rPr>
                <w:rFonts w:hint="default" w:ascii="Times New Roman" w:hAnsi="Times New Roman" w:eastAsia="宋体" w:cs="Times New Roman"/>
                <w:b w:val="0"/>
                <w:bCs/>
                <w:color w:val="auto"/>
                <w:kern w:val="2"/>
                <w:sz w:val="24"/>
                <w:szCs w:val="24"/>
                <w:highlight w:val="none"/>
                <w:lang w:val="en-US" w:eastAsia="zh-CN" w:bidi="ar-SA"/>
              </w:rPr>
              <w:t>本项目实际情况，</w:t>
            </w:r>
            <w:r>
              <w:rPr>
                <w:rFonts w:hint="default" w:ascii="Times New Roman" w:hAnsi="Times New Roman" w:cs="Times New Roman" w:eastAsiaTheme="minorEastAsia"/>
                <w:kern w:val="2"/>
                <w:sz w:val="24"/>
                <w:szCs w:val="24"/>
                <w:lang w:val="en-US" w:eastAsia="zh-CN"/>
              </w:rPr>
              <w:t>项目建设内容与环评及批复文件总体一致，无变动。</w:t>
            </w:r>
          </w:p>
          <w:p>
            <w:pPr>
              <w:pStyle w:val="14"/>
              <w:keepNext w:val="0"/>
              <w:keepLines w:val="0"/>
              <w:pageBreakBefore w:val="0"/>
              <w:widowControl w:val="0"/>
              <w:kinsoku/>
              <w:wordWrap/>
              <w:overflowPunct/>
              <w:topLinePunct w:val="0"/>
              <w:autoSpaceDE w:val="0"/>
              <w:autoSpaceDN w:val="0"/>
              <w:bidi w:val="0"/>
              <w:adjustRightInd/>
              <w:snapToGrid/>
              <w:spacing w:before="160" w:line="360" w:lineRule="auto"/>
              <w:ind w:firstLine="0" w:firstLineChars="0"/>
              <w:jc w:val="both"/>
              <w:textAlignment w:val="auto"/>
              <w:rPr>
                <w:rFonts w:hint="default" w:ascii="Times New Roman" w:hAnsi="Times New Roman" w:eastAsia="宋体" w:cs="Times New Roman"/>
                <w:color w:val="auto"/>
                <w:sz w:val="24"/>
                <w:szCs w:val="24"/>
                <w:lang w:val="en-US" w:eastAsia="zh-CN" w:bidi="ar-SA"/>
              </w:rPr>
            </w:pPr>
          </w:p>
        </w:tc>
      </w:tr>
    </w:tbl>
    <w:p>
      <w:pPr>
        <w:rPr>
          <w:rFonts w:hint="eastAsia"/>
          <w:lang w:val="en-US" w:eastAsia="zh-CN"/>
        </w:rPr>
      </w:pPr>
      <w:r>
        <w:rPr>
          <w:rFonts w:hint="eastAsia"/>
          <w:lang w:val="en-US" w:eastAsia="zh-CN"/>
        </w:rPr>
        <w:br w:type="page"/>
      </w:r>
    </w:p>
    <w:p>
      <w:pPr>
        <w:pStyle w:val="3"/>
        <w:spacing w:before="55"/>
        <w:ind w:left="0" w:leftChars="0" w:firstLine="0" w:firstLineChars="0"/>
        <w:rPr>
          <w:rFonts w:hint="default" w:ascii="Times New Roman" w:hAnsi="Times New Roman" w:eastAsia="黑体" w:cs="Times New Roman"/>
        </w:rPr>
      </w:pPr>
      <w:r>
        <w:rPr>
          <w:rFonts w:hint="default" w:ascii="Times New Roman" w:hAnsi="Times New Roman" w:eastAsia="黑体" w:cs="Times New Roman"/>
          <w:spacing w:val="-36"/>
        </w:rPr>
        <w:t xml:space="preserve">表 </w:t>
      </w:r>
      <w:r>
        <w:rPr>
          <w:rFonts w:hint="eastAsia" w:ascii="Times New Roman" w:hAnsi="Times New Roman" w:eastAsia="黑体" w:cs="Times New Roman"/>
          <w:spacing w:val="-36"/>
          <w:lang w:val="en-US" w:eastAsia="zh-CN"/>
        </w:rPr>
        <w:t xml:space="preserve"> </w:t>
      </w:r>
      <w:r>
        <w:rPr>
          <w:rFonts w:hint="default" w:ascii="Times New Roman" w:hAnsi="Times New Roman" w:eastAsia="Times New Roman" w:cs="Times New Roman"/>
        </w:rPr>
        <w:t>3</w:t>
      </w:r>
      <w:r>
        <w:rPr>
          <w:rFonts w:hint="eastAsia" w:ascii="Times New Roman" w:hAnsi="Times New Roman" w:eastAsia="宋体" w:cs="Times New Roman"/>
          <w:lang w:val="en-US" w:eastAsia="zh-CN"/>
        </w:rPr>
        <w:t xml:space="preserve"> </w:t>
      </w:r>
      <w:r>
        <w:rPr>
          <w:rFonts w:hint="default" w:ascii="Times New Roman" w:hAnsi="Times New Roman" w:eastAsia="黑体" w:cs="Times New Roman"/>
          <w:spacing w:val="-3"/>
        </w:rPr>
        <w:t>主要污染源、污染物处理和排放</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4"/>
              </w:numPr>
              <w:spacing w:line="360" w:lineRule="auto"/>
              <w:ind w:firstLine="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污染物治理设施</w:t>
            </w:r>
          </w:p>
          <w:p>
            <w:pPr>
              <w:numPr>
                <w:ilvl w:val="-1"/>
                <w:numId w:val="0"/>
              </w:numPr>
              <w:spacing w:line="360" w:lineRule="auto"/>
              <w:ind w:firstLine="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1、废水</w:t>
            </w:r>
          </w:p>
          <w:p>
            <w:pPr>
              <w:pStyle w:val="2"/>
              <w:spacing w:before="0" w:line="360" w:lineRule="auto"/>
              <w:ind w:left="0" w:firstLine="480" w:firstLineChars="200"/>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项目运营期废水主要为生活污水，主要污染因子为：COD、BOD</w:t>
            </w:r>
            <w:r>
              <w:rPr>
                <w:rFonts w:hint="default" w:ascii="Times New Roman" w:hAnsi="Times New Roman" w:cs="Times New Roman" w:eastAsiaTheme="minorEastAsia"/>
                <w:b w:val="0"/>
                <w:bCs w:val="0"/>
                <w:color w:val="auto"/>
                <w:sz w:val="24"/>
                <w:szCs w:val="24"/>
                <w:vertAlign w:val="subscript"/>
                <w:lang w:val="en-US" w:eastAsia="zh-CN"/>
              </w:rPr>
              <w:t>5</w:t>
            </w:r>
            <w:r>
              <w:rPr>
                <w:rFonts w:hint="default" w:ascii="Times New Roman" w:hAnsi="Times New Roman" w:cs="Times New Roman" w:eastAsiaTheme="minorEastAsia"/>
                <w:b w:val="0"/>
                <w:bCs w:val="0"/>
                <w:color w:val="auto"/>
                <w:sz w:val="24"/>
                <w:szCs w:val="24"/>
                <w:lang w:val="en-US" w:eastAsia="zh-CN"/>
              </w:rPr>
              <w:t>、SS、氨氮、石油类等。项目生活污水进入西咸北环线高陵服务区污水处理系统进行深度处理，然后回用于服务区厕所用水和服务区绿化用水，不外排。西咸北环线高陵服务区污水处理系统采取的污水处理工艺为一体化埋地式中水回用膜处理系统，其废水处理规模为25m</w:t>
            </w:r>
            <w:r>
              <w:rPr>
                <w:rFonts w:hint="default" w:ascii="Times New Roman" w:hAnsi="Times New Roman" w:cs="Times New Roman" w:eastAsiaTheme="minorEastAsia"/>
                <w:b w:val="0"/>
                <w:bCs w:val="0"/>
                <w:color w:val="auto"/>
                <w:sz w:val="24"/>
                <w:szCs w:val="24"/>
                <w:vertAlign w:val="superscript"/>
                <w:lang w:val="en-US" w:eastAsia="zh-CN"/>
              </w:rPr>
              <w:t>3</w:t>
            </w:r>
            <w:r>
              <w:rPr>
                <w:rFonts w:hint="default" w:ascii="Times New Roman" w:hAnsi="Times New Roman" w:cs="Times New Roman" w:eastAsiaTheme="minorEastAsia"/>
                <w:b w:val="0"/>
                <w:bCs w:val="0"/>
                <w:color w:val="auto"/>
                <w:sz w:val="24"/>
                <w:szCs w:val="24"/>
                <w:lang w:val="en-US" w:eastAsia="zh-CN"/>
              </w:rPr>
              <w:t>/d，高陵服务区目前污水产生量约为18.0m</w:t>
            </w:r>
            <w:r>
              <w:rPr>
                <w:rFonts w:hint="default" w:ascii="Times New Roman" w:hAnsi="Times New Roman" w:cs="Times New Roman" w:eastAsiaTheme="minorEastAsia"/>
                <w:b w:val="0"/>
                <w:bCs w:val="0"/>
                <w:color w:val="auto"/>
                <w:sz w:val="24"/>
                <w:szCs w:val="24"/>
                <w:vertAlign w:val="superscript"/>
                <w:lang w:val="en-US" w:eastAsia="zh-CN"/>
              </w:rPr>
              <w:t>3</w:t>
            </w:r>
            <w:r>
              <w:rPr>
                <w:rFonts w:hint="default" w:ascii="Times New Roman" w:hAnsi="Times New Roman" w:cs="Times New Roman" w:eastAsiaTheme="minorEastAsia"/>
                <w:b w:val="0"/>
                <w:bCs w:val="0"/>
                <w:color w:val="auto"/>
                <w:sz w:val="24"/>
                <w:szCs w:val="24"/>
                <w:lang w:val="en-US" w:eastAsia="zh-CN"/>
              </w:rPr>
              <w:t>/d，本项目产生的废水量为最大为0.53m</w:t>
            </w:r>
            <w:r>
              <w:rPr>
                <w:rFonts w:hint="default" w:ascii="Times New Roman" w:hAnsi="Times New Roman" w:cs="Times New Roman" w:eastAsiaTheme="minorEastAsia"/>
                <w:b w:val="0"/>
                <w:bCs w:val="0"/>
                <w:color w:val="auto"/>
                <w:sz w:val="24"/>
                <w:szCs w:val="24"/>
                <w:vertAlign w:val="superscript"/>
                <w:lang w:val="en-US" w:eastAsia="zh-CN"/>
              </w:rPr>
              <w:t>3</w:t>
            </w:r>
            <w:r>
              <w:rPr>
                <w:rFonts w:hint="default" w:ascii="Times New Roman" w:hAnsi="Times New Roman" w:cs="Times New Roman" w:eastAsiaTheme="minorEastAsia"/>
                <w:b w:val="0"/>
                <w:bCs w:val="0"/>
                <w:color w:val="auto"/>
                <w:sz w:val="24"/>
                <w:szCs w:val="24"/>
                <w:lang w:val="en-US" w:eastAsia="zh-CN"/>
              </w:rPr>
              <w:t>/d，未超出西咸北环线高陵服务区污水处理系统处理量，因此本项目依托高陵服务区污水处理系统可行。</w:t>
            </w:r>
          </w:p>
          <w:p>
            <w:pPr>
              <w:pStyle w:val="2"/>
              <w:spacing w:before="0" w:line="360" w:lineRule="auto"/>
              <w:ind w:left="0" w:firstLine="480" w:firstLineChars="200"/>
              <w:rPr>
                <w:rFonts w:hint="default" w:ascii="Times New Roman" w:hAnsi="Times New Roman" w:cs="Times New Roman" w:eastAsiaTheme="minorEastAsia"/>
                <w:b w:val="0"/>
                <w:color w:val="auto"/>
                <w:sz w:val="24"/>
                <w:szCs w:val="24"/>
                <w:lang w:val="en-US" w:eastAsia="zh-CN"/>
              </w:rPr>
            </w:pPr>
            <w:r>
              <w:rPr>
                <w:rFonts w:hint="default" w:ascii="Times New Roman" w:hAnsi="Times New Roman" w:cs="Times New Roman" w:eastAsiaTheme="minorEastAsia"/>
                <w:b w:val="0"/>
                <w:color w:val="auto"/>
                <w:sz w:val="24"/>
                <w:szCs w:val="24"/>
                <w:lang w:val="en-US" w:eastAsia="zh-CN"/>
              </w:rPr>
              <w:t>废水处理工艺流程见图6。</w:t>
            </w:r>
          </w:p>
          <w:p>
            <w:pPr>
              <w:pStyle w:val="2"/>
              <w:spacing w:before="0" w:line="360" w:lineRule="auto"/>
              <w:ind w:left="0" w:firstLine="0" w:firstLineChars="0"/>
              <w:rPr>
                <w:rFonts w:hint="default" w:ascii="Times New Roman" w:hAnsi="Times New Roman" w:cs="Times New Roman" w:eastAsiaTheme="minorEastAsia"/>
                <w:b w:val="0"/>
                <w:color w:val="auto"/>
                <w:lang w:val="en-US" w:eastAsia="zh-CN"/>
              </w:rPr>
            </w:pPr>
          </w:p>
          <w:p>
            <w:pPr>
              <w:rPr>
                <w:rFonts w:hint="default" w:ascii="Times New Roman" w:hAnsi="Times New Roman" w:cs="Times New Roman"/>
                <w:lang w:val="en-US" w:eastAsia="zh-CN"/>
              </w:rPr>
            </w:pPr>
          </w:p>
        </w:tc>
      </w:tr>
    </w:tbl>
    <w:p>
      <w:pPr>
        <w:rPr>
          <w:rFonts w:hint="eastAsia"/>
          <w:lang w:val="en-US" w:eastAsia="zh-CN"/>
        </w:rPr>
        <w:sectPr>
          <w:footerReference r:id="rId4" w:type="default"/>
          <w:pgSz w:w="11906" w:h="16838"/>
          <w:pgMar w:top="1100" w:right="1800" w:bottom="1100" w:left="1800" w:header="851" w:footer="992" w:gutter="0"/>
          <w:pgNumType w:fmt="decimal" w:start="1"/>
          <w:cols w:space="425" w:num="1"/>
          <w:docGrid w:type="lines" w:linePitch="312" w:charSpace="0"/>
        </w:sectPr>
      </w:pPr>
      <w:r>
        <w:rPr>
          <w:rFonts w:hint="eastAsia"/>
          <w:lang w:val="en-US" w:eastAsia="zh-CN"/>
        </w:rPr>
        <w:br w:type="page"/>
      </w:r>
    </w:p>
    <w:p>
      <w:pPr>
        <w:rPr>
          <w:rFonts w:hint="eastAsia"/>
          <w:lang w:val="en-US" w:eastAsia="zh-CN"/>
        </w:rPr>
        <w:sectPr>
          <w:pgSz w:w="16838" w:h="11906" w:orient="landscape"/>
          <w:pgMar w:top="1800" w:right="1100" w:bottom="1800" w:left="1100" w:header="851" w:footer="992" w:gutter="0"/>
          <w:pgNumType w:fmt="decimal"/>
          <w:cols w:space="425" w:num="1"/>
          <w:docGrid w:type="lines" w:linePitch="312" w:charSpace="0"/>
        </w:sectPr>
      </w:pPr>
      <w:r>
        <w:rPr>
          <w:rFonts w:hint="default" w:ascii="Times New Roman" w:hAnsi="Times New Roman" w:cs="Times New Roman" w:eastAsiaTheme="minorEastAsia"/>
          <w:color w:val="auto"/>
          <w:szCs w:val="24"/>
          <w:lang w:val="en-US" w:eastAsia="zh-CN"/>
        </w:rPr>
        <w:drawing>
          <wp:anchor distT="0" distB="0" distL="114300" distR="114300" simplePos="0" relativeHeight="2399030272" behindDoc="0" locked="0" layoutInCell="1" allowOverlap="1">
            <wp:simplePos x="0" y="0"/>
            <wp:positionH relativeFrom="column">
              <wp:posOffset>71755</wp:posOffset>
            </wp:positionH>
            <wp:positionV relativeFrom="paragraph">
              <wp:posOffset>9525</wp:posOffset>
            </wp:positionV>
            <wp:extent cx="9157335" cy="5002530"/>
            <wp:effectExtent l="9525" t="9525" r="15240" b="17145"/>
            <wp:wrapNone/>
            <wp:docPr id="69" name="图片 65" descr="QQ图片2017111709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5" descr="QQ图片20171117095019"/>
                    <pic:cNvPicPr>
                      <a:picLocks noChangeAspect="1"/>
                    </pic:cNvPicPr>
                  </pic:nvPicPr>
                  <pic:blipFill>
                    <a:blip r:embed="rId9"/>
                    <a:stretch>
                      <a:fillRect/>
                    </a:stretch>
                  </pic:blipFill>
                  <pic:spPr>
                    <a:xfrm>
                      <a:off x="0" y="0"/>
                      <a:ext cx="9157335" cy="5002530"/>
                    </a:xfrm>
                    <a:prstGeom prst="rect">
                      <a:avLst/>
                    </a:prstGeom>
                    <a:noFill/>
                    <a:ln w="9525" cap="flat" cmpd="sng">
                      <a:solidFill>
                        <a:srgbClr val="000000"/>
                      </a:solidFill>
                      <a:prstDash val="solid"/>
                      <a:miter/>
                      <a:headEnd type="none" w="med" len="med"/>
                      <a:tailEnd type="none" w="med" len="med"/>
                    </a:ln>
                  </pic:spPr>
                </pic:pic>
              </a:graphicData>
            </a:graphic>
          </wp:anchor>
        </w:drawing>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numPr>
                <w:ilvl w:val="-1"/>
                <w:numId w:val="0"/>
              </w:numPr>
              <w:spacing w:line="360" w:lineRule="auto"/>
              <w:rPr>
                <w:rFonts w:hint="eastAsia"/>
                <w:b w:val="0"/>
                <w:bCs w:val="0"/>
                <w:sz w:val="24"/>
                <w:szCs w:val="24"/>
                <w:lang w:val="en-US" w:eastAsia="zh-CN"/>
              </w:rPr>
            </w:pPr>
            <w:r>
              <w:rPr>
                <w:rFonts w:hint="eastAsia"/>
                <w:b w:val="0"/>
                <w:bCs w:val="0"/>
                <w:sz w:val="24"/>
                <w:szCs w:val="24"/>
                <w:lang w:val="en-US" w:eastAsia="zh-CN"/>
              </w:rPr>
              <w:t>2、废气</w:t>
            </w:r>
          </w:p>
          <w:p>
            <w:pPr>
              <w:spacing w:after="0" w:line="360" w:lineRule="auto"/>
              <w:ind w:firstLine="480" w:firstLineChars="200"/>
              <w:outlineLvl w:val="9"/>
              <w:rPr>
                <w:rFonts w:hint="default" w:ascii="Times New Roman" w:hAnsi="Times New Roman" w:cs="Times New Roman"/>
                <w:lang w:val="en-US" w:eastAsia="zh-CN"/>
              </w:rPr>
            </w:pPr>
            <w:r>
              <w:rPr>
                <w:rFonts w:hint="default" w:ascii="Times New Roman" w:hAnsi="Times New Roman" w:cs="Times New Roman" w:eastAsiaTheme="minorEastAsia"/>
                <w:b w:val="0"/>
                <w:color w:val="auto"/>
                <w:kern w:val="24"/>
                <w:sz w:val="24"/>
                <w:szCs w:val="21"/>
                <w:lang w:val="en-US" w:eastAsia="zh-CN" w:bidi="ar-SA"/>
              </w:rPr>
              <w:t>本项目不设置食堂，员工食宿均依托高陵服务区，故项目运营期产生的大气污染物主要为在油气灌装（卸油）、储存（静储）、加油等过程中挥发产生的油气（非甲烷总烃）。项目已经配备了三次油气回收装置，对周边环境影响不大。项目采用三次油气回收方式</w:t>
            </w:r>
            <w:r>
              <w:rPr>
                <w:rFonts w:hint="eastAsia" w:ascii="Times New Roman" w:hAnsi="Times New Roman" w:cs="Times New Roman" w:eastAsiaTheme="minorEastAsia"/>
                <w:b w:val="0"/>
                <w:color w:val="auto"/>
                <w:kern w:val="24"/>
                <w:sz w:val="24"/>
                <w:szCs w:val="21"/>
                <w:lang w:val="en-US" w:eastAsia="zh-CN" w:bidi="ar-SA"/>
              </w:rPr>
              <w:t>（郑州力诺电气有限公司生产的LN-YT200三次油气回收处理装置）</w:t>
            </w:r>
            <w:r>
              <w:rPr>
                <w:rFonts w:hint="default" w:ascii="Times New Roman" w:hAnsi="Times New Roman" w:cs="Times New Roman" w:eastAsiaTheme="minorEastAsia"/>
                <w:b w:val="0"/>
                <w:color w:val="auto"/>
                <w:kern w:val="24"/>
                <w:sz w:val="24"/>
                <w:szCs w:val="21"/>
                <w:lang w:val="en-US" w:eastAsia="zh-CN" w:bidi="ar-SA"/>
              </w:rPr>
              <w:t>，一次、二次回收装置见图</w:t>
            </w:r>
            <w:r>
              <w:rPr>
                <w:rFonts w:hint="eastAsia" w:ascii="Times New Roman" w:hAnsi="Times New Roman" w:cs="Times New Roman" w:eastAsiaTheme="minorEastAsia"/>
                <w:b w:val="0"/>
                <w:color w:val="auto"/>
                <w:kern w:val="24"/>
                <w:sz w:val="24"/>
                <w:szCs w:val="21"/>
                <w:lang w:val="en-US" w:eastAsia="zh-CN" w:bidi="ar-SA"/>
              </w:rPr>
              <w:t>1</w:t>
            </w:r>
            <w:r>
              <w:rPr>
                <w:rFonts w:hint="default" w:ascii="Times New Roman" w:hAnsi="Times New Roman" w:cs="Times New Roman" w:eastAsiaTheme="minorEastAsia"/>
                <w:b w:val="0"/>
                <w:color w:val="auto"/>
                <w:kern w:val="24"/>
                <w:sz w:val="24"/>
                <w:szCs w:val="21"/>
                <w:lang w:val="en-US" w:eastAsia="zh-CN" w:bidi="ar-SA"/>
              </w:rPr>
              <w:t>，三次回收装置见图</w:t>
            </w:r>
            <w:r>
              <w:rPr>
                <w:rFonts w:hint="eastAsia" w:ascii="Times New Roman" w:hAnsi="Times New Roman" w:cs="Times New Roman" w:eastAsiaTheme="minorEastAsia"/>
                <w:b w:val="0"/>
                <w:color w:val="auto"/>
                <w:kern w:val="24"/>
                <w:sz w:val="24"/>
                <w:szCs w:val="21"/>
                <w:lang w:val="en-US" w:eastAsia="zh-CN" w:bidi="ar-SA"/>
              </w:rPr>
              <w:t>2</w:t>
            </w:r>
            <w:r>
              <w:rPr>
                <w:rFonts w:hint="default" w:ascii="Times New Roman" w:hAnsi="Times New Roman" w:cs="Times New Roman" w:eastAsiaTheme="minorEastAsia"/>
                <w:b w:val="0"/>
                <w:color w:val="auto"/>
                <w:kern w:val="24"/>
                <w:sz w:val="24"/>
                <w:szCs w:val="21"/>
                <w:lang w:val="en-US" w:eastAsia="zh-CN" w:bidi="ar-SA"/>
              </w:rPr>
              <w:t>。</w:t>
            </w:r>
          </w:p>
          <w:p>
            <w:pPr>
              <w:numPr>
                <w:ilvl w:val="-1"/>
                <w:numId w:val="0"/>
              </w:num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drawing>
                <wp:inline distT="0" distB="0" distL="114300" distR="114300">
                  <wp:extent cx="5235575" cy="2802890"/>
                  <wp:effectExtent l="0" t="0" r="3175" b="16510"/>
                  <wp:docPr id="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
                          <pic:cNvPicPr>
                            <a:picLocks noChangeAspect="1"/>
                          </pic:cNvPicPr>
                        </pic:nvPicPr>
                        <pic:blipFill>
                          <a:blip r:embed="rId10"/>
                          <a:srcRect b="65674"/>
                          <a:stretch>
                            <a:fillRect/>
                          </a:stretch>
                        </pic:blipFill>
                        <pic:spPr>
                          <a:xfrm>
                            <a:off x="0" y="0"/>
                            <a:ext cx="5235575" cy="2802890"/>
                          </a:xfrm>
                          <a:prstGeom prst="rect">
                            <a:avLst/>
                          </a:prstGeom>
                          <a:noFill/>
                          <a:ln w="9525">
                            <a:noFill/>
                          </a:ln>
                        </pic:spPr>
                      </pic:pic>
                    </a:graphicData>
                  </a:graphic>
                </wp:inline>
              </w:drawing>
            </w:r>
          </w:p>
          <w:p>
            <w:pPr>
              <w:numPr>
                <w:ilvl w:val="-1"/>
                <w:numId w:val="0"/>
              </w:numPr>
              <w:spacing w:line="360" w:lineRule="auto"/>
              <w:jc w:val="center"/>
              <w:rPr>
                <w:rFonts w:hint="default" w:ascii="Times New Roman" w:hAnsi="Times New Roman" w:cs="Times New Roman" w:eastAsiaTheme="minorEastAsia"/>
                <w:b/>
                <w:bCs/>
                <w:color w:val="auto"/>
                <w:kern w:val="24"/>
                <w:sz w:val="21"/>
                <w:szCs w:val="21"/>
                <w:lang w:val="en-US" w:eastAsia="zh-CN" w:bidi="ar-SA"/>
              </w:rPr>
            </w:pPr>
            <w:r>
              <w:rPr>
                <w:rFonts w:hint="default" w:ascii="Times New Roman" w:hAnsi="Times New Roman" w:cs="Times New Roman" w:eastAsiaTheme="minorEastAsia"/>
                <w:b/>
                <w:bCs/>
                <w:sz w:val="21"/>
                <w:szCs w:val="21"/>
                <w:lang w:val="en-US" w:eastAsia="zh-CN"/>
              </w:rPr>
              <w:t>图</w:t>
            </w:r>
            <w:r>
              <w:rPr>
                <w:rFonts w:hint="eastAsia"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b/>
                <w:bCs/>
                <w:color w:val="auto"/>
                <w:kern w:val="24"/>
                <w:sz w:val="21"/>
                <w:szCs w:val="21"/>
                <w:lang w:val="en-US" w:eastAsia="zh-CN" w:bidi="ar-SA"/>
              </w:rPr>
              <w:t>一次、二次回收装置图</w:t>
            </w:r>
          </w:p>
          <w:p>
            <w:pPr>
              <w:numPr>
                <w:ilvl w:val="-1"/>
                <w:numId w:val="0"/>
              </w:numPr>
              <w:spacing w:line="360" w:lineRule="auto"/>
              <w:jc w:val="left"/>
              <w:rPr>
                <w:rFonts w:cs="Times New Roman"/>
              </w:rPr>
            </w:pPr>
            <w:r>
              <w:rPr>
                <w:rFonts w:cs="Times New Roman"/>
              </w:rPr>
              <w:drawing>
                <wp:inline distT="0" distB="0" distL="114300" distR="114300">
                  <wp:extent cx="5097780" cy="3804920"/>
                  <wp:effectExtent l="0" t="0" r="7620" b="5080"/>
                  <wp:docPr id="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
                          <pic:cNvPicPr>
                            <a:picLocks noChangeAspect="1"/>
                          </pic:cNvPicPr>
                        </pic:nvPicPr>
                        <pic:blipFill>
                          <a:blip r:embed="rId11"/>
                          <a:stretch>
                            <a:fillRect/>
                          </a:stretch>
                        </pic:blipFill>
                        <pic:spPr>
                          <a:xfrm>
                            <a:off x="0" y="0"/>
                            <a:ext cx="5097780" cy="3804920"/>
                          </a:xfrm>
                          <a:prstGeom prst="rect">
                            <a:avLst/>
                          </a:prstGeom>
                          <a:noFill/>
                          <a:ln>
                            <a:noFill/>
                          </a:ln>
                        </pic:spPr>
                      </pic:pic>
                    </a:graphicData>
                  </a:graphic>
                </wp:inline>
              </w:drawing>
            </w:r>
          </w:p>
          <w:p>
            <w:pPr>
              <w:numPr>
                <w:ilvl w:val="-1"/>
                <w:numId w:val="0"/>
              </w:numPr>
              <w:spacing w:line="360" w:lineRule="auto"/>
              <w:jc w:val="center"/>
              <w:rPr>
                <w:rFonts w:hint="default" w:cs="Times New Roman"/>
                <w:b w:val="0"/>
                <w:bCs w:val="0"/>
                <w:sz w:val="22"/>
                <w:szCs w:val="22"/>
                <w:lang w:val="en-US" w:eastAsia="zh-CN" w:bidi="ar-SA"/>
              </w:rPr>
            </w:pPr>
            <w:r>
              <w:rPr>
                <w:rFonts w:hint="default" w:ascii="Times New Roman" w:hAnsi="Times New Roman" w:cs="Times New Roman" w:eastAsiaTheme="minorEastAsia"/>
                <w:b/>
                <w:bCs/>
                <w:color w:val="auto"/>
                <w:sz w:val="21"/>
                <w:szCs w:val="21"/>
                <w:lang w:eastAsia="zh-CN"/>
              </w:rPr>
              <w:t>图</w:t>
            </w:r>
            <w:r>
              <w:rPr>
                <w:rFonts w:hint="eastAsia" w:cs="Times New Roman" w:eastAsiaTheme="minorEastAsia"/>
                <w:b/>
                <w:bCs/>
                <w:color w:val="auto"/>
                <w:sz w:val="21"/>
                <w:szCs w:val="21"/>
                <w:lang w:val="en-US" w:eastAsia="zh-CN"/>
              </w:rPr>
              <w:t>2</w:t>
            </w:r>
            <w:r>
              <w:rPr>
                <w:rFonts w:hint="default" w:ascii="Times New Roman" w:hAnsi="Times New Roman" w:cs="Times New Roman" w:eastAsiaTheme="minorEastAsia"/>
                <w:b/>
                <w:bCs/>
                <w:color w:val="auto"/>
                <w:sz w:val="21"/>
                <w:szCs w:val="21"/>
                <w:lang w:val="en-US" w:eastAsia="zh-CN"/>
              </w:rPr>
              <w:t xml:space="preserve">  </w:t>
            </w:r>
            <w:r>
              <w:rPr>
                <w:rFonts w:hint="default" w:cs="Times New Roman" w:eastAsiaTheme="minorEastAsia"/>
                <w:b/>
                <w:bCs/>
                <w:color w:val="auto"/>
                <w:sz w:val="21"/>
                <w:szCs w:val="21"/>
                <w:lang w:val="en-US" w:eastAsia="zh-CN"/>
              </w:rPr>
              <w:t>三次</w:t>
            </w:r>
            <w:r>
              <w:rPr>
                <w:rFonts w:hint="default" w:ascii="Times New Roman" w:hAnsi="Times New Roman" w:cs="Times New Roman" w:eastAsiaTheme="minorEastAsia"/>
                <w:b/>
                <w:bCs/>
                <w:color w:val="auto"/>
                <w:sz w:val="21"/>
                <w:szCs w:val="21"/>
                <w:lang w:val="en-US" w:eastAsia="zh-CN"/>
              </w:rPr>
              <w:t>回收装置图</w:t>
            </w:r>
          </w:p>
          <w:p>
            <w:pPr>
              <w:numPr>
                <w:ilvl w:val="0"/>
                <w:numId w:val="5"/>
              </w:numPr>
              <w:spacing w:line="360" w:lineRule="auto"/>
              <w:rPr>
                <w:rFonts w:hint="eastAsia"/>
                <w:b w:val="0"/>
                <w:bCs w:val="0"/>
                <w:sz w:val="24"/>
                <w:szCs w:val="24"/>
                <w:lang w:val="en-US" w:eastAsia="zh-CN"/>
              </w:rPr>
            </w:pPr>
            <w:r>
              <w:rPr>
                <w:rFonts w:hint="eastAsia"/>
                <w:b w:val="0"/>
                <w:bCs w:val="0"/>
                <w:sz w:val="24"/>
                <w:szCs w:val="24"/>
                <w:lang w:val="en-US" w:eastAsia="zh-CN"/>
              </w:rPr>
              <w:t>噪声</w:t>
            </w:r>
          </w:p>
          <w:p>
            <w:pPr>
              <w:pStyle w:val="5"/>
              <w:spacing w:before="0" w:after="0" w:line="363" w:lineRule="auto"/>
              <w:ind w:right="0"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项目噪声污染源主要为机动车行驶产生的交通噪声和加油机运转噪声，项目噪声治理措施见表</w:t>
            </w:r>
            <w:r>
              <w:rPr>
                <w:rFonts w:hint="default" w:ascii="Times New Roman" w:hAnsi="Times New Roman" w:cs="Times New Roman" w:eastAsiaTheme="minorEastAsia"/>
                <w:sz w:val="24"/>
                <w:szCs w:val="24"/>
                <w:lang w:eastAsia="zh-CN"/>
              </w:rPr>
              <w:t>5</w:t>
            </w:r>
            <w:r>
              <w:rPr>
                <w:rFonts w:hint="default" w:ascii="Times New Roman" w:hAnsi="Times New Roman" w:cs="Times New Roman" w:eastAsiaTheme="minorEastAsia"/>
                <w:sz w:val="24"/>
                <w:szCs w:val="24"/>
              </w:rPr>
              <w:t>所示。</w:t>
            </w:r>
          </w:p>
          <w:p>
            <w:pPr>
              <w:pStyle w:val="5"/>
              <w:spacing w:before="0" w:after="0" w:line="363" w:lineRule="auto"/>
              <w:ind w:right="0" w:firstLine="422" w:firstLineChars="20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 xml:space="preserve">表5  </w:t>
            </w:r>
            <w:r>
              <w:rPr>
                <w:rFonts w:hint="default" w:ascii="Times New Roman" w:hAnsi="Times New Roman" w:cs="Times New Roman" w:eastAsiaTheme="minorEastAsia"/>
                <w:b/>
                <w:bCs/>
                <w:spacing w:val="-5"/>
                <w:sz w:val="21"/>
                <w:szCs w:val="21"/>
              </w:rPr>
              <w:t>噪</w:t>
            </w:r>
            <w:r>
              <w:rPr>
                <w:rFonts w:hint="default" w:ascii="Times New Roman" w:hAnsi="Times New Roman" w:cs="Times New Roman" w:eastAsiaTheme="minorEastAsia"/>
                <w:b/>
                <w:bCs/>
                <w:spacing w:val="-3"/>
                <w:sz w:val="21"/>
                <w:szCs w:val="21"/>
              </w:rPr>
              <w:t>声</w:t>
            </w:r>
            <w:r>
              <w:rPr>
                <w:rFonts w:hint="default" w:ascii="Times New Roman" w:hAnsi="Times New Roman" w:cs="Times New Roman" w:eastAsiaTheme="minorEastAsia"/>
                <w:b/>
                <w:bCs/>
                <w:spacing w:val="-5"/>
                <w:sz w:val="21"/>
                <w:szCs w:val="21"/>
              </w:rPr>
              <w:t>源强</w:t>
            </w:r>
            <w:r>
              <w:rPr>
                <w:rFonts w:hint="default" w:ascii="Times New Roman" w:hAnsi="Times New Roman" w:cs="Times New Roman" w:eastAsiaTheme="minorEastAsia"/>
                <w:b/>
                <w:bCs/>
                <w:spacing w:val="-3"/>
                <w:sz w:val="21"/>
                <w:szCs w:val="21"/>
              </w:rPr>
              <w:t>及</w:t>
            </w:r>
            <w:r>
              <w:rPr>
                <w:rFonts w:hint="default" w:ascii="Times New Roman" w:hAnsi="Times New Roman" w:cs="Times New Roman" w:eastAsiaTheme="minorEastAsia"/>
                <w:b/>
                <w:bCs/>
                <w:spacing w:val="-5"/>
                <w:sz w:val="21"/>
                <w:szCs w:val="21"/>
              </w:rPr>
              <w:t>防治</w:t>
            </w:r>
            <w:r>
              <w:rPr>
                <w:rFonts w:hint="default" w:ascii="Times New Roman" w:hAnsi="Times New Roman" w:cs="Times New Roman" w:eastAsiaTheme="minorEastAsia"/>
                <w:b/>
                <w:bCs/>
                <w:spacing w:val="-3"/>
                <w:sz w:val="21"/>
                <w:szCs w:val="21"/>
              </w:rPr>
              <w:t>措</w:t>
            </w:r>
            <w:r>
              <w:rPr>
                <w:rFonts w:hint="default" w:ascii="Times New Roman" w:hAnsi="Times New Roman" w:cs="Times New Roman" w:eastAsiaTheme="minorEastAsia"/>
                <w:b/>
                <w:bCs/>
                <w:sz w:val="21"/>
                <w:szCs w:val="21"/>
              </w:rPr>
              <w:t>施</w:t>
            </w:r>
            <w:r>
              <w:rPr>
                <w:rFonts w:hint="default" w:ascii="Times New Roman" w:hAnsi="Times New Roman" w:cs="Times New Roman" w:eastAsiaTheme="minorEastAsia"/>
                <w:b/>
                <w:bCs/>
                <w:sz w:val="21"/>
                <w:szCs w:val="21"/>
              </w:rPr>
              <w:tab/>
            </w:r>
            <w:r>
              <w:rPr>
                <w:rFonts w:hint="default" w:ascii="Times New Roman" w:hAnsi="Times New Roman" w:cs="Times New Roman" w:eastAsiaTheme="minorEastAsia"/>
                <w:b/>
                <w:bCs/>
                <w:sz w:val="21"/>
                <w:szCs w:val="21"/>
              </w:rPr>
              <w:t>单位：dB(A)</w:t>
            </w:r>
          </w:p>
          <w:tbl>
            <w:tblPr>
              <w:tblStyle w:val="10"/>
              <w:tblW w:w="8342"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459"/>
              <w:gridCol w:w="1637"/>
              <w:gridCol w:w="2073"/>
              <w:gridCol w:w="16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1526" w:type="dxa"/>
                  <w:tcBorders>
                    <w:tl2br w:val="nil"/>
                    <w:tr2bl w:val="nil"/>
                  </w:tcBorders>
                  <w:vAlign w:val="center"/>
                </w:tcPr>
                <w:p>
                  <w:pPr>
                    <w:pStyle w:val="14"/>
                    <w:widowControl w:val="0"/>
                    <w:autoSpaceDE w:val="0"/>
                    <w:autoSpaceDN w:val="0"/>
                    <w:adjustRightInd/>
                    <w:snapToGrid/>
                    <w:spacing w:before="1" w:after="0" w:afterLines="-2147483648"/>
                    <w:ind w:left="0" w:right="2"/>
                    <w:jc w:val="center"/>
                    <w:rPr>
                      <w:rFonts w:ascii="Times New Roman" w:hAnsi="Times New Roman" w:eastAsia="宋体" w:cs="Times New Roman"/>
                      <w:sz w:val="21"/>
                      <w:szCs w:val="21"/>
                    </w:rPr>
                  </w:pPr>
                  <w:r>
                    <w:rPr>
                      <w:rFonts w:ascii="Times New Roman" w:hAnsi="Times New Roman" w:eastAsia="宋体" w:cs="Times New Roman"/>
                      <w:sz w:val="21"/>
                      <w:szCs w:val="21"/>
                    </w:rPr>
                    <w:t>名称</w:t>
                  </w:r>
                </w:p>
              </w:tc>
              <w:tc>
                <w:tcPr>
                  <w:tcW w:w="1459" w:type="dxa"/>
                  <w:tcBorders>
                    <w:tl2br w:val="nil"/>
                    <w:tr2bl w:val="nil"/>
                  </w:tcBorders>
                  <w:vAlign w:val="center"/>
                </w:tcPr>
                <w:p>
                  <w:pPr>
                    <w:pStyle w:val="14"/>
                    <w:widowControl w:val="0"/>
                    <w:autoSpaceDE w:val="0"/>
                    <w:autoSpaceDN w:val="0"/>
                    <w:adjustRightInd/>
                    <w:snapToGrid/>
                    <w:spacing w:before="1" w:after="0" w:afterLines="-2147483648"/>
                    <w:ind w:left="0" w:right="2"/>
                    <w:jc w:val="center"/>
                    <w:rPr>
                      <w:rFonts w:ascii="Times New Roman" w:hAnsi="Times New Roman" w:eastAsia="宋体" w:cs="Times New Roman"/>
                      <w:sz w:val="21"/>
                      <w:szCs w:val="21"/>
                    </w:rPr>
                  </w:pPr>
                  <w:r>
                    <w:rPr>
                      <w:rFonts w:ascii="Times New Roman" w:hAnsi="Times New Roman" w:eastAsia="宋体" w:cs="Times New Roman"/>
                      <w:sz w:val="21"/>
                      <w:szCs w:val="21"/>
                    </w:rPr>
                    <w:t>数量</w:t>
                  </w:r>
                </w:p>
              </w:tc>
              <w:tc>
                <w:tcPr>
                  <w:tcW w:w="1637" w:type="dxa"/>
                  <w:tcBorders>
                    <w:tl2br w:val="nil"/>
                    <w:tr2bl w:val="nil"/>
                  </w:tcBorders>
                  <w:vAlign w:val="center"/>
                </w:tcPr>
                <w:p>
                  <w:pPr>
                    <w:pStyle w:val="14"/>
                    <w:widowControl w:val="0"/>
                    <w:autoSpaceDE w:val="0"/>
                    <w:autoSpaceDN w:val="0"/>
                    <w:adjustRightInd/>
                    <w:snapToGrid/>
                    <w:spacing w:before="1" w:after="0" w:afterLines="-2147483648"/>
                    <w:ind w:left="0" w:right="2"/>
                    <w:jc w:val="center"/>
                    <w:rPr>
                      <w:rFonts w:ascii="Times New Roman" w:hAnsi="Times New Roman" w:eastAsia="宋体" w:cs="Times New Roman"/>
                      <w:sz w:val="21"/>
                      <w:szCs w:val="21"/>
                    </w:rPr>
                  </w:pPr>
                  <w:r>
                    <w:rPr>
                      <w:rFonts w:ascii="Times New Roman" w:hAnsi="Times New Roman" w:eastAsia="宋体" w:cs="Times New Roman"/>
                      <w:sz w:val="21"/>
                      <w:szCs w:val="21"/>
                    </w:rPr>
                    <w:t>声压级 dB(A)</w:t>
                  </w:r>
                </w:p>
              </w:tc>
              <w:tc>
                <w:tcPr>
                  <w:tcW w:w="2073" w:type="dxa"/>
                  <w:tcBorders>
                    <w:tl2br w:val="nil"/>
                    <w:tr2bl w:val="nil"/>
                  </w:tcBorders>
                  <w:vAlign w:val="center"/>
                </w:tcPr>
                <w:p>
                  <w:pPr>
                    <w:pStyle w:val="14"/>
                    <w:widowControl w:val="0"/>
                    <w:autoSpaceDE w:val="0"/>
                    <w:autoSpaceDN w:val="0"/>
                    <w:adjustRightInd/>
                    <w:snapToGrid/>
                    <w:spacing w:before="1" w:after="0" w:afterLines="-2147483648"/>
                    <w:ind w:left="0" w:right="2"/>
                    <w:jc w:val="center"/>
                    <w:rPr>
                      <w:rFonts w:ascii="Times New Roman" w:hAnsi="Times New Roman" w:eastAsia="宋体" w:cs="Times New Roman"/>
                      <w:sz w:val="21"/>
                      <w:szCs w:val="21"/>
                    </w:rPr>
                  </w:pPr>
                  <w:r>
                    <w:rPr>
                      <w:rFonts w:ascii="Times New Roman" w:hAnsi="Times New Roman" w:eastAsia="宋体" w:cs="Times New Roman"/>
                      <w:sz w:val="21"/>
                      <w:szCs w:val="21"/>
                    </w:rPr>
                    <w:t>治理措施</w:t>
                  </w:r>
                </w:p>
              </w:tc>
              <w:tc>
                <w:tcPr>
                  <w:tcW w:w="1647" w:type="dxa"/>
                  <w:tcBorders>
                    <w:tl2br w:val="nil"/>
                    <w:tr2bl w:val="nil"/>
                  </w:tcBorders>
                  <w:vAlign w:val="center"/>
                </w:tcPr>
                <w:p>
                  <w:pPr>
                    <w:pStyle w:val="14"/>
                    <w:widowControl w:val="0"/>
                    <w:autoSpaceDE w:val="0"/>
                    <w:autoSpaceDN w:val="0"/>
                    <w:adjustRightInd/>
                    <w:snapToGrid/>
                    <w:spacing w:before="1" w:after="0" w:afterLines="-2147483648" w:line="240" w:lineRule="auto"/>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治理后源强值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152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机动车</w:t>
                  </w:r>
                </w:p>
              </w:tc>
              <w:tc>
                <w:tcPr>
                  <w:tcW w:w="1459"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1637"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85</w:t>
                  </w:r>
                </w:p>
              </w:tc>
              <w:tc>
                <w:tcPr>
                  <w:tcW w:w="2073"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设置禁鸣标志</w:t>
                  </w:r>
                </w:p>
              </w:tc>
              <w:tc>
                <w:tcPr>
                  <w:tcW w:w="1647"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1526"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加油机</w:t>
                  </w:r>
                </w:p>
              </w:tc>
              <w:tc>
                <w:tcPr>
                  <w:tcW w:w="1459"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w w:val="100"/>
                      <w:sz w:val="21"/>
                      <w:szCs w:val="21"/>
                    </w:rPr>
                    <w:t>6</w:t>
                  </w:r>
                </w:p>
              </w:tc>
              <w:tc>
                <w:tcPr>
                  <w:tcW w:w="1637"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70</w:t>
                  </w:r>
                </w:p>
              </w:tc>
              <w:tc>
                <w:tcPr>
                  <w:tcW w:w="2073"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设置减振基础</w:t>
                  </w:r>
                </w:p>
              </w:tc>
              <w:tc>
                <w:tcPr>
                  <w:tcW w:w="1647" w:type="dxa"/>
                  <w:tcBorders>
                    <w:tl2br w:val="nil"/>
                    <w:tr2bl w:val="nil"/>
                  </w:tcBorders>
                  <w:vAlign w:val="center"/>
                </w:tcPr>
                <w:p>
                  <w:pPr>
                    <w:pStyle w:val="14"/>
                    <w:widowControl w:val="0"/>
                    <w:autoSpaceDE w:val="0"/>
                    <w:autoSpaceDN w:val="0"/>
                    <w:adjustRightInd/>
                    <w:snapToGrid/>
                    <w:spacing w:before="1" w:after="0" w:afterLines="-2147483648"/>
                    <w:ind w:left="11" w:right="2"/>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项目监测点位示意图如下：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pPr>
            <w:r>
              <w:drawing>
                <wp:inline distT="0" distB="0" distL="114300" distR="114300">
                  <wp:extent cx="5272405" cy="4030345"/>
                  <wp:effectExtent l="0" t="0" r="444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272405" cy="4030345"/>
                          </a:xfrm>
                          <a:prstGeom prst="rect">
                            <a:avLst/>
                          </a:prstGeom>
                          <a:noFill/>
                          <a:ln>
                            <a:noFill/>
                          </a:ln>
                        </pic:spPr>
                      </pic:pic>
                    </a:graphicData>
                  </a:graphic>
                </wp:inline>
              </w:drawing>
            </w:r>
          </w:p>
          <w:p>
            <w:pPr>
              <w:jc w:val="center"/>
              <w:rPr>
                <w:rFonts w:hint="eastAsia"/>
                <w:lang w:val="en-US" w:eastAsia="zh-CN"/>
              </w:rPr>
            </w:pPr>
            <w:r>
              <w:rPr>
                <w:rFonts w:hint="eastAsia"/>
                <w:b/>
                <w:bCs/>
                <w:sz w:val="21"/>
                <w:szCs w:val="21"/>
                <w:lang w:eastAsia="zh-CN"/>
              </w:rPr>
              <w:t>图</w:t>
            </w:r>
            <w:r>
              <w:rPr>
                <w:rFonts w:hint="eastAsia"/>
                <w:b/>
                <w:bCs/>
                <w:sz w:val="21"/>
                <w:szCs w:val="21"/>
                <w:lang w:val="en-US" w:eastAsia="zh-CN"/>
              </w:rPr>
              <w:t>5  项目监测点位布置图</w:t>
            </w:r>
          </w:p>
          <w:p>
            <w:pPr>
              <w:numPr>
                <w:ilvl w:val="0"/>
                <w:numId w:val="6"/>
              </w:numPr>
              <w:spacing w:line="360" w:lineRule="auto"/>
              <w:rPr>
                <w:rFonts w:hint="eastAsia"/>
                <w:b/>
                <w:bCs/>
                <w:sz w:val="24"/>
                <w:szCs w:val="24"/>
                <w:lang w:val="en-US" w:eastAsia="zh-CN"/>
              </w:rPr>
            </w:pPr>
            <w:r>
              <w:rPr>
                <w:rFonts w:hint="eastAsia"/>
                <w:b/>
                <w:bCs/>
                <w:sz w:val="24"/>
                <w:szCs w:val="24"/>
                <w:lang w:val="en-US" w:eastAsia="zh-CN"/>
              </w:rPr>
              <w:t>其他环境保护设施</w:t>
            </w:r>
          </w:p>
          <w:p>
            <w:pPr>
              <w:pStyle w:val="2"/>
              <w:numPr>
                <w:ilvl w:val="-1"/>
                <w:numId w:val="0"/>
              </w:numPr>
              <w:spacing w:before="0" w:line="360" w:lineRule="auto"/>
              <w:ind w:left="0" w:firstLine="0" w:firstLineChars="0"/>
              <w:jc w:val="left"/>
              <w:rPr>
                <w:rFonts w:hint="default"/>
                <w:b w:val="0"/>
                <w:bCs w:val="0"/>
                <w:sz w:val="24"/>
                <w:szCs w:val="24"/>
                <w:lang w:val="en-US" w:eastAsia="zh-CN"/>
              </w:rPr>
            </w:pPr>
            <w:r>
              <w:rPr>
                <w:rFonts w:hint="eastAsia"/>
                <w:b w:val="0"/>
                <w:bCs w:val="0"/>
                <w:sz w:val="24"/>
                <w:szCs w:val="24"/>
                <w:lang w:val="en-US" w:eastAsia="zh-CN"/>
              </w:rPr>
              <w:t>1、环境风险防范措施</w:t>
            </w:r>
          </w:p>
          <w:p>
            <w:pPr>
              <w:pStyle w:val="2"/>
              <w:numPr>
                <w:ilvl w:val="-1"/>
                <w:numId w:val="0"/>
              </w:numPr>
              <w:spacing w:before="0" w:line="360" w:lineRule="auto"/>
              <w:ind w:left="0" w:firstLine="480" w:firstLineChars="200"/>
              <w:jc w:val="left"/>
              <w:rPr>
                <w:rFonts w:hint="eastAsia" w:ascii="Times New Roman" w:hAnsi="Times New Roman" w:cs="Times New Roman"/>
                <w:b w:val="0"/>
                <w:bCs w:val="0"/>
                <w:sz w:val="24"/>
                <w:szCs w:val="24"/>
                <w:lang w:val="en-US" w:eastAsia="zh-CN"/>
              </w:rPr>
            </w:pPr>
            <w:r>
              <w:rPr>
                <w:rFonts w:hint="eastAsia"/>
                <w:b w:val="0"/>
                <w:bCs w:val="0"/>
                <w:sz w:val="24"/>
                <w:szCs w:val="24"/>
                <w:lang w:val="en-US" w:eastAsia="zh-CN"/>
              </w:rPr>
              <w:t>根据环境保护方面的法律、法规并结合项目实际运行编制《陕西省石油化工工业贸易有限公司高陵服务区南加油站突发环境事件应急预案》，并到西安市生态环境局高陵分局备案，备案编号</w:t>
            </w:r>
            <w:r>
              <w:rPr>
                <w:rFonts w:hint="default" w:ascii="Times New Roman" w:hAnsi="Times New Roman" w:cs="Times New Roman"/>
                <w:b w:val="0"/>
                <w:bCs w:val="0"/>
                <w:sz w:val="24"/>
                <w:szCs w:val="24"/>
                <w:lang w:val="en-US" w:eastAsia="zh-CN"/>
              </w:rPr>
              <w:t>：610117-2019-02</w:t>
            </w: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-L</w:t>
            </w:r>
            <w:r>
              <w:rPr>
                <w:rFonts w:hint="eastAsia" w:ascii="Times New Roman" w:hAnsi="Times New Roman" w:cs="Times New Roman"/>
                <w:b w:val="0"/>
                <w:bCs w:val="0"/>
                <w:sz w:val="24"/>
                <w:szCs w:val="24"/>
                <w:lang w:val="en-US" w:eastAsia="zh-CN"/>
              </w:rPr>
              <w:t>。</w:t>
            </w:r>
          </w:p>
          <w:p>
            <w:pPr>
              <w:pStyle w:val="2"/>
              <w:numPr>
                <w:ilvl w:val="-1"/>
                <w:numId w:val="0"/>
              </w:numPr>
              <w:spacing w:before="0" w:line="360" w:lineRule="auto"/>
              <w:ind w:left="0" w:firstLine="480" w:firstLineChars="200"/>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应急预案主要包括应急组织机构与职责、预防预警、应急处置、后期处置、应急保障、监督管理等方面，明确了应急响应机制，配备了响应的应急救援物资。建设项目风险防范设施一览表见表6。</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4"/>
                <w:szCs w:val="24"/>
                <w:lang w:val="en-US" w:eastAsia="zh-CN"/>
              </w:rPr>
            </w:pPr>
            <w:r>
              <w:rPr>
                <w:rFonts w:hint="eastAsia" w:cs="宋体"/>
                <w:b/>
                <w:bCs/>
                <w:sz w:val="18"/>
                <w:szCs w:val="18"/>
                <w:lang w:val="en-US" w:eastAsia="zh-CN"/>
              </w:rPr>
              <w:t xml:space="preserve">表6  </w:t>
            </w:r>
            <w:r>
              <w:rPr>
                <w:rFonts w:hint="eastAsia" w:ascii="宋体" w:hAnsi="宋体" w:eastAsia="宋体" w:cs="宋体"/>
                <w:b/>
                <w:bCs/>
                <w:sz w:val="18"/>
                <w:szCs w:val="18"/>
                <w:lang w:val="en-US" w:eastAsia="zh-CN"/>
              </w:rPr>
              <w:t>建设项目风险防范设施一览表</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52"/>
              <w:gridCol w:w="1938"/>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序号</w:t>
                  </w:r>
                </w:p>
              </w:tc>
              <w:tc>
                <w:tcPr>
                  <w:tcW w:w="2352"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名称</w:t>
                  </w:r>
                </w:p>
              </w:tc>
              <w:tc>
                <w:tcPr>
                  <w:tcW w:w="1938"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规格及型号</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单位</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rPr>
                    <w:t>消防沙箱</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微软雅黑"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2m</w:t>
                  </w:r>
                  <w:r>
                    <w:rPr>
                      <w:rFonts w:hint="default" w:ascii="Times New Roman" w:hAnsi="Times New Roman" w:eastAsia="宋体" w:cs="Times New Roman"/>
                      <w:sz w:val="21"/>
                      <w:szCs w:val="21"/>
                      <w:vertAlign w:val="superscript"/>
                      <w:lang w:val="en-US" w:eastAsia="zh-CN"/>
                    </w:rPr>
                    <w:t>3</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rPr>
                    <w:t>座</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隔油池</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座</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液位检测装置</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个</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液位报警装置</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套</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油品罐体泄漏报警系统</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套</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紧急切断设施</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个</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灭火毯</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个</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35kg推车式干粉灭火器</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8kg灭火器</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sz w:val="21"/>
                      <w:szCs w:val="21"/>
                    </w:rPr>
                    <w:t>具</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消防桶</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个</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2352"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sz w:val="21"/>
                      <w:szCs w:val="21"/>
                    </w:rPr>
                    <w:t>消</w:t>
                  </w:r>
                  <w:r>
                    <w:rPr>
                      <w:rFonts w:hint="default" w:ascii="Times New Roman" w:hAnsi="Times New Roman" w:eastAsia="宋体" w:cs="Times New Roman"/>
                      <w:color w:val="000000"/>
                      <w:sz w:val="21"/>
                      <w:szCs w:val="21"/>
                    </w:rPr>
                    <w:t>防锨</w:t>
                  </w:r>
                </w:p>
              </w:tc>
              <w:tc>
                <w:tcPr>
                  <w:tcW w:w="1938"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把</w:t>
                  </w:r>
                </w:p>
              </w:tc>
              <w:tc>
                <w:tcPr>
                  <w:tcW w:w="1660" w:type="dxa"/>
                  <w:vAlign w:val="center"/>
                </w:tcPr>
                <w:p>
                  <w:pPr>
                    <w:keepLines w:val="0"/>
                    <w:pageBreakBefore w:val="0"/>
                    <w:widowControl w:val="0"/>
                    <w:kinsoku/>
                    <w:wordWrap/>
                    <w:overflowPunct/>
                    <w:topLinePunct w:val="0"/>
                    <w:autoSpaceDE w:val="0"/>
                    <w:autoSpaceDN w:val="0"/>
                    <w:bidi w:val="0"/>
                    <w:adjustRightInd w:val="0"/>
                    <w:snapToGrid w:val="0"/>
                    <w:spacing w:before="0" w:after="0"/>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13</w:t>
                  </w:r>
                </w:p>
              </w:tc>
              <w:tc>
                <w:tcPr>
                  <w:tcW w:w="2352"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围堰</w:t>
                  </w:r>
                </w:p>
              </w:tc>
              <w:tc>
                <w:tcPr>
                  <w:tcW w:w="1938"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罐区四周建有20cm围堰</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处</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14</w:t>
                  </w:r>
                </w:p>
              </w:tc>
              <w:tc>
                <w:tcPr>
                  <w:tcW w:w="2352"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应急预案备案表</w:t>
                  </w:r>
                </w:p>
              </w:tc>
              <w:tc>
                <w:tcPr>
                  <w:tcW w:w="1938"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610117-2019-02</w:t>
                  </w:r>
                  <w:r>
                    <w:rPr>
                      <w:rFonts w:hint="eastAsia" w:ascii="Times New Roman" w:hAnsi="Times New Roman" w:eastAsia="宋体" w:cs="Times New Roman"/>
                      <w:b w:val="0"/>
                      <w:bCs/>
                      <w:sz w:val="21"/>
                      <w:szCs w:val="21"/>
                      <w:vertAlign w:val="baseline"/>
                      <w:lang w:val="en-US" w:eastAsia="zh-CN"/>
                    </w:rPr>
                    <w:t>2</w:t>
                  </w:r>
                  <w:r>
                    <w:rPr>
                      <w:rFonts w:hint="default" w:ascii="Times New Roman" w:hAnsi="Times New Roman" w:eastAsia="宋体" w:cs="Times New Roman"/>
                      <w:b w:val="0"/>
                      <w:bCs/>
                      <w:sz w:val="21"/>
                      <w:szCs w:val="21"/>
                      <w:vertAlign w:val="baseline"/>
                      <w:lang w:val="en-US" w:eastAsia="zh-CN"/>
                    </w:rPr>
                    <w:t>-L</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份</w:t>
                  </w:r>
                </w:p>
              </w:tc>
              <w:tc>
                <w:tcPr>
                  <w:tcW w:w="1660" w:type="dxa"/>
                  <w:vAlign w:val="center"/>
                </w:tcPr>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vertAlign w:val="baseline"/>
                      <w:lang w:val="en-US" w:eastAsia="zh-CN"/>
                    </w:rPr>
                    <w:t>1</w:t>
                  </w:r>
                </w:p>
              </w:tc>
            </w:tr>
          </w:tbl>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其他设施</w:t>
            </w:r>
          </w:p>
          <w:p>
            <w:pPr>
              <w:tabs>
                <w:tab w:val="left" w:pos="924"/>
              </w:tabs>
              <w:adjustRightInd w:val="0"/>
              <w:snapToGrid w:val="0"/>
              <w:spacing w:line="360" w:lineRule="auto"/>
              <w:ind w:firstLine="480" w:firstLineChars="200"/>
              <w:rPr>
                <w:bCs/>
                <w:snapToGrid w:val="0"/>
                <w:kern w:val="0"/>
                <w:sz w:val="24"/>
                <w:szCs w:val="24"/>
              </w:rPr>
            </w:pPr>
            <w:r>
              <w:rPr>
                <w:rFonts w:hint="eastAsia" w:ascii="Times New Roman" w:hAnsi="Times New Roman" w:cs="Times New Roman"/>
                <w:b w:val="0"/>
                <w:bCs w:val="0"/>
                <w:sz w:val="24"/>
                <w:szCs w:val="24"/>
                <w:lang w:val="en-US" w:eastAsia="zh-CN"/>
              </w:rPr>
              <w:t>项目地设置地下水监控井一座，</w:t>
            </w:r>
            <w:r>
              <w:rPr>
                <w:bCs/>
                <w:snapToGrid w:val="0"/>
                <w:kern w:val="0"/>
                <w:sz w:val="24"/>
                <w:szCs w:val="24"/>
              </w:rPr>
              <w:t>油罐采用</w:t>
            </w:r>
            <w:r>
              <w:rPr>
                <w:rFonts w:hint="eastAsia"/>
                <w:bCs/>
                <w:snapToGrid w:val="0"/>
                <w:kern w:val="0"/>
                <w:sz w:val="24"/>
                <w:szCs w:val="24"/>
              </w:rPr>
              <w:t>内钢外玻璃纤维增强塑料双层储罐</w:t>
            </w:r>
            <w:r>
              <w:rPr>
                <w:bCs/>
                <w:snapToGrid w:val="0"/>
                <w:kern w:val="0"/>
                <w:sz w:val="24"/>
                <w:szCs w:val="24"/>
              </w:rPr>
              <w:t>，为有效防止废水、油品跑冒滴漏对周围地下水造成不利影响，在油罐区、发油区、管理区设防紧急停机锁存报警器、加油机泄漏低限报警器、储罐超压报警器、储罐液位低限报警器、储罐液位高限报警器、储油罐池渗漏检测报警器等，加油站采取分区防渗措施：</w:t>
            </w:r>
          </w:p>
          <w:p>
            <w:pPr>
              <w:tabs>
                <w:tab w:val="left" w:pos="924"/>
              </w:tabs>
              <w:ind w:firstLine="422" w:firstLineChars="200"/>
              <w:jc w:val="center"/>
              <w:rPr>
                <w:b/>
                <w:snapToGrid w:val="0"/>
                <w:kern w:val="0"/>
                <w:sz w:val="21"/>
                <w:szCs w:val="24"/>
              </w:rPr>
            </w:pPr>
            <w:r>
              <w:rPr>
                <w:b/>
                <w:snapToGrid w:val="0"/>
                <w:kern w:val="0"/>
                <w:sz w:val="21"/>
                <w:szCs w:val="24"/>
              </w:rPr>
              <w:t>表7  项目污染物划分及防渗等级一览表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815"/>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91"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分区</w:t>
                  </w:r>
                </w:p>
              </w:tc>
              <w:tc>
                <w:tcPr>
                  <w:tcW w:w="1815"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站内分区</w:t>
                  </w:r>
                </w:p>
              </w:tc>
              <w:tc>
                <w:tcPr>
                  <w:tcW w:w="4890"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91"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一般防渗区</w:t>
                  </w:r>
                </w:p>
              </w:tc>
              <w:tc>
                <w:tcPr>
                  <w:tcW w:w="1815"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加油区</w:t>
                  </w:r>
                </w:p>
              </w:tc>
              <w:tc>
                <w:tcPr>
                  <w:tcW w:w="4890"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混凝土硬化，等效黏土防渗层Mb≥1.5m，K≤1×10</w:t>
                  </w:r>
                  <w:r>
                    <w:rPr>
                      <w:rFonts w:hint="default" w:ascii="Times New Roman" w:hAnsi="Times New Roman" w:cs="Times New Roman"/>
                      <w:bCs/>
                      <w:snapToGrid w:val="0"/>
                      <w:kern w:val="0"/>
                      <w:sz w:val="21"/>
                      <w:szCs w:val="21"/>
                      <w:vertAlign w:val="superscript"/>
                    </w:rPr>
                    <w:t>-7</w:t>
                  </w:r>
                  <w:r>
                    <w:rPr>
                      <w:rFonts w:hint="default" w:ascii="Times New Roman" w:hAnsi="Times New Roman" w:cs="Times New Roman"/>
                      <w:bCs/>
                      <w:snapToGrid w:val="0"/>
                      <w:kern w:val="0"/>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91"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简单防渗区</w:t>
                  </w:r>
                </w:p>
              </w:tc>
              <w:tc>
                <w:tcPr>
                  <w:tcW w:w="1815"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生活区、站房区</w:t>
                  </w:r>
                </w:p>
              </w:tc>
              <w:tc>
                <w:tcPr>
                  <w:tcW w:w="4890"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91"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重点防渗区</w:t>
                  </w:r>
                </w:p>
              </w:tc>
              <w:tc>
                <w:tcPr>
                  <w:tcW w:w="1815"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储罐区、输油管线</w:t>
                  </w:r>
                </w:p>
              </w:tc>
              <w:tc>
                <w:tcPr>
                  <w:tcW w:w="4890" w:type="dxa"/>
                  <w:noWrap w:val="0"/>
                  <w:vAlign w:val="center"/>
                </w:tcPr>
                <w:p>
                  <w:pPr>
                    <w:tabs>
                      <w:tab w:val="left" w:pos="924"/>
                    </w:tabs>
                    <w:adjustRightInd w:val="0"/>
                    <w:snapToGrid w:val="0"/>
                    <w:jc w:val="center"/>
                    <w:rPr>
                      <w:rFonts w:hint="default" w:ascii="Times New Roman" w:hAnsi="Times New Roman" w:cs="Times New Roman"/>
                      <w:bCs/>
                      <w:snapToGrid w:val="0"/>
                      <w:kern w:val="0"/>
                      <w:sz w:val="21"/>
                      <w:szCs w:val="21"/>
                    </w:rPr>
                  </w:pPr>
                  <w:r>
                    <w:rPr>
                      <w:rFonts w:hint="default" w:ascii="Times New Roman" w:hAnsi="Times New Roman" w:cs="Times New Roman"/>
                      <w:bCs/>
                      <w:snapToGrid w:val="0"/>
                      <w:kern w:val="0"/>
                      <w:sz w:val="21"/>
                      <w:szCs w:val="21"/>
                    </w:rPr>
                    <w:t>储罐已采取双层钢制储罐，防渗池采取了一般防渗措施即采用混凝土硬化，等效黏土防渗层Mb≥1.5m，K≤1×10</w:t>
                  </w:r>
                  <w:r>
                    <w:rPr>
                      <w:rFonts w:hint="default" w:ascii="Times New Roman" w:hAnsi="Times New Roman" w:cs="Times New Roman"/>
                      <w:bCs/>
                      <w:snapToGrid w:val="0"/>
                      <w:kern w:val="0"/>
                      <w:sz w:val="21"/>
                      <w:szCs w:val="21"/>
                      <w:vertAlign w:val="superscript"/>
                    </w:rPr>
                    <w:t>-7</w:t>
                  </w:r>
                  <w:r>
                    <w:rPr>
                      <w:rFonts w:hint="default" w:ascii="Times New Roman" w:hAnsi="Times New Roman" w:cs="Times New Roman"/>
                      <w:bCs/>
                      <w:snapToGrid w:val="0"/>
                      <w:kern w:val="0"/>
                      <w:sz w:val="21"/>
                      <w:szCs w:val="21"/>
                    </w:rPr>
                    <w:t>cm/s；输油管线采用双层夹套输油管线</w:t>
                  </w:r>
                </w:p>
              </w:tc>
            </w:tr>
          </w:tbl>
          <w:p>
            <w:pPr>
              <w:tabs>
                <w:tab w:val="left" w:pos="924"/>
              </w:tabs>
              <w:adjustRightInd w:val="0"/>
              <w:snapToGrid w:val="0"/>
              <w:spacing w:line="360" w:lineRule="auto"/>
              <w:ind w:firstLine="480" w:firstLineChars="200"/>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一般防渗区防渗措施：一般防渗区为整个加油区。该防渗区地面应采用抗渗混凝土结构，混凝土强度等级不低于C25，厚度不小于100mm，渗透系数应≤10</w:t>
            </w:r>
            <w:r>
              <w:rPr>
                <w:rFonts w:hint="default" w:ascii="Times New Roman" w:hAnsi="Times New Roman" w:cs="Times New Roman"/>
                <w:bCs/>
                <w:snapToGrid w:val="0"/>
                <w:kern w:val="0"/>
                <w:sz w:val="24"/>
                <w:szCs w:val="24"/>
                <w:vertAlign w:val="superscript"/>
              </w:rPr>
              <w:t>-7</w:t>
            </w:r>
            <w:r>
              <w:rPr>
                <w:rFonts w:hint="default" w:ascii="Times New Roman" w:hAnsi="Times New Roman" w:cs="Times New Roman"/>
                <w:bCs/>
                <w:snapToGrid w:val="0"/>
                <w:kern w:val="0"/>
                <w:sz w:val="24"/>
                <w:szCs w:val="24"/>
              </w:rPr>
              <w:t>cm/s。</w:t>
            </w:r>
          </w:p>
          <w:p>
            <w:pPr>
              <w:tabs>
                <w:tab w:val="left" w:pos="924"/>
              </w:tabs>
              <w:adjustRightInd w:val="0"/>
              <w:snapToGrid w:val="0"/>
              <w:spacing w:line="360" w:lineRule="auto"/>
              <w:ind w:firstLine="480" w:firstLineChars="200"/>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为确保防渗措施的防渗效果，工程施工过程中建设单位应加强施工期的管理，严格按防渗设计要求进行施工，加强防渗措施的日常维护，使防渗措施达到应有的防渗效果。同时应加强生产设施的环保设施的管理，避免废水跑冒滴漏。</w:t>
            </w:r>
          </w:p>
          <w:p>
            <w:pPr>
              <w:tabs>
                <w:tab w:val="left" w:pos="924"/>
              </w:tabs>
              <w:adjustRightInd w:val="0"/>
              <w:snapToGrid w:val="0"/>
              <w:spacing w:line="360" w:lineRule="auto"/>
              <w:ind w:firstLine="480" w:firstLineChars="200"/>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简单防渗区：除重点防渗区、一般防渗区以外的区域只需做一般地面硬化即可，主要指加油站生活区及站房区域。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default"/>
                <w:lang w:val="en-US" w:eastAsia="zh-CN"/>
              </w:rPr>
            </w:pPr>
            <w:r>
              <w:rPr>
                <w:rFonts w:hint="default" w:ascii="Times New Roman" w:hAnsi="Times New Roman" w:cs="Times New Roman"/>
                <w:sz w:val="24"/>
                <w:szCs w:val="24"/>
                <w:lang w:eastAsia="zh-CN"/>
              </w:rPr>
              <w:t>项目地周边已进行绿化，绿化面积为</w:t>
            </w:r>
            <w:r>
              <w:rPr>
                <w:rFonts w:hint="default" w:ascii="Times New Roman" w:hAnsi="Times New Roman" w:cs="Times New Roman"/>
                <w:sz w:val="24"/>
                <w:szCs w:val="24"/>
                <w:lang w:val="en-US" w:eastAsia="zh-CN"/>
              </w:rPr>
              <w:t>185m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lang w:val="en-US" w:eastAsia="zh-CN"/>
              </w:rPr>
              <w:t>。</w:t>
            </w:r>
          </w:p>
          <w:p>
            <w:pPr>
              <w:numPr>
                <w:ilvl w:val="0"/>
                <w:numId w:val="6"/>
              </w:numPr>
              <w:spacing w:line="360" w:lineRule="auto"/>
              <w:rPr>
                <w:rFonts w:hint="eastAsia"/>
                <w:b/>
                <w:bCs/>
                <w:sz w:val="24"/>
                <w:szCs w:val="24"/>
                <w:lang w:val="en-US" w:eastAsia="zh-CN"/>
              </w:rPr>
            </w:pPr>
            <w:r>
              <w:rPr>
                <w:rFonts w:hint="eastAsia"/>
                <w:b/>
                <w:bCs/>
                <w:sz w:val="24"/>
                <w:szCs w:val="24"/>
                <w:lang w:val="en-US" w:eastAsia="zh-CN"/>
              </w:rPr>
              <w:t>环保设施投资及“三同时”落实情况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outlineLvl w:val="9"/>
              <w:rPr>
                <w:rFonts w:hint="default" w:ascii="Times New Roman" w:hAnsi="Times New Roman" w:cs="Times New Roman" w:eastAsiaTheme="minorEastAsia"/>
                <w:b w:val="0"/>
                <w:color w:val="auto"/>
                <w:kern w:val="24"/>
                <w:sz w:val="24"/>
                <w:szCs w:val="21"/>
                <w:lang w:val="en-US" w:eastAsia="zh-CN" w:bidi="ar-SA"/>
              </w:rPr>
            </w:pPr>
            <w:r>
              <w:rPr>
                <w:rFonts w:hint="default" w:ascii="Times New Roman" w:hAnsi="Times New Roman" w:cs="Times New Roman" w:eastAsiaTheme="minorEastAsia"/>
                <w:b w:val="0"/>
                <w:color w:val="auto"/>
                <w:kern w:val="24"/>
                <w:sz w:val="24"/>
                <w:szCs w:val="21"/>
                <w:lang w:val="en-US" w:eastAsia="zh-CN" w:bidi="ar-SA"/>
              </w:rPr>
              <w:t>项目总投资567.75万元，其中环保投资73.1万元，占总投资金额的12.88%，具体投资内容见表6所示。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color w:val="auto"/>
                <w:kern w:val="24"/>
                <w:sz w:val="21"/>
                <w:szCs w:val="21"/>
                <w:lang w:val="en-US" w:eastAsia="zh-CN" w:bidi="ar-SA"/>
              </w:rPr>
            </w:pPr>
            <w:r>
              <w:rPr>
                <w:rFonts w:hint="default" w:ascii="Times New Roman" w:hAnsi="Times New Roman" w:cs="Times New Roman" w:eastAsiaTheme="minorEastAsia"/>
                <w:b/>
                <w:bCs/>
                <w:color w:val="auto"/>
                <w:kern w:val="24"/>
                <w:sz w:val="21"/>
                <w:szCs w:val="21"/>
                <w:lang w:val="en-US" w:eastAsia="zh-CN" w:bidi="ar-SA"/>
              </w:rPr>
              <w:t>表</w:t>
            </w:r>
            <w:r>
              <w:rPr>
                <w:rFonts w:hint="eastAsia" w:ascii="Times New Roman" w:hAnsi="Times New Roman" w:cs="Times New Roman" w:eastAsiaTheme="minorEastAsia"/>
                <w:b/>
                <w:bCs/>
                <w:color w:val="auto"/>
                <w:kern w:val="24"/>
                <w:sz w:val="21"/>
                <w:szCs w:val="21"/>
                <w:lang w:val="en-US" w:eastAsia="zh-CN" w:bidi="ar-SA"/>
              </w:rPr>
              <w:t>8</w:t>
            </w:r>
            <w:r>
              <w:rPr>
                <w:rFonts w:hint="default" w:ascii="Times New Roman" w:hAnsi="Times New Roman" w:cs="Times New Roman" w:eastAsiaTheme="minorEastAsia"/>
                <w:b/>
                <w:bCs/>
                <w:color w:val="auto"/>
                <w:kern w:val="24"/>
                <w:sz w:val="21"/>
                <w:szCs w:val="21"/>
                <w:lang w:val="en-US" w:eastAsia="zh-CN" w:bidi="ar-SA"/>
              </w:rPr>
              <w:t xml:space="preserve">  </w:t>
            </w:r>
            <w:r>
              <w:rPr>
                <w:rFonts w:hint="default" w:ascii="Times New Roman" w:hAnsi="Times New Roman" w:cs="Times New Roman" w:eastAsiaTheme="minorEastAsia"/>
                <w:b/>
                <w:bCs/>
                <w:sz w:val="21"/>
                <w:szCs w:val="21"/>
              </w:rPr>
              <w:t>项目环保设施环评、实际建设情况一览表</w:t>
            </w:r>
          </w:p>
          <w:tbl>
            <w:tblPr>
              <w:tblStyle w:val="10"/>
              <w:tblW w:w="8493"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503"/>
              <w:gridCol w:w="1205"/>
              <w:gridCol w:w="1814"/>
              <w:gridCol w:w="1012"/>
              <w:gridCol w:w="1846"/>
              <w:gridCol w:w="1064"/>
              <w:gridCol w:w="10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序号</w:t>
                  </w: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污染源</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lang w:val="en-US" w:eastAsia="zh-CN"/>
                    </w:rPr>
                    <w:t>环评及</w:t>
                  </w:r>
                  <w:r>
                    <w:rPr>
                      <w:rFonts w:hint="default" w:ascii="Times New Roman" w:hAnsi="Times New Roman" w:cs="Times New Roman"/>
                      <w:sz w:val="21"/>
                    </w:rPr>
                    <w:t>批复要求投资内容</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环保投资（万元）</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z w:val="21"/>
                    </w:rPr>
                    <w:t>实际环保投资内容</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实际环保</w:t>
                  </w:r>
                </w:p>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rPr>
                    <w:t>投</w:t>
                  </w:r>
                  <w:r>
                    <w:rPr>
                      <w:rFonts w:hint="default" w:ascii="Times New Roman" w:hAnsi="Times New Roman" w:cs="Times New Roman"/>
                      <w:snapToGrid/>
                      <w:kern w:val="0"/>
                      <w:sz w:val="21"/>
                      <w:szCs w:val="22"/>
                      <w:lang w:val="en-US" w:eastAsia="zh-CN"/>
                    </w:rPr>
                    <w:t>资</w:t>
                  </w:r>
                </w:p>
              </w:tc>
              <w:tc>
                <w:tcPr>
                  <w:tcW w:w="1049"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废气</w:t>
                  </w: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油品储罐区</w:t>
                  </w:r>
                </w:p>
              </w:tc>
              <w:tc>
                <w:tcPr>
                  <w:tcW w:w="1814"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012"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846"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064"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049"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加油区</w:t>
                  </w:r>
                </w:p>
              </w:tc>
              <w:tc>
                <w:tcPr>
                  <w:tcW w:w="1814"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12"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846"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64"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49"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废水</w:t>
                  </w:r>
                </w:p>
              </w:tc>
              <w:tc>
                <w:tcPr>
                  <w:tcW w:w="1205"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埋地油罐</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012"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064"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049"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05"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监控井（利用服务区原有水井）</w:t>
                  </w:r>
                </w:p>
              </w:tc>
              <w:tc>
                <w:tcPr>
                  <w:tcW w:w="1012"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监控井（利用服务区原有水井）</w:t>
                  </w:r>
                </w:p>
              </w:tc>
              <w:tc>
                <w:tcPr>
                  <w:tcW w:w="1064"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49"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场地冲洗废水</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4.0</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4.0</w:t>
                  </w:r>
                </w:p>
              </w:tc>
              <w:tc>
                <w:tcPr>
                  <w:tcW w:w="1049"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隔油池的作用是防止卸油口渗漏，项目无场地冲洗废水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固废</w:t>
                  </w: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生活垃圾</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049"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危废</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设立防渗危废暂存间，并送有资质单位处理</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设立防渗危废暂存间，并送有资质单位处理</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049" w:type="dxa"/>
                  <w:tcBorders>
                    <w:tl2br w:val="nil"/>
                    <w:tr2bl w:val="nil"/>
                  </w:tcBorders>
                  <w:noWrap w:val="0"/>
                  <w:vAlign w:val="center"/>
                </w:tcPr>
                <w:p>
                  <w:pPr>
                    <w:pStyle w:val="14"/>
                    <w:widowControl w:val="0"/>
                    <w:tabs>
                      <w:tab w:val="left" w:pos="454"/>
                    </w:tabs>
                    <w:autoSpaceDE w:val="0"/>
                    <w:autoSpaceDN w:val="0"/>
                    <w:adjustRightInd/>
                    <w:snapToGrid/>
                    <w:spacing w:before="1" w:after="0" w:afterLines="-2147483648"/>
                    <w:ind w:left="82" w:right="70"/>
                    <w:jc w:val="left"/>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03"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噪声</w:t>
                  </w:r>
                </w:p>
              </w:tc>
              <w:tc>
                <w:tcPr>
                  <w:tcW w:w="1205"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泵类</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选用低噪声设备，置于地下，安装减振垫</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z w:val="21"/>
                    </w:rPr>
                  </w:pPr>
                  <w:r>
                    <w:rPr>
                      <w:rFonts w:hint="default" w:ascii="Times New Roman" w:hAnsi="Times New Roman" w:cs="Times New Roman"/>
                      <w:snapToGrid/>
                      <w:kern w:val="0"/>
                      <w:sz w:val="21"/>
                      <w:szCs w:val="22"/>
                    </w:rPr>
                    <w:t>选用低噪声设备，置于地下，安装减振垫</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049"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08" w:type="dxa"/>
                  <w:gridSpan w:val="2"/>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生态保护</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绿化</w:t>
                  </w:r>
                </w:p>
              </w:tc>
              <w:tc>
                <w:tcPr>
                  <w:tcW w:w="1012"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2.0</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绿化</w:t>
                  </w:r>
                </w:p>
              </w:tc>
              <w:tc>
                <w:tcPr>
                  <w:tcW w:w="106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z w:val="21"/>
                      <w:szCs w:val="22"/>
                    </w:rPr>
                  </w:pPr>
                  <w:r>
                    <w:rPr>
                      <w:rFonts w:hint="default" w:ascii="Times New Roman" w:hAnsi="Times New Roman" w:eastAsia="宋体" w:cs="Times New Roman"/>
                      <w:snapToGrid/>
                      <w:kern w:val="0"/>
                      <w:sz w:val="21"/>
                      <w:szCs w:val="22"/>
                    </w:rPr>
                    <w:t>2.0</w:t>
                  </w:r>
                </w:p>
              </w:tc>
              <w:tc>
                <w:tcPr>
                  <w:tcW w:w="1049"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08" w:type="dxa"/>
                  <w:gridSpan w:val="2"/>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环境风险</w:t>
                  </w: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012"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5.0</w:t>
                  </w: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064"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eastAsia="宋体" w:cs="Times New Roman"/>
                      <w:sz w:val="21"/>
                      <w:szCs w:val="22"/>
                    </w:rPr>
                  </w:pPr>
                  <w:r>
                    <w:rPr>
                      <w:rFonts w:hint="default" w:ascii="Times New Roman" w:hAnsi="Times New Roman" w:eastAsia="宋体" w:cs="Times New Roman"/>
                      <w:snapToGrid/>
                      <w:kern w:val="0"/>
                      <w:sz w:val="21"/>
                      <w:szCs w:val="22"/>
                    </w:rPr>
                    <w:t>5.0</w:t>
                  </w:r>
                </w:p>
              </w:tc>
              <w:tc>
                <w:tcPr>
                  <w:tcW w:w="1049" w:type="dxa"/>
                  <w:vMerge w:val="restart"/>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满足要求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08" w:type="dxa"/>
                  <w:gridSpan w:val="2"/>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814"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012"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846" w:type="dxa"/>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064"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49" w:type="dxa"/>
                  <w:vMerge w:val="continue"/>
                  <w:tcBorders>
                    <w:tl2br w:val="nil"/>
                    <w:tr2bl w:val="nil"/>
                  </w:tcBorders>
                  <w:noWrap w:val="0"/>
                  <w:vAlign w:val="center"/>
                </w:tcPr>
                <w:p>
                  <w:pPr>
                    <w:pStyle w:val="14"/>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3522" w:type="dxa"/>
                  <w:gridSpan w:val="3"/>
                  <w:tcBorders>
                    <w:tl2br w:val="nil"/>
                    <w:tr2bl w:val="nil"/>
                  </w:tcBorders>
                </w:tcPr>
                <w:p>
                  <w:pPr>
                    <w:pStyle w:val="14"/>
                    <w:widowControl w:val="0"/>
                    <w:autoSpaceDE w:val="0"/>
                    <w:autoSpaceDN w:val="0"/>
                    <w:adjustRightInd/>
                    <w:snapToGrid/>
                    <w:spacing w:before="1" w:after="0" w:afterLines="-2147483648" w:line="240" w:lineRule="auto"/>
                    <w:ind w:left="82" w:right="70"/>
                    <w:jc w:val="center"/>
                    <w:rPr>
                      <w:rFonts w:ascii="Times New Roman" w:hAnsi="Times New Roman" w:cs="Times New Roman"/>
                      <w:sz w:val="21"/>
                    </w:rPr>
                  </w:pPr>
                  <w:r>
                    <w:rPr>
                      <w:rFonts w:ascii="Times New Roman" w:hAnsi="Times New Roman" w:cs="Times New Roman"/>
                      <w:sz w:val="21"/>
                    </w:rPr>
                    <w:t>合</w:t>
                  </w:r>
                  <w:r>
                    <w:rPr>
                      <w:rFonts w:ascii="Times New Roman" w:hAnsi="Times New Roman" w:cs="Times New Roman"/>
                      <w:sz w:val="21"/>
                    </w:rPr>
                    <w:tab/>
                  </w:r>
                  <w:r>
                    <w:rPr>
                      <w:rFonts w:ascii="Times New Roman" w:hAnsi="Times New Roman" w:cs="Times New Roman"/>
                      <w:sz w:val="21"/>
                    </w:rPr>
                    <w:t>计</w:t>
                  </w:r>
                </w:p>
              </w:tc>
              <w:tc>
                <w:tcPr>
                  <w:tcW w:w="1012" w:type="dxa"/>
                  <w:tcBorders>
                    <w:tl2br w:val="nil"/>
                    <w:tr2bl w:val="nil"/>
                  </w:tcBorders>
                </w:tcPr>
                <w:p>
                  <w:pPr>
                    <w:pStyle w:val="14"/>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846" w:type="dxa"/>
                  <w:tcBorders>
                    <w:tl2br w:val="nil"/>
                    <w:tr2bl w:val="nil"/>
                  </w:tcBorders>
                </w:tcPr>
                <w:p>
                  <w:pPr>
                    <w:pStyle w:val="14"/>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合计</w:t>
                  </w:r>
                </w:p>
              </w:tc>
              <w:tc>
                <w:tcPr>
                  <w:tcW w:w="1064" w:type="dxa"/>
                  <w:tcBorders>
                    <w:tl2br w:val="nil"/>
                    <w:tr2bl w:val="nil"/>
                  </w:tcBorders>
                </w:tcPr>
                <w:p>
                  <w:pPr>
                    <w:pStyle w:val="14"/>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049" w:type="dxa"/>
                  <w:tcBorders>
                    <w:tl2br w:val="nil"/>
                    <w:tr2bl w:val="nil"/>
                  </w:tcBorders>
                </w:tcPr>
                <w:p>
                  <w:pPr>
                    <w:pStyle w:val="14"/>
                    <w:widowControl w:val="0"/>
                    <w:autoSpaceDE w:val="0"/>
                    <w:autoSpaceDN w:val="0"/>
                    <w:adjustRightInd/>
                    <w:snapToGrid/>
                    <w:spacing w:before="1" w:after="0" w:afterLines="-2147483648" w:line="240" w:lineRule="auto"/>
                    <w:ind w:left="82" w:right="7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w:t>
                  </w:r>
                </w:p>
              </w:tc>
            </w:tr>
          </w:tbl>
          <w:p>
            <w:pPr>
              <w:numPr>
                <w:ilvl w:val="-1"/>
                <w:numId w:val="0"/>
              </w:numPr>
              <w:spacing w:line="360" w:lineRule="auto"/>
              <w:rPr>
                <w:rFonts w:hint="eastAsia"/>
                <w:b/>
                <w:bCs/>
                <w:sz w:val="24"/>
                <w:szCs w:val="24"/>
                <w:lang w:val="en-US" w:eastAsia="zh-CN"/>
              </w:rPr>
            </w:pPr>
          </w:p>
          <w:p>
            <w:pPr>
              <w:pStyle w:val="2"/>
              <w:numPr>
                <w:ilvl w:val="-1"/>
                <w:numId w:val="0"/>
              </w:numPr>
              <w:ind w:left="0"/>
              <w:rPr>
                <w:rFonts w:hint="eastAsia"/>
                <w:lang w:val="en-US" w:eastAsia="zh-CN"/>
              </w:rPr>
            </w:pPr>
          </w:p>
        </w:tc>
      </w:tr>
    </w:tbl>
    <w:p>
      <w:pPr>
        <w:spacing w:line="360" w:lineRule="auto"/>
        <w:ind w:firstLine="440" w:firstLineChars="200"/>
        <w:rPr>
          <w:rFonts w:hint="eastAsia"/>
          <w:lang w:val="en-US" w:eastAsia="zh-CN"/>
        </w:rPr>
      </w:pPr>
      <w:r>
        <w:rPr>
          <w:rFonts w:hint="eastAsia"/>
          <w:lang w:val="en-US" w:eastAsia="zh-CN"/>
        </w:rPr>
        <w:br w:type="page"/>
      </w:r>
    </w:p>
    <w:p>
      <w:pPr>
        <w:pStyle w:val="3"/>
        <w:spacing w:before="55"/>
        <w:ind w:left="0" w:leftChars="0" w:firstLine="0" w:firstLineChars="0"/>
        <w:rPr>
          <w:rFonts w:hint="default" w:ascii="Times New Roman" w:hAnsi="Times New Roman" w:eastAsia="黑体" w:cs="Times New Roman"/>
          <w:spacing w:val="-3"/>
        </w:rPr>
      </w:pPr>
      <w:r>
        <w:rPr>
          <w:rFonts w:hint="default" w:ascii="Times New Roman" w:hAnsi="Times New Roman" w:eastAsia="黑体" w:cs="Times New Roman"/>
          <w:spacing w:val="-36"/>
        </w:rPr>
        <w:t xml:space="preserve">表 </w:t>
      </w:r>
      <w:r>
        <w:rPr>
          <w:rFonts w:hint="default" w:ascii="Times New Roman" w:hAnsi="Times New Roman" w:eastAsia="Times New Roman" w:cs="Times New Roman"/>
        </w:rPr>
        <w:t>4</w:t>
      </w:r>
      <w:r>
        <w:rPr>
          <w:rFonts w:hint="default" w:ascii="Times New Roman" w:hAnsi="Times New Roman" w:eastAsia="Times New Roman" w:cs="Times New Roman"/>
          <w:spacing w:val="68"/>
        </w:rPr>
        <w:t xml:space="preserve"> </w:t>
      </w:r>
      <w:r>
        <w:rPr>
          <w:rFonts w:hint="default" w:ascii="Times New Roman" w:hAnsi="Times New Roman" w:eastAsia="黑体" w:cs="Times New Roman"/>
          <w:spacing w:val="-3"/>
        </w:rPr>
        <w:t>建设项目环境影响报告表主要结论及审批部门审批决定</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2"/>
              <w:keepNext w:val="0"/>
              <w:keepLines w:val="0"/>
              <w:pageBreakBefore w:val="0"/>
              <w:widowControl w:val="0"/>
              <w:kinsoku/>
              <w:wordWrap/>
              <w:overflowPunct/>
              <w:topLinePunct w:val="0"/>
              <w:autoSpaceDE w:val="0"/>
              <w:autoSpaceDN w:val="0"/>
              <w:bidi w:val="0"/>
              <w:adjustRightInd/>
              <w:snapToGrid/>
              <w:spacing w:after="0" w:afterLines="50"/>
              <w:ind w:left="0" w:leftChars="0" w:firstLine="0" w:firstLineChars="0"/>
              <w:textAlignment w:val="auto"/>
              <w:rPr>
                <w:rFonts w:hint="default"/>
              </w:rPr>
            </w:pPr>
            <w:r>
              <w:rPr>
                <w:rFonts w:hint="default"/>
              </w:rPr>
              <w:t>一、环境影响报告表主要结论与建议</w:t>
            </w:r>
          </w:p>
          <w:p>
            <w:pPr>
              <w:spacing w:line="360" w:lineRule="auto"/>
              <w:ind w:firstLine="480" w:firstLineChars="200"/>
              <w:rPr>
                <w:rFonts w:hint="default"/>
                <w:sz w:val="24"/>
                <w:szCs w:val="24"/>
                <w:lang w:val="zh-CN" w:eastAsia="zh-CN"/>
              </w:rPr>
            </w:pPr>
            <w:r>
              <w:rPr>
                <w:rFonts w:hint="default"/>
                <w:sz w:val="24"/>
                <w:szCs w:val="24"/>
                <w:lang w:val="zh-CN" w:eastAsia="zh-CN"/>
              </w:rPr>
              <w:t>根据宝鸡博源环境科技有限公司西安分公司编制的《陕西省石油化工工业贸易有限公司高陵服务区</w:t>
            </w:r>
            <w:r>
              <w:rPr>
                <w:rFonts w:hint="eastAsia"/>
                <w:sz w:val="24"/>
                <w:szCs w:val="24"/>
                <w:lang w:val="zh-CN" w:eastAsia="zh-CN"/>
              </w:rPr>
              <w:t>南</w:t>
            </w:r>
            <w:r>
              <w:rPr>
                <w:rFonts w:hint="default"/>
                <w:sz w:val="24"/>
                <w:szCs w:val="24"/>
                <w:lang w:val="zh-CN" w:eastAsia="zh-CN"/>
              </w:rPr>
              <w:t>加油站建设项目环境影响评价报告表》，其主要结论如下：</w:t>
            </w:r>
          </w:p>
          <w:tbl>
            <w:tblPr>
              <w:tblStyle w:val="10"/>
              <w:tblpPr w:leftFromText="180" w:rightFromText="180" w:vertAnchor="text" w:horzAnchor="page" w:tblpX="120" w:tblpY="258"/>
              <w:tblOverlap w:val="never"/>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类别</w:t>
                  </w:r>
                </w:p>
              </w:tc>
              <w:tc>
                <w:tcPr>
                  <w:tcW w:w="7146"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sz w:val="21"/>
                      <w:szCs w:val="21"/>
                      <w:vertAlign w:val="baseline"/>
                    </w:rPr>
                    <w:t>环境空气影响分析</w:t>
                  </w:r>
                </w:p>
              </w:tc>
              <w:tc>
                <w:tcPr>
                  <w:tcW w:w="7146" w:type="dxa"/>
                  <w:tcBorders>
                    <w:tl2br w:val="nil"/>
                    <w:tr2bl w:val="nil"/>
                  </w:tcBorders>
                  <w:vAlign w:val="center"/>
                </w:tcPr>
                <w:p>
                  <w:pPr>
                    <w:keepNext w:val="0"/>
                    <w:widowControl/>
                    <w:adjustRightInd/>
                    <w:snapToGrid/>
                    <w:spacing w:after="0"/>
                    <w:ind w:firstLine="0" w:firstLineChars="0"/>
                    <w:jc w:val="left"/>
                    <w:outlineLvl w:val="9"/>
                    <w:rPr>
                      <w:rFonts w:hint="eastAsia" w:ascii="宋体" w:hAnsi="宋体" w:eastAsia="宋体" w:cs="宋体"/>
                      <w:bCs/>
                      <w:sz w:val="21"/>
                      <w:szCs w:val="21"/>
                      <w:vertAlign w:val="baseline"/>
                    </w:rPr>
                  </w:pPr>
                  <w:r>
                    <w:rPr>
                      <w:rFonts w:hint="eastAsia" w:ascii="宋体" w:hAnsi="宋体" w:eastAsia="宋体" w:cs="宋体"/>
                      <w:b w:val="0"/>
                      <w:bCs/>
                      <w:color w:val="000000"/>
                      <w:sz w:val="21"/>
                      <w:szCs w:val="21"/>
                    </w:rPr>
                    <w:t>项目卸油和加油等过程中产生的非甲烷总烃经油气回收系统回收后，可满足《大气污染物综合排放标准》(GB16297-1996)要求，对周围环境空气质量影响较小；车辆在站内行程较短，尾气排放量较小，且扩散速度较快，对周围环境空气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restart"/>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水环境影响分析</w:t>
                  </w:r>
                </w:p>
              </w:tc>
              <w:tc>
                <w:tcPr>
                  <w:tcW w:w="7146"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地表水：项目场地冲洗废水经隔油池处理后和生活污水一并进入西咸北环线高陵服务区污水处理系统进行深度处理，然后回用于项目水冲厕继续使用。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tcBorders>
                    <w:tl2br w:val="nil"/>
                    <w:tr2bl w:val="nil"/>
                  </w:tcBorders>
                  <w:vAlign w:val="center"/>
                </w:tcPr>
                <w:p>
                  <w:pPr>
                    <w:pStyle w:val="2"/>
                    <w:jc w:val="center"/>
                    <w:rPr>
                      <w:rFonts w:hint="eastAsia" w:ascii="宋体" w:hAnsi="宋体" w:eastAsia="宋体" w:cs="宋体"/>
                      <w:sz w:val="21"/>
                      <w:szCs w:val="21"/>
                      <w:vertAlign w:val="baseline"/>
                    </w:rPr>
                  </w:pPr>
                </w:p>
              </w:tc>
              <w:tc>
                <w:tcPr>
                  <w:tcW w:w="7146"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地下水：本项目防止地下水污染的防渗工程主要是在储罐区、隔油池等处，参照《环境影响评价技术导则—地下水环境》（HJ 610-2016）和《汽车加油加气站设计与施工规范（2014年修订）》（GB50156-2012）相应标准要求铺设防渗混凝土，各池体增加防渗层，以阻止地面的污染物进入地下水中。同时，对站内管线定期巡检，杜绝地下水污染隐患。通过采取上述防渗防腐措施，达到相应的防渗标准后，项目运营期不会对区域地下水造成明显不利影响，防治措施有效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声环境</w:t>
                  </w:r>
                </w:p>
              </w:tc>
              <w:tc>
                <w:tcPr>
                  <w:tcW w:w="7146"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主要噪声源为项目区内来往的机动车行驶产生的交通噪声以及加油机油泵运行时产生的噪声。设备噪声经过减振降噪措施后厂界噪声贡献值达标；车辆噪声通过减速及绿化带隔音，加之出入距离短，且项目紧邻道路，对周围声环境质量影响程度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固体废物</w:t>
                  </w:r>
                </w:p>
              </w:tc>
              <w:tc>
                <w:tcPr>
                  <w:tcW w:w="7146"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本项目生活垃圾统一收集后交由环卫部门集中处置，对环境影响较小；废润滑油和清罐油泥使用专门容器贮存在危废暂存间，交由有资质单位处置，对环境影响较小。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风险评价</w:t>
                  </w:r>
                </w:p>
              </w:tc>
              <w:tc>
                <w:tcPr>
                  <w:tcW w:w="7146"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要求项目严格按照《汽车加油加气站设计与施工规范（2014年修正）》（GB50156-2012）的要求进行设计，并按安全评价中提出的安全管理相关要求，采取必要的安全措施。采取以上措施后，项目环境风险可接受。</w:t>
                  </w:r>
                </w:p>
              </w:tc>
            </w:tr>
          </w:tbl>
          <w:p>
            <w:pPr>
              <w:snapToGrid w:val="0"/>
              <w:spacing w:line="360" w:lineRule="auto"/>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综上所述，项目建设符合国家产业政策及相关规划，项目在运营后将产生废水、废气、噪声及固体废物污染等，在严格采取本报告表所提出的各项环境保护措施后，项目对周围环境的影响可以控制在允许的范围以内，该建设项目在环境保护方面是可行的。</w:t>
            </w:r>
          </w:p>
          <w:p>
            <w:pPr>
              <w:pStyle w:val="2"/>
              <w:keepNext w:val="0"/>
              <w:keepLines w:val="0"/>
              <w:pageBreakBefore w:val="0"/>
              <w:widowControl w:val="0"/>
              <w:kinsoku/>
              <w:wordWrap/>
              <w:overflowPunct/>
              <w:topLinePunct w:val="0"/>
              <w:autoSpaceDE w:val="0"/>
              <w:autoSpaceDN w:val="0"/>
              <w:bidi w:val="0"/>
              <w:adjustRightInd/>
              <w:snapToGrid/>
              <w:spacing w:before="0" w:after="0" w:afterLines="5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二、审批部门审批决定</w:t>
            </w:r>
          </w:p>
          <w:p>
            <w:pPr>
              <w:snapToGrid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西安市生态环境局高陵分局</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关于高陵服务区</w:t>
            </w:r>
            <w:r>
              <w:rPr>
                <w:rFonts w:hint="eastAsia" w:ascii="Times New Roman" w:hAnsi="Times New Roman" w:cs="Times New Roman"/>
                <w:sz w:val="24"/>
                <w:szCs w:val="24"/>
                <w:lang w:eastAsia="zh-CN"/>
              </w:rPr>
              <w:t>南</w:t>
            </w:r>
            <w:r>
              <w:rPr>
                <w:rFonts w:hint="default" w:ascii="Times New Roman" w:hAnsi="Times New Roman" w:eastAsia="宋体" w:cs="Times New Roman"/>
                <w:sz w:val="24"/>
                <w:szCs w:val="24"/>
              </w:rPr>
              <w:t>加油站建设项目环境影响报告表</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的批复</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市环高批复[2019]7</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号</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批复如下：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一、</w:t>
            </w:r>
            <w:r>
              <w:rPr>
                <w:rFonts w:hint="default" w:ascii="Times New Roman" w:hAnsi="Times New Roman" w:eastAsia="宋体" w:cs="Times New Roman"/>
                <w:sz w:val="24"/>
                <w:szCs w:val="24"/>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项目位于西安市高陵区西咸北环线高速公路高陵服务区</w:t>
            </w:r>
            <w:r>
              <w:rPr>
                <w:rFonts w:hint="eastAsia" w:ascii="Times New Roman" w:hAnsi="Times New Roman" w:eastAsia="宋体" w:cs="Times New Roman"/>
                <w:sz w:val="24"/>
                <w:szCs w:val="24"/>
                <w:lang w:val="en-US" w:eastAsia="zh-CN"/>
              </w:rPr>
              <w:t>南</w:t>
            </w:r>
            <w:r>
              <w:rPr>
                <w:rFonts w:hint="default" w:ascii="Times New Roman" w:hAnsi="Times New Roman" w:eastAsia="宋体" w:cs="Times New Roman"/>
                <w:sz w:val="24"/>
                <w:szCs w:val="24"/>
              </w:rPr>
              <w:t>区，占地面积7306.27</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，总建筑面积1064.84</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。建设加油区、储罐区、罩棚、站房等，项目共设5个油罐，其中3台50</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柴油 罐，2台50</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汽油罐，总罐容为250</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，折合汽油罐容为175</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（其中柴油容积折半计入），属于一级加油站。项目完成后预计年销售油品4000t，其中汽油1500t、柴油2500t。项目总投资567.75万元，其中环保投资73.1万元</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8"/>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该项目在全面落实环境影响报告表提出的各项污染防治措施后，对环境的不利影响能够得到缓解和控制。因此，生态环境高陵分局原则同意你公司环境影响报告表中拟采取的环保措施。</w:t>
            </w:r>
          </w:p>
          <w:p>
            <w:pPr>
              <w:keepNext w:val="0"/>
              <w:keepLines w:val="0"/>
              <w:pageBreakBefore w:val="0"/>
              <w:widowControl w:val="0"/>
              <w:numPr>
                <w:ilvl w:val="0"/>
                <w:numId w:val="8"/>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项目运行管理中应重点做好以下工作</w:t>
            </w:r>
          </w:p>
          <w:p>
            <w:pPr>
              <w:keepNext w:val="0"/>
              <w:keepLines w:val="0"/>
              <w:pageBreakBefore w:val="0"/>
              <w:widowControl w:val="0"/>
              <w:numPr>
                <w:ilvl w:val="0"/>
                <w:numId w:val="9"/>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化水污染防治措施项目废水主要为场地冲洗废水和生活污水。场地冲洗废水经隔油池处理后和生活污水一并进入西咸北环线高陵服务区一体化埋地式中水回用膜处理系统处理，满足《污水综合排放标准》（GB8978-1996）一级标准及《城市污水再生利用城市杂用水水质标准》（GB T 18920-2002）中冲厕及绿化水质标准后，回用于服务区厕所用水和服务区绿化用水。</w:t>
            </w:r>
          </w:p>
          <w:p>
            <w:pPr>
              <w:keepNext w:val="0"/>
              <w:keepLines w:val="0"/>
              <w:pageBreakBefore w:val="0"/>
              <w:widowControl w:val="0"/>
              <w:numPr>
                <w:ilvl w:val="0"/>
                <w:numId w:val="9"/>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严格落实大气污染防治措施项目卸油和加油等过程中产生的非甲烷总烃经油气回收系统回收后，可满足《大气污染物综合排放标准》(GB16297-1996) 要求，对周围环境空气质量影响较小；车辆在站内行程较短，尾气排放量较小，且扩散速度较快，对周围环境空气影响较小。</w:t>
            </w:r>
          </w:p>
          <w:p>
            <w:pPr>
              <w:keepNext w:val="0"/>
              <w:keepLines w:val="0"/>
              <w:pageBreakBefore w:val="0"/>
              <w:widowControl w:val="0"/>
              <w:numPr>
                <w:ilvl w:val="0"/>
                <w:numId w:val="9"/>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加强噪声污染防治项目噪声源为项目区机动车行驶产生的交通噪声以及加油机油泵运行时产生的噪声。设备噪声经减振降噪措施、车辆噪声通过减速、禁止鸣笛及绿化带隔音措施后，厂界噪声满足《工业企业厂界环境噪声排放标准》（GB12348-2008）中2类和4a类标准要求。</w:t>
            </w:r>
          </w:p>
          <w:p>
            <w:pPr>
              <w:keepNext w:val="0"/>
              <w:keepLines w:val="0"/>
              <w:pageBreakBefore w:val="0"/>
              <w:widowControl w:val="0"/>
              <w:numPr>
                <w:ilvl w:val="0"/>
                <w:numId w:val="9"/>
              </w:numPr>
              <w:kinsoku/>
              <w:wordWrap/>
              <w:overflowPunct/>
              <w:topLinePunct w:val="0"/>
              <w:autoSpaceDE w:val="0"/>
              <w:autoSpaceDN w:val="0"/>
              <w:bidi w:val="0"/>
              <w:adjustRightInd/>
              <w:snapToGrid w:val="0"/>
              <w:spacing w:after="0" w:line="360" w:lineRule="auto"/>
              <w:ind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落实固废污染防治措施项目产生的固体废物主要为生活垃圾、废润滑油、清罐油泥等。生活垃圾分类收集后，由环卫部门统一处置；废润滑油、清罐油泥等危险废物按照《危险废物贮存污染控制标准》（GB18597-2001）及2013年修改单要求，暂存于危废暂存间，危废暂存间必须有耐腐蚀的硬化地面，表面基础必须防渗。危险废物的转运严格按照《危险废物转移联单管理办法》交由有资质单位处置。</w:t>
            </w:r>
          </w:p>
          <w:p>
            <w:pPr>
              <w:keepNext w:val="0"/>
              <w:keepLines w:val="0"/>
              <w:pageBreakBefore w:val="0"/>
              <w:widowControl w:val="0"/>
              <w:numPr>
                <w:ilvl w:val="0"/>
                <w:numId w:val="8"/>
              </w:numPr>
              <w:kinsoku/>
              <w:wordWrap/>
              <w:overflowPunct/>
              <w:topLinePunct w:val="0"/>
              <w:autoSpaceDE w:val="0"/>
              <w:autoSpaceDN w:val="0"/>
              <w:bidi w:val="0"/>
              <w:adjustRightInd/>
              <w:snapToGrid w:val="0"/>
              <w:spacing w:after="0" w:line="360" w:lineRule="auto"/>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强化环境信息公开与公众参与机制。应建立畅通的公众参与平台</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及时解决公众担忧的环境问题，满足公众合理的环境诉求。定期发布环境信息，并主动接受社会监督。</w:t>
            </w:r>
          </w:p>
          <w:p>
            <w:pPr>
              <w:keepNext w:val="0"/>
              <w:keepLines w:val="0"/>
              <w:pageBreakBefore w:val="0"/>
              <w:widowControl w:val="0"/>
              <w:numPr>
                <w:ilvl w:val="0"/>
                <w:numId w:val="8"/>
              </w:numPr>
              <w:kinsoku/>
              <w:wordWrap/>
              <w:overflowPunct/>
              <w:topLinePunct w:val="0"/>
              <w:autoSpaceDE w:val="0"/>
              <w:autoSpaceDN w:val="0"/>
              <w:bidi w:val="0"/>
              <w:adjustRightInd/>
              <w:snapToGrid w:val="0"/>
              <w:spacing w:after="0"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必须严格执行配套的环境保护设施与主体工程同时设计、同时施工、同时投产使用的环境保护</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制度，落实各项环境保护措施。按照《建设项目环境保护事中事后监督管理办法（试行）》要求，由生态环境高陵分局环境监察大队负责该项目的事中事后日常监督管理。项目竣工后，你单位应依法按规定的标准和程序开展竣工环保验收工作。经验收合格后，方可正式投入运营。</w:t>
            </w:r>
          </w:p>
          <w:p>
            <w:pPr>
              <w:keepNext w:val="0"/>
              <w:keepLines w:val="0"/>
              <w:pageBreakBefore w:val="0"/>
              <w:widowControl w:val="0"/>
              <w:numPr>
                <w:ilvl w:val="0"/>
                <w:numId w:val="8"/>
              </w:numPr>
              <w:kinsoku/>
              <w:wordWrap/>
              <w:overflowPunct/>
              <w:topLinePunct w:val="0"/>
              <w:autoSpaceDE w:val="0"/>
              <w:autoSpaceDN w:val="0"/>
              <w:bidi w:val="0"/>
              <w:adjustRightInd/>
              <w:snapToGrid w:val="0"/>
              <w:spacing w:after="0"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环境影响报告表经批准后，项目的性质、规模、地点和环保措施发生重大变动的，且可能导致不利环境影响加重的，应当重新报批该项目的环境影响报告表。自环境影响报告表批复文件批准之日起，超过5年方决定工程开工建设的，环境影响报告表应当报生态环境高陵分局重新审核。</w:t>
            </w:r>
          </w:p>
          <w:p>
            <w:pPr>
              <w:pStyle w:val="2"/>
              <w:spacing w:before="0" w:line="360" w:lineRule="auto"/>
              <w:ind w:left="0" w:firstLine="480" w:firstLineChars="200"/>
              <w:rPr>
                <w:rFonts w:hint="default"/>
                <w:sz w:val="24"/>
                <w:szCs w:val="24"/>
                <w:lang w:val="en-US" w:eastAsia="zh-CN"/>
              </w:rPr>
            </w:pPr>
            <w:r>
              <w:rPr>
                <w:rFonts w:hint="eastAsia" w:ascii="Times New Roman" w:hAnsi="Times New Roman" w:cs="Times New Roman"/>
                <w:b w:val="0"/>
                <w:bCs w:val="0"/>
                <w:sz w:val="24"/>
                <w:szCs w:val="24"/>
                <w:lang w:eastAsia="zh-CN"/>
              </w:rPr>
              <w:t>七、</w:t>
            </w:r>
            <w:r>
              <w:rPr>
                <w:rFonts w:hint="default" w:ascii="Times New Roman" w:hAnsi="Times New Roman" w:eastAsia="宋体" w:cs="Times New Roman"/>
                <w:b w:val="0"/>
                <w:bCs w:val="0"/>
                <w:sz w:val="24"/>
                <w:szCs w:val="24"/>
              </w:rPr>
              <w:t>你单位应将环评批复及报告原件于2个工作日内报生态环境高陵分局环境监察大队进行备案，并按规定接受生态环境高陵分局的监督检查。</w:t>
            </w:r>
          </w:p>
          <w:p>
            <w:pPr>
              <w:pStyle w:val="2"/>
              <w:rPr>
                <w:rFonts w:hint="eastAsia"/>
                <w:lang w:val="en-US" w:eastAsia="zh-CN"/>
              </w:rPr>
            </w:pPr>
          </w:p>
        </w:tc>
      </w:tr>
    </w:tbl>
    <w:p>
      <w:pPr>
        <w:rPr>
          <w:rFonts w:hint="eastAsia"/>
          <w:lang w:val="en-US" w:eastAsia="zh-CN"/>
        </w:rPr>
      </w:pPr>
      <w:r>
        <w:rPr>
          <w:rFonts w:hint="eastAsia"/>
          <w:lang w:val="en-US" w:eastAsia="zh-CN"/>
        </w:rPr>
        <w:br w:type="page"/>
      </w:r>
    </w:p>
    <w:p>
      <w:pPr>
        <w:pStyle w:val="2"/>
        <w:rPr>
          <w:rFonts w:hint="eastAsia" w:ascii="黑体" w:hAnsi="黑体" w:eastAsia="黑体" w:cs="黑体"/>
          <w:sz w:val="28"/>
          <w:szCs w:val="28"/>
        </w:rPr>
      </w:pPr>
      <w:r>
        <w:rPr>
          <w:rFonts w:hint="eastAsia" w:ascii="黑体" w:hAnsi="黑体" w:eastAsia="黑体" w:cs="黑体"/>
          <w:sz w:val="28"/>
          <w:szCs w:val="28"/>
        </w:rPr>
        <w:t>表 5 验收监测质量保证及质量控制</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bidi w:val="0"/>
              <w:spacing w:before="0" w:line="360" w:lineRule="auto"/>
              <w:ind w:left="0"/>
              <w:rPr>
                <w:rFonts w:hint="default"/>
              </w:rPr>
            </w:pPr>
            <w:bookmarkStart w:id="46" w:name="_Toc19008_WPSOffice_Level2"/>
            <w:bookmarkStart w:id="47" w:name="_Toc25736"/>
            <w:r>
              <w:rPr>
                <w:rFonts w:hint="eastAsia"/>
                <w:lang w:eastAsia="zh-CN"/>
              </w:rPr>
              <w:t>一、</w:t>
            </w:r>
            <w:r>
              <w:rPr>
                <w:rFonts w:hint="default"/>
              </w:rPr>
              <w:t>监测分析方法</w:t>
            </w:r>
            <w:bookmarkEnd w:id="46"/>
            <w:bookmarkEnd w:id="47"/>
          </w:p>
          <w:p>
            <w:pPr>
              <w:keepLines w:val="0"/>
              <w:pageBreakBefore w:val="0"/>
              <w:numPr>
                <w:ilvl w:val="0"/>
                <w:numId w:val="0"/>
              </w:numPr>
              <w:kinsoku/>
              <w:overflowPunct/>
              <w:topLinePunct w:val="0"/>
              <w:bidi w:val="0"/>
              <w:spacing w:line="360" w:lineRule="auto"/>
              <w:ind w:firstLine="480" w:firstLineChars="200"/>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各监测项目具体分析方法见表</w:t>
            </w:r>
            <w:r>
              <w:rPr>
                <w:rFonts w:hint="eastAsia"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rPr>
              <w:t>。</w:t>
            </w:r>
          </w:p>
          <w:p>
            <w:pPr>
              <w:pStyle w:val="9"/>
              <w:keepLines w:val="0"/>
              <w:pageBreakBefore w:val="0"/>
              <w:kinsoku/>
              <w:overflowPunct/>
              <w:topLinePunct w:val="0"/>
              <w:bidi w:val="0"/>
              <w:outlineLvl w:val="9"/>
              <w:rPr>
                <w:rFonts w:hint="default" w:ascii="Times New Roman" w:hAnsi="Times New Roman" w:cs="Times New Roman" w:eastAsiaTheme="minorEastAsia"/>
                <w:color w:val="auto"/>
                <w:sz w:val="21"/>
                <w:szCs w:val="21"/>
              </w:rPr>
            </w:pPr>
            <w:bookmarkStart w:id="48" w:name="_Toc13527"/>
            <w:bookmarkStart w:id="49" w:name="_Toc26083"/>
            <w:bookmarkStart w:id="50" w:name="_Toc11275"/>
            <w:bookmarkStart w:id="51" w:name="_Toc8832_WPSOffice_Level2"/>
            <w:r>
              <w:rPr>
                <w:rFonts w:hint="default" w:ascii="Times New Roman" w:hAnsi="Times New Roman" w:cs="Times New Roman" w:eastAsiaTheme="minorEastAsia"/>
                <w:color w:val="auto"/>
                <w:sz w:val="21"/>
                <w:szCs w:val="21"/>
              </w:rPr>
              <w:t>表</w:t>
            </w:r>
            <w:r>
              <w:rPr>
                <w:rFonts w:hint="eastAsia" w:ascii="Times New Roman" w:hAnsi="Times New Roman" w:cs="Times New Roman" w:eastAsiaTheme="minorEastAsia"/>
                <w:color w:val="auto"/>
                <w:sz w:val="21"/>
                <w:szCs w:val="21"/>
                <w:lang w:val="en-US" w:eastAsia="zh-CN"/>
              </w:rPr>
              <w:t>9</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各监测项目具体分析方法表</w:t>
            </w:r>
            <w:bookmarkEnd w:id="48"/>
            <w:bookmarkEnd w:id="49"/>
            <w:bookmarkEnd w:id="50"/>
            <w:bookmarkEnd w:id="51"/>
          </w:p>
          <w:tbl>
            <w:tblPr>
              <w:tblStyle w:val="11"/>
              <w:tblW w:w="8276"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92"/>
              <w:gridCol w:w="2151"/>
              <w:gridCol w:w="1448"/>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68" w:type="dxa"/>
                  <w:gridSpan w:val="2"/>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监测项目</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eastAsia" w:ascii="Times New Roman" w:hAnsi="Times New Roman" w:cs="Times New Roman" w:eastAsiaTheme="minorEastAsia"/>
                      <w:b w:val="0"/>
                      <w:bCs/>
                      <w:color w:val="auto"/>
                      <w:sz w:val="21"/>
                      <w:szCs w:val="21"/>
                      <w:vertAlign w:val="baseline"/>
                      <w:lang w:val="en-US" w:eastAsia="zh-CN"/>
                    </w:rPr>
                    <w:t>监测依据</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方法来源</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检出限</w:t>
                  </w:r>
                </w:p>
              </w:tc>
              <w:tc>
                <w:tcPr>
                  <w:tcW w:w="1134"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废气</w:t>
                  </w: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非甲烷总烃</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直接进样-气相色谱法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 604-2017</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0.07mg/m</w:t>
                  </w:r>
                  <w:r>
                    <w:rPr>
                      <w:rFonts w:hint="default" w:ascii="Times New Roman" w:hAnsi="Times New Roman" w:cs="Times New Roman" w:eastAsiaTheme="minorEastAsia"/>
                      <w:b w:val="0"/>
                      <w:bCs/>
                      <w:color w:val="auto"/>
                      <w:sz w:val="21"/>
                      <w:szCs w:val="21"/>
                      <w:vertAlign w:val="superscript"/>
                      <w:lang w:val="en-US" w:eastAsia="zh-CN"/>
                    </w:rPr>
                    <w:t>3</w:t>
                  </w:r>
                </w:p>
              </w:tc>
              <w:tc>
                <w:tcPr>
                  <w:tcW w:w="1134"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4次/天，监测2天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废水</w:t>
                  </w: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pH值（无量纲）</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玻璃电极法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GB/T 6920-1986</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w:t>
                  </w:r>
                </w:p>
              </w:tc>
              <w:tc>
                <w:tcPr>
                  <w:tcW w:w="1134"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3次/天，监测2天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化学需氧量</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重铬酸盐法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HJ828-2017</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4mg/L</w:t>
                  </w: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氨氮</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纳氏试剂分光光度法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HJ535-2009</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0.025mg/L</w:t>
                  </w: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五日生化需氧量</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稀释与接种法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HJ505-2009</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0.5mg/L</w:t>
                  </w: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悬浮物</w:t>
                  </w:r>
                </w:p>
              </w:tc>
              <w:tc>
                <w:tcPr>
                  <w:tcW w:w="215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重量法</w:t>
                  </w:r>
                </w:p>
              </w:tc>
              <w:tc>
                <w:tcPr>
                  <w:tcW w:w="1448"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GB/T11901-1989</w:t>
                  </w:r>
                </w:p>
              </w:tc>
              <w:tc>
                <w:tcPr>
                  <w:tcW w:w="127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4mg/L</w:t>
                  </w: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石油类</w:t>
                  </w:r>
                </w:p>
              </w:tc>
              <w:tc>
                <w:tcPr>
                  <w:tcW w:w="2151"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红外分光光度法</w:t>
                  </w:r>
                </w:p>
              </w:tc>
              <w:tc>
                <w:tcPr>
                  <w:tcW w:w="1448"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HJ637-2012</w:t>
                  </w:r>
                </w:p>
              </w:tc>
              <w:tc>
                <w:tcPr>
                  <w:tcW w:w="1275"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0.06mg/L</w:t>
                  </w: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69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动植物油类</w:t>
                  </w:r>
                </w:p>
              </w:tc>
              <w:tc>
                <w:tcPr>
                  <w:tcW w:w="2151"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448"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275"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c>
                <w:tcPr>
                  <w:tcW w:w="1134"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bl>
          <w:p>
            <w:pPr>
              <w:pStyle w:val="2"/>
              <w:bidi w:val="0"/>
              <w:spacing w:before="0" w:line="360" w:lineRule="auto"/>
              <w:ind w:left="0"/>
              <w:rPr>
                <w:rFonts w:hint="default"/>
              </w:rPr>
            </w:pPr>
            <w:bookmarkStart w:id="52" w:name="_Toc6919"/>
            <w:bookmarkStart w:id="53" w:name="_Toc27879_WPSOffice_Level2"/>
            <w:r>
              <w:rPr>
                <w:rFonts w:hint="eastAsia"/>
                <w:lang w:eastAsia="zh-CN"/>
              </w:rPr>
              <w:t>二、</w:t>
            </w:r>
            <w:r>
              <w:rPr>
                <w:rFonts w:hint="default"/>
              </w:rPr>
              <w:t>监测仪器</w:t>
            </w:r>
            <w:bookmarkEnd w:id="52"/>
            <w:bookmarkEnd w:id="53"/>
          </w:p>
          <w:p>
            <w:pPr>
              <w:pStyle w:val="9"/>
              <w:keepLines w:val="0"/>
              <w:pageBreakBefore w:val="0"/>
              <w:kinsoku/>
              <w:overflowPunct/>
              <w:topLinePunct w:val="0"/>
              <w:bidi w:val="0"/>
              <w:spacing w:line="360" w:lineRule="auto"/>
              <w:ind w:firstLine="480" w:firstLineChars="200"/>
              <w:jc w:val="both"/>
              <w:outlineLvl w:val="9"/>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各监测</w:t>
            </w:r>
            <w:r>
              <w:rPr>
                <w:rFonts w:hint="default" w:ascii="Times New Roman" w:hAnsi="Times New Roman" w:cs="Times New Roman" w:eastAsiaTheme="minorEastAsia"/>
                <w:b w:val="0"/>
                <w:bCs/>
                <w:color w:val="auto"/>
                <w:sz w:val="24"/>
                <w:szCs w:val="24"/>
                <w:lang w:val="en-US" w:eastAsia="zh-CN"/>
              </w:rPr>
              <w:t>仪器名称</w:t>
            </w:r>
            <w:r>
              <w:rPr>
                <w:rFonts w:hint="eastAsia" w:ascii="Times New Roman" w:hAnsi="Times New Roman" w:cs="Times New Roman" w:eastAsiaTheme="minorEastAsia"/>
                <w:b w:val="0"/>
                <w:bCs/>
                <w:color w:val="auto"/>
                <w:sz w:val="24"/>
                <w:szCs w:val="24"/>
                <w:lang w:val="en-US" w:eastAsia="zh-CN"/>
              </w:rPr>
              <w:t>及编号</w:t>
            </w:r>
            <w:r>
              <w:rPr>
                <w:rFonts w:hint="default" w:ascii="Times New Roman" w:hAnsi="Times New Roman" w:cs="Times New Roman" w:eastAsiaTheme="minorEastAsia"/>
                <w:b w:val="0"/>
                <w:bCs/>
                <w:color w:val="auto"/>
                <w:sz w:val="24"/>
                <w:szCs w:val="24"/>
              </w:rPr>
              <w:t>见表</w:t>
            </w:r>
            <w:r>
              <w:rPr>
                <w:rFonts w:hint="eastAsia" w:ascii="Times New Roman" w:hAnsi="Times New Roman" w:cs="Times New Roman" w:eastAsiaTheme="minorEastAsia"/>
                <w:b w:val="0"/>
                <w:bCs/>
                <w:color w:val="auto"/>
                <w:sz w:val="24"/>
                <w:szCs w:val="24"/>
                <w:lang w:val="en-US" w:eastAsia="zh-CN"/>
              </w:rPr>
              <w:t>10</w:t>
            </w:r>
            <w:r>
              <w:rPr>
                <w:rFonts w:hint="default" w:ascii="Times New Roman" w:hAnsi="Times New Roman" w:cs="Times New Roman" w:eastAsiaTheme="minorEastAsia"/>
                <w:b w:val="0"/>
                <w:bCs/>
                <w:color w:val="auto"/>
                <w:sz w:val="24"/>
                <w:szCs w:val="24"/>
              </w:rPr>
              <w:t>。</w:t>
            </w:r>
          </w:p>
          <w:p>
            <w:pPr>
              <w:pStyle w:val="9"/>
              <w:keepLines w:val="0"/>
              <w:pageBreakBefore w:val="0"/>
              <w:kinsoku/>
              <w:overflowPunct/>
              <w:topLinePunct w:val="0"/>
              <w:bidi w:val="0"/>
              <w:outlineLvl w:val="9"/>
              <w:rPr>
                <w:rFonts w:hint="default" w:ascii="Times New Roman" w:hAnsi="Times New Roman" w:cs="Times New Roman" w:eastAsiaTheme="minorEastAsia"/>
                <w:color w:val="auto"/>
                <w:sz w:val="21"/>
                <w:szCs w:val="21"/>
              </w:rPr>
            </w:pPr>
            <w:bookmarkStart w:id="54" w:name="_Toc6639_WPSOffice_Level2"/>
            <w:r>
              <w:rPr>
                <w:rFonts w:hint="default" w:ascii="Times New Roman" w:hAnsi="Times New Roman" w:cs="Times New Roman" w:eastAsiaTheme="minorEastAsia"/>
                <w:color w:val="auto"/>
                <w:sz w:val="21"/>
                <w:szCs w:val="21"/>
              </w:rPr>
              <w:t>表</w:t>
            </w:r>
            <w:r>
              <w:rPr>
                <w:rFonts w:hint="eastAsia"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lang w:val="en-US" w:eastAsia="zh-CN"/>
              </w:rPr>
              <w:t xml:space="preserve">  项目</w:t>
            </w:r>
            <w:r>
              <w:rPr>
                <w:rFonts w:hint="eastAsia" w:ascii="Times New Roman" w:hAnsi="Times New Roman" w:cs="Times New Roman" w:eastAsiaTheme="minorEastAsia"/>
                <w:color w:val="auto"/>
                <w:sz w:val="21"/>
                <w:szCs w:val="21"/>
                <w:lang w:eastAsia="zh-CN"/>
              </w:rPr>
              <w:t>检测</w:t>
            </w:r>
            <w:r>
              <w:rPr>
                <w:rFonts w:hint="default" w:ascii="Times New Roman" w:hAnsi="Times New Roman" w:cs="Times New Roman" w:eastAsiaTheme="minorEastAsia"/>
                <w:color w:val="auto"/>
                <w:sz w:val="21"/>
                <w:szCs w:val="21"/>
                <w:lang w:val="en-US" w:eastAsia="zh-CN"/>
              </w:rPr>
              <w:t>仪器名称</w:t>
            </w:r>
            <w:r>
              <w:rPr>
                <w:rFonts w:hint="eastAsia" w:ascii="Times New Roman" w:hAnsi="Times New Roman" w:cs="Times New Roman" w:eastAsiaTheme="minorEastAsia"/>
                <w:color w:val="auto"/>
                <w:sz w:val="21"/>
                <w:szCs w:val="21"/>
                <w:lang w:val="en-US" w:eastAsia="zh-CN"/>
              </w:rPr>
              <w:t>及编号</w:t>
            </w:r>
            <w:r>
              <w:rPr>
                <w:rFonts w:hint="default" w:ascii="Times New Roman" w:hAnsi="Times New Roman" w:cs="Times New Roman" w:eastAsiaTheme="minorEastAsia"/>
                <w:color w:val="auto"/>
                <w:sz w:val="21"/>
                <w:szCs w:val="21"/>
              </w:rPr>
              <w:t>表</w:t>
            </w:r>
            <w:bookmarkEnd w:id="54"/>
          </w:p>
          <w:tbl>
            <w:tblPr>
              <w:tblStyle w:val="10"/>
              <w:tblW w:w="827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2243"/>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tcBorders>
                    <w:tl2br w:val="nil"/>
                    <w:tr2bl w:val="nil"/>
                  </w:tcBorders>
                  <w:vAlign w:val="center"/>
                </w:tcPr>
                <w:p>
                  <w:pPr>
                    <w:pStyle w:val="9"/>
                    <w:widowControl w:val="0"/>
                    <w:adjustRightInd/>
                    <w:snapToGrid/>
                    <w:spacing w:before="0" w:after="0"/>
                    <w:ind w:left="0" w:right="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检测类别</w:t>
                  </w:r>
                </w:p>
              </w:tc>
              <w:tc>
                <w:tcPr>
                  <w:tcW w:w="2243" w:type="dxa"/>
                  <w:tcBorders>
                    <w:tl2br w:val="nil"/>
                    <w:tr2bl w:val="nil"/>
                  </w:tcBorders>
                  <w:vAlign w:val="center"/>
                </w:tcPr>
                <w:p>
                  <w:pPr>
                    <w:pStyle w:val="9"/>
                    <w:widowControl w:val="0"/>
                    <w:adjustRightInd/>
                    <w:snapToGrid/>
                    <w:spacing w:before="0" w:after="0"/>
                    <w:ind w:left="0" w:right="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检测因子</w:t>
                  </w:r>
                </w:p>
              </w:tc>
              <w:tc>
                <w:tcPr>
                  <w:tcW w:w="4863" w:type="dxa"/>
                  <w:tcBorders>
                    <w:tl2br w:val="nil"/>
                    <w:tr2bl w:val="nil"/>
                  </w:tcBorders>
                  <w:vAlign w:val="center"/>
                </w:tcPr>
                <w:p>
                  <w:pPr>
                    <w:pStyle w:val="9"/>
                    <w:widowControl w:val="0"/>
                    <w:adjustRightInd/>
                    <w:snapToGrid/>
                    <w:spacing w:before="0" w:after="0"/>
                    <w:ind w:left="0" w:right="0"/>
                    <w:jc w:val="center"/>
                    <w:outlineLvl w:val="9"/>
                    <w:rPr>
                      <w:rFonts w:hint="eastAsia" w:ascii="Times New Roman" w:hAnsi="Times New Roman" w:cs="Times New Roman" w:eastAsiaTheme="minorEastAsia"/>
                      <w:b w:val="0"/>
                      <w:bCs/>
                      <w:color w:val="auto"/>
                      <w:sz w:val="21"/>
                      <w:szCs w:val="21"/>
                      <w:lang w:val="en-US" w:eastAsia="zh-CN"/>
                    </w:rPr>
                  </w:pPr>
                  <w:r>
                    <w:rPr>
                      <w:rFonts w:ascii="Times New Roman" w:hAnsi="Times New Roman" w:cs="Times New Roman" w:eastAsiaTheme="minorEastAsia"/>
                      <w:b w:val="0"/>
                      <w:bCs/>
                      <w:color w:val="auto"/>
                      <w:sz w:val="21"/>
                      <w:szCs w:val="21"/>
                    </w:rPr>
                    <w:t>检测仪器</w:t>
                  </w:r>
                  <w:r>
                    <w:rPr>
                      <w:rFonts w:hint="eastAsia" w:ascii="Times New Roman" w:hAnsi="Times New Roman" w:cs="Times New Roman" w:eastAsiaTheme="minorEastAsia"/>
                      <w:b w:val="0"/>
                      <w:bCs/>
                      <w:color w:val="auto"/>
                      <w:sz w:val="21"/>
                      <w:szCs w:val="21"/>
                      <w:lang w:eastAsia="zh-CN"/>
                    </w:rPr>
                    <w:t>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tcBorders>
                    <w:tl2br w:val="nil"/>
                    <w:tr2bl w:val="nil"/>
                  </w:tcBorders>
                  <w:vAlign w:val="center"/>
                </w:tcPr>
                <w:p>
                  <w:pPr>
                    <w:pStyle w:val="9"/>
                    <w:widowControl w:val="0"/>
                    <w:adjustRightInd/>
                    <w:snapToGrid/>
                    <w:spacing w:before="0" w:after="0"/>
                    <w:ind w:left="0" w:right="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废气</w:t>
                  </w:r>
                </w:p>
              </w:tc>
              <w:tc>
                <w:tcPr>
                  <w:tcW w:w="2243" w:type="dxa"/>
                  <w:tcBorders>
                    <w:tl2br w:val="nil"/>
                    <w:tr2bl w:val="nil"/>
                  </w:tcBorders>
                  <w:vAlign w:val="center"/>
                </w:tcPr>
                <w:p>
                  <w:pPr>
                    <w:pStyle w:val="9"/>
                    <w:widowControl w:val="0"/>
                    <w:adjustRightInd/>
                    <w:snapToGrid/>
                    <w:spacing w:before="0" w:after="0"/>
                    <w:ind w:left="0" w:right="0"/>
                    <w:jc w:val="center"/>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非甲烷总烃</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直接进样</w:t>
                  </w:r>
                  <w:r>
                    <w:rPr>
                      <w:rFonts w:hint="eastAsia" w:ascii="Times New Roman" w:hAnsi="Times New Roman" w:cs="Times New Roman" w:eastAsiaTheme="minorEastAsia"/>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eastAsia="zh-CN"/>
                    </w:rPr>
                    <w:t>气相色谱法</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restart"/>
                  <w:tcBorders>
                    <w:tl2br w:val="nil"/>
                    <w:tr2bl w:val="nil"/>
                  </w:tcBorders>
                  <w:vAlign w:val="center"/>
                </w:tcPr>
                <w:p>
                  <w:pPr>
                    <w:pStyle w:val="9"/>
                    <w:widowControl w:val="0"/>
                    <w:adjustRightInd/>
                    <w:snapToGrid/>
                    <w:spacing w:before="0" w:after="0"/>
                    <w:ind w:left="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废水</w:t>
                  </w: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pH值（无量纲）</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PXSJ-216F离子计（TYJC-YQ-020-A）</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有效期：2020.07.06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before="0" w:after="0"/>
                    <w:ind w:left="0"/>
                    <w:jc w:val="center"/>
                    <w:outlineLvl w:val="9"/>
                    <w:rPr>
                      <w:rFonts w:ascii="Times New Roman" w:hAnsi="Times New Roman" w:cs="Times New Roman" w:eastAsiaTheme="minorEastAsia"/>
                      <w:b w:val="0"/>
                      <w:bCs/>
                      <w:color w:val="auto"/>
                      <w:sz w:val="21"/>
                      <w:szCs w:val="21"/>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化学需氧量</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JC-101B</w:t>
                  </w:r>
                  <w:r>
                    <w:rPr>
                      <w:rFonts w:hint="eastAsia" w:ascii="Times New Roman" w:hAnsi="Times New Roman" w:cs="Times New Roman" w:eastAsiaTheme="minorEastAsia"/>
                      <w:b w:val="0"/>
                      <w:bCs/>
                      <w:color w:val="auto"/>
                      <w:sz w:val="21"/>
                      <w:szCs w:val="21"/>
                      <w:vertAlign w:val="baseline"/>
                      <w:lang w:val="en-US" w:eastAsia="zh-CN"/>
                    </w:rPr>
                    <w:t xml:space="preserve"> </w:t>
                  </w:r>
                  <w:r>
                    <w:rPr>
                      <w:rFonts w:hint="default" w:ascii="Times New Roman" w:hAnsi="Times New Roman" w:cs="Times New Roman" w:eastAsiaTheme="minorEastAsia"/>
                      <w:b w:val="0"/>
                      <w:bCs/>
                      <w:color w:val="auto"/>
                      <w:sz w:val="21"/>
                      <w:szCs w:val="21"/>
                      <w:vertAlign w:val="baseline"/>
                      <w:lang w:val="en-US" w:eastAsia="zh-CN"/>
                    </w:rPr>
                    <w:t>COD消解器</w:t>
                  </w:r>
                  <w:r>
                    <w:rPr>
                      <w:rFonts w:hint="eastAsia" w:ascii="Times New Roman" w:hAnsi="Times New Roman" w:cs="Times New Roman" w:eastAsiaTheme="minorEastAsia"/>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eastAsia="zh-CN"/>
                    </w:rPr>
                    <w:t>TYJC-YQ-031</w:t>
                  </w:r>
                  <w:r>
                    <w:rPr>
                      <w:rFonts w:hint="eastAsia" w:ascii="Times New Roman" w:hAnsi="Times New Roman" w:cs="Times New Roman" w:eastAsiaTheme="minorEastAsia"/>
                      <w:b w:val="0"/>
                      <w:bCs/>
                      <w:color w:val="auto"/>
                      <w:sz w:val="21"/>
                      <w:szCs w:val="21"/>
                      <w:vertAlign w:val="baseline"/>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eastAsia" w:ascii="Times New Roman" w:hAnsi="Times New Roman" w:cs="Times New Roman" w:eastAsiaTheme="minorEastAsia"/>
                      <w:b w:val="0"/>
                      <w:bCs/>
                      <w:color w:val="auto"/>
                      <w:sz w:val="21"/>
                      <w:szCs w:val="21"/>
                      <w:vertAlign w:val="baseline"/>
                      <w:lang w:val="en-US" w:eastAsia="zh-CN"/>
                    </w:rPr>
                    <w:t>有效期：2020.10.23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after="0"/>
                    <w:jc w:val="center"/>
                    <w:outlineLvl w:val="9"/>
                    <w:rPr>
                      <w:rFonts w:ascii="Times New Roman" w:hAnsi="Times New Roman" w:cs="Times New Roman" w:eastAsiaTheme="minorEastAsia"/>
                      <w:b w:val="0"/>
                      <w:bCs/>
                      <w:color w:val="auto"/>
                      <w:sz w:val="21"/>
                      <w:szCs w:val="21"/>
                      <w:lang w:val="zh-CN" w:bidi="zh-CN"/>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氨氮</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T6新世纪紫外可见分光光度（TYJC-YQ-002）</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有效期：20</w:t>
                  </w:r>
                  <w:r>
                    <w:rPr>
                      <w:rFonts w:hint="eastAsia" w:ascii="Times New Roman" w:hAnsi="Times New Roman" w:cs="Times New Roman" w:eastAsiaTheme="minorEastAsia"/>
                      <w:b w:val="0"/>
                      <w:bCs/>
                      <w:color w:val="auto"/>
                      <w:sz w:val="21"/>
                      <w:szCs w:val="21"/>
                      <w:vertAlign w:val="baseline"/>
                      <w:lang w:val="en-US" w:eastAsia="zh-CN"/>
                    </w:rPr>
                    <w:t>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after="0"/>
                    <w:jc w:val="center"/>
                    <w:outlineLvl w:val="9"/>
                    <w:rPr>
                      <w:rFonts w:ascii="Times New Roman" w:hAnsi="Times New Roman" w:cs="Times New Roman" w:eastAsiaTheme="minorEastAsia"/>
                      <w:b w:val="0"/>
                      <w:bCs/>
                      <w:color w:val="auto"/>
                      <w:sz w:val="21"/>
                      <w:szCs w:val="21"/>
                      <w:lang w:val="zh-CN" w:bidi="zh-CN"/>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五日生化需氧量</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SPX-150BⅢ</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BOD生化培养箱</w:t>
                  </w:r>
                  <w:r>
                    <w:rPr>
                      <w:rFonts w:hint="eastAsia" w:ascii="Times New Roman" w:hAnsi="Times New Roman" w:cs="Times New Roman" w:eastAsiaTheme="minorEastAsia"/>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eastAsia="zh-CN"/>
                    </w:rPr>
                    <w:t>TYJC-YQ-029-A</w:t>
                  </w:r>
                  <w:r>
                    <w:rPr>
                      <w:rFonts w:hint="eastAsia" w:ascii="Times New Roman" w:hAnsi="Times New Roman" w:cs="Times New Roman" w:eastAsiaTheme="minorEastAsia"/>
                      <w:b w:val="0"/>
                      <w:bCs/>
                      <w:color w:val="auto"/>
                      <w:sz w:val="21"/>
                      <w:szCs w:val="21"/>
                      <w:vertAlign w:val="baseline"/>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eastAsia" w:ascii="Times New Roman" w:hAnsi="Times New Roman" w:cs="Times New Roman" w:eastAsiaTheme="minorEastAsia"/>
                      <w:b w:val="0"/>
                      <w:bCs/>
                      <w:color w:val="auto"/>
                      <w:sz w:val="21"/>
                      <w:szCs w:val="21"/>
                      <w:vertAlign w:val="baseline"/>
                      <w:lang w:val="en-US" w:eastAsia="zh-CN"/>
                    </w:rPr>
                    <w:t>有效期：2020.10.22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after="0"/>
                    <w:jc w:val="center"/>
                    <w:outlineLvl w:val="9"/>
                    <w:rPr>
                      <w:rFonts w:ascii="Times New Roman" w:hAnsi="Times New Roman" w:cs="Times New Roman" w:eastAsiaTheme="minorEastAsia"/>
                      <w:b w:val="0"/>
                      <w:bCs/>
                      <w:color w:val="auto"/>
                      <w:sz w:val="21"/>
                      <w:szCs w:val="21"/>
                      <w:lang w:val="zh-CN" w:bidi="zh-CN"/>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悬浮物</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AUW120D岛津分析天平</w:t>
                  </w:r>
                  <w:r>
                    <w:rPr>
                      <w:rFonts w:hint="eastAsia" w:ascii="Times New Roman" w:hAnsi="Times New Roman" w:cs="Times New Roman" w:eastAsiaTheme="minorEastAsia"/>
                      <w:b w:val="0"/>
                      <w:bCs/>
                      <w:color w:val="auto"/>
                      <w:sz w:val="21"/>
                      <w:szCs w:val="21"/>
                      <w:vertAlign w:val="baseline"/>
                      <w:lang w:val="en-US" w:eastAsia="zh-CN"/>
                    </w:rPr>
                    <w:t>（TYJC-YQ-009）</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eastAsia" w:ascii="Times New Roman" w:hAnsi="Times New Roman" w:cs="Times New Roman" w:eastAsiaTheme="minorEastAsia"/>
                      <w:b w:val="0"/>
                      <w:bCs/>
                      <w:color w:val="auto"/>
                      <w:sz w:val="21"/>
                      <w:szCs w:val="21"/>
                      <w:vertAlign w:val="baseline"/>
                      <w:lang w:val="en-US" w:eastAsia="zh-CN"/>
                    </w:rPr>
                    <w:t>有效期：2020.10.20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after="0"/>
                    <w:jc w:val="center"/>
                    <w:outlineLvl w:val="9"/>
                    <w:rPr>
                      <w:rFonts w:ascii="Times New Roman" w:hAnsi="Times New Roman" w:cs="Times New Roman" w:eastAsiaTheme="minorEastAsia"/>
                      <w:b w:val="0"/>
                      <w:bCs/>
                      <w:color w:val="auto"/>
                      <w:sz w:val="21"/>
                      <w:szCs w:val="21"/>
                      <w:lang w:val="zh-CN" w:bidi="zh-CN"/>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石油类</w:t>
                  </w:r>
                </w:p>
              </w:tc>
              <w:tc>
                <w:tcPr>
                  <w:tcW w:w="4863" w:type="dxa"/>
                  <w:vMerge w:val="restar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红外测油仪GH-800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vMerge w:val="continue"/>
                  <w:tcBorders>
                    <w:tl2br w:val="nil"/>
                    <w:tr2bl w:val="nil"/>
                  </w:tcBorders>
                  <w:vAlign w:val="center"/>
                </w:tcPr>
                <w:p>
                  <w:pPr>
                    <w:pStyle w:val="9"/>
                    <w:widowControl w:val="0"/>
                    <w:adjustRightInd/>
                    <w:snapToGrid/>
                    <w:spacing w:after="0"/>
                    <w:jc w:val="center"/>
                    <w:outlineLvl w:val="9"/>
                    <w:rPr>
                      <w:rFonts w:ascii="Times New Roman" w:hAnsi="Times New Roman" w:cs="Times New Roman" w:eastAsiaTheme="minorEastAsia"/>
                      <w:b w:val="0"/>
                      <w:bCs/>
                      <w:color w:val="auto"/>
                      <w:sz w:val="21"/>
                      <w:szCs w:val="21"/>
                      <w:lang w:val="zh-CN" w:bidi="zh-CN"/>
                    </w:rPr>
                  </w:pPr>
                </w:p>
              </w:tc>
              <w:tc>
                <w:tcPr>
                  <w:tcW w:w="224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vertAlign w:val="baseline"/>
                      <w:lang w:val="en-US" w:eastAsia="zh-CN"/>
                    </w:rPr>
                    <w:t>动植物油类</w:t>
                  </w:r>
                </w:p>
              </w:tc>
              <w:tc>
                <w:tcPr>
                  <w:tcW w:w="4863" w:type="dxa"/>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0" w:type="dxa"/>
                  <w:tcBorders>
                    <w:tl2br w:val="nil"/>
                    <w:tr2bl w:val="nil"/>
                  </w:tcBorders>
                  <w:vAlign w:val="center"/>
                </w:tcPr>
                <w:p>
                  <w:pPr>
                    <w:pStyle w:val="9"/>
                    <w:widowControl w:val="0"/>
                    <w:adjustRightInd/>
                    <w:snapToGrid/>
                    <w:spacing w:after="0"/>
                    <w:ind w:firstLine="0" w:firstLineChars="0"/>
                    <w:jc w:val="center"/>
                    <w:outlineLvl w:val="9"/>
                    <w:rPr>
                      <w:rFonts w:hint="default" w:ascii="Times New Roman" w:hAnsi="Times New Roman" w:cs="Times New Roman" w:eastAsiaTheme="minorEastAsia"/>
                      <w:b w:val="0"/>
                      <w:bCs/>
                      <w:color w:val="auto"/>
                      <w:sz w:val="21"/>
                      <w:szCs w:val="21"/>
                      <w:lang w:val="zh-CN" w:eastAsia="zh-CN" w:bidi="zh-CN"/>
                    </w:rPr>
                  </w:pPr>
                  <w:r>
                    <w:rPr>
                      <w:rFonts w:hint="default" w:ascii="Times New Roman" w:hAnsi="Times New Roman" w:cs="Times New Roman" w:eastAsiaTheme="minorEastAsia"/>
                      <w:b w:val="0"/>
                      <w:bCs/>
                      <w:color w:val="auto"/>
                      <w:sz w:val="21"/>
                      <w:szCs w:val="21"/>
                      <w:lang w:val="zh-CN" w:eastAsia="zh-CN" w:bidi="zh-CN"/>
                    </w:rPr>
                    <w:t>噪声</w:t>
                  </w:r>
                </w:p>
              </w:tc>
              <w:tc>
                <w:tcPr>
                  <w:tcW w:w="2243" w:type="dxa"/>
                  <w:tcBorders>
                    <w:tl2br w:val="nil"/>
                    <w:tr2bl w:val="nil"/>
                  </w:tcBorders>
                  <w:vAlign w:val="center"/>
                </w:tcPr>
                <w:p>
                  <w:pPr>
                    <w:pStyle w:val="9"/>
                    <w:spacing w:before="0"/>
                    <w:ind w:left="0" w:right="0"/>
                    <w:jc w:val="center"/>
                    <w:rPr>
                      <w:rFonts w:hint="default" w:ascii="Times New Roman" w:hAnsi="Times New Roman" w:cs="Times New Roman" w:eastAsiaTheme="minorEastAsia"/>
                      <w:b w:val="0"/>
                      <w:bCs/>
                      <w:color w:val="auto"/>
                      <w:sz w:val="21"/>
                      <w:szCs w:val="21"/>
                      <w:vertAlign w:val="baseline"/>
                      <w:lang w:val="en-US" w:eastAsia="zh-CN" w:bidi="ar-SA"/>
                    </w:rPr>
                  </w:pPr>
                  <w:r>
                    <w:rPr>
                      <w:rFonts w:ascii="Times New Roman" w:hAnsi="Times New Roman" w:cs="Times New Roman" w:eastAsiaTheme="minorEastAsia"/>
                      <w:b w:val="0"/>
                      <w:bCs/>
                      <w:color w:val="auto"/>
                      <w:sz w:val="21"/>
                      <w:szCs w:val="21"/>
                      <w:lang w:val="en-US" w:bidi="ar-SA"/>
                    </w:rPr>
                    <w:t>等效声级</w:t>
                  </w:r>
                </w:p>
              </w:tc>
              <w:tc>
                <w:tcPr>
                  <w:tcW w:w="486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AWA5688型多功能声级计（TYJC-YQ-024-C</w:t>
                  </w:r>
                  <w:r>
                    <w:rPr>
                      <w:rFonts w:hint="eastAsia" w:ascii="Times New Roman" w:hAnsi="Times New Roman" w:cs="Times New Roman" w:eastAsiaTheme="minorEastAsia"/>
                      <w:b w:val="0"/>
                      <w:bCs/>
                      <w:color w:val="auto"/>
                      <w:sz w:val="21"/>
                      <w:szCs w:val="21"/>
                      <w:vertAlign w:val="baseline"/>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有效期：2020.08.31</w:t>
                  </w:r>
                </w:p>
              </w:tc>
            </w:tr>
          </w:tbl>
          <w:p>
            <w:pPr>
              <w:pStyle w:val="2"/>
              <w:bidi w:val="0"/>
              <w:spacing w:line="360" w:lineRule="auto"/>
              <w:ind w:left="0"/>
              <w:rPr>
                <w:rFonts w:hint="default"/>
                <w:lang w:val="en-US" w:eastAsia="zh-CN"/>
              </w:rPr>
            </w:pPr>
            <w:r>
              <w:rPr>
                <w:rFonts w:hint="eastAsia"/>
                <w:lang w:val="en-US" w:eastAsia="zh-CN"/>
              </w:rPr>
              <w:t>三、</w:t>
            </w:r>
            <w:r>
              <w:rPr>
                <w:rFonts w:hint="default"/>
                <w:lang w:val="en-US" w:eastAsia="zh-CN"/>
              </w:rPr>
              <w:t>人员资质简述</w:t>
            </w:r>
          </w:p>
          <w:p>
            <w:pPr>
              <w:pStyle w:val="5"/>
              <w:spacing w:before="0" w:after="0" w:line="360" w:lineRule="auto"/>
              <w:ind w:left="0" w:firstLine="480" w:firstLineChars="200"/>
              <w:rPr>
                <w:rFonts w:ascii="Times New Roman" w:hAnsi="Times New Roman" w:cs="Times New Roman"/>
                <w:color w:val="auto"/>
              </w:rPr>
            </w:pPr>
            <w:r>
              <w:rPr>
                <w:rFonts w:hint="default" w:ascii="Times New Roman" w:hAnsi="Times New Roman" w:cs="Times New Roman" w:eastAsiaTheme="minorEastAsia"/>
                <w:sz w:val="24"/>
                <w:szCs w:val="24"/>
              </w:rPr>
              <w:t>参加本次验收监测人员均经过培训，监测人员经考核并持有</w:t>
            </w:r>
            <w:r>
              <w:rPr>
                <w:rFonts w:hint="eastAsia" w:ascii="Times New Roman" w:hAnsi="Times New Roman" w:cs="Times New Roman" w:eastAsiaTheme="minorEastAsia"/>
                <w:color w:val="auto"/>
                <w:sz w:val="24"/>
                <w:szCs w:val="24"/>
                <w:highlight w:val="none"/>
                <w:lang w:eastAsia="zh-CN"/>
              </w:rPr>
              <w:t>上岗</w:t>
            </w:r>
            <w:r>
              <w:rPr>
                <w:rFonts w:hint="default" w:ascii="Times New Roman" w:hAnsi="Times New Roman" w:cs="Times New Roman" w:eastAsiaTheme="minorEastAsia"/>
                <w:color w:val="auto"/>
                <w:sz w:val="24"/>
                <w:szCs w:val="24"/>
              </w:rPr>
              <w:t>证书。</w:t>
            </w:r>
          </w:p>
          <w:p>
            <w:pPr>
              <w:pStyle w:val="2"/>
              <w:bidi w:val="0"/>
              <w:spacing w:line="360" w:lineRule="auto"/>
              <w:ind w:left="0"/>
              <w:rPr>
                <w:rFonts w:hint="default"/>
                <w:lang w:val="en-US" w:eastAsia="zh-CN"/>
              </w:rPr>
            </w:pPr>
            <w:bookmarkStart w:id="55" w:name="_Toc19689"/>
            <w:bookmarkStart w:id="56" w:name="_Toc28459_WPSOffice_Level2"/>
            <w:r>
              <w:rPr>
                <w:rFonts w:hint="eastAsia"/>
                <w:lang w:val="en-US" w:eastAsia="zh-CN"/>
              </w:rPr>
              <w:t>四、</w:t>
            </w:r>
            <w:r>
              <w:rPr>
                <w:rFonts w:hint="default"/>
                <w:lang w:val="en-US" w:eastAsia="zh-CN"/>
              </w:rPr>
              <w:t>水质监测分析过程中的质量保证和质量控制</w:t>
            </w:r>
            <w:bookmarkEnd w:id="55"/>
            <w:bookmarkEnd w:id="56"/>
          </w:p>
          <w:p>
            <w:pPr>
              <w:pStyle w:val="5"/>
              <w:spacing w:before="0" w:after="0" w:line="360" w:lineRule="auto"/>
              <w:ind w:firstLine="480" w:firstLineChars="20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sz w:val="24"/>
                <w:szCs w:val="24"/>
              </w:rPr>
              <w:t>废水监测仪器符合国家有关标准或技术要求。水样的采集、运输、保存、实验室</w:t>
            </w:r>
            <w:r>
              <w:rPr>
                <w:rFonts w:hint="default" w:ascii="Times New Roman" w:hAnsi="Times New Roman" w:cs="Times New Roman" w:eastAsiaTheme="minorEastAsia"/>
                <w:spacing w:val="-2"/>
                <w:sz w:val="24"/>
                <w:szCs w:val="24"/>
              </w:rPr>
              <w:t>分析和数据计算的全过程均按《环境水质监测质量保证手册》</w:t>
            </w:r>
            <w:r>
              <w:rPr>
                <w:rFonts w:hint="default" w:ascii="Times New Roman" w:hAnsi="Times New Roman" w:cs="Times New Roman" w:eastAsiaTheme="minorEastAsia"/>
                <w:sz w:val="24"/>
                <w:szCs w:val="24"/>
              </w:rPr>
              <w:t>（第四版</w:t>
            </w:r>
            <w:r>
              <w:rPr>
                <w:rFonts w:hint="default" w:ascii="Times New Roman" w:hAnsi="Times New Roman" w:cs="Times New Roman" w:eastAsiaTheme="minorEastAsia"/>
                <w:spacing w:val="-10"/>
                <w:sz w:val="24"/>
                <w:szCs w:val="24"/>
              </w:rPr>
              <w:t>）</w:t>
            </w:r>
            <w:r>
              <w:rPr>
                <w:rFonts w:hint="default" w:ascii="Times New Roman" w:hAnsi="Times New Roman" w:cs="Times New Roman" w:eastAsiaTheme="minorEastAsia"/>
                <w:spacing w:val="-3"/>
                <w:sz w:val="24"/>
                <w:szCs w:val="24"/>
              </w:rPr>
              <w:t>的要求进行。</w:t>
            </w:r>
            <w:r>
              <w:rPr>
                <w:rFonts w:hint="default" w:ascii="Times New Roman" w:hAnsi="Times New Roman" w:cs="Times New Roman" w:eastAsiaTheme="minorEastAsia"/>
                <w:b w:val="0"/>
                <w:bCs/>
                <w:sz w:val="24"/>
                <w:szCs w:val="24"/>
              </w:rPr>
              <w:t>监测前校准pH计。五日生化需氧量、悬浮物单独（定量）采样，各加采10%的样品，实施自控；化学需氧量、氨氮各采集10%的密码平行样；化学需氧量分析密码标样。</w:t>
            </w:r>
            <w:bookmarkStart w:id="57" w:name="_Toc5336_WPSOffice_Level2"/>
            <w:bookmarkStart w:id="58" w:name="_Toc10406"/>
          </w:p>
          <w:p>
            <w:pPr>
              <w:pStyle w:val="2"/>
              <w:bidi w:val="0"/>
              <w:spacing w:line="360" w:lineRule="auto"/>
              <w:ind w:left="0"/>
              <w:rPr>
                <w:rFonts w:hint="default"/>
              </w:rPr>
            </w:pPr>
            <w:r>
              <w:rPr>
                <w:rFonts w:hint="eastAsia"/>
                <w:lang w:val="en-US" w:eastAsia="zh-CN"/>
              </w:rPr>
              <w:t>五、</w:t>
            </w:r>
            <w:r>
              <w:rPr>
                <w:rFonts w:hint="default"/>
                <w:lang w:val="en-US" w:eastAsia="zh-CN"/>
              </w:rPr>
              <w:t>气体</w:t>
            </w:r>
            <w:r>
              <w:rPr>
                <w:rFonts w:hint="default"/>
              </w:rPr>
              <w:t>监测分析过程中的质量保证和质量控制</w:t>
            </w:r>
            <w:bookmarkEnd w:id="57"/>
            <w:bookmarkEnd w:id="58"/>
          </w:p>
          <w:p>
            <w:pPr>
              <w:pStyle w:val="5"/>
              <w:spacing w:before="0" w:after="0" w:line="360" w:lineRule="auto"/>
              <w:ind w:right="0" w:firstLine="480" w:firstLineChars="200"/>
              <w:rPr>
                <w:rFonts w:ascii="Times New Roman" w:hAnsi="Times New Roman" w:cs="Times New Roman"/>
              </w:rPr>
            </w:pPr>
            <w:r>
              <w:rPr>
                <w:rFonts w:hint="default" w:ascii="Times New Roman" w:hAnsi="Times New Roman" w:cs="Times New Roman" w:eastAsiaTheme="minorEastAsia"/>
                <w:sz w:val="24"/>
                <w:szCs w:val="24"/>
              </w:rPr>
              <w:t>尽量避免被测排放物中共存污染物对分析的交叉干扰。被测排放物的浓度在仪器</w:t>
            </w:r>
            <w:r>
              <w:rPr>
                <w:rFonts w:hint="default" w:ascii="Times New Roman" w:hAnsi="Times New Roman" w:cs="Times New Roman" w:eastAsiaTheme="minorEastAsia"/>
                <w:spacing w:val="0"/>
                <w:sz w:val="24"/>
                <w:szCs w:val="24"/>
              </w:rPr>
              <w:t>量程的有效范围</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pacing w:val="0"/>
                <w:sz w:val="24"/>
                <w:szCs w:val="24"/>
              </w:rPr>
              <w:t>即</w:t>
            </w:r>
            <w:r>
              <w:rPr>
                <w:rFonts w:hint="default" w:ascii="Times New Roman" w:hAnsi="Times New Roman" w:cs="Times New Roman" w:eastAsiaTheme="minorEastAsia"/>
                <w:sz w:val="24"/>
                <w:szCs w:val="24"/>
              </w:rPr>
              <w:t>30%～70%之间</w:t>
            </w:r>
            <w:r>
              <w:rPr>
                <w:rFonts w:hint="default" w:ascii="Times New Roman" w:hAnsi="Times New Roman" w:cs="Times New Roman" w:eastAsiaTheme="minorEastAsia"/>
                <w:spacing w:val="0"/>
                <w:sz w:val="24"/>
                <w:szCs w:val="24"/>
              </w:rPr>
              <w:t>）。烟尘采样器在进入现场前应对采样器流量计、</w:t>
            </w:r>
            <w:r>
              <w:rPr>
                <w:rFonts w:hint="default" w:ascii="Times New Roman" w:hAnsi="Times New Roman" w:cs="Times New Roman" w:eastAsiaTheme="minorEastAsia"/>
                <w:sz w:val="24"/>
                <w:szCs w:val="24"/>
              </w:rPr>
              <w:t>流速计等进行校核。烟气监测（分析）仪器在测试前按监测因子分别用标准气体和流量计对其进行校核（标定），在测试时应保证其采样流量的准确。</w:t>
            </w:r>
          </w:p>
          <w:p>
            <w:pPr>
              <w:pStyle w:val="2"/>
              <w:bidi w:val="0"/>
              <w:spacing w:line="360" w:lineRule="auto"/>
              <w:ind w:left="0"/>
              <w:rPr>
                <w:lang w:val="en-US"/>
              </w:rPr>
            </w:pPr>
            <w:bookmarkStart w:id="59" w:name="_bookmark34"/>
            <w:bookmarkEnd w:id="59"/>
            <w:bookmarkStart w:id="60" w:name="_bookmark34"/>
            <w:bookmarkEnd w:id="60"/>
            <w:bookmarkStart w:id="61" w:name="8.6噪声监测分析过程中的质量保证和质量控制"/>
            <w:bookmarkEnd w:id="61"/>
            <w:r>
              <w:rPr>
                <w:rFonts w:hint="eastAsia"/>
                <w:lang w:val="en-US" w:eastAsia="zh-CN"/>
              </w:rPr>
              <w:t>六、</w:t>
            </w:r>
            <w:r>
              <w:rPr>
                <w:lang w:val="en-US"/>
              </w:rPr>
              <w:t>噪声监测分析过程中的质量保证和质量控制</w:t>
            </w:r>
          </w:p>
          <w:p>
            <w:pPr>
              <w:pStyle w:val="5"/>
              <w:keepLines w:val="0"/>
              <w:pageBreakBefore w:val="0"/>
              <w:kinsoku/>
              <w:overflowPunct/>
              <w:topLinePunct w:val="0"/>
              <w:bidi w:val="0"/>
              <w:spacing w:before="0" w:after="0" w:line="360" w:lineRule="auto"/>
              <w:ind w:right="0" w:firstLine="480" w:firstLineChars="200"/>
              <w:jc w:val="both"/>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声级计在测试前后用标准发生源进行校准，测量前后仪器的灵敏度相差不大于0.5dB，若大于0.5dB测试数据无效。</w:t>
            </w:r>
          </w:p>
          <w:p>
            <w:pPr>
              <w:pStyle w:val="2"/>
              <w:bidi w:val="0"/>
              <w:ind w:left="0"/>
              <w:rPr>
                <w:rFonts w:hint="default"/>
                <w:lang w:val="en-US" w:eastAsia="zh-CN"/>
              </w:rPr>
            </w:pPr>
          </w:p>
          <w:p>
            <w:pPr>
              <w:spacing w:line="360" w:lineRule="auto"/>
              <w:ind w:firstLine="0" w:firstLineChars="0"/>
              <w:rPr>
                <w:rFonts w:hint="default"/>
                <w:vertAlign w:val="baseline"/>
                <w:lang w:val="en-US" w:eastAsia="zh-CN"/>
              </w:rPr>
            </w:pPr>
          </w:p>
        </w:tc>
      </w:tr>
    </w:tbl>
    <w:p>
      <w:pPr>
        <w:rPr>
          <w:rFonts w:hint="default"/>
          <w:lang w:val="en-US" w:eastAsia="zh-CN"/>
        </w:rPr>
      </w:pPr>
      <w:r>
        <w:rPr>
          <w:rFonts w:hint="default"/>
          <w:lang w:val="en-US" w:eastAsia="zh-CN"/>
        </w:rPr>
        <w:br w:type="page"/>
      </w:r>
    </w:p>
    <w:p>
      <w:pPr>
        <w:pStyle w:val="2"/>
        <w:rPr>
          <w:rFonts w:hint="eastAsia" w:ascii="黑体" w:hAnsi="黑体" w:eastAsia="黑体" w:cs="黑体"/>
          <w:b w:val="0"/>
          <w:bCs w:val="0"/>
          <w:sz w:val="28"/>
          <w:szCs w:val="28"/>
        </w:rPr>
      </w:pPr>
      <w:r>
        <w:rPr>
          <w:rFonts w:hint="eastAsia" w:ascii="黑体" w:hAnsi="黑体" w:eastAsia="黑体" w:cs="黑体"/>
          <w:b w:val="0"/>
          <w:bCs w:val="0"/>
          <w:sz w:val="28"/>
          <w:szCs w:val="28"/>
        </w:rPr>
        <w:t>表 6 验收监测内容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Lines w:val="0"/>
              <w:pageBreakBefore w:val="0"/>
              <w:numPr>
                <w:ilvl w:val="0"/>
                <w:numId w:val="0"/>
              </w:numPr>
              <w:kinsoku/>
              <w:overflowPunct/>
              <w:topLinePunct w:val="0"/>
              <w:bidi w:val="0"/>
              <w:spacing w:after="0" w:line="360" w:lineRule="auto"/>
              <w:ind w:firstLine="480" w:firstLineChars="200"/>
              <w:outlineLvl w:val="9"/>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陕西省石油化工工业贸易有限公司</w:t>
            </w:r>
            <w:r>
              <w:rPr>
                <w:rFonts w:hint="default" w:ascii="Times New Roman" w:hAnsi="Times New Roman" w:cs="Times New Roman" w:eastAsiaTheme="minorEastAsia"/>
                <w:color w:val="auto"/>
                <w:sz w:val="24"/>
                <w:szCs w:val="24"/>
              </w:rPr>
              <w:t>委托</w:t>
            </w:r>
            <w:r>
              <w:rPr>
                <w:rFonts w:hint="default" w:ascii="Times New Roman" w:hAnsi="Times New Roman" w:cs="Times New Roman" w:eastAsiaTheme="minorEastAsia"/>
                <w:color w:val="auto"/>
                <w:sz w:val="24"/>
                <w:szCs w:val="24"/>
                <w:lang w:val="en-US" w:eastAsia="zh-CN"/>
              </w:rPr>
              <w:t>陕西同元</w:t>
            </w:r>
            <w:r>
              <w:rPr>
                <w:rFonts w:hint="default" w:ascii="Times New Roman" w:hAnsi="Times New Roman" w:cs="Times New Roman" w:eastAsiaTheme="minorEastAsia"/>
                <w:color w:val="auto"/>
                <w:sz w:val="24"/>
                <w:szCs w:val="24"/>
              </w:rPr>
              <w:t>检测技术有限公司于2019年</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月</w:t>
            </w:r>
            <w:r>
              <w:rPr>
                <w:rFonts w:hint="default"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rPr>
              <w:t>日至</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月</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日进行了现场监测，通过对废气、废水、噪声等污染物达标排放的监测，来说明环境保护设施调试效果，具体监测内容</w:t>
            </w:r>
            <w:r>
              <w:rPr>
                <w:rFonts w:hint="eastAsia" w:ascii="Times New Roman" w:hAnsi="Times New Roman" w:cs="Times New Roman" w:eastAsiaTheme="minorEastAsia"/>
                <w:color w:val="auto"/>
                <w:sz w:val="24"/>
                <w:szCs w:val="24"/>
                <w:lang w:eastAsia="zh-CN"/>
              </w:rPr>
              <w:t>如下：</w:t>
            </w:r>
          </w:p>
          <w:p>
            <w:pPr>
              <w:numPr>
                <w:ilvl w:val="0"/>
                <w:numId w:val="10"/>
              </w:numPr>
              <w:spacing w:line="360" w:lineRule="auto"/>
              <w:ind w:firstLine="0" w:firstLineChars="0"/>
              <w:rPr>
                <w:rFonts w:hint="eastAsia"/>
                <w:sz w:val="24"/>
                <w:szCs w:val="24"/>
                <w:lang w:val="en-US" w:eastAsia="zh-CN"/>
              </w:rPr>
            </w:pPr>
            <w:r>
              <w:rPr>
                <w:rFonts w:hint="eastAsia"/>
                <w:sz w:val="24"/>
                <w:szCs w:val="24"/>
                <w:lang w:val="en-US" w:eastAsia="zh-CN"/>
              </w:rPr>
              <w:t>废水</w:t>
            </w:r>
          </w:p>
          <w:p>
            <w:pPr>
              <w:keepLines w:val="0"/>
              <w:pageBreakBefore w:val="0"/>
              <w:numPr>
                <w:ilvl w:val="0"/>
                <w:numId w:val="0"/>
              </w:numPr>
              <w:kinsoku/>
              <w:overflowPunct/>
              <w:topLinePunct w:val="0"/>
              <w:bidi w:val="0"/>
              <w:spacing w:after="0" w:line="360" w:lineRule="auto"/>
              <w:ind w:firstLine="480" w:firstLineChars="200"/>
              <w:outlineLvl w:val="9"/>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项目废水监测内容见表11所示。</w:t>
            </w:r>
          </w:p>
          <w:p>
            <w:pPr>
              <w:keepLines w:val="0"/>
              <w:pageBreakBefore w:val="0"/>
              <w:numPr>
                <w:ilvl w:val="0"/>
                <w:numId w:val="0"/>
              </w:numPr>
              <w:kinsoku/>
              <w:overflowPunct/>
              <w:topLinePunct w:val="0"/>
              <w:bidi w:val="0"/>
              <w:spacing w:after="0" w:line="240" w:lineRule="auto"/>
              <w:ind w:firstLine="0" w:firstLineChars="0"/>
              <w:jc w:val="center"/>
              <w:outlineLvl w:val="9"/>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b/>
                <w:bCs/>
                <w:color w:val="auto"/>
                <w:sz w:val="21"/>
                <w:szCs w:val="21"/>
                <w:lang w:val="en-US" w:eastAsia="zh-CN"/>
              </w:rPr>
              <w:t>表11  项目废水监测内容</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995"/>
              <w:gridCol w:w="24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vAlign w:val="center"/>
                </w:tcPr>
                <w:p>
                  <w:pPr>
                    <w:keepLines w:val="0"/>
                    <w:pageBreakBefore w:val="0"/>
                    <w:widowControl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监测内容</w:t>
                  </w:r>
                </w:p>
              </w:tc>
              <w:tc>
                <w:tcPr>
                  <w:tcW w:w="1995" w:type="dxa"/>
                  <w:vAlign w:val="center"/>
                </w:tcPr>
                <w:p>
                  <w:pPr>
                    <w:keepLines w:val="0"/>
                    <w:pageBreakBefore w:val="0"/>
                    <w:widowControl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监测点位</w:t>
                  </w:r>
                </w:p>
              </w:tc>
              <w:tc>
                <w:tcPr>
                  <w:tcW w:w="2474" w:type="dxa"/>
                  <w:vAlign w:val="center"/>
                </w:tcPr>
                <w:p>
                  <w:pPr>
                    <w:keepLines w:val="0"/>
                    <w:pageBreakBefore w:val="0"/>
                    <w:widowControl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监测项目</w:t>
                  </w:r>
                </w:p>
              </w:tc>
              <w:tc>
                <w:tcPr>
                  <w:tcW w:w="2074" w:type="dxa"/>
                  <w:vAlign w:val="center"/>
                </w:tcPr>
                <w:p>
                  <w:pPr>
                    <w:keepLines w:val="0"/>
                    <w:pageBreakBefore w:val="0"/>
                    <w:widowControl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vAlign w:val="center"/>
                </w:tcPr>
                <w:p>
                  <w:pPr>
                    <w:pStyle w:val="9"/>
                    <w:widowControl w:val="0"/>
                    <w:adjustRightInd/>
                    <w:snapToGrid/>
                    <w:spacing w:line="240" w:lineRule="auto"/>
                    <w:ind w:firstLine="0"/>
                    <w:jc w:val="center"/>
                    <w:rPr>
                      <w:rFonts w:hint="default" w:ascii="Times New Roman" w:hAnsi="Times New Roman" w:cs="Times New Roman" w:eastAsiaTheme="minorEastAsia"/>
                      <w:color w:val="auto"/>
                      <w:sz w:val="24"/>
                      <w:szCs w:val="24"/>
                      <w:vertAlign w:val="baseline"/>
                    </w:rPr>
                  </w:pPr>
                  <w:r>
                    <w:rPr>
                      <w:rFonts w:hint="eastAsia" w:ascii="Times New Roman" w:hAnsi="Times New Roman" w:cs="Times New Roman" w:eastAsiaTheme="minorEastAsia"/>
                      <w:b w:val="0"/>
                      <w:bCs/>
                      <w:color w:val="auto"/>
                      <w:sz w:val="21"/>
                      <w:szCs w:val="21"/>
                      <w:vertAlign w:val="baseline"/>
                      <w:lang w:val="en-US" w:eastAsia="zh-CN"/>
                    </w:rPr>
                    <w:t>生活污水</w:t>
                  </w:r>
                </w:p>
              </w:tc>
              <w:tc>
                <w:tcPr>
                  <w:tcW w:w="1995"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项目废水总排口布设1个监测点位</w:t>
                  </w:r>
                </w:p>
              </w:tc>
              <w:tc>
                <w:tcPr>
                  <w:tcW w:w="2474"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pH值、化学需氧量、五日生化需氧量、悬浮物、氨氮、动植物油、石油类</w:t>
                  </w:r>
                </w:p>
              </w:tc>
              <w:tc>
                <w:tcPr>
                  <w:tcW w:w="2074"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采样2天，每天3次</w:t>
                  </w:r>
                </w:p>
              </w:tc>
            </w:tr>
          </w:tbl>
          <w:p>
            <w:pPr>
              <w:numPr>
                <w:ilvl w:val="0"/>
                <w:numId w:val="10"/>
              </w:numPr>
              <w:spacing w:line="360" w:lineRule="auto"/>
              <w:ind w:firstLine="0" w:firstLineChars="0"/>
              <w:rPr>
                <w:rFonts w:hint="eastAsia"/>
                <w:sz w:val="24"/>
                <w:szCs w:val="24"/>
                <w:lang w:val="en-US" w:eastAsia="zh-CN"/>
              </w:rPr>
            </w:pPr>
            <w:r>
              <w:rPr>
                <w:rFonts w:hint="eastAsia"/>
                <w:sz w:val="24"/>
                <w:szCs w:val="24"/>
                <w:lang w:val="en-US" w:eastAsia="zh-CN"/>
              </w:rPr>
              <w:t>废气</w:t>
            </w:r>
          </w:p>
          <w:p>
            <w:pPr>
              <w:keepLines w:val="0"/>
              <w:pageBreakBefore w:val="0"/>
              <w:numPr>
                <w:ilvl w:val="0"/>
                <w:numId w:val="0"/>
              </w:numPr>
              <w:kinsoku/>
              <w:overflowPunct/>
              <w:topLinePunct w:val="0"/>
              <w:bidi w:val="0"/>
              <w:spacing w:after="0" w:line="360" w:lineRule="auto"/>
              <w:ind w:firstLine="480" w:firstLineChars="200"/>
              <w:outlineLvl w:val="9"/>
              <w:rPr>
                <w:rFonts w:hint="eastAsia" w:ascii="Times New Roman" w:hAnsi="Times New Roman" w:cs="Times New Roman" w:eastAsiaTheme="minorEastAsia"/>
                <w:color w:val="auto"/>
                <w:sz w:val="24"/>
                <w:szCs w:val="24"/>
                <w:lang w:val="en-US" w:eastAsia="zh-CN"/>
              </w:rPr>
            </w:pPr>
            <w:r>
              <w:rPr>
                <w:rFonts w:ascii="Times New Roman" w:hAnsi="Times New Roman" w:cs="Times New Roman" w:eastAsiaTheme="minorEastAsia"/>
                <w:color w:val="auto"/>
                <w:sz w:val="24"/>
                <w:szCs w:val="24"/>
              </w:rPr>
              <w:t>本项目为新建加油站项目，现项目卸油油气回收系统，加油油气回收系统，油气排放处理装置等环保设施已完成，</w:t>
            </w:r>
            <w:r>
              <w:rPr>
                <w:rFonts w:hint="eastAsia" w:ascii="Times New Roman" w:hAnsi="Times New Roman" w:cs="Times New Roman" w:eastAsiaTheme="minorEastAsia"/>
                <w:color w:val="auto"/>
                <w:sz w:val="24"/>
                <w:szCs w:val="24"/>
                <w:lang w:eastAsia="zh-CN"/>
              </w:rPr>
              <w:t>陕西省石油化工贸易有限公司委托陕西同元环境监测有限公司对油气回收装置系统进行了验收监测，项目废气监测内容见表</w:t>
            </w:r>
            <w:r>
              <w:rPr>
                <w:rFonts w:hint="eastAsia" w:ascii="Times New Roman" w:hAnsi="Times New Roman" w:cs="Times New Roman" w:eastAsiaTheme="minorEastAsia"/>
                <w:color w:val="auto"/>
                <w:sz w:val="24"/>
                <w:szCs w:val="24"/>
                <w:lang w:val="en-US" w:eastAsia="zh-CN"/>
              </w:rPr>
              <w:t>12。</w:t>
            </w:r>
          </w:p>
          <w:p>
            <w:pPr>
              <w:keepLines w:val="0"/>
              <w:pageBreakBefore w:val="0"/>
              <w:numPr>
                <w:ilvl w:val="0"/>
                <w:numId w:val="0"/>
              </w:numPr>
              <w:kinsoku/>
              <w:overflowPunct/>
              <w:topLinePunct w:val="0"/>
              <w:bidi w:val="0"/>
              <w:spacing w:after="0" w:line="360" w:lineRule="auto"/>
              <w:ind w:firstLine="0" w:firstLineChars="0"/>
              <w:jc w:val="center"/>
              <w:outlineLvl w:val="9"/>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b/>
                <w:bCs/>
                <w:color w:val="auto"/>
                <w:sz w:val="21"/>
                <w:szCs w:val="21"/>
                <w:lang w:val="en-US" w:eastAsia="zh-CN"/>
              </w:rPr>
              <w:t>表12  项目废气监测内容</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330"/>
              <w:gridCol w:w="15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keepLines w:val="0"/>
                    <w:pageBreakBefore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监测内容</w:t>
                  </w:r>
                </w:p>
              </w:tc>
              <w:tc>
                <w:tcPr>
                  <w:tcW w:w="3330" w:type="dxa"/>
                  <w:vAlign w:val="center"/>
                </w:tcPr>
                <w:p>
                  <w:pPr>
                    <w:keepLines w:val="0"/>
                    <w:pageBreakBefore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监测点位</w:t>
                  </w:r>
                </w:p>
              </w:tc>
              <w:tc>
                <w:tcPr>
                  <w:tcW w:w="1560" w:type="dxa"/>
                  <w:vAlign w:val="center"/>
                </w:tcPr>
                <w:p>
                  <w:pPr>
                    <w:keepLines w:val="0"/>
                    <w:pageBreakBefore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监测项目</w:t>
                  </w:r>
                </w:p>
              </w:tc>
              <w:tc>
                <w:tcPr>
                  <w:tcW w:w="1683" w:type="dxa"/>
                  <w:vAlign w:val="center"/>
                </w:tcPr>
                <w:p>
                  <w:pPr>
                    <w:keepLines w:val="0"/>
                    <w:pageBreakBefore w:val="0"/>
                    <w:numPr>
                      <w:ilvl w:val="0"/>
                      <w:numId w:val="0"/>
                    </w:numPr>
                    <w:kinsoku/>
                    <w:overflowPunct/>
                    <w:topLinePunct w:val="0"/>
                    <w:bidi w:val="0"/>
                    <w:spacing w:after="0" w:line="240" w:lineRule="auto"/>
                    <w:jc w:val="center"/>
                    <w:outlineLvl w:val="9"/>
                    <w:rPr>
                      <w:rFonts w:hint="eastAsia"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无组织废气</w:t>
                  </w:r>
                </w:p>
              </w:tc>
              <w:tc>
                <w:tcPr>
                  <w:tcW w:w="3330"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项目厂界上风向布设1个监测点位（1#），下风向布设2个监测点位（2#）、（3#），项目油气回收装置排放口处布设1个监测点位（4#）</w:t>
                  </w:r>
                </w:p>
              </w:tc>
              <w:tc>
                <w:tcPr>
                  <w:tcW w:w="1560"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非甲烷总烃</w:t>
                  </w:r>
                </w:p>
              </w:tc>
              <w:tc>
                <w:tcPr>
                  <w:tcW w:w="1683" w:type="dxa"/>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b w:val="0"/>
                      <w:bCs/>
                      <w:color w:val="auto"/>
                      <w:sz w:val="21"/>
                      <w:szCs w:val="21"/>
                      <w:vertAlign w:val="baseline"/>
                      <w:lang w:val="en-US" w:eastAsia="zh-CN"/>
                    </w:rPr>
                    <w:t>采样2天，一天4次</w:t>
                  </w:r>
                </w:p>
              </w:tc>
            </w:tr>
          </w:tbl>
          <w:p>
            <w:pPr>
              <w:numPr>
                <w:ilvl w:val="0"/>
                <w:numId w:val="10"/>
              </w:numPr>
              <w:spacing w:line="360" w:lineRule="auto"/>
              <w:ind w:firstLine="0" w:firstLineChars="0"/>
              <w:rPr>
                <w:rFonts w:hint="eastAsia"/>
                <w:sz w:val="24"/>
                <w:szCs w:val="24"/>
                <w:lang w:val="en-US" w:eastAsia="zh-CN"/>
              </w:rPr>
            </w:pPr>
            <w:r>
              <w:rPr>
                <w:rFonts w:hint="eastAsia"/>
                <w:sz w:val="24"/>
                <w:szCs w:val="24"/>
                <w:lang w:val="en-US" w:eastAsia="zh-CN"/>
              </w:rPr>
              <w:t>噪声</w:t>
            </w:r>
          </w:p>
          <w:p>
            <w:pPr>
              <w:keepLines w:val="0"/>
              <w:pageBreakBefore w:val="0"/>
              <w:numPr>
                <w:ilvl w:val="0"/>
                <w:numId w:val="0"/>
              </w:numPr>
              <w:kinsoku/>
              <w:overflowPunct/>
              <w:topLinePunct w:val="0"/>
              <w:bidi w:val="0"/>
              <w:spacing w:after="0" w:line="360" w:lineRule="auto"/>
              <w:ind w:firstLine="480" w:firstLineChars="200"/>
              <w:outlineLvl w:val="9"/>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项目厂界噪声监测内容见表13所示。。</w:t>
            </w:r>
          </w:p>
          <w:p>
            <w:pPr>
              <w:pStyle w:val="9"/>
              <w:keepLines w:val="0"/>
              <w:pageBreakBefore w:val="0"/>
              <w:kinsoku/>
              <w:overflowPunct/>
              <w:topLinePunct w:val="0"/>
              <w:bidi w:val="0"/>
              <w:outlineLvl w:val="9"/>
              <w:rPr>
                <w:rFonts w:hint="default" w:ascii="Times New Roman" w:hAnsi="Times New Roman" w:cs="Times New Roman" w:eastAsiaTheme="minorEastAsia"/>
                <w:color w:val="auto"/>
                <w:lang w:val="en-US" w:eastAsia="zh-CN"/>
              </w:rPr>
            </w:pPr>
            <w:bookmarkStart w:id="62" w:name="_Toc9689_WPSOffice_Level2"/>
            <w:bookmarkStart w:id="63" w:name="_Toc19056"/>
            <w:bookmarkStart w:id="64" w:name="_Toc18021_WPSOffice_Level2"/>
            <w:bookmarkStart w:id="65" w:name="_Toc24444"/>
            <w:bookmarkStart w:id="66" w:name="_Toc23150"/>
            <w:r>
              <w:rPr>
                <w:rFonts w:hint="default" w:ascii="Times New Roman" w:hAnsi="Times New Roman" w:cs="Times New Roman" w:eastAsiaTheme="minorEastAsia"/>
                <w:color w:val="auto"/>
                <w:lang w:eastAsia="zh-CN"/>
              </w:rPr>
              <w:t>表</w:t>
            </w: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lang w:val="en-US" w:eastAsia="zh-CN"/>
              </w:rPr>
              <w:t xml:space="preserve">  </w:t>
            </w:r>
            <w:bookmarkEnd w:id="62"/>
            <w:bookmarkEnd w:id="63"/>
            <w:bookmarkEnd w:id="64"/>
            <w:bookmarkEnd w:id="65"/>
            <w:bookmarkEnd w:id="66"/>
            <w:r>
              <w:rPr>
                <w:rFonts w:hint="eastAsia" w:ascii="Times New Roman" w:hAnsi="Times New Roman" w:cs="Times New Roman" w:eastAsiaTheme="minorEastAsia"/>
                <w:color w:val="auto"/>
                <w:lang w:val="en-US" w:eastAsia="zh-CN"/>
              </w:rPr>
              <w:t>项目厂界噪声监测内容</w:t>
            </w:r>
          </w:p>
          <w:tbl>
            <w:tblPr>
              <w:tblStyle w:val="11"/>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345"/>
              <w:gridCol w:w="1704"/>
              <w:gridCol w:w="2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7"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监测内容</w:t>
                  </w:r>
                </w:p>
              </w:tc>
              <w:tc>
                <w:tcPr>
                  <w:tcW w:w="334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监测点位</w:t>
                  </w:r>
                </w:p>
              </w:tc>
              <w:tc>
                <w:tcPr>
                  <w:tcW w:w="1704"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监测项目</w:t>
                  </w:r>
                </w:p>
              </w:tc>
              <w:tc>
                <w:tcPr>
                  <w:tcW w:w="2070"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7"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厂界噪声</w:t>
                  </w:r>
                </w:p>
              </w:tc>
              <w:tc>
                <w:tcPr>
                  <w:tcW w:w="3345"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项目厂界四周各布设1个监测点位</w:t>
                  </w:r>
                </w:p>
              </w:tc>
              <w:tc>
                <w:tcPr>
                  <w:tcW w:w="1704"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等效连续A声级</w:t>
                  </w:r>
                </w:p>
              </w:tc>
              <w:tc>
                <w:tcPr>
                  <w:tcW w:w="2070"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采样2天，每天昼、夜各一次</w:t>
                  </w:r>
                </w:p>
              </w:tc>
            </w:tr>
          </w:tbl>
          <w:p>
            <w:pPr>
              <w:numPr>
                <w:ilvl w:val="-1"/>
                <w:numId w:val="0"/>
              </w:numPr>
              <w:spacing w:line="360" w:lineRule="auto"/>
              <w:ind w:firstLine="480" w:firstLineChars="200"/>
              <w:rPr>
                <w:rFonts w:hint="eastAsia"/>
                <w:sz w:val="24"/>
                <w:szCs w:val="24"/>
                <w:lang w:val="en-US" w:eastAsia="zh-CN"/>
              </w:rPr>
            </w:pPr>
          </w:p>
        </w:tc>
      </w:tr>
    </w:tbl>
    <w:p>
      <w:pPr>
        <w:rPr>
          <w:rFonts w:hint="eastAsia"/>
          <w:lang w:val="en-US" w:eastAsia="zh-CN"/>
        </w:rPr>
      </w:pPr>
      <w:r>
        <w:rPr>
          <w:rFonts w:hint="eastAsia"/>
          <w:lang w:val="en-US" w:eastAsia="zh-CN"/>
        </w:rPr>
        <w:br w:type="page"/>
      </w:r>
    </w:p>
    <w:p>
      <w:pPr>
        <w:pStyle w:val="3"/>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表 7 验收监测期间工况调查及验收监测结果</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tabs>
                <w:tab w:val="left" w:pos="437"/>
              </w:tabs>
              <w:spacing w:line="360" w:lineRule="auto"/>
              <w:ind w:firstLine="0" w:firstLine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一、验收监测期间生产工况记录</w:t>
            </w:r>
          </w:p>
          <w:p>
            <w:pPr>
              <w:spacing w:line="360" w:lineRule="auto"/>
              <w:ind w:firstLine="480" w:firstLineChars="200"/>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在验收监测期间，项目处于调试阶段，项目主体工程工况稳定、各项环保设施正常运行。若出现异常情况立即通知监测人员停止监测，以确保监测数据的有效性和准确性。现场调试期间工况统计表见下表。</w:t>
            </w:r>
          </w:p>
          <w:p>
            <w:pPr>
              <w:pStyle w:val="2"/>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 xml:space="preserve">  高陵服务区</w:t>
            </w:r>
            <w:r>
              <w:rPr>
                <w:rFonts w:hint="eastAsia" w:ascii="Times New Roman" w:hAnsi="Times New Roman" w:cs="Times New Roman"/>
                <w:sz w:val="21"/>
                <w:szCs w:val="21"/>
                <w:lang w:val="en-US" w:eastAsia="zh-CN"/>
              </w:rPr>
              <w:t>南</w:t>
            </w:r>
            <w:r>
              <w:rPr>
                <w:rFonts w:hint="default" w:ascii="Times New Roman" w:hAnsi="Times New Roman" w:cs="Times New Roman"/>
                <w:sz w:val="21"/>
                <w:szCs w:val="21"/>
                <w:lang w:val="en-US" w:eastAsia="zh-CN"/>
              </w:rPr>
              <w:t>加油站日报表</w:t>
            </w:r>
          </w:p>
          <w:tbl>
            <w:tblPr>
              <w:tblStyle w:val="11"/>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385"/>
              <w:gridCol w:w="1661"/>
              <w:gridCol w:w="166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日期</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油品名称</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设计加油量</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实际加油量</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负荷比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2019年10月9日</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4.11吨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r>
                    <w:rPr>
                      <w:rFonts w:hint="eastAsia" w:ascii="Times New Roman" w:hAnsi="Times New Roman" w:cs="Times New Roman"/>
                      <w:sz w:val="21"/>
                      <w:szCs w:val="21"/>
                      <w:vertAlign w:val="baseline"/>
                      <w:lang w:val="en-US" w:eastAsia="zh-CN"/>
                    </w:rPr>
                    <w:t>6</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r>
                    <w:rPr>
                      <w:rFonts w:hint="eastAsia" w:ascii="Times New Roman" w:hAnsi="Times New Roman" w:cs="Times New Roman"/>
                      <w:sz w:val="21"/>
                      <w:szCs w:val="21"/>
                      <w:vertAlign w:val="baseline"/>
                      <w:lang w:val="en-US" w:eastAsia="zh-CN"/>
                    </w:rPr>
                    <w:t>7</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6</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6.85吨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3</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92.0</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2019年10月10日</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4.11吨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r>
                    <w:rPr>
                      <w:rFonts w:hint="eastAsia" w:ascii="Times New Roman" w:hAnsi="Times New Roman" w:cs="Times New Roman"/>
                      <w:sz w:val="21"/>
                      <w:szCs w:val="21"/>
                      <w:vertAlign w:val="baseline"/>
                      <w:lang w:val="en-US" w:eastAsia="zh-CN"/>
                    </w:rPr>
                    <w:t>3</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80.1</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6.85吨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w:t>
                  </w:r>
                  <w:r>
                    <w:rPr>
                      <w:rFonts w:hint="eastAsia" w:ascii="Times New Roman" w:hAnsi="Times New Roman" w:cs="Times New Roman"/>
                      <w:sz w:val="21"/>
                      <w:szCs w:val="21"/>
                      <w:vertAlign w:val="baseline"/>
                      <w:lang w:val="en-US" w:eastAsia="zh-CN"/>
                    </w:rPr>
                    <w:t>0.5</w:t>
                  </w:r>
                  <w:r>
                    <w:rPr>
                      <w:rFonts w:hint="default" w:ascii="Times New Roman" w:hAnsi="Times New Roman" w:cs="Times New Roman"/>
                      <w:sz w:val="21"/>
                      <w:szCs w:val="21"/>
                      <w:vertAlign w:val="baseline"/>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由表1</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可知，2019年10月9日和2019年10月10日，监测期间生产符合均大于设计生产符合75%，可以满足建设项目竣工环境保护验收监测要求。</w:t>
            </w:r>
          </w:p>
          <w:p>
            <w:pPr>
              <w:spacing w:line="360" w:lineRule="auto"/>
              <w:ind w:firstLine="0" w:firstLine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二、验收</w:t>
            </w:r>
            <w:r>
              <w:rPr>
                <w:rFonts w:hint="default" w:ascii="Times New Roman" w:hAnsi="Times New Roman" w:cs="Times New Roman"/>
                <w:sz w:val="24"/>
                <w:szCs w:val="24"/>
                <w:vertAlign w:val="baseline"/>
                <w:lang w:eastAsia="zh-CN"/>
              </w:rPr>
              <w:t>监测</w:t>
            </w:r>
            <w:r>
              <w:rPr>
                <w:rFonts w:hint="default" w:ascii="Times New Roman" w:hAnsi="Times New Roman" w:cs="Times New Roman"/>
                <w:sz w:val="24"/>
                <w:szCs w:val="24"/>
                <w:vertAlign w:val="baseline"/>
              </w:rPr>
              <w:t>结果</w:t>
            </w:r>
          </w:p>
          <w:p>
            <w:pPr>
              <w:pStyle w:val="1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highlight w:val="none"/>
              </w:rPr>
              <w:t>项目委托</w:t>
            </w:r>
            <w:r>
              <w:rPr>
                <w:rFonts w:hint="default" w:ascii="Times New Roman" w:hAnsi="Times New Roman" w:cs="Times New Roman" w:eastAsiaTheme="minorEastAsia"/>
                <w:color w:val="auto"/>
                <w:highlight w:val="none"/>
                <w:lang w:eastAsia="zh-CN"/>
              </w:rPr>
              <w:t>陕西同元环境检测有限公司</w:t>
            </w:r>
            <w:r>
              <w:rPr>
                <w:rFonts w:hint="default" w:ascii="Times New Roman" w:hAnsi="Times New Roman" w:cs="Times New Roman" w:eastAsiaTheme="minorEastAsia"/>
                <w:color w:val="auto"/>
                <w:highlight w:val="none"/>
              </w:rPr>
              <w:t>于201</w:t>
            </w:r>
            <w:r>
              <w:rPr>
                <w:rFonts w:hint="default" w:ascii="Times New Roman" w:hAnsi="Times New Roman"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年1</w:t>
            </w:r>
            <w:r>
              <w:rPr>
                <w:rFonts w:hint="default" w:ascii="Times New Roman" w:hAnsi="Times New Roman" w:cs="Times New Roman" w:eastAsiaTheme="minorEastAsia"/>
                <w:color w:val="auto"/>
                <w:highlight w:val="none"/>
                <w:lang w:val="en-US" w:eastAsia="zh-CN"/>
              </w:rPr>
              <w:t>0</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日～</w:t>
            </w:r>
            <w:r>
              <w:rPr>
                <w:rFonts w:hint="default" w:ascii="Times New Roman" w:hAnsi="Times New Roman" w:cs="Times New Roman" w:eastAsiaTheme="minorEastAsia"/>
                <w:color w:val="auto"/>
                <w:highlight w:val="none"/>
                <w:lang w:val="en-US" w:eastAsia="zh-CN"/>
              </w:rPr>
              <w:t>10月</w:t>
            </w:r>
            <w:r>
              <w:rPr>
                <w:rFonts w:hint="default" w:ascii="Times New Roman" w:hAnsi="Times New Roman" w:cs="Times New Roman" w:eastAsiaTheme="minorEastAsia"/>
                <w:color w:val="auto"/>
                <w:highlight w:val="none"/>
              </w:rPr>
              <w:t>1</w:t>
            </w:r>
            <w:r>
              <w:rPr>
                <w:rFonts w:hint="default" w:ascii="Times New Roman" w:hAnsi="Times New Roman" w:cs="Times New Roman" w:eastAsiaTheme="minorEastAsia"/>
                <w:color w:val="auto"/>
                <w:highlight w:val="none"/>
                <w:lang w:val="en-US" w:eastAsia="zh-CN"/>
              </w:rPr>
              <w:t>0</w:t>
            </w:r>
            <w:r>
              <w:rPr>
                <w:rFonts w:hint="default" w:ascii="Times New Roman" w:hAnsi="Times New Roman" w:cs="Times New Roman" w:eastAsiaTheme="minorEastAsia"/>
                <w:color w:val="auto"/>
                <w:highlight w:val="none"/>
              </w:rPr>
              <w:t>日对项目进行验收监测，并出具《</w:t>
            </w:r>
            <w:r>
              <w:rPr>
                <w:rFonts w:hint="default" w:ascii="Times New Roman" w:hAnsi="Times New Roman" w:cs="Times New Roman" w:eastAsiaTheme="minorEastAsia"/>
                <w:color w:val="auto"/>
                <w:highlight w:val="none"/>
                <w:lang w:eastAsia="zh-CN"/>
              </w:rPr>
              <w:t>陕西省石油化工工业贸易有限公司高陵服务区</w:t>
            </w:r>
            <w:r>
              <w:rPr>
                <w:rFonts w:hint="eastAsia" w:ascii="Times New Roman" w:hAnsi="Times New Roman" w:cs="Times New Roman" w:eastAsiaTheme="minorEastAsia"/>
                <w:color w:val="auto"/>
                <w:highlight w:val="none"/>
                <w:lang w:eastAsia="zh-CN"/>
              </w:rPr>
              <w:t>南</w:t>
            </w:r>
            <w:r>
              <w:rPr>
                <w:rFonts w:hint="default" w:ascii="Times New Roman" w:hAnsi="Times New Roman" w:cs="Times New Roman" w:eastAsiaTheme="minorEastAsia"/>
                <w:color w:val="auto"/>
                <w:highlight w:val="none"/>
                <w:lang w:eastAsia="zh-CN"/>
              </w:rPr>
              <w:t>加油站建设项目</w:t>
            </w:r>
            <w:r>
              <w:rPr>
                <w:rFonts w:hint="default" w:ascii="Times New Roman" w:hAnsi="Times New Roman" w:cs="Times New Roman" w:eastAsiaTheme="minorEastAsia"/>
                <w:color w:val="auto"/>
                <w:highlight w:val="none"/>
              </w:rPr>
              <w:t>》监测报告（同元监(综)字（2019）第06</w:t>
            </w:r>
            <w:r>
              <w:rPr>
                <w:rFonts w:hint="eastAsia" w:ascii="Times New Roman" w:hAnsi="Times New Roman" w:cs="Times New Roman" w:eastAsiaTheme="minorEastAsia"/>
                <w:color w:val="auto"/>
                <w:highlight w:val="none"/>
                <w:lang w:val="en-US" w:eastAsia="zh-CN"/>
              </w:rPr>
              <w:t>7</w:t>
            </w:r>
            <w:r>
              <w:rPr>
                <w:rFonts w:hint="default" w:ascii="Times New Roman" w:hAnsi="Times New Roman" w:cs="Times New Roman" w:eastAsiaTheme="minorEastAsia"/>
                <w:color w:val="auto"/>
                <w:highlight w:val="none"/>
              </w:rPr>
              <w:t>号）。</w:t>
            </w:r>
          </w:p>
          <w:p>
            <w:pPr>
              <w:pStyle w:val="4"/>
              <w:bidi w:val="0"/>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废水</w:t>
            </w:r>
          </w:p>
          <w:p>
            <w:pPr>
              <w:keepNext w:val="0"/>
              <w:keepLines w:val="0"/>
              <w:pageBreakBefore w:val="0"/>
              <w:widowControl w:val="0"/>
              <w:numPr>
                <w:ilvl w:val="0"/>
                <w:numId w:val="0"/>
              </w:numPr>
              <w:kinsoku/>
              <w:wordWrap/>
              <w:overflowPunct/>
              <w:topLinePunct w:val="0"/>
              <w:autoSpaceDE/>
              <w:autoSpaceDN/>
              <w:bidi w:val="0"/>
              <w:spacing w:before="0" w:after="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24"/>
                <w:sz w:val="24"/>
                <w:szCs w:val="24"/>
                <w:lang w:val="en-US" w:eastAsia="zh-CN" w:bidi="ar-SA"/>
              </w:rPr>
            </w:pPr>
            <w:r>
              <w:rPr>
                <w:rFonts w:hint="default" w:ascii="Times New Roman" w:hAnsi="Times New Roman" w:cs="Times New Roman" w:eastAsiaTheme="minorEastAsia"/>
                <w:color w:val="auto"/>
                <w:kern w:val="24"/>
                <w:sz w:val="24"/>
                <w:szCs w:val="24"/>
                <w:lang w:val="en-US" w:eastAsia="zh-CN" w:bidi="ar-SA"/>
              </w:rPr>
              <w:t>2019年10月9日～10月10日验收监测期间，项目废水排放口各污染因子测定值均符合</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eastAsia="zh-CN"/>
              </w:rPr>
              <w:t>城市污水再生利用城市杂用水水质标准</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GB T 18920-2002</w:t>
            </w:r>
            <w:r>
              <w:rPr>
                <w:rFonts w:hint="default" w:ascii="Times New Roman" w:hAnsi="Times New Roman" w:cs="Times New Roman" w:eastAsiaTheme="minorEastAsia"/>
                <w:color w:val="auto"/>
                <w:sz w:val="24"/>
              </w:rPr>
              <w:t>）中</w:t>
            </w:r>
            <w:r>
              <w:rPr>
                <w:rFonts w:hint="default" w:ascii="Times New Roman" w:hAnsi="Times New Roman" w:cs="Times New Roman" w:eastAsiaTheme="minorEastAsia"/>
                <w:color w:val="auto"/>
                <w:sz w:val="24"/>
                <w:lang w:eastAsia="zh-CN"/>
              </w:rPr>
              <w:t>冲厕及绿化水质标准</w:t>
            </w:r>
            <w:r>
              <w:rPr>
                <w:rFonts w:hint="default" w:ascii="Times New Roman" w:hAnsi="Times New Roman" w:cs="Times New Roman" w:eastAsiaTheme="minorEastAsia"/>
                <w:color w:val="auto"/>
                <w:kern w:val="24"/>
                <w:sz w:val="24"/>
                <w:szCs w:val="24"/>
                <w:lang w:val="en-US" w:eastAsia="zh-CN" w:bidi="ar-SA"/>
              </w:rPr>
              <w:t>及《污水综合排放标准》（GB8978-1996）中的一级标准，监测结果见表1</w:t>
            </w:r>
            <w:r>
              <w:rPr>
                <w:rFonts w:hint="eastAsia" w:ascii="Times New Roman" w:hAnsi="Times New Roman" w:cs="Times New Roman" w:eastAsiaTheme="minorEastAsia"/>
                <w:color w:val="auto"/>
                <w:kern w:val="24"/>
                <w:sz w:val="24"/>
                <w:szCs w:val="24"/>
                <w:lang w:val="en-US" w:eastAsia="zh-CN" w:bidi="ar-SA"/>
              </w:rPr>
              <w:t>5</w:t>
            </w:r>
            <w:r>
              <w:rPr>
                <w:rFonts w:hint="default" w:ascii="Times New Roman" w:hAnsi="Times New Roman" w:cs="Times New Roman" w:eastAsiaTheme="minorEastAsia"/>
                <w:color w:val="auto"/>
                <w:kern w:val="24"/>
                <w:sz w:val="24"/>
                <w:szCs w:val="24"/>
                <w:lang w:val="en-US" w:eastAsia="zh-CN" w:bidi="ar-SA"/>
              </w:rPr>
              <w:t>。</w:t>
            </w:r>
          </w:p>
          <w:p>
            <w:pPr>
              <w:pStyle w:val="9"/>
              <w:keepNext w:val="0"/>
              <w:keepLines w:val="0"/>
              <w:pageBreakBefore w:val="0"/>
              <w:widowControl/>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cs="Times New Roman" w:eastAsiaTheme="minorEastAsia"/>
                <w:color w:val="auto"/>
                <w:lang w:eastAsia="zh-CN"/>
              </w:rPr>
            </w:pPr>
            <w:bookmarkStart w:id="67" w:name="_Toc23365_WPSOffice_Level2"/>
            <w:bookmarkStart w:id="68" w:name="_Toc3674"/>
            <w:bookmarkStart w:id="69" w:name="_Toc31017_WPSOffice_Level2"/>
            <w:bookmarkStart w:id="70" w:name="_Toc4858"/>
            <w:bookmarkStart w:id="71" w:name="_Toc134"/>
            <w:r>
              <w:rPr>
                <w:rFonts w:hint="default" w:ascii="Times New Roman" w:hAnsi="Times New Roman" w:cs="Times New Roman" w:eastAsiaTheme="minorEastAsia"/>
                <w:color w:val="auto"/>
              </w:rPr>
              <w:t>表</w:t>
            </w: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 xml:space="preserve"> </w:t>
            </w:r>
            <w:r>
              <w:rPr>
                <w:rFonts w:hint="default" w:ascii="Times New Roman" w:hAnsi="Times New Roman" w:cs="Times New Roman" w:eastAsiaTheme="minorEastAsia"/>
                <w:color w:val="auto"/>
                <w:lang w:val="en-US" w:eastAsia="zh-CN"/>
              </w:rPr>
              <w:t xml:space="preserve"> 项目废水</w:t>
            </w:r>
            <w:r>
              <w:rPr>
                <w:rFonts w:hint="default" w:ascii="Times New Roman" w:hAnsi="Times New Roman" w:cs="Times New Roman" w:eastAsiaTheme="minorEastAsia"/>
                <w:color w:val="auto"/>
              </w:rPr>
              <w:t>监测结</w:t>
            </w:r>
            <w:r>
              <w:rPr>
                <w:rFonts w:hint="default" w:ascii="Times New Roman" w:hAnsi="Times New Roman" w:cs="Times New Roman" w:eastAsiaTheme="minorEastAsia"/>
                <w:color w:val="auto"/>
                <w:lang w:eastAsia="zh-CN"/>
              </w:rPr>
              <w:t>果</w:t>
            </w:r>
            <w:bookmarkEnd w:id="67"/>
            <w:bookmarkEnd w:id="68"/>
            <w:bookmarkEnd w:id="69"/>
            <w:bookmarkEnd w:id="70"/>
            <w:bookmarkEnd w:id="71"/>
          </w:p>
          <w:tbl>
            <w:tblPr>
              <w:tblStyle w:val="11"/>
              <w:tblW w:w="8426"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25"/>
              <w:gridCol w:w="1133"/>
              <w:gridCol w:w="1134"/>
              <w:gridCol w:w="1133"/>
              <w:gridCol w:w="1133"/>
              <w:gridCol w:w="11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1625"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bookmarkStart w:id="72" w:name="_Toc7307_WPSOffice_Level1"/>
                  <w:bookmarkStart w:id="73" w:name="_Toc13846_WPSOffice_Level1"/>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监测项目</w:t>
                  </w:r>
                </w:p>
              </w:tc>
              <w:tc>
                <w:tcPr>
                  <w:tcW w:w="6801" w:type="dxa"/>
                  <w:gridSpan w:val="6"/>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监测结果</w:t>
                  </w: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1625"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6801" w:type="dxa"/>
                  <w:gridSpan w:val="6"/>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排放总排口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1625"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3400" w:type="dxa"/>
                  <w:gridSpan w:val="3"/>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3401" w:type="dxa"/>
                  <w:gridSpan w:val="3"/>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1625"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pH</w:t>
                  </w: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（无量纲）</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7.99</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8.02</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7.95</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8.03</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7.92</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COD</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85</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94</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88</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92</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89</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kern w:val="2"/>
                      <w:sz w:val="21"/>
                      <w:szCs w:val="21"/>
                      <w:vertAlign w:val="subscript"/>
                      <w:lang w:val="en-US" w:eastAsia="zh-CN"/>
                      <w14:textFill>
                        <w14:solidFill>
                          <w14:schemeClr w14:val="tx1"/>
                        </w14:solidFill>
                      </w14:textFill>
                    </w:rPr>
                    <w:t>5</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9.2</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7.5</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8.3</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8.6</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9.0</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悬浮物</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32</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29</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34</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33</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28</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氨氮</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8.314</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7.635</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8.414</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8.376</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7.468</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石油类</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0.06ND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2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动植物油类</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0.16</w:t>
                  </w:r>
                </w:p>
              </w:tc>
              <w:tc>
                <w:tcPr>
                  <w:tcW w:w="1134"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0.18</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0.14</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0.20</w:t>
                  </w:r>
                </w:p>
              </w:tc>
              <w:tc>
                <w:tcPr>
                  <w:tcW w:w="1133"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0.15</w:t>
                  </w:r>
                </w:p>
              </w:tc>
              <w:tc>
                <w:tcPr>
                  <w:tcW w:w="1135"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0.17</w:t>
                  </w:r>
                </w:p>
              </w:tc>
            </w:tr>
          </w:tbl>
          <w:p>
            <w:pPr>
              <w:pStyle w:val="4"/>
              <w:bidi w:val="0"/>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废气</w:t>
            </w:r>
            <w:bookmarkEnd w:id="72"/>
            <w:bookmarkEnd w:id="73"/>
          </w:p>
          <w:p>
            <w:pPr>
              <w:pStyle w:val="1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highlight w:val="none"/>
              </w:rPr>
              <w:t>201</w:t>
            </w:r>
            <w:r>
              <w:rPr>
                <w:rFonts w:hint="default" w:ascii="Times New Roman" w:hAnsi="Times New Roman" w:cs="Times New Roman" w:eastAsiaTheme="minorEastAsia"/>
                <w:color w:val="auto"/>
                <w:highlight w:val="none"/>
                <w:lang w:val="en-US" w:eastAsia="zh-CN"/>
              </w:rPr>
              <w:t>0</w:t>
            </w:r>
            <w:r>
              <w:rPr>
                <w:rFonts w:hint="default" w:ascii="Times New Roman" w:hAnsi="Times New Roman" w:cs="Times New Roman" w:eastAsiaTheme="minorEastAsia"/>
                <w:color w:val="auto"/>
                <w:highlight w:val="none"/>
              </w:rPr>
              <w:t>年1</w:t>
            </w:r>
            <w:r>
              <w:rPr>
                <w:rFonts w:hint="default" w:ascii="Times New Roman" w:hAnsi="Times New Roman" w:cs="Times New Roman" w:eastAsiaTheme="minorEastAsia"/>
                <w:color w:val="auto"/>
                <w:highlight w:val="none"/>
                <w:lang w:val="en-US" w:eastAsia="zh-CN"/>
              </w:rPr>
              <w:t>0</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日～</w:t>
            </w:r>
            <w:r>
              <w:rPr>
                <w:rFonts w:hint="default" w:ascii="Times New Roman" w:hAnsi="Times New Roman" w:cs="Times New Roman" w:eastAsiaTheme="minorEastAsia"/>
                <w:color w:val="auto"/>
                <w:highlight w:val="none"/>
                <w:lang w:val="en-US" w:eastAsia="zh-CN"/>
              </w:rPr>
              <w:t>10月</w:t>
            </w:r>
            <w:r>
              <w:rPr>
                <w:rFonts w:hint="default" w:ascii="Times New Roman" w:hAnsi="Times New Roman" w:cs="Times New Roman" w:eastAsiaTheme="minorEastAsia"/>
                <w:color w:val="auto"/>
                <w:highlight w:val="none"/>
              </w:rPr>
              <w:t>1</w:t>
            </w:r>
            <w:r>
              <w:rPr>
                <w:rFonts w:hint="default" w:ascii="Times New Roman" w:hAnsi="Times New Roman" w:cs="Times New Roman" w:eastAsiaTheme="minorEastAsia"/>
                <w:color w:val="auto"/>
                <w:highlight w:val="none"/>
                <w:lang w:val="en-US" w:eastAsia="zh-CN"/>
              </w:rPr>
              <w:t>0</w:t>
            </w:r>
            <w:r>
              <w:rPr>
                <w:rFonts w:hint="default" w:ascii="Times New Roman" w:hAnsi="Times New Roman" w:cs="Times New Roman" w:eastAsiaTheme="minorEastAsia"/>
                <w:color w:val="auto"/>
                <w:highlight w:val="none"/>
              </w:rPr>
              <w:t>日</w:t>
            </w:r>
            <w:r>
              <w:rPr>
                <w:rFonts w:hint="default" w:ascii="Times New Roman" w:hAnsi="Times New Roman" w:cs="Times New Roman" w:eastAsiaTheme="minorEastAsia"/>
                <w:color w:val="auto"/>
                <w:lang w:eastAsia="zh-CN"/>
              </w:rPr>
              <w:t>验收期间，项目各监测点</w:t>
            </w:r>
            <w:r>
              <w:rPr>
                <w:rFonts w:hint="default" w:ascii="Times New Roman" w:hAnsi="Times New Roman" w:cs="Times New Roman" w:eastAsiaTheme="minorEastAsia"/>
                <w:color w:val="auto"/>
              </w:rPr>
              <w:t>无组织废气监控点非甲烷总烃浓度均符合《大气污染物综合排放标准》（GB16297-1996）表2中无组织排放监控浓度限值标准</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油气回收装置</w:t>
            </w:r>
            <w:r>
              <w:rPr>
                <w:rFonts w:hint="default" w:ascii="Times New Roman" w:hAnsi="Times New Roman" w:cs="Times New Roman" w:eastAsiaTheme="minorEastAsia"/>
                <w:color w:val="auto"/>
                <w:lang w:eastAsia="zh-CN"/>
              </w:rPr>
              <w:t>排放口</w:t>
            </w:r>
            <w:r>
              <w:rPr>
                <w:rFonts w:hint="default" w:ascii="Times New Roman" w:hAnsi="Times New Roman" w:cs="Times New Roman" w:eastAsiaTheme="minorEastAsia"/>
                <w:color w:val="auto"/>
              </w:rPr>
              <w:t>监控点非甲烷总烃浓度符合《加油站大气污染物排放标准》（GB20952-2007）限值标限值。验收期间，项目非甲烷总烃监测结果见下表</w:t>
            </w: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w:t>
            </w:r>
          </w:p>
          <w:p>
            <w:pPr>
              <w:pStyle w:val="9"/>
              <w:keepLines w:val="0"/>
              <w:pageBreakBefore w:val="0"/>
              <w:kinsoku/>
              <w:overflowPunct/>
              <w:topLinePunct w:val="0"/>
              <w:bidi w:val="0"/>
              <w:ind w:firstLine="211"/>
              <w:outlineLvl w:val="9"/>
              <w:rPr>
                <w:rFonts w:hint="default" w:ascii="Times New Roman" w:hAnsi="Times New Roman" w:cs="Times New Roman" w:eastAsiaTheme="minorEastAsia"/>
                <w:color w:val="auto"/>
              </w:rPr>
            </w:pPr>
            <w:bookmarkStart w:id="74" w:name="_Toc22709_WPSOffice_Level2"/>
            <w:bookmarkStart w:id="75" w:name="_Toc1803_WPSOffice_Level2"/>
            <w:r>
              <w:rPr>
                <w:rFonts w:hint="default" w:ascii="Times New Roman" w:hAnsi="Times New Roman" w:cs="Times New Roman" w:eastAsiaTheme="minorEastAsia"/>
                <w:color w:val="auto"/>
              </w:rPr>
              <w:t>表</w:t>
            </w: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 xml:space="preserve">  非甲烷总烃监测结果</w:t>
            </w:r>
            <w:bookmarkEnd w:id="74"/>
            <w:bookmarkEnd w:id="75"/>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91"/>
              <w:gridCol w:w="939"/>
              <w:gridCol w:w="968"/>
              <w:gridCol w:w="969"/>
              <w:gridCol w:w="968"/>
              <w:gridCol w:w="96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2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bookmarkStart w:id="76" w:name="_Toc22443_WPSOffice_Level1"/>
                  <w:bookmarkStart w:id="77" w:name="_Toc12728_WPSOffice_Level1"/>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点位</w:t>
                  </w:r>
                </w:p>
              </w:tc>
              <w:tc>
                <w:tcPr>
                  <w:tcW w:w="2230" w:type="dxa"/>
                  <w:gridSpan w:val="2"/>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监测时间</w:t>
                  </w:r>
                </w:p>
              </w:tc>
              <w:tc>
                <w:tcPr>
                  <w:tcW w:w="968"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非甲烷总烃</w:t>
                  </w:r>
                </w:p>
              </w:tc>
              <w:tc>
                <w:tcPr>
                  <w:tcW w:w="96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气温</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w:t>
                  </w:r>
                </w:p>
              </w:tc>
              <w:tc>
                <w:tcPr>
                  <w:tcW w:w="968"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气压(kPa)</w:t>
                  </w:r>
                </w:p>
              </w:tc>
              <w:tc>
                <w:tcPr>
                  <w:tcW w:w="968"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风速</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(m/s)</w:t>
                  </w:r>
                </w:p>
              </w:tc>
              <w:tc>
                <w:tcPr>
                  <w:tcW w:w="972"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上风向</w:t>
                  </w: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0.57</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13.6</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97.5</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0.63</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16.9</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2.1</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0.68</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19.9</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0.55</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17.0</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2019.10.10</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0.62</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14.5</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0.58</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18.1</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2.1</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0.60</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21.6</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0.59</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1.9</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下风向</w:t>
                  </w: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0.84</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13.3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97.5</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2.2</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0.77</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17.1</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2.4</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0.72</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1.6</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0.86</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16.8</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2.5</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2019.10.10</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0.89</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14.2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0.75</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2.4</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0.73</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22.0</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2.1</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0.82</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2.1</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下风向</w:t>
                  </w: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0.85</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13.4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97.5</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0.79</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下风向</w:t>
                  </w: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0.78</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1.9</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0.83</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16.7</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2.4</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2019.10.10</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0.88</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14.3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1.6</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0.74</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0.76</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22.1</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2.4</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0.85</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17.1</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4#</w:t>
                  </w:r>
                </w:p>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油气回收装置排放口</w:t>
                  </w: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2019.10.9</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0.49</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13.2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97.5</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1.9</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0.50</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0.52</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0.45</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2.4</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2019.10.10</w:t>
                  </w: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第一次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0.50</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14.1</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第二次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0.49</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18.4</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2.3</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第三次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0.46</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97.2</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2.5</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291"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93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第四次</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0.48</w:t>
                  </w:r>
                </w:p>
              </w:tc>
              <w:tc>
                <w:tcPr>
                  <w:tcW w:w="969"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17.7</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97.3</w:t>
                  </w:r>
                </w:p>
              </w:tc>
              <w:tc>
                <w:tcPr>
                  <w:tcW w:w="968"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w:t>
                  </w:r>
                </w:p>
              </w:tc>
              <w:tc>
                <w:tcPr>
                  <w:tcW w:w="972" w:type="dxa"/>
                  <w:tcBorders>
                    <w:tl2br w:val="nil"/>
                    <w:tr2bl w:val="nil"/>
                  </w:tcBorders>
                  <w:shd w:val="clear" w:color="auto" w:fill="auto"/>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NE</w:t>
                  </w:r>
                </w:p>
              </w:tc>
            </w:tr>
          </w:tbl>
          <w:p>
            <w:pPr>
              <w:pStyle w:val="4"/>
              <w:bidi w:val="0"/>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厂界噪声</w:t>
            </w:r>
            <w:bookmarkEnd w:id="76"/>
            <w:bookmarkEnd w:id="77"/>
          </w:p>
          <w:p>
            <w:pPr>
              <w:keepLines w:val="0"/>
              <w:pageBreakBefore w:val="0"/>
              <w:numPr>
                <w:ilvl w:val="0"/>
                <w:numId w:val="0"/>
              </w:numPr>
              <w:kinsoku/>
              <w:overflowPunct/>
              <w:topLinePunct w:val="0"/>
              <w:bidi w:val="0"/>
              <w:spacing w:line="360" w:lineRule="auto"/>
              <w:ind w:firstLine="480" w:firstLineChars="200"/>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highlight w:val="none"/>
                <w:lang w:val="en-US" w:eastAsia="zh-CN" w:bidi="ar-SA"/>
              </w:rPr>
              <w:t>201</w:t>
            </w:r>
            <w:r>
              <w:rPr>
                <w:rFonts w:hint="eastAsia" w:ascii="Times New Roman" w:hAnsi="Times New Roman" w:cs="Times New Roman" w:eastAsiaTheme="minorEastAsia"/>
                <w:color w:val="auto"/>
                <w:sz w:val="24"/>
                <w:szCs w:val="24"/>
                <w:highlight w:val="none"/>
                <w:lang w:val="en-US" w:eastAsia="zh-CN" w:bidi="ar-SA"/>
              </w:rPr>
              <w:t>0</w:t>
            </w:r>
            <w:r>
              <w:rPr>
                <w:rFonts w:hint="default" w:ascii="Times New Roman" w:hAnsi="Times New Roman" w:cs="Times New Roman" w:eastAsiaTheme="minorEastAsia"/>
                <w:color w:val="auto"/>
                <w:sz w:val="24"/>
                <w:szCs w:val="24"/>
                <w:highlight w:val="none"/>
                <w:lang w:val="en-US" w:eastAsia="zh-CN" w:bidi="ar-SA"/>
              </w:rPr>
              <w:t>年1</w:t>
            </w:r>
            <w:r>
              <w:rPr>
                <w:rFonts w:hint="eastAsia" w:ascii="Times New Roman" w:hAnsi="Times New Roman" w:cs="Times New Roman" w:eastAsiaTheme="minorEastAsia"/>
                <w:color w:val="auto"/>
                <w:sz w:val="24"/>
                <w:szCs w:val="24"/>
                <w:highlight w:val="none"/>
                <w:lang w:val="en-US" w:eastAsia="zh-CN" w:bidi="ar-SA"/>
              </w:rPr>
              <w:t>0</w:t>
            </w:r>
            <w:r>
              <w:rPr>
                <w:rFonts w:hint="default" w:ascii="Times New Roman" w:hAnsi="Times New Roman" w:cs="Times New Roman" w:eastAsiaTheme="minorEastAsia"/>
                <w:color w:val="auto"/>
                <w:sz w:val="24"/>
                <w:szCs w:val="24"/>
                <w:highlight w:val="none"/>
                <w:lang w:val="en-US" w:eastAsia="zh-CN" w:bidi="ar-SA"/>
              </w:rPr>
              <w:t>月9日～1</w:t>
            </w:r>
            <w:r>
              <w:rPr>
                <w:rFonts w:hint="eastAsia" w:ascii="Times New Roman" w:hAnsi="Times New Roman" w:cs="Times New Roman" w:eastAsiaTheme="minorEastAsia"/>
                <w:color w:val="auto"/>
                <w:sz w:val="24"/>
                <w:szCs w:val="24"/>
                <w:highlight w:val="none"/>
                <w:lang w:val="en-US" w:eastAsia="zh-CN" w:bidi="ar-SA"/>
              </w:rPr>
              <w:t>0</w:t>
            </w:r>
            <w:r>
              <w:rPr>
                <w:rFonts w:hint="default" w:ascii="Times New Roman" w:hAnsi="Times New Roman" w:cs="Times New Roman" w:eastAsiaTheme="minorEastAsia"/>
                <w:color w:val="auto"/>
                <w:sz w:val="24"/>
                <w:szCs w:val="24"/>
                <w:highlight w:val="none"/>
                <w:lang w:val="en-US" w:eastAsia="zh-CN" w:bidi="ar-SA"/>
              </w:rPr>
              <w:t>月10日</w:t>
            </w:r>
            <w:r>
              <w:rPr>
                <w:rFonts w:hint="default" w:ascii="Times New Roman" w:hAnsi="Times New Roman" w:cs="Times New Roman" w:eastAsiaTheme="minorEastAsia"/>
                <w:color w:val="auto"/>
                <w:sz w:val="24"/>
                <w:szCs w:val="24"/>
                <w:lang w:val="en-US" w:eastAsia="zh-CN" w:bidi="ar-SA"/>
              </w:rPr>
              <w:t>验收监测期间，项目厂界</w:t>
            </w:r>
            <w:r>
              <w:rPr>
                <w:rFonts w:hint="eastAsia" w:ascii="Times New Roman" w:hAnsi="Times New Roman" w:cs="Times New Roman" w:eastAsiaTheme="minorEastAsia"/>
                <w:color w:val="auto"/>
                <w:sz w:val="24"/>
                <w:szCs w:val="24"/>
                <w:lang w:val="en-US" w:eastAsia="zh-CN" w:bidi="ar-SA"/>
              </w:rPr>
              <w:t>2</w:t>
            </w:r>
            <w:r>
              <w:rPr>
                <w:rFonts w:hint="default" w:ascii="Times New Roman" w:hAnsi="Times New Roman" w:cs="Times New Roman" w:eastAsiaTheme="minorEastAsia"/>
                <w:color w:val="auto"/>
                <w:sz w:val="24"/>
                <w:szCs w:val="24"/>
                <w:lang w:val="en-US" w:eastAsia="zh-CN" w:bidi="ar-SA"/>
              </w:rPr>
              <w:t>#、</w:t>
            </w:r>
            <w:r>
              <w:rPr>
                <w:rFonts w:hint="eastAsia" w:ascii="Times New Roman" w:hAnsi="Times New Roman" w:cs="Times New Roman" w:eastAsiaTheme="minorEastAsia"/>
                <w:color w:val="auto"/>
                <w:sz w:val="24"/>
                <w:szCs w:val="24"/>
                <w:lang w:val="en-US" w:eastAsia="zh-CN" w:bidi="ar-SA"/>
              </w:rPr>
              <w:t>3</w:t>
            </w:r>
            <w:r>
              <w:rPr>
                <w:rFonts w:hint="default" w:ascii="Times New Roman" w:hAnsi="Times New Roman" w:cs="Times New Roman" w:eastAsiaTheme="minorEastAsia"/>
                <w:color w:val="auto"/>
                <w:sz w:val="24"/>
                <w:szCs w:val="24"/>
                <w:lang w:val="en-US" w:eastAsia="zh-CN" w:bidi="ar-SA"/>
              </w:rPr>
              <w:t>#、</w:t>
            </w:r>
            <w:r>
              <w:rPr>
                <w:rFonts w:hint="eastAsia" w:ascii="Times New Roman" w:hAnsi="Times New Roman" w:cs="Times New Roman" w:eastAsiaTheme="minorEastAsia"/>
                <w:color w:val="auto"/>
                <w:sz w:val="24"/>
                <w:szCs w:val="24"/>
                <w:lang w:val="en-US" w:eastAsia="zh-CN" w:bidi="ar-SA"/>
              </w:rPr>
              <w:t>4</w:t>
            </w:r>
            <w:r>
              <w:rPr>
                <w:rFonts w:hint="default" w:ascii="Times New Roman" w:hAnsi="Times New Roman" w:cs="Times New Roman" w:eastAsiaTheme="minorEastAsia"/>
                <w:color w:val="auto"/>
                <w:sz w:val="24"/>
                <w:szCs w:val="24"/>
                <w:lang w:val="en-US" w:eastAsia="zh-CN" w:bidi="ar-SA"/>
              </w:rPr>
              <w:t>#监测点昼夜间噪声测定值均符合《工业企业厂界环境噪声排放标准》（GB 12348-2008）中的2类标准，</w:t>
            </w:r>
            <w:r>
              <w:rPr>
                <w:rFonts w:hint="eastAsia" w:ascii="Times New Roman" w:hAnsi="Times New Roman" w:cs="Times New Roman" w:eastAsiaTheme="minorEastAsia"/>
                <w:color w:val="auto"/>
                <w:sz w:val="24"/>
                <w:szCs w:val="24"/>
                <w:lang w:val="en-US" w:eastAsia="zh-CN" w:bidi="ar-SA"/>
              </w:rPr>
              <w:t>1</w:t>
            </w:r>
            <w:r>
              <w:rPr>
                <w:rFonts w:hint="default" w:ascii="Times New Roman" w:hAnsi="Times New Roman" w:cs="Times New Roman" w:eastAsiaTheme="minorEastAsia"/>
                <w:color w:val="auto"/>
                <w:sz w:val="24"/>
                <w:szCs w:val="24"/>
                <w:lang w:val="en-US" w:eastAsia="zh-CN" w:bidi="ar-SA"/>
              </w:rPr>
              <w:t>#监测点昼夜间噪声测定值均符合4</w:t>
            </w:r>
            <w:r>
              <w:rPr>
                <w:rFonts w:hint="eastAsia" w:ascii="Times New Roman" w:hAnsi="Times New Roman" w:cs="Times New Roman" w:eastAsiaTheme="minorEastAsia"/>
                <w:color w:val="auto"/>
                <w:sz w:val="24"/>
                <w:szCs w:val="24"/>
                <w:lang w:val="en-US" w:eastAsia="zh-CN" w:bidi="ar-SA"/>
              </w:rPr>
              <w:t>a</w:t>
            </w:r>
            <w:r>
              <w:rPr>
                <w:rFonts w:hint="default" w:ascii="Times New Roman" w:hAnsi="Times New Roman" w:cs="Times New Roman" w:eastAsiaTheme="minorEastAsia"/>
                <w:color w:val="auto"/>
                <w:sz w:val="24"/>
                <w:szCs w:val="24"/>
                <w:lang w:val="en-US" w:eastAsia="zh-CN" w:bidi="ar-SA"/>
              </w:rPr>
              <w:t>类标准，监测结果见表1</w:t>
            </w:r>
            <w:r>
              <w:rPr>
                <w:rFonts w:hint="eastAsia" w:ascii="Times New Roman" w:hAnsi="Times New Roman" w:cs="Times New Roman" w:eastAsiaTheme="minorEastAsia"/>
                <w:color w:val="auto"/>
                <w:sz w:val="24"/>
                <w:szCs w:val="24"/>
                <w:lang w:val="en-US" w:eastAsia="zh-CN" w:bidi="ar-SA"/>
              </w:rPr>
              <w:t>7</w:t>
            </w:r>
            <w:r>
              <w:rPr>
                <w:rFonts w:hint="default" w:ascii="Times New Roman" w:hAnsi="Times New Roman" w:cs="Times New Roman" w:eastAsiaTheme="minorEastAsia"/>
                <w:color w:val="auto"/>
                <w:sz w:val="24"/>
                <w:szCs w:val="24"/>
                <w:lang w:val="en-US" w:eastAsia="zh-CN" w:bidi="ar-SA"/>
              </w:rPr>
              <w:t>。</w:t>
            </w:r>
            <w:bookmarkStart w:id="78" w:name="_Toc32286"/>
            <w:bookmarkStart w:id="79" w:name="_Toc4215"/>
            <w:bookmarkStart w:id="80" w:name="_Toc15771"/>
          </w:p>
          <w:p>
            <w:pPr>
              <w:pStyle w:val="9"/>
              <w:keepLines w:val="0"/>
              <w:pageBreakBefore w:val="0"/>
              <w:kinsoku/>
              <w:overflowPunct/>
              <w:topLinePunct w:val="0"/>
              <w:bidi w:val="0"/>
              <w:outlineLvl w:val="9"/>
              <w:rPr>
                <w:rFonts w:hint="default" w:ascii="Times New Roman" w:hAnsi="Times New Roman" w:cs="Times New Roman" w:eastAsiaTheme="minorEastAsia"/>
                <w:color w:val="auto"/>
                <w:lang w:val="en-US" w:eastAsia="zh-CN"/>
              </w:rPr>
            </w:pPr>
            <w:bookmarkStart w:id="81" w:name="_Toc17494_WPSOffice_Level2"/>
            <w:bookmarkStart w:id="82" w:name="_Toc21824_WPSOffice_Level2"/>
            <w:r>
              <w:rPr>
                <w:rFonts w:hint="default" w:ascii="Times New Roman" w:hAnsi="Times New Roman" w:cs="Times New Roman" w:eastAsiaTheme="minorEastAsia"/>
                <w:color w:val="auto"/>
              </w:rPr>
              <w:t>表</w:t>
            </w: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厂界噪声监测结</w:t>
            </w:r>
            <w:r>
              <w:rPr>
                <w:rFonts w:hint="default" w:ascii="Times New Roman" w:hAnsi="Times New Roman" w:cs="Times New Roman" w:eastAsiaTheme="minorEastAsia"/>
                <w:color w:val="auto"/>
                <w:lang w:eastAsia="zh-CN"/>
              </w:rPr>
              <w:t>果</w:t>
            </w:r>
            <w:bookmarkEnd w:id="78"/>
            <w:bookmarkEnd w:id="79"/>
            <w:bookmarkEnd w:id="80"/>
            <w:bookmarkEnd w:id="81"/>
            <w:bookmarkEnd w:id="82"/>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559"/>
              <w:gridCol w:w="1561"/>
              <w:gridCol w:w="15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056" w:type="dxa"/>
                  <w:vMerge w:val="restart"/>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bookmarkStart w:id="83" w:name="_Toc4570"/>
                  <w:bookmarkStart w:id="84" w:name="_Toc27581_WPSOffice_Level2"/>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监测点位</w:t>
                  </w:r>
                </w:p>
              </w:tc>
              <w:tc>
                <w:tcPr>
                  <w:tcW w:w="6240" w:type="dxa"/>
                  <w:gridSpan w:val="4"/>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056"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3120" w:type="dxa"/>
                  <w:gridSpan w:val="2"/>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w:t>
                  </w: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10.9</w:t>
                  </w:r>
                </w:p>
              </w:tc>
              <w:tc>
                <w:tcPr>
                  <w:tcW w:w="3120" w:type="dxa"/>
                  <w:gridSpan w:val="2"/>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2019.</w:t>
                  </w: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056" w:type="dxa"/>
                  <w:vMerge w:val="continue"/>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昼间dB（A）</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夜间dB（A）</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昼间dB（A）</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56"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1#厂界东</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65</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63</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66</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56"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2#厂界南</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59</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58</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60</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56"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3#厂界西</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63</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62</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64</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56"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4#厂界北</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65</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6</w:t>
                  </w: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3</w:t>
                  </w:r>
                </w:p>
              </w:tc>
              <w:tc>
                <w:tcPr>
                  <w:tcW w:w="1561"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64</w:t>
                  </w:r>
                </w:p>
              </w:tc>
              <w:tc>
                <w:tcPr>
                  <w:tcW w:w="1559" w:type="dxa"/>
                  <w:tcBorders>
                    <w:tl2br w:val="nil"/>
                    <w:tr2bl w:val="nil"/>
                  </w:tcBorders>
                  <w:vAlign w:val="center"/>
                </w:tcPr>
                <w:p>
                  <w:pPr>
                    <w:widowControl w:val="0"/>
                    <w:autoSpaceDE w:val="0"/>
                    <w:autoSpaceDN w:val="0"/>
                    <w:adjustRightInd/>
                    <w:snapToGrid/>
                    <w:spacing w:after="0" w:afterLines="-2147483648"/>
                    <w:jc w:val="cente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62</w:t>
                  </w:r>
                </w:p>
              </w:tc>
            </w:tr>
          </w:tbl>
          <w:p>
            <w:pPr>
              <w:pStyle w:val="15"/>
              <w:keepNext w:val="0"/>
              <w:keepLines w:val="0"/>
              <w:pageBreakBefore w:val="0"/>
              <w:widowControl w:val="0"/>
              <w:numPr>
                <w:ilvl w:val="-1"/>
                <w:numId w:val="0"/>
              </w:numPr>
              <w:tabs>
                <w:tab w:val="left" w:pos="954"/>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cs="Times New Roman" w:eastAsiaTheme="minorEastAsia"/>
                <w:b/>
                <w:color w:val="000000"/>
                <w:sz w:val="28"/>
                <w:szCs w:val="28"/>
                <w:lang w:val="en-US" w:bidi="ar-SA"/>
              </w:rPr>
            </w:pPr>
            <w:r>
              <w:rPr>
                <w:rStyle w:val="18"/>
                <w:rFonts w:hint="eastAsia" w:ascii="Times New Roman" w:hAnsi="Times New Roman" w:cs="Times New Roman"/>
                <w:lang w:val="en-US" w:eastAsia="zh-CN"/>
              </w:rPr>
              <w:t>三</w:t>
            </w:r>
            <w:r>
              <w:rPr>
                <w:rStyle w:val="18"/>
                <w:rFonts w:hint="default" w:ascii="Times New Roman" w:hAnsi="Times New Roman" w:cs="Times New Roman"/>
                <w:lang w:val="en-US" w:eastAsia="zh-CN"/>
              </w:rPr>
              <w:t>、</w:t>
            </w:r>
            <w:r>
              <w:rPr>
                <w:rStyle w:val="18"/>
                <w:rFonts w:hint="default" w:ascii="Times New Roman" w:hAnsi="Times New Roman" w:cs="Times New Roman"/>
                <w:lang w:val="en-US"/>
              </w:rPr>
              <w:t>污染物排放总量核算</w:t>
            </w:r>
          </w:p>
          <w:bookmarkEnd w:id="83"/>
          <w:bookmarkEnd w:id="84"/>
          <w:p>
            <w:pPr>
              <w:pStyle w:val="5"/>
              <w:spacing w:after="0" w:line="360" w:lineRule="auto"/>
              <w:ind w:right="0" w:firstLine="480" w:firstLineChars="200"/>
              <w:jc w:val="both"/>
              <w:rPr>
                <w:rFonts w:hint="default" w:ascii="Times New Roman" w:hAnsi="Times New Roman" w:cs="Times New Roman"/>
                <w:vertAlign w:val="baseline"/>
              </w:rPr>
            </w:pPr>
            <w:r>
              <w:rPr>
                <w:rFonts w:hint="default" w:ascii="Times New Roman" w:hAnsi="Times New Roman" w:cs="Times New Roman" w:eastAsiaTheme="minorEastAsia"/>
                <w:sz w:val="24"/>
                <w:szCs w:val="24"/>
              </w:rPr>
              <w:t>本项目营运期废水主要</w:t>
            </w:r>
            <w:r>
              <w:rPr>
                <w:rFonts w:hint="eastAsia" w:ascii="Times New Roman" w:hAnsi="Times New Roman" w:cs="Times New Roman" w:eastAsiaTheme="minorEastAsia"/>
                <w:sz w:val="24"/>
                <w:szCs w:val="24"/>
                <w:lang w:eastAsia="zh-CN"/>
              </w:rPr>
              <w:t>为生活污水</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生活污水进入高陵服务区</w:t>
            </w:r>
            <w:r>
              <w:rPr>
                <w:rFonts w:hint="default" w:ascii="Times New Roman" w:hAnsi="Times New Roman" w:cs="Times New Roman" w:eastAsiaTheme="minorEastAsia"/>
                <w:sz w:val="24"/>
                <w:szCs w:val="24"/>
              </w:rPr>
              <w:t>一体化生活污水处理设备处理后，</w:t>
            </w:r>
            <w:r>
              <w:rPr>
                <w:rFonts w:hint="default" w:ascii="Times New Roman" w:hAnsi="Times New Roman" w:cs="Times New Roman" w:eastAsiaTheme="minorEastAsia"/>
                <w:sz w:val="24"/>
                <w:szCs w:val="24"/>
                <w:lang w:eastAsia="zh-CN"/>
              </w:rPr>
              <w:t>回</w:t>
            </w:r>
            <w:r>
              <w:rPr>
                <w:rFonts w:hint="default" w:ascii="Times New Roman" w:hAnsi="Times New Roman" w:cs="Times New Roman" w:eastAsiaTheme="minorEastAsia"/>
                <w:sz w:val="24"/>
                <w:szCs w:val="24"/>
              </w:rPr>
              <w:t>用于</w:t>
            </w:r>
            <w:r>
              <w:rPr>
                <w:rFonts w:hint="default" w:ascii="Times New Roman" w:hAnsi="Times New Roman" w:cs="Times New Roman" w:eastAsiaTheme="minorEastAsia"/>
                <w:sz w:val="24"/>
                <w:szCs w:val="24"/>
                <w:lang w:eastAsia="zh-CN"/>
              </w:rPr>
              <w:t>冲厕用水及场地绿化用水</w:t>
            </w:r>
            <w:r>
              <w:rPr>
                <w:rFonts w:hint="default" w:ascii="Times New Roman" w:hAnsi="Times New Roman" w:cs="Times New Roman" w:eastAsiaTheme="minorEastAsia"/>
                <w:sz w:val="24"/>
                <w:szCs w:val="24"/>
              </w:rPr>
              <w:t>。项目废水经处理后综合利用，产生的其它污染物不涉及总量控制指标，因此本项目污染物总量控制指标为零。</w:t>
            </w:r>
          </w:p>
        </w:tc>
      </w:tr>
    </w:tbl>
    <w:p>
      <w:pPr>
        <w:rPr>
          <w:rFonts w:hint="default"/>
        </w:rPr>
      </w:pPr>
      <w:r>
        <w:rPr>
          <w:rFonts w:hint="default"/>
        </w:rPr>
        <w:br w:type="page"/>
      </w:r>
    </w:p>
    <w:p>
      <w:pPr>
        <w:pStyle w:val="3"/>
        <w:rPr>
          <w:rFonts w:hint="default" w:ascii="Times New Roman" w:hAnsi="Times New Roman" w:eastAsia="黑体" w:cs="Times New Roman"/>
        </w:rPr>
      </w:pPr>
      <w:r>
        <w:rPr>
          <w:rFonts w:hint="default" w:ascii="Times New Roman" w:hAnsi="Times New Roman" w:eastAsia="黑体" w:cs="Times New Roman"/>
        </w:rPr>
        <w:t xml:space="preserve">表 </w:t>
      </w:r>
      <w:r>
        <w:rPr>
          <w:rFonts w:hint="eastAsia" w:ascii="Times New Roman" w:hAnsi="Times New Roman" w:eastAsia="黑体" w:cs="Times New Roman"/>
          <w:lang w:val="en-US" w:eastAsia="zh-CN"/>
        </w:rPr>
        <w:t>8</w:t>
      </w:r>
      <w:r>
        <w:rPr>
          <w:rFonts w:hint="default" w:ascii="Times New Roman" w:hAnsi="Times New Roman" w:eastAsia="黑体" w:cs="Times New Roman"/>
        </w:rPr>
        <w:t xml:space="preserve"> 验收监测结论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bidi w:val="0"/>
              <w:spacing w:line="360" w:lineRule="auto"/>
              <w:ind w:left="0"/>
              <w:rPr>
                <w:rFonts w:hint="default" w:ascii="Times New Roman" w:hAnsi="Times New Roman" w:cs="Times New Roman"/>
                <w:lang w:val="en-US" w:eastAsia="zh-CN"/>
              </w:rPr>
            </w:pPr>
            <w:r>
              <w:rPr>
                <w:rFonts w:hint="default" w:ascii="Times New Roman" w:hAnsi="Times New Roman" w:cs="Times New Roman"/>
                <w:lang w:val="en-US" w:eastAsia="zh-CN"/>
              </w:rPr>
              <w:t>一、环境保护设施调试运行结果</w:t>
            </w:r>
          </w:p>
          <w:p>
            <w:pPr>
              <w:pStyle w:val="5"/>
              <w:spacing w:before="0" w:after="0" w:line="360" w:lineRule="auto"/>
              <w:ind w:right="0" w:firstLine="480" w:firstLineChars="200"/>
              <w:rPr>
                <w:rFonts w:hint="default" w:ascii="Times New Roman" w:hAnsi="Times New Roman" w:eastAsia="宋体" w:cs="Times New Roman"/>
              </w:rPr>
            </w:pPr>
            <w:bookmarkStart w:id="85" w:name="_Toc280"/>
            <w:r>
              <w:rPr>
                <w:rFonts w:hint="default" w:ascii="Times New Roman" w:hAnsi="Times New Roman" w:eastAsia="宋体" w:cs="Times New Roman"/>
              </w:rPr>
              <w:t>根据</w:t>
            </w:r>
            <w:r>
              <w:rPr>
                <w:rFonts w:hint="default" w:ascii="Times New Roman" w:hAnsi="Times New Roman" w:eastAsia="宋体" w:cs="Times New Roman"/>
                <w:lang w:val="en-US" w:eastAsia="zh-CN"/>
              </w:rPr>
              <w:t>陕西同元环境</w:t>
            </w:r>
            <w:r>
              <w:rPr>
                <w:rFonts w:hint="default" w:ascii="Times New Roman" w:hAnsi="Times New Roman" w:eastAsia="宋体" w:cs="Times New Roman"/>
              </w:rPr>
              <w:t>检测技术有限公司于2019年</w:t>
            </w: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0</w:t>
            </w:r>
            <w:r>
              <w:rPr>
                <w:rFonts w:hint="default" w:ascii="Times New Roman" w:hAnsi="Times New Roman" w:eastAsia="宋体" w:cs="Times New Roman"/>
              </w:rPr>
              <w:t>月</w:t>
            </w:r>
            <w:r>
              <w:rPr>
                <w:rFonts w:hint="default" w:ascii="Times New Roman" w:hAnsi="Times New Roman" w:eastAsia="宋体" w:cs="Times New Roman"/>
                <w:lang w:eastAsia="zh-CN"/>
              </w:rPr>
              <w:t>9</w:t>
            </w:r>
            <w:r>
              <w:rPr>
                <w:rFonts w:hint="default" w:ascii="Times New Roman" w:hAnsi="Times New Roman" w:eastAsia="宋体" w:cs="Times New Roman"/>
              </w:rPr>
              <w:t>日至</w:t>
            </w: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0</w:t>
            </w:r>
            <w:r>
              <w:rPr>
                <w:rFonts w:hint="default" w:ascii="Times New Roman" w:hAnsi="Times New Roman" w:eastAsia="宋体" w:cs="Times New Roman"/>
              </w:rPr>
              <w:t>月</w:t>
            </w: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0</w:t>
            </w:r>
            <w:r>
              <w:rPr>
                <w:rFonts w:hint="default" w:ascii="Times New Roman" w:hAnsi="Times New Roman" w:eastAsia="宋体" w:cs="Times New Roman"/>
              </w:rPr>
              <w:t>日对项目废水、废气、噪声现场监测结果分析项目环保设施调试效果。</w:t>
            </w:r>
          </w:p>
          <w:p>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1、废水治理措施</w:t>
            </w:r>
          </w:p>
          <w:p>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w:t>
            </w:r>
            <w:r>
              <w:rPr>
                <w:rFonts w:hint="eastAsia" w:ascii="Times New Roman" w:hAnsi="Times New Roman" w:cs="Times New Roman"/>
                <w:lang w:val="en-US" w:eastAsia="zh-CN"/>
              </w:rPr>
              <w:t>场地废水主要为生活污水，生活污水进入</w:t>
            </w:r>
            <w:r>
              <w:rPr>
                <w:rFonts w:hint="default" w:ascii="Times New Roman" w:hAnsi="Times New Roman" w:eastAsia="宋体" w:cs="Times New Roman"/>
                <w:lang w:val="en-US" w:eastAsia="zh-CN"/>
              </w:rPr>
              <w:t>埋地式</w:t>
            </w:r>
            <w:r>
              <w:rPr>
                <w:rFonts w:hint="default" w:ascii="Times New Roman" w:hAnsi="Times New Roman" w:eastAsia="宋体" w:cs="Times New Roman"/>
              </w:rPr>
              <w:t>一体化生活污水处理设备处理后</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回用于冲厕用水及服务区绿化用水，废水水质符合《城市污水再生利用城市杂用水水质标准》（GB T 18920-2002）中冲厕及绿化水质标准及《污水综合排放标准》（GB8978-1996）中的一级标准。</w:t>
            </w:r>
            <w:bookmarkEnd w:id="85"/>
          </w:p>
          <w:p>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2、废气治理措施</w:t>
            </w:r>
          </w:p>
          <w:p>
            <w:pPr>
              <w:pStyle w:val="1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项目地油气经三级回收装置处理，项目各监测点无组织废气监控点非甲烷总烃浓度均符合《大气污染物综合排放标准详解》中规定，取值2.0mg/m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，油气回收装置排放口监控点非甲烷总烃浓度符合《加油站大气污染物排放标准》（GB20952-2007）限值标限值。</w:t>
            </w:r>
          </w:p>
          <w:p>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3、噪声治理措施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ascii="Times New Roman" w:hAnsi="Times New Roman" w:cs="Times New Roman" w:eastAsiaTheme="minorEastAsia"/>
                <w:bCs/>
                <w:iCs/>
                <w:color w:val="auto"/>
                <w:sz w:val="24"/>
                <w:szCs w:val="32"/>
              </w:rPr>
              <w:t>根据验收监测结果，项目验收监测期间，各高噪声设备经减振、隔声和距离衰减</w:t>
            </w:r>
            <w:r>
              <w:rPr>
                <w:rFonts w:ascii="Times New Roman" w:hAnsi="Times New Roman" w:cs="Times New Roman" w:eastAsiaTheme="minorEastAsia"/>
                <w:bCs/>
                <w:iCs/>
                <w:color w:val="auto"/>
                <w:spacing w:val="0"/>
                <w:sz w:val="24"/>
                <w:szCs w:val="32"/>
              </w:rPr>
              <w:t>等措施后</w:t>
            </w:r>
            <w:r>
              <w:rPr>
                <w:rFonts w:hint="default" w:ascii="Times New Roman" w:hAnsi="Times New Roman" w:cs="Times New Roman" w:eastAsiaTheme="minorEastAsia"/>
                <w:bCs/>
                <w:iCs/>
                <w:color w:val="auto"/>
                <w:sz w:val="24"/>
                <w:szCs w:val="32"/>
                <w:lang w:val="en-US" w:eastAsia="zh-CN" w:bidi="ar-SA"/>
              </w:rPr>
              <w:t>，项目厂界2#、</w:t>
            </w:r>
            <w:r>
              <w:rPr>
                <w:rFonts w:hint="eastAsia" w:ascii="Times New Roman" w:hAnsi="Times New Roman" w:cs="Times New Roman" w:eastAsiaTheme="minorEastAsia"/>
                <w:bCs/>
                <w:iCs/>
                <w:color w:val="auto"/>
                <w:sz w:val="24"/>
                <w:szCs w:val="32"/>
                <w:lang w:val="en-US" w:eastAsia="zh-CN" w:bidi="ar-SA"/>
              </w:rPr>
              <w:t>3</w:t>
            </w:r>
            <w:r>
              <w:rPr>
                <w:rFonts w:hint="default" w:ascii="Times New Roman" w:hAnsi="Times New Roman" w:cs="Times New Roman" w:eastAsiaTheme="minorEastAsia"/>
                <w:bCs/>
                <w:iCs/>
                <w:color w:val="auto"/>
                <w:sz w:val="24"/>
                <w:szCs w:val="32"/>
                <w:lang w:val="en-US" w:eastAsia="zh-CN" w:bidi="ar-SA"/>
              </w:rPr>
              <w:t>#、</w:t>
            </w:r>
            <w:r>
              <w:rPr>
                <w:rFonts w:hint="eastAsia" w:ascii="Times New Roman" w:hAnsi="Times New Roman" w:cs="Times New Roman" w:eastAsiaTheme="minorEastAsia"/>
                <w:bCs/>
                <w:iCs/>
                <w:color w:val="auto"/>
                <w:sz w:val="24"/>
                <w:szCs w:val="32"/>
                <w:lang w:val="en-US" w:eastAsia="zh-CN" w:bidi="ar-SA"/>
              </w:rPr>
              <w:t>4</w:t>
            </w:r>
            <w:r>
              <w:rPr>
                <w:rFonts w:hint="default" w:ascii="Times New Roman" w:hAnsi="Times New Roman" w:cs="Times New Roman" w:eastAsiaTheme="minorEastAsia"/>
                <w:bCs/>
                <w:iCs/>
                <w:color w:val="auto"/>
                <w:sz w:val="24"/>
                <w:szCs w:val="32"/>
                <w:lang w:val="en-US" w:eastAsia="zh-CN" w:bidi="ar-SA"/>
              </w:rPr>
              <w:t>#监测点昼夜间噪声测定值均符合《工业企业厂界环境噪声排放标准》（G12348-2008）中的2类标准，1#监测点昼夜间噪声测定值均符合4</w:t>
            </w:r>
            <w:r>
              <w:rPr>
                <w:rFonts w:hint="eastAsia" w:ascii="Times New Roman" w:hAnsi="Times New Roman" w:cs="Times New Roman" w:eastAsiaTheme="minorEastAsia"/>
                <w:bCs/>
                <w:iCs/>
                <w:color w:val="auto"/>
                <w:sz w:val="24"/>
                <w:szCs w:val="32"/>
                <w:lang w:val="en-US" w:eastAsia="zh-CN" w:bidi="ar-SA"/>
              </w:rPr>
              <w:t>a</w:t>
            </w:r>
            <w:r>
              <w:rPr>
                <w:rFonts w:hint="default" w:ascii="Times New Roman" w:hAnsi="Times New Roman" w:cs="Times New Roman" w:eastAsiaTheme="minorEastAsia"/>
                <w:bCs/>
                <w:iCs/>
                <w:color w:val="auto"/>
                <w:sz w:val="24"/>
                <w:szCs w:val="32"/>
                <w:lang w:val="en-US" w:eastAsia="zh-CN" w:bidi="ar-SA"/>
              </w:rPr>
              <w:t>类标准</w:t>
            </w:r>
            <w:r>
              <w:rPr>
                <w:rFonts w:hint="default" w:ascii="Times New Roman" w:hAnsi="Times New Roman" w:eastAsia="宋体" w:cs="Times New Roman"/>
                <w:sz w:val="24"/>
                <w:szCs w:val="24"/>
                <w:lang w:val="en-US" w:eastAsia="zh-CN"/>
              </w:rPr>
              <w:t>。</w:t>
            </w:r>
          </w:p>
          <w:p>
            <w:pPr>
              <w:pStyle w:val="2"/>
              <w:bidi w:val="0"/>
              <w:spacing w:before="0"/>
              <w:ind w:left="0"/>
              <w:rPr>
                <w:rFonts w:hint="default" w:ascii="Times New Roman" w:hAnsi="Times New Roman" w:cs="Times New Roman"/>
                <w:lang w:val="en-US" w:eastAsia="zh-CN"/>
              </w:rPr>
            </w:pPr>
            <w:bookmarkStart w:id="86" w:name="_Toc17348"/>
            <w:r>
              <w:rPr>
                <w:rFonts w:hint="default" w:ascii="Times New Roman" w:hAnsi="Times New Roman" w:cs="Times New Roman"/>
                <w:lang w:val="en-US" w:eastAsia="zh-CN"/>
              </w:rPr>
              <w:t>二、工程建设对环境的影响</w:t>
            </w:r>
            <w:bookmarkEnd w:id="86"/>
          </w:p>
          <w:p>
            <w:pPr>
              <w:pStyle w:val="19"/>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项目运营期废水主要为生活污水，生活污水进入</w:t>
            </w:r>
            <w:r>
              <w:rPr>
                <w:rFonts w:hint="eastAsia" w:ascii="Times New Roman" w:hAnsi="Times New Roman" w:cs="Times New Roman"/>
                <w:lang w:val="en-US" w:eastAsia="zh-CN"/>
              </w:rPr>
              <w:t>埋地式一体化</w:t>
            </w:r>
            <w:r>
              <w:rPr>
                <w:rFonts w:hint="default" w:ascii="Times New Roman" w:hAnsi="Times New Roman" w:cs="Times New Roman"/>
                <w:lang w:val="en-US" w:eastAsia="zh-CN"/>
              </w:rPr>
              <w:t>污水处理系统进行深度处理，然后回用于冲厕及绿化继续使用，不外排。项目废水排放口各排放浓度均符合《城市污水再生利用城市杂用水水质标准》（GB T 18920-2002）中冲厕及绿化水质标准及《污水综合排放标准》（GB8978-1996）中的一级标准。本项目不设置食堂，员工食宿均依托高陵服务区，故项目运营期产生的大气污染物主要为在油气灌装（卸油）、储存（静储）、加油等过程中挥发产生的油气（非甲烷总烃）。油气经油气回收装置处理后在厂区内呈无组织扩散，项目厂界无组织废气监控点非甲烷总烃浓度均符合《大气污染物综合排放标准详解》中规定，取值2.0m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的要求；油气回收装置排放口监控点非甲烷总烃浓度符合《加油站大气污染物排放标准》（GB20952-2007）限值标限值。项目厂界昼夜间噪声均符合《工业企业厂界环境噪声排放标准》（GB12348-2008）中的2类和4a类标准。</w:t>
            </w:r>
          </w:p>
          <w:p>
            <w:pPr>
              <w:pStyle w:val="2"/>
              <w:spacing w:before="0" w:line="360" w:lineRule="auto"/>
              <w:ind w:left="0" w:firstLine="480" w:firstLineChars="200"/>
              <w:rPr>
                <w:rFonts w:hint="default" w:ascii="Times New Roman" w:hAnsi="Times New Roman" w:cs="Times New Roman"/>
                <w:b w:val="0"/>
                <w:bCs w:val="0"/>
              </w:rPr>
            </w:pPr>
            <w:r>
              <w:rPr>
                <w:rFonts w:hint="default" w:ascii="Times New Roman" w:hAnsi="Times New Roman" w:cs="Times New Roman"/>
                <w:b w:val="0"/>
                <w:bCs w:val="0"/>
              </w:rPr>
              <w:t>项目周边无对本项目排放污染物敏感的行业，环境质量基本可以维持现状。</w:t>
            </w:r>
          </w:p>
          <w:p>
            <w:pPr>
              <w:rPr>
                <w:rFonts w:hint="default" w:ascii="Times New Roman" w:hAnsi="Times New Roman" w:cs="Times New Roman"/>
              </w:rPr>
            </w:pPr>
          </w:p>
        </w:tc>
      </w:tr>
    </w:tbl>
    <w:p>
      <w:pPr>
        <w:rPr>
          <w:rFonts w:hint="default"/>
        </w:rPr>
      </w:pPr>
    </w:p>
    <w:p>
      <w:pPr>
        <w:rPr>
          <w:rFonts w:hint="default"/>
        </w:rPr>
      </w:pPr>
    </w:p>
    <w:p>
      <w:pPr>
        <w:rPr>
          <w:rFonts w:hint="default"/>
        </w:rPr>
        <w:sectPr>
          <w:pgSz w:w="11906" w:h="16838"/>
          <w:pgMar w:top="1100" w:right="1800" w:bottom="1100" w:left="1800" w:header="851" w:footer="964" w:gutter="0"/>
          <w:pgNumType w:fmt="decimal"/>
          <w:cols w:space="425" w:num="1"/>
          <w:docGrid w:type="lines" w:linePitch="312" w:charSpace="0"/>
        </w:sectPr>
      </w:pPr>
    </w:p>
    <w:p>
      <w:pPr>
        <w:spacing w:after="0" w:line="300" w:lineRule="exact"/>
        <w:jc w:val="center"/>
        <w:rPr>
          <w:rFonts w:eastAsia="黑体"/>
          <w:b/>
          <w:color w:val="000000"/>
          <w:sz w:val="21"/>
          <w:szCs w:val="21"/>
        </w:rPr>
      </w:pPr>
      <w:r>
        <w:rPr>
          <w:rFonts w:eastAsia="黑体"/>
          <w:b/>
          <w:color w:val="000000"/>
          <w:sz w:val="24"/>
          <w:szCs w:val="24"/>
        </w:rPr>
        <w:t>建设项目竣工环境保护</w:t>
      </w:r>
      <w:r>
        <w:rPr>
          <w:rFonts w:hint="eastAsia" w:eastAsia="黑体"/>
          <w:b/>
          <w:color w:val="000000"/>
          <w:sz w:val="24"/>
          <w:szCs w:val="24"/>
        </w:rPr>
        <w:t>“</w:t>
      </w:r>
      <w:r>
        <w:rPr>
          <w:rFonts w:eastAsia="黑体"/>
          <w:b/>
          <w:color w:val="000000"/>
          <w:sz w:val="24"/>
          <w:szCs w:val="24"/>
        </w:rPr>
        <w:t>三同时</w:t>
      </w:r>
      <w:r>
        <w:rPr>
          <w:rFonts w:hint="eastAsia" w:eastAsia="黑体"/>
          <w:b/>
          <w:color w:val="000000"/>
          <w:sz w:val="24"/>
          <w:szCs w:val="24"/>
        </w:rPr>
        <w:t>”</w:t>
      </w:r>
      <w:r>
        <w:rPr>
          <w:rFonts w:eastAsia="黑体"/>
          <w:b/>
          <w:color w:val="000000"/>
          <w:sz w:val="24"/>
          <w:szCs w:val="24"/>
        </w:rPr>
        <w:t>验收登记表</w:t>
      </w:r>
    </w:p>
    <w:p>
      <w:pPr>
        <w:spacing w:after="0" w:line="300" w:lineRule="exact"/>
        <w:jc w:val="center"/>
        <w:rPr>
          <w:rFonts w:eastAsia="黑体"/>
          <w:b/>
          <w:color w:val="000000"/>
          <w:sz w:val="16"/>
          <w:szCs w:val="16"/>
        </w:rPr>
      </w:pPr>
    </w:p>
    <w:p>
      <w:pPr>
        <w:spacing w:after="0"/>
        <w:rPr>
          <w:rFonts w:ascii="宋体" w:hAnsi="宋体" w:eastAsia="宋体"/>
          <w:b/>
          <w:color w:val="000000"/>
          <w:sz w:val="20"/>
          <w:szCs w:val="20"/>
        </w:rPr>
      </w:pPr>
      <w:r>
        <w:rPr>
          <w:rFonts w:ascii="宋体" w:hAnsi="宋体" w:eastAsia="宋体"/>
          <w:b/>
          <w:color w:val="000000"/>
          <w:sz w:val="20"/>
          <w:szCs w:val="20"/>
        </w:rPr>
        <w:t>填表单位（盖章）</w:t>
      </w:r>
      <w:r>
        <w:rPr>
          <w:rFonts w:ascii="宋体" w:hAnsi="宋体" w:eastAsia="宋体"/>
          <w:b/>
          <w:color w:val="000000"/>
          <w:kern w:val="2"/>
          <w:sz w:val="20"/>
          <w:szCs w:val="20"/>
        </w:rPr>
        <w:t>：</w:t>
      </w:r>
      <w:r>
        <w:rPr>
          <w:rFonts w:ascii="宋体" w:hAnsi="宋体" w:eastAsia="宋体"/>
          <w:b/>
          <w:color w:val="000000"/>
          <w:sz w:val="20"/>
          <w:szCs w:val="20"/>
        </w:rPr>
        <w:t xml:space="preserve">                 </w:t>
      </w:r>
      <w:r>
        <w:rPr>
          <w:rFonts w:hint="eastAsia" w:ascii="宋体" w:hAnsi="宋体" w:eastAsia="宋体"/>
          <w:b/>
          <w:color w:val="000000"/>
          <w:sz w:val="20"/>
          <w:szCs w:val="20"/>
          <w:lang w:val="en-US" w:eastAsia="zh-CN"/>
        </w:rPr>
        <w:t xml:space="preserve">              </w:t>
      </w:r>
      <w:r>
        <w:rPr>
          <w:rFonts w:ascii="宋体" w:hAnsi="宋体" w:eastAsia="宋体"/>
          <w:b/>
          <w:color w:val="000000"/>
          <w:sz w:val="20"/>
          <w:szCs w:val="20"/>
        </w:rPr>
        <w:t xml:space="preserve"> 填表人（签字）：                      </w:t>
      </w:r>
      <w:r>
        <w:rPr>
          <w:rFonts w:hint="eastAsia" w:ascii="宋体" w:hAnsi="宋体" w:eastAsia="宋体"/>
          <w:b/>
          <w:color w:val="000000"/>
          <w:sz w:val="20"/>
          <w:szCs w:val="20"/>
          <w:lang w:val="en-US" w:eastAsia="zh-CN"/>
        </w:rPr>
        <w:t xml:space="preserve">    </w:t>
      </w:r>
      <w:r>
        <w:rPr>
          <w:rFonts w:ascii="宋体" w:hAnsi="宋体" w:eastAsia="宋体"/>
          <w:b/>
          <w:color w:val="000000"/>
          <w:sz w:val="20"/>
          <w:szCs w:val="20"/>
        </w:rPr>
        <w:t xml:space="preserve">        项目经办人（签字）：</w:t>
      </w:r>
    </w:p>
    <w:tbl>
      <w:tblPr>
        <w:tblStyle w:val="10"/>
        <w:tblW w:w="15080" w:type="dxa"/>
        <w:jc w:val="center"/>
        <w:tblInd w:w="-2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68"/>
        <w:gridCol w:w="756"/>
        <w:gridCol w:w="1201"/>
        <w:gridCol w:w="1050"/>
        <w:gridCol w:w="929"/>
        <w:gridCol w:w="886"/>
        <w:gridCol w:w="975"/>
        <w:gridCol w:w="1095"/>
        <w:gridCol w:w="1995"/>
        <w:gridCol w:w="1725"/>
        <w:gridCol w:w="870"/>
        <w:gridCol w:w="1050"/>
        <w:gridCol w:w="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exact"/>
          <w:jc w:val="center"/>
        </w:trPr>
        <w:tc>
          <w:tcPr>
            <w:tcW w:w="500" w:type="dxa"/>
            <w:vMerge w:val="restart"/>
            <w:noWrap w:val="0"/>
            <w:tcMar>
              <w:left w:w="57" w:type="dxa"/>
              <w:right w:w="57" w:type="dxa"/>
            </w:tcMar>
            <w:textDirection w:val="tbRlV"/>
            <w:vAlign w:val="center"/>
          </w:tcPr>
          <w:p>
            <w:pPr>
              <w:keepNext w:val="0"/>
              <w:keepLines w:val="0"/>
              <w:pageBreakBefore w:val="0"/>
              <w:widowControl w:val="0"/>
              <w:kinsoku/>
              <w:wordWrap/>
              <w:overflowPunct/>
              <w:topLinePunct w:val="0"/>
              <w:autoSpaceDE w:val="0"/>
              <w:autoSpaceDN w:val="0"/>
              <w:bidi w:val="0"/>
              <w:adjustRightInd/>
              <w:snapToGrid/>
              <w:spacing w:after="0"/>
              <w:ind w:left="113" w:right="113"/>
              <w:jc w:val="center"/>
              <w:rPr>
                <w:rFonts w:hint="eastAsia" w:eastAsia="宋体"/>
                <w:b/>
                <w:color w:val="000000"/>
                <w:kern w:val="2"/>
                <w:sz w:val="15"/>
                <w:szCs w:val="15"/>
                <w:lang w:eastAsia="zh-CN"/>
              </w:rPr>
            </w:pPr>
            <w:r>
              <w:rPr>
                <w:rFonts w:hint="eastAsia"/>
                <w:b/>
                <w:color w:val="000000"/>
                <w:kern w:val="2"/>
                <w:sz w:val="15"/>
                <w:szCs w:val="15"/>
                <w:lang w:eastAsia="zh-CN"/>
              </w:rPr>
              <w:t>建设项目</w:t>
            </w: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项目名称</w:t>
            </w:r>
          </w:p>
        </w:tc>
        <w:tc>
          <w:tcPr>
            <w:tcW w:w="4822" w:type="dxa"/>
            <w:gridSpan w:val="5"/>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r>
              <w:rPr>
                <w:rFonts w:hint="default" w:ascii="Times New Roman" w:hAnsi="Times New Roman" w:cs="Times New Roman" w:eastAsiaTheme="minorEastAsia"/>
                <w:color w:val="000000"/>
                <w:kern w:val="2"/>
                <w:sz w:val="15"/>
                <w:szCs w:val="15"/>
              </w:rPr>
              <w:t>陕西省石油化工工业贸易有限公司高陵服务区</w:t>
            </w:r>
            <w:r>
              <w:rPr>
                <w:rFonts w:hint="eastAsia" w:ascii="Times New Roman" w:hAnsi="Times New Roman" w:cs="Times New Roman" w:eastAsiaTheme="minorEastAsia"/>
                <w:color w:val="000000"/>
                <w:kern w:val="2"/>
                <w:sz w:val="15"/>
                <w:szCs w:val="15"/>
                <w:lang w:eastAsia="zh-CN"/>
              </w:rPr>
              <w:t>南</w:t>
            </w:r>
            <w:r>
              <w:rPr>
                <w:rFonts w:hint="default" w:ascii="Times New Roman" w:hAnsi="Times New Roman" w:cs="Times New Roman" w:eastAsiaTheme="minorEastAsia"/>
                <w:color w:val="000000"/>
                <w:kern w:val="2"/>
                <w:sz w:val="15"/>
                <w:szCs w:val="15"/>
              </w:rPr>
              <w:t>加油站建设项目</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rFonts w:hint="eastAsia"/>
                <w:b/>
                <w:color w:val="000000"/>
                <w:kern w:val="2"/>
                <w:sz w:val="15"/>
                <w:szCs w:val="15"/>
              </w:rPr>
              <w:t>项</w:t>
            </w:r>
            <w:r>
              <w:rPr>
                <w:b/>
                <w:color w:val="000000"/>
                <w:kern w:val="2"/>
                <w:sz w:val="15"/>
                <w:szCs w:val="15"/>
              </w:rPr>
              <w:t>目代码</w:t>
            </w:r>
          </w:p>
        </w:tc>
        <w:tc>
          <w:tcPr>
            <w:tcW w:w="199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textAlignment w:val="auto"/>
              <w:rPr>
                <w:color w:val="000000"/>
                <w:kern w:val="2"/>
                <w:sz w:val="15"/>
                <w:szCs w:val="15"/>
              </w:rPr>
            </w:pPr>
            <w:r>
              <w:rPr>
                <w:rFonts w:hint="default" w:ascii="Times New Roman" w:hAnsi="Times New Roman" w:cs="Times New Roman" w:eastAsiaTheme="minorEastAsia"/>
                <w:color w:val="000000"/>
                <w:kern w:val="2"/>
                <w:sz w:val="15"/>
                <w:szCs w:val="15"/>
                <w:lang w:val="en-US" w:eastAsia="zh-CN" w:bidi="ar-SA"/>
              </w:rPr>
              <w:t>2108-610126-52-03-06891</w:t>
            </w:r>
            <w:r>
              <w:rPr>
                <w:rFonts w:hint="eastAsia" w:ascii="Times New Roman" w:hAnsi="Times New Roman" w:cs="Times New Roman" w:eastAsiaTheme="minorEastAsia"/>
                <w:color w:val="000000"/>
                <w:kern w:val="2"/>
                <w:sz w:val="15"/>
                <w:szCs w:val="15"/>
                <w:lang w:val="en-US" w:eastAsia="zh-CN" w:bidi="ar-SA"/>
              </w:rPr>
              <w:t>8</w:t>
            </w: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建设地点</w:t>
            </w:r>
          </w:p>
        </w:tc>
        <w:tc>
          <w:tcPr>
            <w:tcW w:w="2700" w:type="dxa"/>
            <w:gridSpan w:val="3"/>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rFonts w:hint="eastAsia" w:ascii="Times New Roman" w:hAnsi="Times New Roman" w:cs="Times New Roman" w:eastAsiaTheme="minorEastAsia"/>
                <w:color w:val="000000"/>
                <w:kern w:val="2"/>
                <w:sz w:val="15"/>
                <w:szCs w:val="15"/>
                <w:lang w:val="en-US" w:eastAsia="zh-CN" w:bidi="ar-SA"/>
              </w:rPr>
              <w:t>西安市高陵区西咸北环线高速公路高陵服务区南区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行业类别（分类管理</w:t>
            </w:r>
            <w:r>
              <w:rPr>
                <w:rFonts w:hint="eastAsia"/>
                <w:b/>
                <w:color w:val="000000"/>
                <w:kern w:val="2"/>
                <w:sz w:val="15"/>
                <w:szCs w:val="15"/>
              </w:rPr>
              <w:t>名录</w:t>
            </w:r>
            <w:r>
              <w:rPr>
                <w:b/>
                <w:color w:val="000000"/>
                <w:kern w:val="2"/>
                <w:sz w:val="15"/>
                <w:szCs w:val="15"/>
              </w:rPr>
              <w:t>）</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eastAsia" w:ascii="Times New Roman" w:hAnsi="Times New Roman" w:cs="Times New Roman" w:eastAsiaTheme="minorEastAsia"/>
                <w:color w:val="000000"/>
                <w:kern w:val="2"/>
                <w:sz w:val="15"/>
                <w:szCs w:val="15"/>
                <w:lang w:val="en-US" w:eastAsia="zh-CN"/>
              </w:rPr>
              <w:t>124、</w:t>
            </w:r>
            <w:r>
              <w:rPr>
                <w:rFonts w:hint="eastAsia" w:ascii="Times New Roman" w:hAnsi="Times New Roman" w:cs="Times New Roman" w:eastAsiaTheme="minorEastAsia"/>
                <w:color w:val="000000"/>
                <w:kern w:val="2"/>
                <w:sz w:val="15"/>
                <w:szCs w:val="15"/>
                <w:lang w:eastAsia="zh-CN"/>
              </w:rPr>
              <w:t>加油、加气站</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建设性质</w:t>
            </w:r>
          </w:p>
        </w:tc>
        <w:tc>
          <w:tcPr>
            <w:tcW w:w="3720" w:type="dxa"/>
            <w:gridSpan w:val="2"/>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rFonts w:hint="eastAsia"/>
                <w:b/>
                <w:color w:val="000000"/>
                <w:kern w:val="2"/>
                <w:sz w:val="15"/>
                <w:szCs w:val="15"/>
                <w:lang w:eastAsia="zh-CN"/>
              </w:rPr>
              <w:t>☑</w:t>
            </w:r>
            <w:r>
              <w:rPr>
                <w:b/>
                <w:color w:val="000000"/>
                <w:kern w:val="2"/>
                <w:sz w:val="15"/>
                <w:szCs w:val="15"/>
              </w:rPr>
              <w:t>新建  □ 改扩建  □技术改造</w:t>
            </w:r>
          </w:p>
        </w:tc>
        <w:tc>
          <w:tcPr>
            <w:tcW w:w="870"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rFonts w:hint="eastAsia"/>
                <w:b/>
                <w:color w:val="000000"/>
                <w:kern w:val="2"/>
                <w:sz w:val="15"/>
                <w:szCs w:val="15"/>
              </w:rPr>
              <w:t>项目厂区中心经度/纬度</w:t>
            </w:r>
          </w:p>
        </w:tc>
        <w:tc>
          <w:tcPr>
            <w:tcW w:w="1830" w:type="dxa"/>
            <w:gridSpan w:val="2"/>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line="240" w:lineRule="auto"/>
              <w:textAlignment w:val="auto"/>
              <w:rPr>
                <w:color w:val="000000"/>
                <w:kern w:val="2"/>
                <w:sz w:val="15"/>
                <w:szCs w:val="15"/>
              </w:rPr>
            </w:pPr>
            <w:r>
              <w:rPr>
                <w:rFonts w:hint="default" w:ascii="Times New Roman" w:hAnsi="Times New Roman" w:cs="Times New Roman"/>
                <w:color w:val="000000"/>
                <w:kern w:val="2"/>
                <w:sz w:val="15"/>
                <w:szCs w:val="15"/>
              </w:rPr>
              <w:t>东经10</w:t>
            </w:r>
            <w:r>
              <w:rPr>
                <w:rFonts w:hint="default" w:ascii="Times New Roman" w:hAnsi="Times New Roman" w:cs="Times New Roman"/>
                <w:color w:val="000000"/>
                <w:kern w:val="2"/>
                <w:sz w:val="15"/>
                <w:szCs w:val="15"/>
                <w:lang w:val="en-US" w:eastAsia="zh-CN"/>
              </w:rPr>
              <w:t>9</w:t>
            </w:r>
            <w:r>
              <w:rPr>
                <w:rFonts w:hint="default" w:ascii="Times New Roman" w:hAnsi="Times New Roman" w:cs="Times New Roman"/>
                <w:color w:val="000000"/>
                <w:kern w:val="2"/>
                <w:sz w:val="15"/>
                <w:szCs w:val="15"/>
              </w:rPr>
              <w:t>°3</w:t>
            </w:r>
            <w:r>
              <w:rPr>
                <w:rFonts w:hint="default" w:ascii="Times New Roman" w:hAnsi="Times New Roman" w:cs="Times New Roman"/>
                <w:color w:val="000000"/>
                <w:kern w:val="2"/>
                <w:sz w:val="15"/>
                <w:szCs w:val="15"/>
                <w:lang w:val="en-US" w:eastAsia="zh-CN"/>
              </w:rPr>
              <w:t>0</w:t>
            </w:r>
            <w:r>
              <w:rPr>
                <w:rFonts w:hint="default" w:ascii="Times New Roman" w:hAnsi="Times New Roman" w:cs="Times New Roman"/>
                <w:color w:val="000000"/>
                <w:kern w:val="2"/>
                <w:sz w:val="15"/>
                <w:szCs w:val="15"/>
              </w:rPr>
              <w:t>'</w:t>
            </w:r>
            <w:r>
              <w:rPr>
                <w:rFonts w:hint="default" w:ascii="Times New Roman" w:hAnsi="Times New Roman" w:cs="Times New Roman"/>
                <w:color w:val="000000"/>
                <w:kern w:val="2"/>
                <w:sz w:val="15"/>
                <w:szCs w:val="15"/>
                <w:lang w:val="en-US" w:eastAsia="zh-CN"/>
              </w:rPr>
              <w:t>11.91</w:t>
            </w:r>
            <w:r>
              <w:rPr>
                <w:rFonts w:hint="default" w:ascii="Times New Roman" w:hAnsi="Times New Roman" w:cs="Times New Roman"/>
                <w:color w:val="000000"/>
                <w:kern w:val="2"/>
                <w:sz w:val="15"/>
                <w:szCs w:val="15"/>
              </w:rPr>
              <w:t>"、北纬3</w:t>
            </w:r>
            <w:r>
              <w:rPr>
                <w:rFonts w:hint="default" w:ascii="Times New Roman" w:hAnsi="Times New Roman" w:cs="Times New Roman"/>
                <w:color w:val="000000"/>
                <w:kern w:val="2"/>
                <w:sz w:val="15"/>
                <w:szCs w:val="15"/>
                <w:lang w:val="en-US" w:eastAsia="zh-CN"/>
              </w:rPr>
              <w:t>3</w:t>
            </w:r>
            <w:r>
              <w:rPr>
                <w:rFonts w:hint="default" w:ascii="Times New Roman" w:hAnsi="Times New Roman" w:cs="Times New Roman"/>
                <w:color w:val="000000"/>
                <w:kern w:val="2"/>
                <w:sz w:val="15"/>
                <w:szCs w:val="15"/>
              </w:rPr>
              <w:t>°</w:t>
            </w:r>
            <w:r>
              <w:rPr>
                <w:rFonts w:hint="default" w:ascii="Times New Roman" w:hAnsi="Times New Roman" w:cs="Times New Roman"/>
                <w:color w:val="000000"/>
                <w:kern w:val="2"/>
                <w:sz w:val="15"/>
                <w:szCs w:val="15"/>
                <w:lang w:val="en-US" w:eastAsia="zh-CN"/>
              </w:rPr>
              <w:t>29</w:t>
            </w:r>
            <w:r>
              <w:rPr>
                <w:rFonts w:hint="default" w:ascii="Times New Roman" w:hAnsi="Times New Roman" w:cs="Times New Roman"/>
                <w:color w:val="000000"/>
                <w:kern w:val="2"/>
                <w:sz w:val="15"/>
                <w:szCs w:val="15"/>
              </w:rPr>
              <w:t>'</w:t>
            </w:r>
            <w:r>
              <w:rPr>
                <w:rFonts w:hint="default" w:ascii="Times New Roman" w:hAnsi="Times New Roman" w:cs="Times New Roman"/>
                <w:color w:val="000000"/>
                <w:kern w:val="2"/>
                <w:sz w:val="15"/>
                <w:szCs w:val="15"/>
                <w:lang w:val="en-US" w:eastAsia="zh-CN"/>
              </w:rPr>
              <w:t>09.11</w:t>
            </w:r>
            <w:r>
              <w:rPr>
                <w:rFonts w:hint="default" w:ascii="Times New Roman" w:hAnsi="Times New Roman"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设计生产能力</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eastAsia" w:ascii="Times New Roman" w:hAnsi="Times New Roman" w:cs="Times New Roman" w:eastAsiaTheme="minorEastAsia"/>
                <w:color w:val="000000"/>
                <w:kern w:val="2"/>
                <w:sz w:val="15"/>
                <w:szCs w:val="15"/>
                <w:lang w:val="en-US" w:eastAsia="zh-CN"/>
              </w:rPr>
              <w:t>年销售油品4000t，其中汽油1500t，柴油2500t</w:t>
            </w:r>
          </w:p>
        </w:tc>
        <w:tc>
          <w:tcPr>
            <w:tcW w:w="2070" w:type="dxa"/>
            <w:gridSpan w:val="2"/>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实际生产能力</w:t>
            </w:r>
          </w:p>
        </w:tc>
        <w:tc>
          <w:tcPr>
            <w:tcW w:w="1995"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outlineLvl w:val="9"/>
              <w:rPr>
                <w:b/>
                <w:color w:val="000000"/>
                <w:kern w:val="2"/>
                <w:sz w:val="15"/>
                <w:szCs w:val="15"/>
              </w:rPr>
            </w:pPr>
            <w:r>
              <w:rPr>
                <w:rFonts w:hint="eastAsia" w:ascii="Times New Roman" w:hAnsi="Times New Roman" w:cs="Times New Roman" w:eastAsiaTheme="minorEastAsia"/>
                <w:color w:val="000000"/>
                <w:kern w:val="2"/>
                <w:sz w:val="15"/>
                <w:szCs w:val="15"/>
                <w:lang w:val="en-US" w:eastAsia="zh-CN"/>
              </w:rPr>
              <w:t>年销售油品4000t，其中汽油1500t，柴油2500t</w:t>
            </w: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环评单位</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outlineLvl w:val="9"/>
              <w:rPr>
                <w:color w:val="000000"/>
                <w:kern w:val="2"/>
                <w:sz w:val="15"/>
                <w:szCs w:val="15"/>
              </w:rPr>
            </w:pPr>
            <w:r>
              <w:rPr>
                <w:rFonts w:hint="eastAsia" w:ascii="Times New Roman" w:hAnsi="Times New Roman" w:cs="Times New Roman" w:eastAsiaTheme="minorEastAsia"/>
                <w:color w:val="000000"/>
                <w:kern w:val="2"/>
                <w:sz w:val="15"/>
                <w:szCs w:val="15"/>
                <w:lang w:val="en-US" w:eastAsia="zh-CN"/>
              </w:rPr>
              <w:t>宝鸡博源环境科技有限公司西安分公司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环评文件审批机关</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西安市生态环境局高陵分局</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审批文号</w:t>
            </w:r>
          </w:p>
        </w:tc>
        <w:tc>
          <w:tcPr>
            <w:tcW w:w="1995" w:type="dxa"/>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市环高批复[2019]7</w:t>
            </w:r>
            <w:r>
              <w:rPr>
                <w:rFonts w:hint="eastAsia" w:ascii="Times New Roman" w:hAnsi="Times New Roman" w:cs="Times New Roman" w:eastAsiaTheme="minorEastAsia"/>
                <w:color w:val="000000"/>
                <w:kern w:val="2"/>
                <w:sz w:val="15"/>
                <w:szCs w:val="15"/>
                <w:lang w:val="en-US" w:eastAsia="zh-CN"/>
              </w:rPr>
              <w:t>4</w:t>
            </w:r>
            <w:r>
              <w:rPr>
                <w:rFonts w:hint="default" w:ascii="Times New Roman" w:hAnsi="Times New Roman" w:cs="Times New Roman" w:eastAsiaTheme="minorEastAsia"/>
                <w:color w:val="000000"/>
                <w:kern w:val="2"/>
                <w:sz w:val="15"/>
                <w:szCs w:val="15"/>
                <w:lang w:val="en-US" w:eastAsia="zh-CN"/>
              </w:rPr>
              <w:t>号</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rFonts w:hint="eastAsia"/>
                <w:b/>
                <w:color w:val="000000"/>
                <w:kern w:val="2"/>
                <w:sz w:val="15"/>
                <w:szCs w:val="15"/>
              </w:rPr>
              <w:t>环评</w:t>
            </w:r>
            <w:r>
              <w:rPr>
                <w:b/>
                <w:color w:val="000000"/>
                <w:kern w:val="2"/>
                <w:sz w:val="15"/>
                <w:szCs w:val="15"/>
              </w:rPr>
              <w:t>文件</w:t>
            </w:r>
            <w:r>
              <w:rPr>
                <w:rFonts w:hint="eastAsia"/>
                <w:b/>
                <w:color w:val="000000"/>
                <w:kern w:val="2"/>
                <w:sz w:val="15"/>
                <w:szCs w:val="15"/>
              </w:rPr>
              <w:t>类型</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环境影响报告表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开工日期</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highlight w:val="none"/>
                <w:lang w:val="en-US" w:eastAsia="zh-CN"/>
              </w:rPr>
              <w:t>2018.6</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竣工日期</w:t>
            </w:r>
          </w:p>
        </w:tc>
        <w:tc>
          <w:tcPr>
            <w:tcW w:w="1995"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highlight w:val="none"/>
                <w:lang w:val="en-US" w:eastAsia="zh-CN"/>
              </w:rPr>
              <w:t>2018.8</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rFonts w:hint="eastAsia"/>
                <w:b/>
                <w:color w:val="000000"/>
                <w:kern w:val="2"/>
                <w:sz w:val="15"/>
                <w:szCs w:val="15"/>
              </w:rPr>
              <w:t>排污许可证申领时间</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环保设施设计单位</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b w:val="0"/>
                <w:bCs/>
                <w:color w:val="000000"/>
                <w:sz w:val="15"/>
                <w:szCs w:val="15"/>
              </w:rPr>
            </w:pPr>
            <w:r>
              <w:rPr>
                <w:rFonts w:hint="default" w:ascii="Times New Roman" w:hAnsi="Times New Roman" w:cs="Times New Roman" w:eastAsiaTheme="minorEastAsia"/>
                <w:b w:val="0"/>
                <w:bCs/>
                <w:color w:val="000000"/>
                <w:sz w:val="15"/>
                <w:szCs w:val="15"/>
                <w:lang w:val="en-US" w:eastAsia="zh-CN"/>
              </w:rPr>
              <w:t>中北工程设计咨询有限公司</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sz w:val="15"/>
                <w:szCs w:val="15"/>
              </w:rPr>
            </w:pPr>
            <w:r>
              <w:rPr>
                <w:b/>
                <w:color w:val="000000"/>
                <w:sz w:val="15"/>
                <w:szCs w:val="15"/>
              </w:rPr>
              <w:t>环保设施施工单位</w:t>
            </w:r>
          </w:p>
        </w:tc>
        <w:tc>
          <w:tcPr>
            <w:tcW w:w="1995" w:type="dxa"/>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highlight w:val="none"/>
                <w:lang w:eastAsia="zh-CN"/>
              </w:rPr>
              <w:t>陕西宇泰建筑有限公司</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rFonts w:hint="eastAsia"/>
                <w:b/>
                <w:color w:val="000000"/>
                <w:kern w:val="2"/>
                <w:sz w:val="15"/>
                <w:szCs w:val="15"/>
              </w:rPr>
              <w:t>本工程排污许可证</w:t>
            </w:r>
            <w:r>
              <w:rPr>
                <w:b/>
                <w:color w:val="000000"/>
                <w:kern w:val="2"/>
                <w:sz w:val="15"/>
                <w:szCs w:val="15"/>
              </w:rPr>
              <w:t>编号</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验收单位</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b w:val="0"/>
                <w:bCs/>
                <w:color w:val="000000"/>
                <w:kern w:val="2"/>
                <w:sz w:val="15"/>
                <w:szCs w:val="15"/>
              </w:rPr>
            </w:pPr>
            <w:r>
              <w:rPr>
                <w:rFonts w:hint="default" w:ascii="Times New Roman" w:hAnsi="Times New Roman" w:cs="Times New Roman" w:eastAsiaTheme="minorEastAsia"/>
                <w:b w:val="0"/>
                <w:bCs/>
                <w:color w:val="000000"/>
                <w:kern w:val="2"/>
                <w:sz w:val="15"/>
                <w:szCs w:val="15"/>
                <w:lang w:val="en-US" w:eastAsia="zh-CN"/>
              </w:rPr>
              <w:t>西安海浪环保科技有限公司</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环保设施监测单位</w:t>
            </w:r>
          </w:p>
        </w:tc>
        <w:tc>
          <w:tcPr>
            <w:tcW w:w="1995" w:type="dxa"/>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highlight w:val="none"/>
                <w:lang w:eastAsia="zh-CN"/>
              </w:rPr>
              <w:t>陕西同元环境检测有限公司</w:t>
            </w: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验收监测</w:t>
            </w:r>
            <w:r>
              <w:rPr>
                <w:rFonts w:hint="eastAsia"/>
                <w:b/>
                <w:color w:val="000000"/>
                <w:kern w:val="2"/>
                <w:sz w:val="15"/>
                <w:szCs w:val="15"/>
              </w:rPr>
              <w:t>时工况</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正常运行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投资总概算（万元）</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b w:val="0"/>
                <w:bCs/>
                <w:color w:val="000000"/>
                <w:kern w:val="2"/>
                <w:sz w:val="15"/>
                <w:szCs w:val="15"/>
              </w:rPr>
            </w:pPr>
            <w:r>
              <w:rPr>
                <w:rFonts w:hint="default" w:ascii="Times New Roman" w:hAnsi="Times New Roman" w:cs="Times New Roman" w:eastAsiaTheme="minorEastAsia"/>
                <w:b w:val="0"/>
                <w:bCs/>
                <w:color w:val="000000"/>
                <w:kern w:val="2"/>
                <w:sz w:val="15"/>
                <w:szCs w:val="15"/>
                <w:lang w:val="en-US" w:eastAsia="zh-CN"/>
              </w:rPr>
              <w:t>567.75</w:t>
            </w:r>
          </w:p>
        </w:tc>
        <w:tc>
          <w:tcPr>
            <w:tcW w:w="2070" w:type="dxa"/>
            <w:gridSpan w:val="2"/>
            <w:noWrap w:val="0"/>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环保投资总概算（万元）</w:t>
            </w:r>
          </w:p>
        </w:tc>
        <w:tc>
          <w:tcPr>
            <w:tcW w:w="1995"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b/>
                <w:color w:val="000000"/>
                <w:kern w:val="2"/>
                <w:sz w:val="15"/>
                <w:szCs w:val="15"/>
              </w:rPr>
            </w:pPr>
            <w:r>
              <w:rPr>
                <w:rFonts w:hint="default" w:ascii="Times New Roman" w:hAnsi="Times New Roman" w:cs="Times New Roman" w:eastAsiaTheme="minorEastAsia"/>
                <w:b/>
                <w:color w:val="000000"/>
                <w:kern w:val="2"/>
                <w:sz w:val="15"/>
                <w:szCs w:val="15"/>
                <w:lang w:val="en-US" w:eastAsia="zh-CN"/>
              </w:rPr>
              <w:t>73.1</w:t>
            </w:r>
          </w:p>
        </w:tc>
        <w:tc>
          <w:tcPr>
            <w:tcW w:w="1725" w:type="dxa"/>
            <w:noWrap w:val="0"/>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所占比例（%）</w:t>
            </w:r>
          </w:p>
        </w:tc>
        <w:tc>
          <w:tcPr>
            <w:tcW w:w="2700" w:type="dxa"/>
            <w:gridSpan w:val="3"/>
            <w:noWrap w:val="0"/>
            <w:tcMar>
              <w:left w:w="57" w:type="dxa"/>
              <w:right w:w="57" w:type="dxa"/>
            </w:tcMar>
            <w:vAlign w:val="center"/>
          </w:tcPr>
          <w:p>
            <w:pPr>
              <w:keepLines w:val="0"/>
              <w:pageBreakBefore w:val="0"/>
              <w:tabs>
                <w:tab w:val="left" w:pos="690"/>
              </w:tabs>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12.88%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实际总投资</w:t>
            </w:r>
          </w:p>
        </w:tc>
        <w:tc>
          <w:tcPr>
            <w:tcW w:w="4822" w:type="dxa"/>
            <w:gridSpan w:val="5"/>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b w:val="0"/>
                <w:bCs/>
                <w:color w:val="000000"/>
                <w:kern w:val="2"/>
                <w:sz w:val="15"/>
                <w:szCs w:val="15"/>
              </w:rPr>
            </w:pPr>
            <w:r>
              <w:rPr>
                <w:rFonts w:hint="default" w:ascii="Times New Roman" w:hAnsi="Times New Roman" w:cs="Times New Roman" w:eastAsiaTheme="minorEastAsia"/>
                <w:b w:val="0"/>
                <w:bCs/>
                <w:color w:val="000000"/>
                <w:kern w:val="2"/>
                <w:sz w:val="15"/>
                <w:szCs w:val="15"/>
                <w:lang w:val="en-US" w:eastAsia="zh-CN"/>
              </w:rPr>
              <w:t>567.75</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ind w:right="300"/>
              <w:rPr>
                <w:b/>
                <w:color w:val="000000"/>
                <w:kern w:val="2"/>
                <w:sz w:val="15"/>
                <w:szCs w:val="15"/>
              </w:rPr>
            </w:pPr>
            <w:r>
              <w:rPr>
                <w:b/>
                <w:color w:val="000000"/>
                <w:kern w:val="2"/>
                <w:sz w:val="15"/>
                <w:szCs w:val="15"/>
              </w:rPr>
              <w:t>实际环保投资（万元）</w:t>
            </w:r>
          </w:p>
        </w:tc>
        <w:tc>
          <w:tcPr>
            <w:tcW w:w="1995" w:type="dxa"/>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73.1</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所占比例（%）</w:t>
            </w:r>
          </w:p>
        </w:tc>
        <w:tc>
          <w:tcPr>
            <w:tcW w:w="2700" w:type="dxa"/>
            <w:gridSpan w:val="3"/>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12.88%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废水治理（万元）</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rFonts w:hint="default" w:eastAsia="宋体"/>
                <w:color w:val="000000"/>
                <w:kern w:val="2"/>
                <w:sz w:val="15"/>
                <w:szCs w:val="15"/>
                <w:lang w:val="en-US" w:eastAsia="zh-CN"/>
              </w:rPr>
            </w:pPr>
            <w:r>
              <w:rPr>
                <w:rFonts w:hint="eastAsia"/>
                <w:color w:val="000000"/>
                <w:kern w:val="2"/>
                <w:sz w:val="15"/>
                <w:szCs w:val="15"/>
                <w:lang w:val="en-US" w:eastAsia="zh-CN"/>
              </w:rPr>
              <w:t>19</w:t>
            </w: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b/>
                <w:color w:val="000000"/>
                <w:kern w:val="2"/>
                <w:sz w:val="15"/>
                <w:szCs w:val="15"/>
              </w:rPr>
            </w:pPr>
            <w:r>
              <w:rPr>
                <w:b/>
                <w:color w:val="000000"/>
                <w:kern w:val="2"/>
                <w:sz w:val="15"/>
                <w:szCs w:val="15"/>
              </w:rPr>
              <w:t>废气治理（万元）</w:t>
            </w: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rFonts w:hint="default" w:eastAsia="宋体"/>
                <w:color w:val="000000"/>
                <w:kern w:val="2"/>
                <w:sz w:val="15"/>
                <w:szCs w:val="15"/>
                <w:lang w:val="en-US" w:eastAsia="zh-CN"/>
              </w:rPr>
            </w:pPr>
            <w:r>
              <w:rPr>
                <w:rFonts w:hint="eastAsia"/>
                <w:color w:val="000000"/>
                <w:kern w:val="2"/>
                <w:sz w:val="15"/>
                <w:szCs w:val="15"/>
                <w:lang w:val="en-US" w:eastAsia="zh-CN"/>
              </w:rPr>
              <w:t>42</w:t>
            </w: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b/>
                <w:color w:val="000000"/>
                <w:kern w:val="2"/>
                <w:sz w:val="15"/>
                <w:szCs w:val="15"/>
              </w:rPr>
            </w:pPr>
            <w:r>
              <w:rPr>
                <w:b/>
                <w:color w:val="000000"/>
                <w:kern w:val="2"/>
                <w:sz w:val="15"/>
                <w:szCs w:val="15"/>
              </w:rPr>
              <w:t>噪声治理（万元）</w:t>
            </w: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rFonts w:hint="eastAsia" w:eastAsia="宋体"/>
                <w:color w:val="000000"/>
                <w:kern w:val="2"/>
                <w:sz w:val="15"/>
                <w:szCs w:val="15"/>
                <w:lang w:eastAsia="zh-CN"/>
              </w:rPr>
            </w:pPr>
            <w:r>
              <w:rPr>
                <w:rFonts w:hint="eastAsia"/>
                <w:color w:val="000000"/>
                <w:kern w:val="2"/>
                <w:sz w:val="15"/>
                <w:szCs w:val="15"/>
                <w:lang w:eastAsia="zh-CN"/>
              </w:rPr>
              <w:t>计入主体</w:t>
            </w:r>
          </w:p>
        </w:tc>
        <w:tc>
          <w:tcPr>
            <w:tcW w:w="2070"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color w:val="000000"/>
                <w:kern w:val="2"/>
                <w:sz w:val="15"/>
                <w:szCs w:val="15"/>
              </w:rPr>
            </w:pPr>
            <w:r>
              <w:rPr>
                <w:b/>
                <w:color w:val="000000"/>
                <w:kern w:val="2"/>
                <w:sz w:val="15"/>
                <w:szCs w:val="15"/>
              </w:rPr>
              <w:t>固</w:t>
            </w:r>
            <w:r>
              <w:rPr>
                <w:rFonts w:hint="eastAsia"/>
                <w:b/>
                <w:color w:val="000000"/>
                <w:kern w:val="2"/>
                <w:sz w:val="15"/>
                <w:szCs w:val="15"/>
              </w:rPr>
              <w:t>体</w:t>
            </w:r>
            <w:r>
              <w:rPr>
                <w:b/>
                <w:color w:val="000000"/>
                <w:kern w:val="2"/>
                <w:sz w:val="15"/>
                <w:szCs w:val="15"/>
              </w:rPr>
              <w:t>废</w:t>
            </w:r>
            <w:r>
              <w:rPr>
                <w:rFonts w:hint="eastAsia"/>
                <w:b/>
                <w:color w:val="000000"/>
                <w:kern w:val="2"/>
                <w:sz w:val="15"/>
                <w:szCs w:val="15"/>
              </w:rPr>
              <w:t>物</w:t>
            </w:r>
            <w:r>
              <w:rPr>
                <w:b/>
                <w:color w:val="000000"/>
                <w:kern w:val="2"/>
                <w:sz w:val="15"/>
                <w:szCs w:val="15"/>
              </w:rPr>
              <w:t>治理（万元）</w:t>
            </w:r>
          </w:p>
        </w:tc>
        <w:tc>
          <w:tcPr>
            <w:tcW w:w="1995" w:type="dxa"/>
            <w:noWrap w:val="0"/>
            <w:tcMar>
              <w:left w:w="57" w:type="dxa"/>
              <w:right w:w="57" w:type="dxa"/>
            </w:tcMar>
            <w:vAlign w:val="top"/>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default" w:ascii="Times New Roman" w:hAnsi="Times New Roman" w:cs="Times New Roman" w:eastAsiaTheme="minorEastAsia"/>
                <w:color w:val="000000"/>
                <w:kern w:val="2"/>
                <w:sz w:val="15"/>
                <w:szCs w:val="15"/>
                <w:lang w:val="en-US" w:eastAsia="zh-CN"/>
              </w:rPr>
              <w:t>5.1</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绿化及生态（万元）</w:t>
            </w: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rFonts w:hint="default" w:eastAsia="宋体"/>
                <w:color w:val="000000"/>
                <w:kern w:val="2"/>
                <w:sz w:val="15"/>
                <w:szCs w:val="15"/>
                <w:lang w:val="en-US" w:eastAsia="zh-CN"/>
              </w:rPr>
            </w:pPr>
            <w:r>
              <w:rPr>
                <w:rFonts w:hint="eastAsia"/>
                <w:color w:val="000000"/>
                <w:kern w:val="2"/>
                <w:sz w:val="15"/>
                <w:szCs w:val="15"/>
                <w:lang w:val="en-US" w:eastAsia="zh-CN"/>
              </w:rPr>
              <w:t>2.0</w:t>
            </w: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b/>
                <w:color w:val="000000"/>
                <w:kern w:val="2"/>
                <w:sz w:val="15"/>
                <w:szCs w:val="15"/>
              </w:rPr>
            </w:pPr>
            <w:r>
              <w:rPr>
                <w:b/>
                <w:color w:val="000000"/>
                <w:kern w:val="2"/>
                <w:sz w:val="15"/>
                <w:szCs w:val="15"/>
              </w:rPr>
              <w:t>其</w:t>
            </w:r>
            <w:r>
              <w:rPr>
                <w:rFonts w:hint="eastAsia"/>
                <w:b/>
                <w:color w:val="000000"/>
                <w:kern w:val="2"/>
                <w:sz w:val="15"/>
                <w:szCs w:val="15"/>
              </w:rPr>
              <w:t>他</w:t>
            </w:r>
            <w:r>
              <w:rPr>
                <w:b/>
                <w:color w:val="000000"/>
                <w:kern w:val="2"/>
                <w:sz w:val="15"/>
                <w:szCs w:val="15"/>
              </w:rPr>
              <w:t>（万元）</w:t>
            </w: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rFonts w:hint="default" w:eastAsia="宋体"/>
                <w:color w:val="000000"/>
                <w:kern w:val="2"/>
                <w:sz w:val="15"/>
                <w:szCs w:val="15"/>
                <w:lang w:val="en-US" w:eastAsia="zh-CN"/>
              </w:rPr>
            </w:pPr>
            <w:r>
              <w:rPr>
                <w:rFonts w:hint="eastAsia"/>
                <w:color w:val="000000"/>
                <w:kern w:val="2"/>
                <w:sz w:val="15"/>
                <w:szCs w:val="15"/>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新增废水处理设施能力</w:t>
            </w:r>
          </w:p>
        </w:tc>
        <w:tc>
          <w:tcPr>
            <w:tcW w:w="4822" w:type="dxa"/>
            <w:gridSpan w:val="5"/>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2070" w:type="dxa"/>
            <w:gridSpan w:val="2"/>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新增废气处理设施能力</w:t>
            </w:r>
          </w:p>
        </w:tc>
        <w:tc>
          <w:tcPr>
            <w:tcW w:w="199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年平均工作时</w:t>
            </w:r>
          </w:p>
        </w:tc>
        <w:tc>
          <w:tcPr>
            <w:tcW w:w="2700" w:type="dxa"/>
            <w:gridSpan w:val="3"/>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768" w:type="dxa"/>
            <w:gridSpan w:val="2"/>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b/>
                <w:color w:val="000000"/>
                <w:kern w:val="2"/>
                <w:sz w:val="15"/>
                <w:szCs w:val="15"/>
              </w:rPr>
            </w:pPr>
            <w:r>
              <w:rPr>
                <w:b/>
                <w:color w:val="000000"/>
                <w:kern w:val="2"/>
                <w:sz w:val="15"/>
                <w:szCs w:val="15"/>
              </w:rPr>
              <w:t>运营单位</w:t>
            </w:r>
          </w:p>
        </w:tc>
        <w:tc>
          <w:tcPr>
            <w:tcW w:w="3936" w:type="dxa"/>
            <w:gridSpan w:val="4"/>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2956"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r>
              <w:rPr>
                <w:b/>
                <w:color w:val="000000"/>
                <w:kern w:val="2"/>
                <w:sz w:val="15"/>
                <w:szCs w:val="15"/>
              </w:rPr>
              <w:t>运营单位</w:t>
            </w:r>
            <w:r>
              <w:rPr>
                <w:rFonts w:hint="eastAsia"/>
                <w:b/>
                <w:color w:val="000000"/>
                <w:kern w:val="2"/>
                <w:sz w:val="15"/>
                <w:szCs w:val="15"/>
              </w:rPr>
              <w:t>社会统一信用代码（或组织机构代码）</w:t>
            </w: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验收时间</w:t>
            </w:r>
          </w:p>
        </w:tc>
        <w:tc>
          <w:tcPr>
            <w:tcW w:w="2700" w:type="dxa"/>
            <w:gridSpan w:val="3"/>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r>
              <w:rPr>
                <w:rFonts w:hint="default" w:ascii="Times New Roman" w:hAnsi="Times New Roman" w:cs="Times New Roman" w:eastAsiaTheme="minorEastAsia"/>
                <w:color w:val="000000"/>
                <w:kern w:val="2"/>
                <w:sz w:val="15"/>
                <w:szCs w:val="15"/>
                <w:highlight w:val="none"/>
                <w:lang w:val="en-US" w:eastAsia="zh-CN"/>
              </w:rPr>
              <w:t>2019.10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exact"/>
          <w:jc w:val="center"/>
        </w:trPr>
        <w:tc>
          <w:tcPr>
            <w:tcW w:w="500" w:type="dxa"/>
            <w:vMerge w:val="restart"/>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污染</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物排</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放达</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标与</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总量</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控制（工</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业建</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设项</w:t>
            </w:r>
          </w:p>
          <w:p>
            <w:pPr>
              <w:keepNext w:val="0"/>
              <w:keepLines w:val="0"/>
              <w:pageBreakBefore w:val="0"/>
              <w:widowControl w:val="0"/>
              <w:kinsoku/>
              <w:wordWrap/>
              <w:overflowPunct/>
              <w:topLinePunct w:val="0"/>
              <w:autoSpaceDE w:val="0"/>
              <w:autoSpaceDN w:val="0"/>
              <w:bidi w:val="0"/>
              <w:adjustRightInd/>
              <w:snapToGrid/>
              <w:spacing w:after="0"/>
              <w:rPr>
                <w:rFonts w:eastAsia="黑体"/>
                <w:b/>
                <w:color w:val="000000"/>
                <w:spacing w:val="20"/>
                <w:kern w:val="2"/>
                <w:sz w:val="15"/>
                <w:szCs w:val="15"/>
              </w:rPr>
            </w:pPr>
            <w:r>
              <w:rPr>
                <w:rFonts w:eastAsia="黑体"/>
                <w:b/>
                <w:color w:val="000000"/>
                <w:spacing w:val="20"/>
                <w:kern w:val="2"/>
                <w:sz w:val="15"/>
                <w:szCs w:val="15"/>
              </w:rPr>
              <w:t>目详填）</w:t>
            </w: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r>
              <w:rPr>
                <w:b/>
                <w:color w:val="000000"/>
                <w:kern w:val="2"/>
                <w:sz w:val="15"/>
                <w:szCs w:val="15"/>
              </w:rPr>
              <w:t>污染物</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原有排</w:t>
            </w:r>
          </w:p>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放量(1)</w:t>
            </w: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本期工程实际排放浓度(2)</w:t>
            </w: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本期工程允许排放浓度(3)</w:t>
            </w: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本期工程产生量(4)</w:t>
            </w: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本期工程自身削减量(5)</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本期工程实际排放量(6)</w:t>
            </w: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b/>
                <w:color w:val="000000"/>
                <w:kern w:val="2"/>
                <w:sz w:val="15"/>
                <w:szCs w:val="15"/>
              </w:rPr>
            </w:pPr>
            <w:r>
              <w:rPr>
                <w:b/>
                <w:color w:val="000000"/>
                <w:kern w:val="2"/>
                <w:sz w:val="15"/>
                <w:szCs w:val="15"/>
              </w:rPr>
              <w:t>本期工程核定排放总量(7)</w:t>
            </w: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本期工程“以新带老”削减量(8)</w:t>
            </w: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全厂实际排放总量(9)</w:t>
            </w: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全厂核定排放总量(10)</w:t>
            </w: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区域平衡替代削减量(11)</w:t>
            </w: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r>
              <w:rPr>
                <w:b/>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color w:val="000000"/>
                <w:kern w:val="2"/>
                <w:sz w:val="15"/>
                <w:szCs w:val="15"/>
              </w:rPr>
            </w:pPr>
            <w:r>
              <w:rPr>
                <w:b/>
                <w:color w:val="000000"/>
                <w:kern w:val="2"/>
                <w:sz w:val="15"/>
                <w:szCs w:val="15"/>
              </w:rPr>
              <w:t>废水</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化学需氧量</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氨氮</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石油类</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rFonts w:eastAsia="黑体"/>
                <w:b/>
                <w:color w:val="000000"/>
                <w:kern w:val="2"/>
                <w:sz w:val="15"/>
                <w:szCs w:val="15"/>
              </w:rPr>
            </w:pPr>
            <w:r>
              <w:rPr>
                <w:b/>
                <w:color w:val="000000"/>
                <w:kern w:val="2"/>
                <w:sz w:val="15"/>
                <w:szCs w:val="15"/>
              </w:rPr>
              <w:t>废气</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rFonts w:hint="eastAsia" w:eastAsia="宋体"/>
                <w:color w:val="000000"/>
                <w:kern w:val="2"/>
                <w:sz w:val="15"/>
                <w:szCs w:val="15"/>
                <w:lang w:eastAsia="zh-CN"/>
              </w:rPr>
            </w:pPr>
            <w:r>
              <w:rPr>
                <w:rFonts w:hint="eastAsia" w:ascii="Times New Roman" w:hAnsi="Times New Roman" w:cs="Times New Roman" w:eastAsiaTheme="minorEastAsia"/>
                <w:color w:val="000000"/>
                <w:kern w:val="2"/>
                <w:sz w:val="15"/>
                <w:szCs w:val="15"/>
                <w:lang w:val="en-US" w:eastAsia="zh-CN"/>
              </w:rPr>
              <w:t>0.007613</w:t>
            </w:r>
          </w:p>
        </w:tc>
        <w:tc>
          <w:tcPr>
            <w:tcW w:w="886"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eastAsia" w:ascii="Times New Roman" w:hAnsi="Times New Roman" w:cs="Times New Roman" w:eastAsiaTheme="minorEastAsia"/>
                <w:color w:val="000000"/>
                <w:kern w:val="2"/>
                <w:sz w:val="15"/>
                <w:szCs w:val="15"/>
                <w:lang w:val="en-US" w:eastAsia="zh-CN"/>
              </w:rPr>
              <w:t>0.0069675</w:t>
            </w:r>
          </w:p>
        </w:tc>
        <w:tc>
          <w:tcPr>
            <w:tcW w:w="975"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color w:val="000000"/>
                <w:kern w:val="2"/>
                <w:sz w:val="15"/>
                <w:szCs w:val="15"/>
              </w:rPr>
            </w:pPr>
            <w:r>
              <w:rPr>
                <w:rFonts w:hint="eastAsia" w:ascii="Times New Roman" w:hAnsi="Times New Roman" w:cs="Times New Roman" w:eastAsiaTheme="minorEastAsia"/>
                <w:color w:val="000000"/>
                <w:kern w:val="2"/>
                <w:sz w:val="15"/>
                <w:szCs w:val="15"/>
                <w:lang w:val="en-US" w:eastAsia="zh-CN"/>
              </w:rPr>
              <w:t>0.0006455</w:t>
            </w: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二氧化硫</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烟尘</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工业粉尘</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b/>
                <w:color w:val="000000"/>
                <w:kern w:val="2"/>
                <w:sz w:val="15"/>
                <w:szCs w:val="15"/>
              </w:rPr>
            </w:pPr>
            <w:r>
              <w:rPr>
                <w:b/>
                <w:color w:val="000000"/>
                <w:kern w:val="2"/>
                <w:sz w:val="15"/>
                <w:szCs w:val="15"/>
              </w:rPr>
              <w:t>氮氧化物</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textAlignment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both"/>
              <w:rPr>
                <w:rFonts w:eastAsia="黑体"/>
                <w:b/>
                <w:color w:val="000000"/>
                <w:kern w:val="2"/>
                <w:sz w:val="15"/>
                <w:szCs w:val="15"/>
              </w:rPr>
            </w:pPr>
            <w:r>
              <w:rPr>
                <w:b/>
                <w:color w:val="000000"/>
                <w:kern w:val="2"/>
                <w:sz w:val="15"/>
                <w:szCs w:val="15"/>
              </w:rPr>
              <w:t>工业固体废物</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vMerge w:val="restart"/>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both"/>
              <w:rPr>
                <w:color w:val="000000"/>
                <w:kern w:val="2"/>
                <w:sz w:val="15"/>
                <w:szCs w:val="15"/>
              </w:rPr>
            </w:pPr>
            <w:r>
              <w:rPr>
                <w:b/>
                <w:color w:val="000000"/>
                <w:kern w:val="2"/>
                <w:sz w:val="15"/>
                <w:szCs w:val="15"/>
              </w:rPr>
              <w:t>与项目有关的其</w:t>
            </w:r>
            <w:r>
              <w:rPr>
                <w:rFonts w:hint="eastAsia"/>
                <w:b/>
                <w:color w:val="000000"/>
                <w:kern w:val="2"/>
                <w:sz w:val="15"/>
                <w:szCs w:val="15"/>
              </w:rPr>
              <w:t>他</w:t>
            </w:r>
            <w:r>
              <w:rPr>
                <w:b/>
                <w:color w:val="000000"/>
                <w:kern w:val="2"/>
                <w:sz w:val="15"/>
                <w:szCs w:val="15"/>
              </w:rPr>
              <w:t>特征污染物</w:t>
            </w: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500"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color w:val="000000"/>
                <w:kern w:val="2"/>
                <w:sz w:val="15"/>
                <w:szCs w:val="15"/>
              </w:rPr>
            </w:pPr>
          </w:p>
        </w:tc>
        <w:tc>
          <w:tcPr>
            <w:tcW w:w="1268" w:type="dxa"/>
            <w:vMerge w:val="continue"/>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rPr>
                <w:b/>
                <w:color w:val="000000"/>
                <w:kern w:val="2"/>
                <w:sz w:val="15"/>
                <w:szCs w:val="15"/>
              </w:rPr>
            </w:pPr>
          </w:p>
        </w:tc>
        <w:tc>
          <w:tcPr>
            <w:tcW w:w="756" w:type="dxa"/>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201"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29"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86"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97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9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99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725"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870"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1050"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c>
          <w:tcPr>
            <w:tcW w:w="780" w:type="dxa"/>
            <w:noWrap w:val="0"/>
            <w:tcMar>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after="0"/>
              <w:jc w:val="center"/>
              <w:rPr>
                <w:color w:val="000000"/>
                <w:kern w:val="2"/>
                <w:sz w:val="15"/>
                <w:szCs w:val="15"/>
              </w:rPr>
            </w:pPr>
          </w:p>
        </w:tc>
      </w:tr>
    </w:tbl>
    <w:p>
      <w:pPr>
        <w:pStyle w:val="2"/>
        <w:rPr>
          <w:color w:val="000000"/>
          <w:sz w:val="15"/>
          <w:szCs w:val="15"/>
        </w:rPr>
        <w:sectPr>
          <w:pgSz w:w="16838" w:h="11906" w:orient="landscape"/>
          <w:pgMar w:top="726" w:right="1100" w:bottom="556" w:left="1100" w:header="851" w:footer="850" w:gutter="0"/>
          <w:pgNumType w:fmt="decimal"/>
          <w:cols w:space="425" w:num="1"/>
          <w:docGrid w:type="lines" w:linePitch="312" w:charSpace="0"/>
        </w:sectPr>
      </w:pPr>
      <w:r>
        <w:rPr>
          <w:b/>
          <w:color w:val="000000"/>
          <w:sz w:val="15"/>
          <w:szCs w:val="15"/>
        </w:rPr>
        <w:t>注</w:t>
      </w:r>
      <w:r>
        <w:rPr>
          <w:color w:val="000000"/>
          <w:sz w:val="15"/>
          <w:szCs w:val="15"/>
        </w:rPr>
        <w:t>：1、</w:t>
      </w:r>
      <w:r>
        <w:rPr>
          <w:color w:val="000000"/>
          <w:spacing w:val="-4"/>
          <w:sz w:val="15"/>
          <w:szCs w:val="15"/>
        </w:rPr>
        <w:t>排放增减量：（+）表示增加，（-）表示减少。2、(12)=(6)-(8)-(11)，（9）= (4)-(5)-(8)- (11) +（1）。3、计量单位：废水排放量——万吨/年；废气排放量——万标立方米/年；工业固体废物排放</w:t>
      </w:r>
      <w:r>
        <w:rPr>
          <w:color w:val="000000"/>
          <w:sz w:val="15"/>
          <w:szCs w:val="15"/>
        </w:rPr>
        <w:t>量——万吨/年；</w:t>
      </w:r>
    </w:p>
    <w:p>
      <w:pPr>
        <w:rPr>
          <w:rFonts w:hint="eastAsia"/>
          <w:lang w:val="en-US" w:eastAsia="zh-CN"/>
        </w:rPr>
      </w:pPr>
      <w:bookmarkStart w:id="87" w:name="_GoBack"/>
      <w:bookmarkEnd w:id="87"/>
    </w:p>
    <w:sectPr>
      <w:pgSz w:w="11906" w:h="16838"/>
      <w:pgMar w:top="1100" w:right="1803" w:bottom="110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5D86F"/>
    <w:multiLevelType w:val="singleLevel"/>
    <w:tmpl w:val="8625D86F"/>
    <w:lvl w:ilvl="0" w:tentative="0">
      <w:start w:val="1"/>
      <w:numFmt w:val="chineseCounting"/>
      <w:suff w:val="nothing"/>
      <w:lvlText w:val="（%1）"/>
      <w:lvlJc w:val="left"/>
      <w:rPr>
        <w:rFonts w:hint="eastAsia"/>
      </w:rPr>
    </w:lvl>
  </w:abstractNum>
  <w:abstractNum w:abstractNumId="1">
    <w:nsid w:val="B7AFDE92"/>
    <w:multiLevelType w:val="singleLevel"/>
    <w:tmpl w:val="B7AFDE92"/>
    <w:lvl w:ilvl="0" w:tentative="0">
      <w:start w:val="2"/>
      <w:numFmt w:val="decimal"/>
      <w:suff w:val="nothing"/>
      <w:lvlText w:val="%1、"/>
      <w:lvlJc w:val="left"/>
    </w:lvl>
  </w:abstractNum>
  <w:abstractNum w:abstractNumId="2">
    <w:nsid w:val="B882FC87"/>
    <w:multiLevelType w:val="singleLevel"/>
    <w:tmpl w:val="B882FC87"/>
    <w:lvl w:ilvl="0" w:tentative="0">
      <w:start w:val="2"/>
      <w:numFmt w:val="chineseCounting"/>
      <w:suff w:val="nothing"/>
      <w:lvlText w:val="%1、"/>
      <w:lvlJc w:val="left"/>
      <w:rPr>
        <w:rFonts w:hint="eastAsia"/>
      </w:rPr>
    </w:lvl>
  </w:abstractNum>
  <w:abstractNum w:abstractNumId="3">
    <w:nsid w:val="DEB6588D"/>
    <w:multiLevelType w:val="singleLevel"/>
    <w:tmpl w:val="DEB6588D"/>
    <w:lvl w:ilvl="0" w:tentative="0">
      <w:start w:val="4"/>
      <w:numFmt w:val="chineseCounting"/>
      <w:suff w:val="nothing"/>
      <w:lvlText w:val="%1、"/>
      <w:lvlJc w:val="left"/>
      <w:rPr>
        <w:rFonts w:hint="eastAsia"/>
      </w:rPr>
    </w:lvl>
  </w:abstractNum>
  <w:abstractNum w:abstractNumId="4">
    <w:nsid w:val="EDB44094"/>
    <w:multiLevelType w:val="singleLevel"/>
    <w:tmpl w:val="EDB44094"/>
    <w:lvl w:ilvl="0" w:tentative="0">
      <w:start w:val="2"/>
      <w:numFmt w:val="chineseCounting"/>
      <w:suff w:val="nothing"/>
      <w:lvlText w:val="%1、"/>
      <w:lvlJc w:val="left"/>
      <w:rPr>
        <w:rFonts w:hint="eastAsia"/>
      </w:rPr>
    </w:lvl>
  </w:abstractNum>
  <w:abstractNum w:abstractNumId="5">
    <w:nsid w:val="F4550A80"/>
    <w:multiLevelType w:val="singleLevel"/>
    <w:tmpl w:val="F4550A80"/>
    <w:lvl w:ilvl="0" w:tentative="0">
      <w:start w:val="1"/>
      <w:numFmt w:val="decimal"/>
      <w:suff w:val="nothing"/>
      <w:lvlText w:val="%1、"/>
      <w:lvlJc w:val="left"/>
    </w:lvl>
  </w:abstractNum>
  <w:abstractNum w:abstractNumId="6">
    <w:nsid w:val="3545DB67"/>
    <w:multiLevelType w:val="singleLevel"/>
    <w:tmpl w:val="3545DB67"/>
    <w:lvl w:ilvl="0" w:tentative="0">
      <w:start w:val="1"/>
      <w:numFmt w:val="chineseCounting"/>
      <w:suff w:val="nothing"/>
      <w:lvlText w:val="（%1）"/>
      <w:lvlJc w:val="left"/>
      <w:rPr>
        <w:rFonts w:hint="eastAsia"/>
      </w:rPr>
    </w:lvl>
  </w:abstractNum>
  <w:abstractNum w:abstractNumId="7">
    <w:nsid w:val="39815A8B"/>
    <w:multiLevelType w:val="singleLevel"/>
    <w:tmpl w:val="39815A8B"/>
    <w:lvl w:ilvl="0" w:tentative="0">
      <w:start w:val="1"/>
      <w:numFmt w:val="chineseCounting"/>
      <w:suff w:val="nothing"/>
      <w:lvlText w:val="%1、"/>
      <w:lvlJc w:val="left"/>
      <w:rPr>
        <w:rFonts w:hint="eastAsia"/>
      </w:rPr>
    </w:lvl>
  </w:abstractNum>
  <w:abstractNum w:abstractNumId="8">
    <w:nsid w:val="4725967D"/>
    <w:multiLevelType w:val="singleLevel"/>
    <w:tmpl w:val="4725967D"/>
    <w:lvl w:ilvl="0" w:tentative="0">
      <w:start w:val="3"/>
      <w:numFmt w:val="decimal"/>
      <w:suff w:val="nothing"/>
      <w:lvlText w:val="%1、"/>
      <w:lvlJc w:val="left"/>
    </w:lvl>
  </w:abstractNum>
  <w:abstractNum w:abstractNumId="9">
    <w:nsid w:val="67566AFC"/>
    <w:multiLevelType w:val="singleLevel"/>
    <w:tmpl w:val="67566AFC"/>
    <w:lvl w:ilvl="0" w:tentative="0">
      <w:start w:val="7"/>
      <w:numFmt w:val="chineseCounting"/>
      <w:suff w:val="nothing"/>
      <w:lvlText w:val="%1、"/>
      <w:lvlJc w:val="left"/>
      <w:rPr>
        <w:rFonts w:hint="eastAsia"/>
      </w:rPr>
    </w:lvl>
  </w:abstractNum>
  <w:num w:numId="1">
    <w:abstractNumId w:val="3"/>
  </w:num>
  <w:num w:numId="2">
    <w:abstractNumId w:val="9"/>
  </w:num>
  <w:num w:numId="3">
    <w:abstractNumId w:val="6"/>
  </w:num>
  <w:num w:numId="4">
    <w:abstractNumId w:val="7"/>
  </w:num>
  <w:num w:numId="5">
    <w:abstractNumId w:val="8"/>
  </w:num>
  <w:num w:numId="6">
    <w:abstractNumId w:val="2"/>
  </w:num>
  <w:num w:numId="7">
    <w:abstractNumId w:val="1"/>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00FFA"/>
    <w:rsid w:val="0364137D"/>
    <w:rsid w:val="0C3141D3"/>
    <w:rsid w:val="1126732E"/>
    <w:rsid w:val="11E34856"/>
    <w:rsid w:val="17B00FFA"/>
    <w:rsid w:val="2BEE50CD"/>
    <w:rsid w:val="2C696D49"/>
    <w:rsid w:val="44CB263D"/>
    <w:rsid w:val="49783210"/>
    <w:rsid w:val="4FF11608"/>
    <w:rsid w:val="58210341"/>
    <w:rsid w:val="583D2F83"/>
    <w:rsid w:val="615F7E70"/>
    <w:rsid w:val="63EF7253"/>
    <w:rsid w:val="69831C4E"/>
    <w:rsid w:val="6E7F3619"/>
    <w:rsid w:val="72A27B14"/>
    <w:rsid w:val="72EE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ind w:left="220"/>
      <w:outlineLvl w:val="1"/>
    </w:pPr>
    <w:rPr>
      <w:rFonts w:ascii="宋体" w:hAnsi="宋体" w:eastAsia="宋体" w:cs="宋体"/>
      <w:sz w:val="28"/>
      <w:szCs w:val="28"/>
      <w:lang w:val="zh-CN" w:eastAsia="zh-CN" w:bidi="zh-CN"/>
    </w:rPr>
  </w:style>
  <w:style w:type="paragraph" w:styleId="2">
    <w:name w:val="heading 2"/>
    <w:basedOn w:val="1"/>
    <w:next w:val="1"/>
    <w:link w:val="16"/>
    <w:qFormat/>
    <w:uiPriority w:val="1"/>
    <w:pPr>
      <w:spacing w:before="222"/>
      <w:ind w:left="220"/>
      <w:outlineLvl w:val="2"/>
    </w:pPr>
    <w:rPr>
      <w:rFonts w:ascii="宋体" w:hAnsi="宋体" w:eastAsia="宋体" w:cs="宋体"/>
      <w:b/>
      <w:bCs/>
      <w:sz w:val="24"/>
      <w:szCs w:val="24"/>
      <w:lang w:val="zh-CN" w:eastAsia="zh-CN" w:bidi="zh-CN"/>
    </w:rPr>
  </w:style>
  <w:style w:type="paragraph" w:styleId="4">
    <w:name w:val="heading 3"/>
    <w:basedOn w:val="1"/>
    <w:next w:val="1"/>
    <w:link w:val="18"/>
    <w:qFormat/>
    <w:uiPriority w:val="0"/>
    <w:pPr>
      <w:keepNext/>
      <w:keepLines/>
      <w:widowControl w:val="0"/>
      <w:spacing w:before="20" w:after="20" w:line="412" w:lineRule="auto"/>
      <w:jc w:val="left"/>
      <w:outlineLvl w:val="2"/>
    </w:pPr>
    <w:rPr>
      <w:rFonts w:ascii="Times New Roman" w:hAnsi="Times New Roman" w:eastAsia="宋体"/>
      <w:bCs/>
      <w:iCs/>
      <w:sz w:val="24"/>
      <w:szCs w:val="32"/>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pPr>
    <w:rPr>
      <w:rFonts w:ascii="Tahoma" w:hAnsi="Tahoma"/>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60"/>
      <w:ind w:left="220"/>
    </w:pPr>
    <w:rPr>
      <w:rFonts w:ascii="宋体" w:hAnsi="宋体" w:eastAsia="宋体" w:cs="宋体"/>
      <w:sz w:val="24"/>
      <w:szCs w:val="24"/>
      <w:lang w:val="zh-CN" w:eastAsia="zh-CN" w:bidi="zh-CN"/>
    </w:rPr>
  </w:style>
  <w:style w:type="paragraph" w:styleId="9">
    <w:name w:val="Body Text First Indent"/>
    <w:basedOn w:val="5"/>
    <w:qFormat/>
    <w:uiPriority w:val="0"/>
    <w:pPr>
      <w:ind w:firstLine="100" w:firstLineChars="100"/>
      <w:jc w:val="center"/>
    </w:pPr>
    <w:rPr>
      <w:b/>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1"/>
    <w:pPr>
      <w:spacing w:before="1"/>
      <w:ind w:left="1301" w:hanging="601"/>
    </w:pPr>
    <w:rPr>
      <w:rFonts w:ascii="宋体" w:hAnsi="宋体" w:eastAsia="宋体" w:cs="宋体"/>
      <w:lang w:val="zh-CN" w:eastAsia="zh-CN" w:bidi="zh-CN"/>
    </w:rPr>
  </w:style>
  <w:style w:type="character" w:customStyle="1" w:styleId="16">
    <w:name w:val="标题 2 Char"/>
    <w:link w:val="2"/>
    <w:qFormat/>
    <w:uiPriority w:val="0"/>
    <w:rPr>
      <w:rFonts w:ascii="宋体" w:hAnsi="宋体" w:eastAsia="宋体" w:cs="宋体"/>
      <w:b/>
      <w:bCs/>
      <w:sz w:val="24"/>
      <w:szCs w:val="24"/>
      <w:lang w:val="zh-CN" w:eastAsia="zh-CN" w:bidi="zh-CN"/>
    </w:rPr>
  </w:style>
  <w:style w:type="paragraph" w:customStyle="1" w:styleId="17">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18">
    <w:name w:val="标题 3 Char"/>
    <w:link w:val="4"/>
    <w:qFormat/>
    <w:uiPriority w:val="0"/>
    <w:rPr>
      <w:rFonts w:ascii="Times New Roman" w:hAnsi="Times New Roman" w:eastAsia="宋体"/>
      <w:bCs/>
      <w:iCs/>
      <w:sz w:val="24"/>
      <w:szCs w:val="32"/>
    </w:rPr>
  </w:style>
  <w:style w:type="paragraph" w:customStyle="1" w:styleId="19">
    <w:name w:val="中文报告书样式"/>
    <w:basedOn w:val="1"/>
    <w:qFormat/>
    <w:uiPriority w:val="0"/>
    <w:pPr>
      <w:adjustRightInd w:val="0"/>
      <w:spacing w:line="480" w:lineRule="atLeast"/>
      <w:ind w:firstLine="482"/>
      <w:textAlignment w:val="baseline"/>
    </w:pPr>
    <w:rPr>
      <w:kern w:val="24"/>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ed8700-4511-424d-8b51-56a3fc54b226}"/>
        <w:style w:val=""/>
        <w:category>
          <w:name w:val="常规"/>
          <w:gallery w:val="placeholder"/>
        </w:category>
        <w:types>
          <w:type w:val="bbPlcHdr"/>
        </w:types>
        <w:behaviors>
          <w:behavior w:val="content"/>
        </w:behaviors>
        <w:description w:val=""/>
        <w:guid w:val="{6ded8700-4511-424d-8b51-56a3fc54b226}"/>
      </w:docPartPr>
      <w:docPartBody>
        <w:p>
          <w:r>
            <w:rPr>
              <w:color w:val="808080"/>
            </w:rPr>
            <w:t>单击此处输入文字。</w:t>
          </w:r>
        </w:p>
      </w:docPartBody>
    </w:docPart>
    <w:docPart>
      <w:docPartPr>
        <w:name w:val="{44d0ec52-06a4-44a8-9246-cca19d50cbed}"/>
        <w:style w:val=""/>
        <w:category>
          <w:name w:val="常规"/>
          <w:gallery w:val="placeholder"/>
        </w:category>
        <w:types>
          <w:type w:val="bbPlcHdr"/>
        </w:types>
        <w:behaviors>
          <w:behavior w:val="content"/>
        </w:behaviors>
        <w:description w:val=""/>
        <w:guid w:val="{44d0ec52-06a4-44a8-9246-cca19d50cbed}"/>
      </w:docPartPr>
      <w:docPartBody>
        <w:p>
          <w:r>
            <w:rPr>
              <w:color w:val="808080"/>
            </w:rPr>
            <w:t>单击此处输入文字。</w:t>
          </w:r>
        </w:p>
      </w:docPartBody>
    </w:docPart>
    <w:docPart>
      <w:docPartPr>
        <w:name w:val="{ac937153-85fd-4b54-9f51-b3403f06375b}"/>
        <w:style w:val=""/>
        <w:category>
          <w:name w:val="常规"/>
          <w:gallery w:val="placeholder"/>
        </w:category>
        <w:types>
          <w:type w:val="bbPlcHdr"/>
        </w:types>
        <w:behaviors>
          <w:behavior w:val="content"/>
        </w:behaviors>
        <w:description w:val=""/>
        <w:guid w:val="{ac937153-85fd-4b54-9f51-b3403f06375b}"/>
      </w:docPartPr>
      <w:docPartBody>
        <w:p>
          <w:r>
            <w:rPr>
              <w:color w:val="808080"/>
            </w:rPr>
            <w:t>单击此处输入文字。</w:t>
          </w:r>
        </w:p>
      </w:docPartBody>
    </w:docPart>
    <w:docPart>
      <w:docPartPr>
        <w:name w:val="{7af051be-48ff-4afe-8950-c6ca3868302e}"/>
        <w:style w:val=""/>
        <w:category>
          <w:name w:val="常规"/>
          <w:gallery w:val="placeholder"/>
        </w:category>
        <w:types>
          <w:type w:val="bbPlcHdr"/>
        </w:types>
        <w:behaviors>
          <w:behavior w:val="content"/>
        </w:behaviors>
        <w:description w:val=""/>
        <w:guid w:val="{7af051be-48ff-4afe-8950-c6ca3868302e}"/>
      </w:docPartPr>
      <w:docPartBody>
        <w:p>
          <w:r>
            <w:rPr>
              <w:color w:val="808080"/>
            </w:rPr>
            <w:t>单击此处输入文字。</w:t>
          </w:r>
        </w:p>
      </w:docPartBody>
    </w:docPart>
    <w:docPart>
      <w:docPartPr>
        <w:name w:val="{bb8fc99a-7abe-481f-8653-88e69355dfbe}"/>
        <w:style w:val=""/>
        <w:category>
          <w:name w:val="常规"/>
          <w:gallery w:val="placeholder"/>
        </w:category>
        <w:types>
          <w:type w:val="bbPlcHdr"/>
        </w:types>
        <w:behaviors>
          <w:behavior w:val="content"/>
        </w:behaviors>
        <w:description w:val=""/>
        <w:guid w:val="{bb8fc99a-7abe-481f-8653-88e69355dfbe}"/>
      </w:docPartPr>
      <w:docPartBody>
        <w:p>
          <w:r>
            <w:rPr>
              <w:color w:val="808080"/>
            </w:rPr>
            <w:t>单击此处输入文字。</w:t>
          </w:r>
        </w:p>
      </w:docPartBody>
    </w:docPart>
    <w:docPart>
      <w:docPartPr>
        <w:name w:val="{137da37b-5a27-43af-956f-cf55c4d3a87f}"/>
        <w:style w:val=""/>
        <w:category>
          <w:name w:val="常规"/>
          <w:gallery w:val="placeholder"/>
        </w:category>
        <w:types>
          <w:type w:val="bbPlcHdr"/>
        </w:types>
        <w:behaviors>
          <w:behavior w:val="content"/>
        </w:behaviors>
        <w:description w:val=""/>
        <w:guid w:val="{137da37b-5a27-43af-956f-cf55c4d3a87f}"/>
      </w:docPartPr>
      <w:docPartBody>
        <w:p>
          <w:r>
            <w:rPr>
              <w:color w:val="808080"/>
            </w:rPr>
            <w:t>单击此处输入文字。</w:t>
          </w:r>
        </w:p>
      </w:docPartBody>
    </w:docPart>
    <w:docPart>
      <w:docPartPr>
        <w:name w:val="{5e322ff8-d8ec-4417-b422-5aa2cb16b8e1}"/>
        <w:style w:val=""/>
        <w:category>
          <w:name w:val="常规"/>
          <w:gallery w:val="placeholder"/>
        </w:category>
        <w:types>
          <w:type w:val="bbPlcHdr"/>
        </w:types>
        <w:behaviors>
          <w:behavior w:val="content"/>
        </w:behaviors>
        <w:description w:val=""/>
        <w:guid w:val="{5e322ff8-d8ec-4417-b422-5aa2cb16b8e1}"/>
      </w:docPartPr>
      <w:docPartBody>
        <w:p>
          <w:r>
            <w:rPr>
              <w:color w:val="808080"/>
            </w:rPr>
            <w:t>单击此处输入文字。</w:t>
          </w:r>
        </w:p>
      </w:docPartBody>
    </w:docPart>
    <w:docPart>
      <w:docPartPr>
        <w:name w:val="{ed308eba-2d60-40dd-abed-2cf3ed242e44}"/>
        <w:style w:val=""/>
        <w:category>
          <w:name w:val="常规"/>
          <w:gallery w:val="placeholder"/>
        </w:category>
        <w:types>
          <w:type w:val="bbPlcHdr"/>
        </w:types>
        <w:behaviors>
          <w:behavior w:val="content"/>
        </w:behaviors>
        <w:description w:val=""/>
        <w:guid w:val="{ed308eba-2d60-40dd-abed-2cf3ed242e4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2019-11-05T05:19:00Z</dcterms:created>
  <dc:creator>一缕阳光</dc:creator>
  <cp:lastModifiedBy>一缕阳光</cp:lastModifiedBy>
  <cp:lastPrinted>2019-11-11T05:08:00Z</cp:lastPrinted>
  <dcterms:modified xsi:type="dcterms:W3CDTF">2019-11-12T06:48:12Z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