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eastAsia" w:ascii="宋体" w:hAnsi="宋体" w:eastAsia="宋体" w:cs="宋体"/>
          <w:b/>
          <w:w w:val="110"/>
          <w:sz w:val="48"/>
          <w:szCs w:val="48"/>
          <w:highlight w:val="none"/>
        </w:rPr>
      </w:pPr>
      <w:bookmarkStart w:id="127" w:name="_GoBack"/>
      <w:r>
        <w:rPr>
          <w:rFonts w:hint="eastAsia" w:ascii="宋体" w:hAnsi="宋体" w:eastAsia="宋体" w:cs="宋体"/>
          <w:b/>
          <w:w w:val="110"/>
          <w:sz w:val="48"/>
          <w:szCs w:val="48"/>
          <w:highlight w:val="none"/>
        </w:rPr>
        <w:t>陕西省石油化工工业贸易有限公司</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eastAsia" w:ascii="宋体" w:hAnsi="宋体" w:eastAsia="宋体" w:cs="宋体"/>
          <w:b/>
          <w:w w:val="110"/>
          <w:sz w:val="48"/>
          <w:szCs w:val="48"/>
          <w:highlight w:val="none"/>
          <w:lang w:eastAsia="zh-CN"/>
        </w:rPr>
      </w:pPr>
      <w:r>
        <w:rPr>
          <w:rFonts w:hint="eastAsia" w:ascii="宋体" w:hAnsi="宋体" w:eastAsia="宋体" w:cs="宋体"/>
          <w:b/>
          <w:w w:val="110"/>
          <w:sz w:val="48"/>
          <w:szCs w:val="48"/>
          <w:highlight w:val="none"/>
        </w:rPr>
        <w:t>华州服务区</w:t>
      </w:r>
      <w:r>
        <w:rPr>
          <w:rFonts w:hint="eastAsia" w:ascii="宋体" w:hAnsi="宋体" w:cs="宋体"/>
          <w:b/>
          <w:w w:val="110"/>
          <w:sz w:val="48"/>
          <w:szCs w:val="48"/>
          <w:highlight w:val="none"/>
          <w:lang w:eastAsia="zh-CN"/>
        </w:rPr>
        <w:t>西</w:t>
      </w:r>
      <w:r>
        <w:rPr>
          <w:rFonts w:hint="eastAsia" w:ascii="宋体" w:hAnsi="宋体" w:eastAsia="宋体" w:cs="宋体"/>
          <w:b/>
          <w:w w:val="110"/>
          <w:sz w:val="48"/>
          <w:szCs w:val="48"/>
          <w:highlight w:val="none"/>
        </w:rPr>
        <w:t>加油站项目</w:t>
      </w:r>
      <w:r>
        <w:rPr>
          <w:rFonts w:hint="eastAsia" w:ascii="宋体" w:hAnsi="宋体" w:cs="宋体"/>
          <w:b/>
          <w:w w:val="110"/>
          <w:sz w:val="48"/>
          <w:szCs w:val="48"/>
          <w:highlight w:val="none"/>
          <w:lang w:eastAsia="zh-CN"/>
        </w:rPr>
        <w:t>（水、气、噪）</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center"/>
        <w:textAlignment w:val="auto"/>
        <w:rPr>
          <w:rFonts w:hint="eastAsia" w:ascii="Microsoft JhengHei" w:hAnsi="Microsoft JhengHei" w:eastAsia="Microsoft JhengHei"/>
          <w:b/>
          <w:w w:val="110"/>
          <w:sz w:val="48"/>
          <w:highlight w:val="none"/>
        </w:rPr>
      </w:pPr>
      <w:r>
        <w:rPr>
          <w:rFonts w:hint="eastAsia" w:ascii="宋体" w:hAnsi="宋体" w:eastAsia="宋体" w:cs="宋体"/>
          <w:b/>
          <w:w w:val="110"/>
          <w:sz w:val="48"/>
          <w:szCs w:val="48"/>
          <w:highlight w:val="none"/>
        </w:rPr>
        <w:t>竣工环境保护验收监测报告表</w:t>
      </w:r>
    </w:p>
    <w:bookmarkEnd w:id="127"/>
    <w:p>
      <w:pPr>
        <w:pStyle w:val="4"/>
        <w:rPr>
          <w:rFonts w:ascii="Microsoft JhengHei"/>
          <w:b/>
          <w:sz w:val="50"/>
          <w:highlight w:val="none"/>
        </w:rPr>
      </w:pPr>
    </w:p>
    <w:p>
      <w:pPr>
        <w:pStyle w:val="4"/>
        <w:rPr>
          <w:rFonts w:ascii="Microsoft JhengHei"/>
          <w:b/>
          <w:sz w:val="50"/>
          <w:highlight w:val="none"/>
        </w:rPr>
      </w:pPr>
    </w:p>
    <w:p>
      <w:pPr>
        <w:pStyle w:val="4"/>
        <w:rPr>
          <w:rFonts w:ascii="Microsoft JhengHei"/>
          <w:b/>
          <w:sz w:val="50"/>
          <w:highlight w:val="none"/>
        </w:rPr>
      </w:pPr>
    </w:p>
    <w:p>
      <w:pPr>
        <w:spacing w:before="0"/>
        <w:ind w:left="1270" w:right="0" w:firstLine="0"/>
        <w:jc w:val="left"/>
        <w:rPr>
          <w:rFonts w:hint="eastAsia" w:ascii="宋体" w:hAnsi="宋体" w:eastAsia="宋体" w:cs="宋体"/>
          <w:w w:val="105"/>
          <w:sz w:val="30"/>
          <w:szCs w:val="30"/>
          <w:highlight w:val="none"/>
        </w:rPr>
      </w:pPr>
    </w:p>
    <w:p>
      <w:pPr>
        <w:spacing w:before="0"/>
        <w:ind w:left="1270" w:right="0" w:firstLine="0"/>
        <w:jc w:val="left"/>
        <w:rPr>
          <w:rFonts w:hint="eastAsia" w:ascii="宋体" w:hAnsi="宋体" w:eastAsia="宋体" w:cs="宋体"/>
          <w:w w:val="105"/>
          <w:sz w:val="30"/>
          <w:szCs w:val="30"/>
          <w:highlight w:val="none"/>
        </w:rPr>
      </w:pPr>
    </w:p>
    <w:p>
      <w:pPr>
        <w:spacing w:before="0"/>
        <w:ind w:left="1270" w:right="0" w:firstLine="0"/>
        <w:jc w:val="left"/>
        <w:rPr>
          <w:rFonts w:hint="eastAsia" w:ascii="宋体" w:hAnsi="宋体" w:eastAsia="宋体" w:cs="宋体"/>
          <w:w w:val="105"/>
          <w:sz w:val="30"/>
          <w:szCs w:val="30"/>
          <w:highlight w:val="none"/>
        </w:rPr>
      </w:pPr>
    </w:p>
    <w:p>
      <w:pPr>
        <w:spacing w:before="0"/>
        <w:ind w:left="1270" w:right="0" w:firstLine="0"/>
        <w:jc w:val="left"/>
        <w:rPr>
          <w:rFonts w:hint="eastAsia" w:ascii="宋体" w:hAnsi="宋体" w:eastAsia="宋体" w:cs="宋体"/>
          <w:w w:val="105"/>
          <w:sz w:val="30"/>
          <w:szCs w:val="30"/>
          <w:highlight w:val="none"/>
        </w:rPr>
      </w:pPr>
    </w:p>
    <w:p>
      <w:pPr>
        <w:spacing w:before="0"/>
        <w:ind w:left="1270" w:right="0" w:firstLine="0"/>
        <w:jc w:val="left"/>
        <w:rPr>
          <w:rFonts w:hint="eastAsia" w:ascii="宋体" w:hAnsi="宋体" w:eastAsia="宋体" w:cs="宋体"/>
          <w:w w:val="105"/>
          <w:sz w:val="30"/>
          <w:szCs w:val="30"/>
          <w:highlight w:val="none"/>
        </w:rPr>
      </w:pPr>
    </w:p>
    <w:p>
      <w:pPr>
        <w:spacing w:before="0"/>
        <w:ind w:left="1270" w:right="0" w:firstLine="0"/>
        <w:jc w:val="left"/>
        <w:rPr>
          <w:rFonts w:hint="eastAsia" w:ascii="宋体" w:hAnsi="宋体" w:eastAsia="宋体" w:cs="宋体"/>
          <w:w w:val="105"/>
          <w:sz w:val="30"/>
          <w:szCs w:val="30"/>
          <w:highlight w:val="none"/>
        </w:rPr>
      </w:pPr>
    </w:p>
    <w:p>
      <w:pPr>
        <w:spacing w:before="0"/>
        <w:ind w:left="1270" w:right="0" w:firstLine="0"/>
        <w:jc w:val="left"/>
        <w:rPr>
          <w:rFonts w:hint="eastAsia" w:ascii="宋体" w:hAnsi="宋体" w:eastAsia="宋体" w:cs="宋体"/>
          <w:w w:val="105"/>
          <w:sz w:val="30"/>
          <w:szCs w:val="30"/>
          <w:highlight w:val="none"/>
        </w:rPr>
      </w:pPr>
    </w:p>
    <w:p>
      <w:pPr>
        <w:spacing w:before="0"/>
        <w:ind w:left="1270" w:right="0" w:firstLine="0"/>
        <w:jc w:val="left"/>
        <w:rPr>
          <w:rFonts w:hint="eastAsia" w:ascii="宋体" w:hAnsi="宋体" w:eastAsia="宋体" w:cs="宋体"/>
          <w:w w:val="105"/>
          <w:sz w:val="30"/>
          <w:szCs w:val="30"/>
          <w:highlight w:val="none"/>
        </w:rPr>
      </w:pPr>
    </w:p>
    <w:p>
      <w:pPr>
        <w:spacing w:before="0"/>
        <w:ind w:left="1270" w:right="0" w:firstLine="0"/>
        <w:jc w:val="left"/>
        <w:rPr>
          <w:rFonts w:hint="eastAsia" w:ascii="宋体" w:hAnsi="宋体" w:eastAsia="宋体" w:cs="宋体"/>
          <w:w w:val="105"/>
          <w:sz w:val="30"/>
          <w:szCs w:val="30"/>
          <w:highlight w:val="none"/>
        </w:rPr>
      </w:pPr>
    </w:p>
    <w:p>
      <w:pPr>
        <w:spacing w:before="0"/>
        <w:ind w:left="1270" w:right="0" w:firstLine="0"/>
        <w:jc w:val="left"/>
        <w:rPr>
          <w:rFonts w:hint="eastAsia" w:ascii="宋体" w:hAnsi="宋体" w:eastAsia="宋体" w:cs="宋体"/>
          <w:w w:val="105"/>
          <w:sz w:val="30"/>
          <w:szCs w:val="30"/>
          <w:highlight w:val="none"/>
        </w:rPr>
      </w:pPr>
    </w:p>
    <w:p>
      <w:pPr>
        <w:spacing w:before="0"/>
        <w:ind w:left="1270" w:right="0" w:firstLine="0"/>
        <w:jc w:val="left"/>
        <w:rPr>
          <w:rFonts w:hint="eastAsia" w:ascii="宋体" w:hAnsi="宋体" w:eastAsia="宋体" w:cs="宋体"/>
          <w:w w:val="105"/>
          <w:sz w:val="30"/>
          <w:szCs w:val="30"/>
          <w:highlight w:val="none"/>
        </w:rPr>
      </w:pPr>
    </w:p>
    <w:p>
      <w:pPr>
        <w:keepNext w:val="0"/>
        <w:keepLines w:val="0"/>
        <w:pageBreakBefore w:val="0"/>
        <w:widowControl w:val="0"/>
        <w:kinsoku/>
        <w:wordWrap/>
        <w:overflowPunct/>
        <w:topLinePunct w:val="0"/>
        <w:autoSpaceDE w:val="0"/>
        <w:autoSpaceDN w:val="0"/>
        <w:bidi w:val="0"/>
        <w:adjustRightInd/>
        <w:snapToGrid/>
        <w:spacing w:before="0" w:line="360" w:lineRule="auto"/>
        <w:ind w:right="0" w:firstLine="756" w:firstLineChars="200"/>
        <w:jc w:val="left"/>
        <w:textAlignment w:val="auto"/>
        <w:rPr>
          <w:rFonts w:hint="eastAsia" w:ascii="宋体" w:hAnsi="宋体" w:eastAsia="宋体" w:cs="宋体"/>
          <w:w w:val="105"/>
          <w:sz w:val="36"/>
          <w:szCs w:val="36"/>
          <w:highlight w:val="none"/>
          <w:u w:val="single"/>
        </w:rPr>
      </w:pPr>
      <w:r>
        <w:rPr>
          <w:rFonts w:hint="eastAsia" w:ascii="宋体" w:hAnsi="宋体" w:eastAsia="宋体" w:cs="宋体"/>
          <w:w w:val="105"/>
          <w:sz w:val="36"/>
          <w:szCs w:val="36"/>
          <w:highlight w:val="none"/>
          <w:u w:val="none"/>
        </w:rPr>
        <w:t xml:space="preserve">建设单位: </w:t>
      </w:r>
      <w:r>
        <w:rPr>
          <w:rFonts w:hint="eastAsia" w:ascii="宋体" w:hAnsi="宋体" w:eastAsia="宋体" w:cs="宋体"/>
          <w:w w:val="105"/>
          <w:sz w:val="36"/>
          <w:szCs w:val="36"/>
          <w:highlight w:val="none"/>
          <w:u w:val="single"/>
        </w:rPr>
        <w:t>陕西省石油化工工业贸易有限公司</w:t>
      </w:r>
    </w:p>
    <w:p>
      <w:pPr>
        <w:keepNext w:val="0"/>
        <w:keepLines w:val="0"/>
        <w:pageBreakBefore w:val="0"/>
        <w:widowControl w:val="0"/>
        <w:kinsoku/>
        <w:wordWrap/>
        <w:overflowPunct/>
        <w:topLinePunct w:val="0"/>
        <w:autoSpaceDE w:val="0"/>
        <w:autoSpaceDN w:val="0"/>
        <w:bidi w:val="0"/>
        <w:adjustRightInd/>
        <w:snapToGrid/>
        <w:spacing w:before="0" w:line="360" w:lineRule="auto"/>
        <w:ind w:right="0" w:firstLine="756" w:firstLineChars="200"/>
        <w:jc w:val="left"/>
        <w:textAlignment w:val="auto"/>
        <w:rPr>
          <w:rFonts w:hint="default" w:ascii="宋体" w:hAnsi="宋体" w:eastAsia="宋体" w:cs="宋体"/>
          <w:w w:val="105"/>
          <w:sz w:val="36"/>
          <w:szCs w:val="36"/>
          <w:highlight w:val="none"/>
          <w:u w:val="single"/>
          <w:lang w:val="en-US" w:eastAsia="zh-CN"/>
        </w:rPr>
      </w:pPr>
      <w:r>
        <w:rPr>
          <w:rFonts w:hint="eastAsia" w:ascii="宋体" w:hAnsi="宋体" w:eastAsia="宋体" w:cs="宋体"/>
          <w:w w:val="105"/>
          <w:sz w:val="36"/>
          <w:szCs w:val="36"/>
          <w:highlight w:val="none"/>
          <w:u w:val="none"/>
        </w:rPr>
        <w:t>编制单位：</w:t>
      </w:r>
      <w:r>
        <w:rPr>
          <w:rFonts w:hint="eastAsia" w:ascii="宋体" w:hAnsi="宋体" w:cs="宋体"/>
          <w:w w:val="105"/>
          <w:sz w:val="36"/>
          <w:szCs w:val="36"/>
          <w:highlight w:val="none"/>
          <w:u w:val="single"/>
          <w:lang w:val="en-US" w:eastAsia="zh-CN"/>
        </w:rPr>
        <w:t xml:space="preserve"> </w:t>
      </w:r>
      <w:r>
        <w:rPr>
          <w:rFonts w:hint="eastAsia" w:ascii="宋体" w:hAnsi="宋体" w:eastAsia="宋体" w:cs="宋体"/>
          <w:w w:val="105"/>
          <w:sz w:val="36"/>
          <w:szCs w:val="36"/>
          <w:highlight w:val="none"/>
          <w:u w:val="single"/>
          <w:lang w:eastAsia="zh-CN"/>
        </w:rPr>
        <w:t>西安海浪环保科技有限公司</w:t>
      </w:r>
      <w:r>
        <w:rPr>
          <w:rFonts w:hint="eastAsia" w:ascii="宋体" w:hAnsi="宋体" w:eastAsia="宋体" w:cs="宋体"/>
          <w:w w:val="105"/>
          <w:sz w:val="36"/>
          <w:szCs w:val="36"/>
          <w:highlight w:val="none"/>
          <w:u w:val="single"/>
          <w:lang w:val="en-US" w:eastAsia="zh-CN"/>
        </w:rPr>
        <w:t xml:space="preserve">    </w:t>
      </w:r>
      <w:r>
        <w:rPr>
          <w:rFonts w:hint="eastAsia" w:ascii="宋体" w:hAnsi="宋体" w:cs="宋体"/>
          <w:w w:val="105"/>
          <w:sz w:val="36"/>
          <w:szCs w:val="36"/>
          <w:highlight w:val="none"/>
          <w:u w:val="single"/>
          <w:lang w:val="en-US" w:eastAsia="zh-CN"/>
        </w:rPr>
        <w:t xml:space="preserve"> </w:t>
      </w:r>
    </w:p>
    <w:p>
      <w:pPr>
        <w:pStyle w:val="4"/>
        <w:rPr>
          <w:rFonts w:ascii="PMingLiU"/>
          <w:sz w:val="28"/>
          <w:highlight w:val="none"/>
        </w:rPr>
      </w:pPr>
    </w:p>
    <w:p>
      <w:pPr>
        <w:pStyle w:val="4"/>
        <w:rPr>
          <w:rFonts w:ascii="PMingLiU"/>
          <w:sz w:val="28"/>
          <w:highlight w:val="none"/>
        </w:rPr>
      </w:pPr>
    </w:p>
    <w:p>
      <w:pPr>
        <w:pStyle w:val="4"/>
        <w:rPr>
          <w:rFonts w:ascii="PMingLiU"/>
          <w:sz w:val="28"/>
          <w:highlight w:val="none"/>
        </w:rPr>
      </w:pPr>
    </w:p>
    <w:p>
      <w:pPr>
        <w:pStyle w:val="4"/>
        <w:rPr>
          <w:rFonts w:ascii="PMingLiU"/>
          <w:sz w:val="28"/>
          <w:highlight w:val="none"/>
        </w:rPr>
      </w:pPr>
    </w:p>
    <w:p>
      <w:pPr>
        <w:pStyle w:val="4"/>
        <w:spacing w:before="12"/>
        <w:rPr>
          <w:rFonts w:ascii="PMingLiU"/>
          <w:sz w:val="28"/>
          <w:highlight w:val="none"/>
        </w:rPr>
      </w:pPr>
    </w:p>
    <w:p>
      <w:pPr>
        <w:spacing w:before="0"/>
        <w:ind w:left="2230" w:right="2243" w:firstLine="0"/>
        <w:jc w:val="center"/>
        <w:rPr>
          <w:rFonts w:hint="default" w:ascii="Times New Roman" w:hAnsi="Times New Roman" w:eastAsia="宋体" w:cs="Times New Roman"/>
          <w:sz w:val="28"/>
          <w:highlight w:val="none"/>
        </w:rPr>
      </w:pPr>
      <w:r>
        <w:rPr>
          <w:rFonts w:hint="default" w:ascii="Times New Roman" w:hAnsi="Times New Roman" w:eastAsia="宋体" w:cs="Times New Roman"/>
          <w:b/>
          <w:w w:val="120"/>
          <w:sz w:val="28"/>
          <w:highlight w:val="none"/>
          <w:lang w:val="en-US" w:eastAsia="zh-CN"/>
        </w:rPr>
        <w:t>2019</w:t>
      </w:r>
      <w:r>
        <w:rPr>
          <w:rFonts w:hint="default" w:ascii="Times New Roman" w:hAnsi="Times New Roman" w:eastAsia="宋体" w:cs="Times New Roman"/>
          <w:w w:val="120"/>
          <w:sz w:val="28"/>
          <w:highlight w:val="none"/>
        </w:rPr>
        <w:t>年</w:t>
      </w:r>
      <w:r>
        <w:rPr>
          <w:rFonts w:hint="default" w:ascii="Times New Roman" w:hAnsi="Times New Roman" w:eastAsia="宋体" w:cs="Times New Roman"/>
          <w:b/>
          <w:w w:val="120"/>
          <w:sz w:val="28"/>
          <w:highlight w:val="none"/>
          <w:lang w:val="en-US" w:eastAsia="zh-CN"/>
        </w:rPr>
        <w:t>11</w:t>
      </w:r>
      <w:r>
        <w:rPr>
          <w:rFonts w:hint="default" w:ascii="Times New Roman" w:hAnsi="Times New Roman" w:eastAsia="宋体" w:cs="Times New Roman"/>
          <w:w w:val="120"/>
          <w:sz w:val="28"/>
          <w:highlight w:val="none"/>
        </w:rPr>
        <w:t>月</w:t>
      </w:r>
    </w:p>
    <w:p>
      <w:pPr>
        <w:spacing w:after="0"/>
        <w:jc w:val="center"/>
        <w:rPr>
          <w:rFonts w:hint="eastAsia" w:ascii="PMingLiU" w:hAnsi="PMingLiU" w:eastAsia="PMingLiU"/>
          <w:sz w:val="28"/>
          <w:highlight w:val="none"/>
        </w:rPr>
        <w:sectPr>
          <w:pgSz w:w="11910" w:h="16840"/>
          <w:pgMar w:top="1380" w:right="1300" w:bottom="880" w:left="850" w:header="0" w:footer="682" w:gutter="0"/>
          <w:pgBorders>
            <w:top w:val="none" w:sz="0" w:space="0"/>
            <w:left w:val="none" w:sz="0" w:space="0"/>
            <w:bottom w:val="none" w:sz="0" w:space="0"/>
            <w:right w:val="none" w:sz="0" w:space="0"/>
          </w:pgBorders>
        </w:sectPr>
      </w:pPr>
    </w:p>
    <w:p>
      <w:pPr>
        <w:pStyle w:val="4"/>
        <w:spacing w:before="6"/>
        <w:rPr>
          <w:rFonts w:ascii="PMingLiU"/>
          <w:sz w:val="28"/>
          <w:highlight w:val="none"/>
        </w:rPr>
      </w:pPr>
    </w:p>
    <w:p>
      <w:pPr>
        <w:keepNext w:val="0"/>
        <w:keepLines w:val="0"/>
        <w:pageBreakBefore w:val="0"/>
        <w:widowControl w:val="0"/>
        <w:tabs>
          <w:tab w:val="left" w:pos="4760"/>
        </w:tabs>
        <w:kinsoku/>
        <w:wordWrap w:val="0"/>
        <w:overflowPunct/>
        <w:topLinePunct w:val="0"/>
        <w:autoSpaceDE w:val="0"/>
        <w:autoSpaceDN w:val="0"/>
        <w:bidi w:val="0"/>
        <w:adjustRightInd/>
        <w:snapToGrid/>
        <w:spacing w:before="0" w:line="480" w:lineRule="auto"/>
        <w:ind w:left="482" w:right="0" w:firstLine="0"/>
        <w:jc w:val="left"/>
        <w:textAlignment w:val="auto"/>
        <w:rPr>
          <w:rFonts w:hint="eastAsia" w:ascii="宋体" w:hAnsi="宋体" w:eastAsia="宋体" w:cs="宋体"/>
          <w:sz w:val="32"/>
          <w:szCs w:val="32"/>
          <w:highlight w:val="none"/>
        </w:rPr>
      </w:pPr>
      <w:r>
        <w:rPr>
          <w:rFonts w:hint="eastAsia" w:ascii="宋体" w:hAnsi="宋体" w:eastAsia="宋体" w:cs="宋体"/>
          <w:b/>
          <w:w w:val="105"/>
          <w:sz w:val="32"/>
          <w:szCs w:val="32"/>
          <w:highlight w:val="none"/>
        </w:rPr>
        <w:t>建设单位法人代</w:t>
      </w:r>
      <w:r>
        <w:rPr>
          <w:rFonts w:hint="eastAsia" w:ascii="宋体" w:hAnsi="宋体" w:eastAsia="宋体" w:cs="宋体"/>
          <w:b/>
          <w:spacing w:val="3"/>
          <w:w w:val="105"/>
          <w:sz w:val="32"/>
          <w:szCs w:val="32"/>
          <w:highlight w:val="none"/>
        </w:rPr>
        <w:t>表</w:t>
      </w:r>
      <w:r>
        <w:rPr>
          <w:rFonts w:hint="eastAsia" w:ascii="宋体" w:hAnsi="宋体" w:eastAsia="宋体" w:cs="宋体"/>
          <w:b/>
          <w:w w:val="175"/>
          <w:sz w:val="32"/>
          <w:szCs w:val="32"/>
          <w:highlight w:val="none"/>
        </w:rPr>
        <w:t>:</w:t>
      </w:r>
      <w:r>
        <w:rPr>
          <w:rFonts w:hint="eastAsia" w:ascii="宋体" w:hAnsi="宋体" w:eastAsia="宋体" w:cs="宋体"/>
          <w:b/>
          <w:w w:val="175"/>
          <w:sz w:val="32"/>
          <w:szCs w:val="32"/>
          <w:highlight w:val="none"/>
        </w:rPr>
        <w:tab/>
      </w:r>
      <w:r>
        <w:rPr>
          <w:rFonts w:hint="eastAsia" w:ascii="宋体" w:hAnsi="宋体" w:eastAsia="宋体" w:cs="宋体"/>
          <w:w w:val="105"/>
          <w:sz w:val="32"/>
          <w:szCs w:val="32"/>
          <w:highlight w:val="none"/>
        </w:rPr>
        <w:t>（签字）</w:t>
      </w:r>
    </w:p>
    <w:p>
      <w:pPr>
        <w:keepNext w:val="0"/>
        <w:keepLines w:val="0"/>
        <w:pageBreakBefore w:val="0"/>
        <w:widowControl w:val="0"/>
        <w:tabs>
          <w:tab w:val="left" w:pos="984"/>
          <w:tab w:val="left" w:pos="1490"/>
          <w:tab w:val="left" w:pos="2369"/>
          <w:tab w:val="left" w:pos="4760"/>
          <w:tab w:val="left" w:pos="5568"/>
          <w:tab w:val="left" w:pos="7888"/>
        </w:tabs>
        <w:kinsoku/>
        <w:wordWrap w:val="0"/>
        <w:overflowPunct/>
        <w:topLinePunct w:val="0"/>
        <w:autoSpaceDE w:val="0"/>
        <w:autoSpaceDN w:val="0"/>
        <w:bidi w:val="0"/>
        <w:adjustRightInd/>
        <w:snapToGrid/>
        <w:spacing w:before="0" w:line="480" w:lineRule="auto"/>
        <w:ind w:left="482" w:right="32" w:rightChars="0" w:firstLine="0"/>
        <w:jc w:val="left"/>
        <w:textAlignment w:val="auto"/>
        <w:rPr>
          <w:rFonts w:hint="eastAsia" w:ascii="宋体" w:hAnsi="宋体" w:eastAsia="宋体" w:cs="宋体"/>
          <w:spacing w:val="-17"/>
          <w:sz w:val="32"/>
          <w:szCs w:val="32"/>
          <w:highlight w:val="none"/>
        </w:rPr>
      </w:pPr>
      <w:r>
        <w:rPr>
          <w:rFonts w:hint="eastAsia" w:ascii="宋体" w:hAnsi="宋体" w:eastAsia="宋体" w:cs="宋体"/>
          <w:b/>
          <w:w w:val="105"/>
          <w:sz w:val="32"/>
          <w:szCs w:val="32"/>
          <w:highlight w:val="none"/>
        </w:rPr>
        <w:t>编制单位法人代表:</w:t>
      </w:r>
      <w:r>
        <w:rPr>
          <w:rFonts w:hint="eastAsia" w:ascii="宋体" w:hAnsi="宋体" w:eastAsia="宋体" w:cs="宋体"/>
          <w:b/>
          <w:w w:val="105"/>
          <w:sz w:val="32"/>
          <w:szCs w:val="32"/>
          <w:highlight w:val="none"/>
        </w:rPr>
        <w:tab/>
      </w:r>
      <w:r>
        <w:rPr>
          <w:rFonts w:hint="eastAsia" w:ascii="宋体" w:hAnsi="宋体" w:eastAsia="宋体" w:cs="宋体"/>
          <w:w w:val="105"/>
          <w:sz w:val="32"/>
          <w:szCs w:val="32"/>
          <w:highlight w:val="none"/>
        </w:rPr>
        <w:t>（签字）</w:t>
      </w:r>
    </w:p>
    <w:p>
      <w:pPr>
        <w:keepNext w:val="0"/>
        <w:keepLines w:val="0"/>
        <w:pageBreakBefore w:val="0"/>
        <w:widowControl w:val="0"/>
        <w:tabs>
          <w:tab w:val="left" w:pos="984"/>
          <w:tab w:val="left" w:pos="1490"/>
          <w:tab w:val="left" w:pos="2369"/>
          <w:tab w:val="left" w:pos="4760"/>
          <w:tab w:val="left" w:pos="5568"/>
          <w:tab w:val="left" w:pos="7888"/>
        </w:tabs>
        <w:kinsoku/>
        <w:wordWrap w:val="0"/>
        <w:overflowPunct/>
        <w:topLinePunct w:val="0"/>
        <w:autoSpaceDE w:val="0"/>
        <w:autoSpaceDN w:val="0"/>
        <w:bidi w:val="0"/>
        <w:adjustRightInd/>
        <w:snapToGrid/>
        <w:spacing w:before="0" w:line="480" w:lineRule="auto"/>
        <w:ind w:left="482" w:right="32" w:rightChars="0" w:firstLine="0"/>
        <w:jc w:val="left"/>
        <w:textAlignment w:val="auto"/>
        <w:rPr>
          <w:rFonts w:hint="eastAsia" w:ascii="宋体" w:hAnsi="宋体" w:eastAsia="宋体" w:cs="宋体"/>
          <w:b/>
          <w:w w:val="105"/>
          <w:sz w:val="32"/>
          <w:szCs w:val="32"/>
          <w:highlight w:val="none"/>
        </w:rPr>
      </w:pPr>
      <w:r>
        <w:rPr>
          <w:rFonts w:hint="eastAsia" w:ascii="宋体" w:hAnsi="宋体" w:eastAsia="宋体" w:cs="宋体"/>
          <w:b/>
          <w:w w:val="105"/>
          <w:sz w:val="32"/>
          <w:szCs w:val="32"/>
          <w:highlight w:val="none"/>
        </w:rPr>
        <w:t>项</w:t>
      </w:r>
      <w:r>
        <w:rPr>
          <w:rFonts w:hint="eastAsia" w:ascii="宋体" w:hAnsi="宋体" w:eastAsia="宋体" w:cs="宋体"/>
          <w:b/>
          <w:w w:val="105"/>
          <w:sz w:val="32"/>
          <w:szCs w:val="32"/>
          <w:highlight w:val="none"/>
        </w:rPr>
        <w:tab/>
      </w:r>
      <w:r>
        <w:rPr>
          <w:rFonts w:hint="eastAsia" w:ascii="宋体" w:hAnsi="宋体" w:eastAsia="宋体" w:cs="宋体"/>
          <w:b/>
          <w:w w:val="105"/>
          <w:sz w:val="32"/>
          <w:szCs w:val="32"/>
          <w:highlight w:val="none"/>
        </w:rPr>
        <w:t>目</w:t>
      </w:r>
      <w:r>
        <w:rPr>
          <w:rFonts w:hint="eastAsia" w:ascii="宋体" w:hAnsi="宋体" w:eastAsia="宋体" w:cs="宋体"/>
          <w:b/>
          <w:w w:val="105"/>
          <w:sz w:val="32"/>
          <w:szCs w:val="32"/>
          <w:highlight w:val="none"/>
        </w:rPr>
        <w:tab/>
      </w:r>
      <w:r>
        <w:rPr>
          <w:rFonts w:hint="eastAsia" w:ascii="宋体" w:hAnsi="宋体" w:eastAsia="宋体" w:cs="宋体"/>
          <w:b/>
          <w:w w:val="105"/>
          <w:sz w:val="32"/>
          <w:szCs w:val="32"/>
          <w:highlight w:val="none"/>
        </w:rPr>
        <w:t>负 责</w:t>
      </w:r>
      <w:r>
        <w:rPr>
          <w:rFonts w:hint="eastAsia" w:ascii="宋体" w:hAnsi="宋体" w:eastAsia="宋体" w:cs="宋体"/>
          <w:b/>
          <w:w w:val="105"/>
          <w:sz w:val="32"/>
          <w:szCs w:val="32"/>
          <w:highlight w:val="none"/>
        </w:rPr>
        <w:tab/>
      </w:r>
      <w:r>
        <w:rPr>
          <w:rFonts w:hint="eastAsia" w:ascii="宋体" w:hAnsi="宋体" w:eastAsia="宋体" w:cs="宋体"/>
          <w:b/>
          <w:w w:val="105"/>
          <w:sz w:val="32"/>
          <w:szCs w:val="32"/>
          <w:highlight w:val="none"/>
        </w:rPr>
        <w:t>人:</w:t>
      </w:r>
    </w:p>
    <w:p>
      <w:pPr>
        <w:keepNext w:val="0"/>
        <w:keepLines w:val="0"/>
        <w:pageBreakBefore w:val="0"/>
        <w:widowControl w:val="0"/>
        <w:tabs>
          <w:tab w:val="left" w:pos="1349"/>
          <w:tab w:val="left" w:pos="2217"/>
        </w:tabs>
        <w:kinsoku/>
        <w:wordWrap w:val="0"/>
        <w:overflowPunct/>
        <w:topLinePunct w:val="0"/>
        <w:autoSpaceDE w:val="0"/>
        <w:autoSpaceDN w:val="0"/>
        <w:bidi w:val="0"/>
        <w:adjustRightInd/>
        <w:snapToGrid/>
        <w:spacing w:before="0" w:line="480" w:lineRule="auto"/>
        <w:ind w:left="482" w:right="0" w:firstLine="0"/>
        <w:jc w:val="left"/>
        <w:textAlignment w:val="auto"/>
        <w:rPr>
          <w:rFonts w:hint="eastAsia" w:ascii="宋体" w:hAnsi="宋体" w:eastAsia="宋体" w:cs="宋体"/>
          <w:b/>
          <w:sz w:val="32"/>
          <w:szCs w:val="32"/>
          <w:highlight w:val="none"/>
        </w:rPr>
      </w:pPr>
      <w:r>
        <w:rPr>
          <w:rFonts w:hint="eastAsia" w:ascii="宋体" w:hAnsi="宋体" w:eastAsia="宋体" w:cs="宋体"/>
          <w:b/>
          <w:w w:val="90"/>
          <w:sz w:val="32"/>
          <w:szCs w:val="32"/>
          <w:highlight w:val="none"/>
        </w:rPr>
        <w:t>填</w:t>
      </w:r>
      <w:r>
        <w:rPr>
          <w:rFonts w:hint="eastAsia" w:ascii="宋体" w:hAnsi="宋体" w:eastAsia="宋体" w:cs="宋体"/>
          <w:b/>
          <w:w w:val="90"/>
          <w:sz w:val="32"/>
          <w:szCs w:val="32"/>
          <w:highlight w:val="none"/>
        </w:rPr>
        <w:tab/>
      </w:r>
      <w:r>
        <w:rPr>
          <w:rFonts w:hint="eastAsia" w:ascii="宋体" w:hAnsi="宋体" w:eastAsia="宋体" w:cs="宋体"/>
          <w:b/>
          <w:w w:val="90"/>
          <w:sz w:val="32"/>
          <w:szCs w:val="32"/>
          <w:highlight w:val="none"/>
        </w:rPr>
        <w:t>表</w:t>
      </w:r>
      <w:r>
        <w:rPr>
          <w:rFonts w:hint="eastAsia" w:ascii="宋体" w:hAnsi="宋体" w:eastAsia="宋体" w:cs="宋体"/>
          <w:b/>
          <w:w w:val="90"/>
          <w:sz w:val="32"/>
          <w:szCs w:val="32"/>
          <w:highlight w:val="none"/>
        </w:rPr>
        <w:tab/>
      </w:r>
      <w:r>
        <w:rPr>
          <w:rFonts w:hint="eastAsia" w:ascii="宋体" w:hAnsi="宋体" w:eastAsia="宋体" w:cs="宋体"/>
          <w:b/>
          <w:w w:val="90"/>
          <w:sz w:val="32"/>
          <w:szCs w:val="32"/>
          <w:highlight w:val="none"/>
        </w:rPr>
        <w:t>人</w:t>
      </w:r>
      <w:r>
        <w:rPr>
          <w:rFonts w:hint="eastAsia" w:ascii="宋体" w:hAnsi="宋体" w:eastAsia="宋体" w:cs="宋体"/>
          <w:b/>
          <w:spacing w:val="15"/>
          <w:w w:val="90"/>
          <w:sz w:val="32"/>
          <w:szCs w:val="32"/>
          <w:highlight w:val="none"/>
        </w:rPr>
        <w:t xml:space="preserve"> </w:t>
      </w:r>
      <w:r>
        <w:rPr>
          <w:rFonts w:hint="eastAsia" w:ascii="宋体" w:hAnsi="宋体" w:eastAsia="宋体" w:cs="宋体"/>
          <w:b/>
          <w:w w:val="90"/>
          <w:sz w:val="32"/>
          <w:szCs w:val="32"/>
          <w:highlight w:val="none"/>
        </w:rPr>
        <w:t>：</w:t>
      </w:r>
    </w:p>
    <w:p>
      <w:pPr>
        <w:pStyle w:val="4"/>
        <w:keepNext w:val="0"/>
        <w:keepLines w:val="0"/>
        <w:pageBreakBefore w:val="0"/>
        <w:widowControl w:val="0"/>
        <w:kinsoku/>
        <w:wordWrap w:val="0"/>
        <w:overflowPunct/>
        <w:topLinePunct w:val="0"/>
        <w:bidi w:val="0"/>
        <w:adjustRightInd/>
        <w:snapToGrid/>
        <w:jc w:val="left"/>
        <w:textAlignment w:val="auto"/>
        <w:rPr>
          <w:rFonts w:ascii="Microsoft JhengHei"/>
          <w:b/>
          <w:sz w:val="28"/>
          <w:highlight w:val="none"/>
        </w:rPr>
      </w:pPr>
    </w:p>
    <w:p>
      <w:pPr>
        <w:pStyle w:val="4"/>
        <w:rPr>
          <w:rFonts w:ascii="Microsoft JhengHei"/>
          <w:b/>
          <w:sz w:val="28"/>
          <w:highlight w:val="none"/>
        </w:rPr>
      </w:pPr>
    </w:p>
    <w:p>
      <w:pPr>
        <w:pStyle w:val="4"/>
        <w:rPr>
          <w:rFonts w:ascii="Microsoft JhengHei"/>
          <w:b/>
          <w:sz w:val="28"/>
          <w:highlight w:val="none"/>
        </w:rPr>
      </w:pPr>
    </w:p>
    <w:p>
      <w:pPr>
        <w:pStyle w:val="4"/>
        <w:rPr>
          <w:rFonts w:ascii="Microsoft JhengHei"/>
          <w:b/>
          <w:sz w:val="28"/>
          <w:highlight w:val="none"/>
        </w:rPr>
      </w:pPr>
    </w:p>
    <w:p>
      <w:pPr>
        <w:pStyle w:val="4"/>
        <w:rPr>
          <w:rFonts w:ascii="Microsoft JhengHei"/>
          <w:b/>
          <w:sz w:val="28"/>
          <w:highlight w:val="none"/>
        </w:rPr>
      </w:pPr>
    </w:p>
    <w:p>
      <w:pPr>
        <w:pStyle w:val="4"/>
        <w:rPr>
          <w:rFonts w:ascii="Microsoft JhengHei"/>
          <w:b/>
          <w:sz w:val="28"/>
          <w:highlight w:val="none"/>
        </w:rPr>
      </w:pPr>
    </w:p>
    <w:p>
      <w:pPr>
        <w:pStyle w:val="4"/>
        <w:rPr>
          <w:rFonts w:ascii="Microsoft JhengHei"/>
          <w:b/>
          <w:sz w:val="28"/>
          <w:highlight w:val="none"/>
        </w:rPr>
      </w:pPr>
    </w:p>
    <w:p>
      <w:pPr>
        <w:pStyle w:val="4"/>
        <w:rPr>
          <w:rFonts w:ascii="Microsoft JhengHei"/>
          <w:b/>
          <w:sz w:val="28"/>
          <w:highlight w:val="none"/>
        </w:rPr>
      </w:pPr>
    </w:p>
    <w:p>
      <w:pPr>
        <w:pStyle w:val="4"/>
        <w:rPr>
          <w:rFonts w:ascii="Microsoft JhengHei"/>
          <w:b/>
          <w:sz w:val="28"/>
          <w:highlight w:val="none"/>
        </w:rPr>
      </w:pPr>
    </w:p>
    <w:p>
      <w:pPr>
        <w:pStyle w:val="4"/>
        <w:rPr>
          <w:rFonts w:ascii="Microsoft JhengHei"/>
          <w:b/>
          <w:sz w:val="28"/>
          <w:highlight w:val="none"/>
        </w:rPr>
      </w:pPr>
    </w:p>
    <w:p>
      <w:pPr>
        <w:pStyle w:val="4"/>
        <w:rPr>
          <w:rFonts w:ascii="Microsoft JhengHei"/>
          <w:b/>
          <w:sz w:val="28"/>
          <w:highlight w:val="none"/>
        </w:rPr>
      </w:pPr>
    </w:p>
    <w:p>
      <w:pPr>
        <w:pStyle w:val="4"/>
        <w:spacing w:before="2"/>
        <w:rPr>
          <w:rFonts w:ascii="Microsoft JhengHei"/>
          <w:b/>
          <w:sz w:val="18"/>
          <w:highlight w:val="none"/>
        </w:rPr>
      </w:pPr>
    </w:p>
    <w:p>
      <w:pPr>
        <w:pStyle w:val="2"/>
        <w:tabs>
          <w:tab w:val="left" w:pos="2441"/>
          <w:tab w:val="left" w:pos="4680"/>
          <w:tab w:val="left" w:pos="7340"/>
        </w:tabs>
        <w:rPr>
          <w:rFonts w:hint="eastAsia" w:ascii="宋体" w:hAnsi="宋体" w:eastAsia="宋体" w:cs="宋体"/>
          <w:highlight w:val="none"/>
        </w:rPr>
      </w:pPr>
      <w:r>
        <w:rPr>
          <w:rFonts w:hint="eastAsia" w:ascii="宋体" w:hAnsi="宋体" w:eastAsia="宋体" w:cs="宋体"/>
          <w:highlight w:val="none"/>
        </w:rPr>
        <w:t>建设单位</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r>
        <w:rPr>
          <w:rFonts w:hint="eastAsia" w:ascii="宋体" w:hAnsi="宋体" w:eastAsia="宋体" w:cs="宋体"/>
          <w:spacing w:val="-3"/>
          <w:highlight w:val="none"/>
        </w:rPr>
        <w:t>（</w:t>
      </w:r>
      <w:r>
        <w:rPr>
          <w:rFonts w:hint="eastAsia" w:ascii="宋体" w:hAnsi="宋体" w:eastAsia="宋体" w:cs="宋体"/>
          <w:highlight w:val="none"/>
        </w:rPr>
        <w:t>盖章）</w:t>
      </w:r>
      <w:r>
        <w:rPr>
          <w:rFonts w:hint="eastAsia" w:ascii="宋体" w:hAnsi="宋体" w:eastAsia="宋体" w:cs="宋体"/>
          <w:highlight w:val="none"/>
        </w:rPr>
        <w:tab/>
      </w:r>
      <w:r>
        <w:rPr>
          <w:rFonts w:hint="eastAsia" w:ascii="宋体" w:hAnsi="宋体" w:eastAsia="宋体" w:cs="宋体"/>
          <w:spacing w:val="-3"/>
          <w:highlight w:val="none"/>
        </w:rPr>
        <w:t>编</w:t>
      </w:r>
      <w:r>
        <w:rPr>
          <w:rFonts w:hint="eastAsia" w:ascii="宋体" w:hAnsi="宋体" w:eastAsia="宋体" w:cs="宋体"/>
          <w:highlight w:val="none"/>
        </w:rPr>
        <w:t>制单位</w:t>
      </w:r>
      <w:r>
        <w:rPr>
          <w:rFonts w:hint="eastAsia" w:ascii="宋体" w:hAnsi="宋体" w:eastAsia="宋体" w:cs="宋体"/>
          <w:highlight w:val="none"/>
          <w:u w:val="single"/>
        </w:rPr>
        <w:tab/>
      </w:r>
      <w:r>
        <w:rPr>
          <w:rFonts w:hint="eastAsia" w:ascii="宋体" w:hAnsi="宋体" w:eastAsia="宋体" w:cs="宋体"/>
          <w:highlight w:val="none"/>
        </w:rPr>
        <w:t>（盖章）</w:t>
      </w:r>
    </w:p>
    <w:p>
      <w:pPr>
        <w:pStyle w:val="4"/>
        <w:spacing w:before="4"/>
        <w:rPr>
          <w:sz w:val="25"/>
          <w:highlight w:val="none"/>
        </w:rPr>
      </w:pPr>
    </w:p>
    <w:p>
      <w:pPr>
        <w:tabs>
          <w:tab w:val="left" w:pos="4680"/>
        </w:tabs>
        <w:spacing w:before="61"/>
        <w:ind w:left="480" w:right="0" w:firstLine="0"/>
        <w:jc w:val="left"/>
        <w:rPr>
          <w:sz w:val="28"/>
          <w:highlight w:val="none"/>
        </w:rPr>
      </w:pPr>
      <w:r>
        <w:rPr>
          <w:sz w:val="28"/>
          <w:highlight w:val="none"/>
        </w:rPr>
        <w:t>电话:</w:t>
      </w:r>
      <w:r>
        <w:rPr>
          <w:sz w:val="28"/>
          <w:highlight w:val="none"/>
        </w:rPr>
        <w:tab/>
      </w:r>
      <w:r>
        <w:rPr>
          <w:sz w:val="28"/>
          <w:highlight w:val="none"/>
        </w:rPr>
        <w:t>电话:</w:t>
      </w:r>
    </w:p>
    <w:p>
      <w:pPr>
        <w:pStyle w:val="4"/>
        <w:spacing w:before="3"/>
        <w:rPr>
          <w:sz w:val="30"/>
          <w:highlight w:val="none"/>
        </w:rPr>
      </w:pPr>
    </w:p>
    <w:p>
      <w:pPr>
        <w:tabs>
          <w:tab w:val="left" w:pos="4680"/>
        </w:tabs>
        <w:spacing w:before="0"/>
        <w:ind w:left="480" w:right="0" w:firstLine="0"/>
        <w:jc w:val="left"/>
        <w:rPr>
          <w:sz w:val="28"/>
          <w:highlight w:val="none"/>
        </w:rPr>
      </w:pPr>
      <w:r>
        <w:rPr>
          <w:sz w:val="28"/>
          <w:highlight w:val="none"/>
        </w:rPr>
        <w:t>传真:</w:t>
      </w:r>
      <w:r>
        <w:rPr>
          <w:sz w:val="28"/>
          <w:highlight w:val="none"/>
        </w:rPr>
        <w:tab/>
      </w:r>
      <w:r>
        <w:rPr>
          <w:sz w:val="28"/>
          <w:highlight w:val="none"/>
        </w:rPr>
        <w:t>传真:</w:t>
      </w:r>
    </w:p>
    <w:p>
      <w:pPr>
        <w:pStyle w:val="4"/>
        <w:spacing w:before="1"/>
        <w:rPr>
          <w:sz w:val="30"/>
          <w:highlight w:val="none"/>
        </w:rPr>
      </w:pPr>
    </w:p>
    <w:p>
      <w:pPr>
        <w:tabs>
          <w:tab w:val="left" w:pos="4680"/>
        </w:tabs>
        <w:spacing w:before="0"/>
        <w:ind w:left="480" w:right="0" w:firstLine="0"/>
        <w:jc w:val="left"/>
        <w:rPr>
          <w:sz w:val="28"/>
          <w:highlight w:val="none"/>
        </w:rPr>
      </w:pPr>
      <w:r>
        <w:rPr>
          <w:sz w:val="28"/>
          <w:highlight w:val="none"/>
        </w:rPr>
        <w:t>邮编:</w:t>
      </w:r>
      <w:r>
        <w:rPr>
          <w:sz w:val="28"/>
          <w:highlight w:val="none"/>
        </w:rPr>
        <w:tab/>
      </w:r>
      <w:r>
        <w:rPr>
          <w:sz w:val="28"/>
          <w:highlight w:val="none"/>
        </w:rPr>
        <w:t>邮编:</w:t>
      </w:r>
    </w:p>
    <w:p>
      <w:pPr>
        <w:pStyle w:val="4"/>
        <w:spacing w:before="1"/>
        <w:rPr>
          <w:sz w:val="30"/>
          <w:highlight w:val="none"/>
        </w:rPr>
      </w:pPr>
    </w:p>
    <w:p>
      <w:pPr>
        <w:tabs>
          <w:tab w:val="left" w:pos="4680"/>
        </w:tabs>
        <w:spacing w:before="1"/>
        <w:ind w:left="480" w:right="0" w:firstLine="0"/>
        <w:jc w:val="left"/>
        <w:rPr>
          <w:sz w:val="28"/>
          <w:highlight w:val="none"/>
        </w:rPr>
      </w:pPr>
      <w:r>
        <w:rPr>
          <w:sz w:val="28"/>
          <w:highlight w:val="none"/>
        </w:rPr>
        <w:t>地址:</w:t>
      </w:r>
      <w:r>
        <w:rPr>
          <w:sz w:val="28"/>
          <w:highlight w:val="none"/>
        </w:rPr>
        <w:tab/>
      </w:r>
      <w:r>
        <w:rPr>
          <w:sz w:val="28"/>
          <w:highlight w:val="none"/>
        </w:rPr>
        <w:t>地址:</w:t>
      </w:r>
    </w:p>
    <w:p>
      <w:pPr>
        <w:pStyle w:val="3"/>
        <w:rPr>
          <w:rFonts w:hint="eastAsia"/>
          <w:highlight w:val="none"/>
        </w:rPr>
        <w:sectPr>
          <w:headerReference r:id="rId3" w:type="default"/>
          <w:pgSz w:w="11906" w:h="16838"/>
          <w:pgMar w:top="1417" w:right="1417" w:bottom="1417" w:left="1417" w:header="1361" w:footer="1134" w:gutter="0"/>
          <w:pgBorders>
            <w:top w:val="none" w:sz="0" w:space="0"/>
            <w:left w:val="none" w:sz="0" w:space="0"/>
            <w:bottom w:val="none" w:sz="0" w:space="0"/>
            <w:right w:val="none" w:sz="0" w:space="0"/>
          </w:pgBorders>
          <w:pgNumType w:start="1"/>
          <w:cols w:space="720" w:num="1"/>
          <w:docGrid w:linePitch="467" w:charSpace="4710"/>
        </w:sectPr>
      </w:pPr>
    </w:p>
    <w:sdt>
      <w:sdtPr>
        <w:rPr>
          <w:rFonts w:ascii="宋体" w:hAnsi="宋体" w:eastAsia="宋体" w:cs="Times New Roman"/>
          <w:kern w:val="2"/>
          <w:sz w:val="21"/>
          <w:szCs w:val="24"/>
          <w:highlight w:val="none"/>
          <w:lang w:val="en-US" w:eastAsia="zh-CN" w:bidi="ar-SA"/>
        </w:rPr>
        <w:id w:val="147466514"/>
        <w15:color w:val="DBDBDB"/>
        <w:docPartObj>
          <w:docPartGallery w:val="Table of Contents"/>
          <w:docPartUnique/>
        </w:docPartObj>
      </w:sdtPr>
      <w:sdtEndPr>
        <w:rPr>
          <w:rFonts w:ascii="Calibri" w:hAnsi="Calibri" w:eastAsia="宋体" w:cs="Times New Roman"/>
          <w:kern w:val="2"/>
          <w:sz w:val="20"/>
          <w:szCs w:val="20"/>
          <w:highlight w:val="none"/>
          <w:lang w:val="en-US" w:eastAsia="zh-CN" w:bidi="ar-SA"/>
        </w:rPr>
      </w:sdtEndPr>
      <w:sdtContent>
        <w:p>
          <w:pPr>
            <w:spacing w:before="0" w:beforeLines="0" w:after="0" w:afterLines="0" w:line="240" w:lineRule="auto"/>
            <w:ind w:left="0" w:leftChars="0" w:right="0" w:rightChars="0" w:firstLine="0" w:firstLineChars="0"/>
            <w:jc w:val="center"/>
            <w:rPr>
              <w:highlight w:val="none"/>
            </w:rPr>
          </w:pPr>
          <w:bookmarkStart w:id="0" w:name="_Toc11903_WPSOffice_Type1"/>
          <w:r>
            <w:rPr>
              <w:rFonts w:ascii="宋体" w:hAnsi="宋体" w:eastAsia="宋体"/>
              <w:b/>
              <w:bCs/>
              <w:sz w:val="32"/>
              <w:szCs w:val="32"/>
              <w:highlight w:val="none"/>
            </w:rPr>
            <w:t>目录</w:t>
          </w:r>
        </w:p>
        <w:p>
          <w:pPr>
            <w:pStyle w:val="14"/>
            <w:tabs>
              <w:tab w:val="right" w:leader="dot" w:pos="9072"/>
            </w:tabs>
            <w:rPr>
              <w:highlight w:val="none"/>
            </w:rPr>
          </w:pPr>
        </w:p>
        <w:p>
          <w:pPr>
            <w:pStyle w:val="14"/>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_Toc28849_WPSOffice_Level1 </w:instrText>
          </w:r>
          <w:r>
            <w:rPr>
              <w:rFonts w:hint="default" w:ascii="Times New Roman" w:hAnsi="Times New Roman" w:eastAsia="宋体" w:cs="Times New Roman"/>
              <w:sz w:val="24"/>
              <w:szCs w:val="24"/>
              <w:highlight w:val="none"/>
            </w:rPr>
            <w:fldChar w:fldCharType="separate"/>
          </w:r>
          <w:sdt>
            <w:sdtPr>
              <w:rPr>
                <w:rFonts w:hint="default" w:ascii="Times New Roman" w:hAnsi="Times New Roman" w:eastAsia="宋体" w:cs="Times New Roman"/>
                <w:sz w:val="24"/>
                <w:szCs w:val="24"/>
                <w:highlight w:val="none"/>
              </w:rPr>
              <w:id w:val="147466514"/>
              <w:placeholder>
                <w:docPart w:val="{518fdcfc-3a36-4e17-b5e7-89313d1d03aa}"/>
              </w:placeholder>
              <w15:color w:val="509DF3"/>
            </w:sdtPr>
            <w:sdtEndPr>
              <w:rPr>
                <w:rFonts w:hint="default" w:ascii="Times New Roman" w:hAnsi="Times New Roman" w:eastAsia="宋体" w:cs="Times New Roman"/>
                <w:sz w:val="24"/>
                <w:szCs w:val="24"/>
                <w:highlight w:val="none"/>
              </w:rPr>
            </w:sdtEndPr>
            <w:sdtContent>
              <w:r>
                <w:rPr>
                  <w:rFonts w:hint="default" w:ascii="Times New Roman" w:hAnsi="Times New Roman" w:eastAsia="宋体" w:cs="Times New Roman"/>
                  <w:sz w:val="24"/>
                  <w:szCs w:val="24"/>
                  <w:highlight w:val="none"/>
                </w:rPr>
                <w:t>表一 建设项目基本情况及验收依据</w:t>
              </w:r>
            </w:sdtContent>
          </w:sdt>
          <w:r>
            <w:rPr>
              <w:rFonts w:hint="default" w:ascii="Times New Roman" w:hAnsi="Times New Roman" w:eastAsia="宋体" w:cs="Times New Roman"/>
              <w:sz w:val="24"/>
              <w:szCs w:val="24"/>
              <w:highlight w:val="none"/>
            </w:rPr>
            <w:tab/>
          </w:r>
          <w:bookmarkStart w:id="1" w:name="_Toc28849_WPSOffice_Level1Page"/>
          <w:r>
            <w:rPr>
              <w:rFonts w:hint="default" w:ascii="Times New Roman" w:hAnsi="Times New Roman" w:eastAsia="宋体" w:cs="Times New Roman"/>
              <w:sz w:val="24"/>
              <w:szCs w:val="24"/>
              <w:highlight w:val="none"/>
            </w:rPr>
            <w:t>1</w:t>
          </w:r>
          <w:bookmarkEnd w:id="1"/>
          <w:r>
            <w:rPr>
              <w:rFonts w:hint="default" w:ascii="Times New Roman" w:hAnsi="Times New Roman" w:eastAsia="宋体" w:cs="Times New Roman"/>
              <w:sz w:val="24"/>
              <w:szCs w:val="24"/>
              <w:highlight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_Toc32245_WPSOffice_Level1 </w:instrText>
          </w:r>
          <w:r>
            <w:rPr>
              <w:rFonts w:hint="default" w:ascii="Times New Roman" w:hAnsi="Times New Roman" w:eastAsia="宋体" w:cs="Times New Roman"/>
              <w:sz w:val="24"/>
              <w:szCs w:val="24"/>
              <w:highlight w:val="none"/>
            </w:rPr>
            <w:fldChar w:fldCharType="separate"/>
          </w:r>
          <w:sdt>
            <w:sdtPr>
              <w:rPr>
                <w:rFonts w:hint="default" w:ascii="Times New Roman" w:hAnsi="Times New Roman" w:eastAsia="宋体" w:cs="Times New Roman"/>
                <w:sz w:val="24"/>
                <w:szCs w:val="24"/>
                <w:highlight w:val="none"/>
              </w:rPr>
              <w:id w:val="147466514"/>
              <w:placeholder>
                <w:docPart w:val="{d9d5a80f-aae8-4e67-933c-7ec23af006cd}"/>
              </w:placeholder>
              <w15:color w:val="509DF3"/>
            </w:sdtPr>
            <w:sdtEndPr>
              <w:rPr>
                <w:rFonts w:hint="default" w:ascii="Times New Roman" w:hAnsi="Times New Roman" w:eastAsia="宋体" w:cs="Times New Roman"/>
                <w:sz w:val="24"/>
                <w:szCs w:val="24"/>
                <w:highlight w:val="none"/>
              </w:rPr>
            </w:sdtEndPr>
            <w:sdtContent>
              <w:r>
                <w:rPr>
                  <w:rFonts w:hint="default" w:ascii="Times New Roman" w:hAnsi="Times New Roman" w:eastAsia="宋体" w:cs="Times New Roman"/>
                  <w:sz w:val="24"/>
                  <w:szCs w:val="24"/>
                  <w:highlight w:val="none"/>
                </w:rPr>
                <w:t>表二 建设项目工程概况</w:t>
              </w:r>
            </w:sdtContent>
          </w:sdt>
          <w:r>
            <w:rPr>
              <w:rFonts w:hint="default" w:ascii="Times New Roman" w:hAnsi="Times New Roman" w:eastAsia="宋体" w:cs="Times New Roman"/>
              <w:sz w:val="24"/>
              <w:szCs w:val="24"/>
              <w:highlight w:val="none"/>
            </w:rPr>
            <w:tab/>
          </w:r>
          <w:bookmarkStart w:id="2" w:name="_Toc32245_WPSOffice_Level1Page"/>
          <w:r>
            <w:rPr>
              <w:rFonts w:hint="default" w:ascii="Times New Roman" w:hAnsi="Times New Roman" w:eastAsia="宋体" w:cs="Times New Roman"/>
              <w:sz w:val="24"/>
              <w:szCs w:val="24"/>
              <w:highlight w:val="none"/>
            </w:rPr>
            <w:t>4</w:t>
          </w:r>
          <w:bookmarkEnd w:id="2"/>
          <w:r>
            <w:rPr>
              <w:rFonts w:hint="default" w:ascii="Times New Roman" w:hAnsi="Times New Roman" w:eastAsia="宋体" w:cs="Times New Roman"/>
              <w:sz w:val="24"/>
              <w:szCs w:val="24"/>
              <w:highlight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_Toc20995_WPSOffice_Level1 </w:instrText>
          </w:r>
          <w:r>
            <w:rPr>
              <w:rFonts w:hint="default" w:ascii="Times New Roman" w:hAnsi="Times New Roman" w:eastAsia="宋体" w:cs="Times New Roman"/>
              <w:sz w:val="24"/>
              <w:szCs w:val="24"/>
              <w:highlight w:val="none"/>
            </w:rPr>
            <w:fldChar w:fldCharType="separate"/>
          </w:r>
          <w:sdt>
            <w:sdtPr>
              <w:rPr>
                <w:rFonts w:hint="default" w:ascii="Times New Roman" w:hAnsi="Times New Roman" w:eastAsia="宋体" w:cs="Times New Roman"/>
                <w:sz w:val="24"/>
                <w:szCs w:val="24"/>
                <w:highlight w:val="none"/>
              </w:rPr>
              <w:id w:val="147466514"/>
              <w:placeholder>
                <w:docPart w:val="{0e48e6a5-c5f3-4e84-bdf0-d5b251e817da}"/>
              </w:placeholder>
              <w15:color w:val="509DF3"/>
            </w:sdtPr>
            <w:sdtEndPr>
              <w:rPr>
                <w:rFonts w:hint="default" w:ascii="Times New Roman" w:hAnsi="Times New Roman" w:eastAsia="宋体" w:cs="Times New Roman"/>
                <w:sz w:val="24"/>
                <w:szCs w:val="24"/>
                <w:highlight w:val="none"/>
              </w:rPr>
            </w:sdtEndPr>
            <w:sdtContent>
              <w:r>
                <w:rPr>
                  <w:rFonts w:hint="default" w:ascii="Times New Roman" w:hAnsi="Times New Roman" w:eastAsia="宋体" w:cs="Times New Roman"/>
                  <w:sz w:val="24"/>
                  <w:szCs w:val="24"/>
                  <w:highlight w:val="none"/>
                </w:rPr>
                <w:t>表三 主要污染源、污染物处理和排放</w:t>
              </w:r>
            </w:sdtContent>
          </w:sdt>
          <w:r>
            <w:rPr>
              <w:rFonts w:hint="default" w:ascii="Times New Roman" w:hAnsi="Times New Roman" w:eastAsia="宋体" w:cs="Times New Roman"/>
              <w:sz w:val="24"/>
              <w:szCs w:val="24"/>
              <w:highlight w:val="none"/>
            </w:rPr>
            <w:tab/>
          </w:r>
          <w:bookmarkStart w:id="3" w:name="_Toc20995_WPSOffice_Level1Page"/>
          <w:r>
            <w:rPr>
              <w:rFonts w:hint="default" w:ascii="Times New Roman" w:hAnsi="Times New Roman" w:eastAsia="宋体" w:cs="Times New Roman"/>
              <w:sz w:val="24"/>
              <w:szCs w:val="24"/>
              <w:highlight w:val="none"/>
            </w:rPr>
            <w:t>16</w:t>
          </w:r>
          <w:bookmarkEnd w:id="3"/>
          <w:r>
            <w:rPr>
              <w:rFonts w:hint="default" w:ascii="Times New Roman" w:hAnsi="Times New Roman" w:eastAsia="宋体" w:cs="Times New Roman"/>
              <w:sz w:val="24"/>
              <w:szCs w:val="24"/>
              <w:highlight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_Toc6327_WPSOffice_Level1 </w:instrText>
          </w:r>
          <w:r>
            <w:rPr>
              <w:rFonts w:hint="default" w:ascii="Times New Roman" w:hAnsi="Times New Roman" w:eastAsia="宋体" w:cs="Times New Roman"/>
              <w:sz w:val="24"/>
              <w:szCs w:val="24"/>
              <w:highlight w:val="none"/>
            </w:rPr>
            <w:fldChar w:fldCharType="separate"/>
          </w:r>
          <w:sdt>
            <w:sdtPr>
              <w:rPr>
                <w:rFonts w:hint="default" w:ascii="Times New Roman" w:hAnsi="Times New Roman" w:eastAsia="宋体" w:cs="Times New Roman"/>
                <w:sz w:val="24"/>
                <w:szCs w:val="24"/>
                <w:highlight w:val="none"/>
              </w:rPr>
              <w:id w:val="147466514"/>
              <w:placeholder>
                <w:docPart w:val="{528ec680-0925-49a4-a66d-d0a5fab72aaf}"/>
              </w:placeholder>
              <w15:color w:val="509DF3"/>
            </w:sdtPr>
            <w:sdtEndPr>
              <w:rPr>
                <w:rFonts w:hint="default" w:ascii="Times New Roman" w:hAnsi="Times New Roman" w:eastAsia="宋体" w:cs="Times New Roman"/>
                <w:sz w:val="24"/>
                <w:szCs w:val="24"/>
                <w:highlight w:val="none"/>
              </w:rPr>
            </w:sdtEndPr>
            <w:sdtContent>
              <w:r>
                <w:rPr>
                  <w:rFonts w:hint="default" w:ascii="Times New Roman" w:hAnsi="Times New Roman" w:eastAsia="宋体" w:cs="Times New Roman"/>
                  <w:sz w:val="24"/>
                  <w:szCs w:val="24"/>
                  <w:highlight w:val="none"/>
                </w:rPr>
                <w:t>表四 建设项目环境影响报告表主要结论及审批部门审批决定</w:t>
              </w:r>
            </w:sdtContent>
          </w:sdt>
          <w:r>
            <w:rPr>
              <w:rFonts w:hint="default" w:ascii="Times New Roman" w:hAnsi="Times New Roman" w:eastAsia="宋体" w:cs="Times New Roman"/>
              <w:sz w:val="24"/>
              <w:szCs w:val="24"/>
              <w:highlight w:val="none"/>
            </w:rPr>
            <w:tab/>
          </w:r>
          <w:bookmarkStart w:id="4" w:name="_Toc6327_WPSOffice_Level1Page"/>
          <w:r>
            <w:rPr>
              <w:rFonts w:hint="default" w:ascii="Times New Roman" w:hAnsi="Times New Roman" w:eastAsia="宋体" w:cs="Times New Roman"/>
              <w:sz w:val="24"/>
              <w:szCs w:val="24"/>
              <w:highlight w:val="none"/>
            </w:rPr>
            <w:t>22</w:t>
          </w:r>
          <w:bookmarkEnd w:id="4"/>
          <w:r>
            <w:rPr>
              <w:rFonts w:hint="default" w:ascii="Times New Roman" w:hAnsi="Times New Roman" w:eastAsia="宋体" w:cs="Times New Roman"/>
              <w:sz w:val="24"/>
              <w:szCs w:val="24"/>
              <w:highlight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_Toc6317_WPSOffice_Level1 </w:instrText>
          </w:r>
          <w:r>
            <w:rPr>
              <w:rFonts w:hint="default" w:ascii="Times New Roman" w:hAnsi="Times New Roman" w:eastAsia="宋体" w:cs="Times New Roman"/>
              <w:sz w:val="24"/>
              <w:szCs w:val="24"/>
              <w:highlight w:val="none"/>
            </w:rPr>
            <w:fldChar w:fldCharType="separate"/>
          </w:r>
          <w:sdt>
            <w:sdtPr>
              <w:rPr>
                <w:rFonts w:hint="default" w:ascii="Times New Roman" w:hAnsi="Times New Roman" w:eastAsia="宋体" w:cs="Times New Roman"/>
                <w:sz w:val="24"/>
                <w:szCs w:val="24"/>
                <w:highlight w:val="none"/>
              </w:rPr>
              <w:id w:val="147466514"/>
              <w:placeholder>
                <w:docPart w:val="{d47f8dc1-0964-4ca3-856f-0b846fd9a8b9}"/>
              </w:placeholder>
              <w15:color w:val="509DF3"/>
            </w:sdtPr>
            <w:sdtEndPr>
              <w:rPr>
                <w:rFonts w:hint="default" w:ascii="Times New Roman" w:hAnsi="Times New Roman" w:eastAsia="宋体" w:cs="Times New Roman"/>
                <w:sz w:val="24"/>
                <w:szCs w:val="24"/>
                <w:highlight w:val="none"/>
              </w:rPr>
            </w:sdtEndPr>
            <w:sdtContent>
              <w:r>
                <w:rPr>
                  <w:rFonts w:hint="default" w:ascii="Times New Roman" w:hAnsi="Times New Roman" w:eastAsia="宋体" w:cs="Times New Roman"/>
                  <w:sz w:val="24"/>
                  <w:szCs w:val="24"/>
                  <w:highlight w:val="none"/>
                </w:rPr>
                <w:t>表五 验收监测质量保证及质量控制</w:t>
              </w:r>
            </w:sdtContent>
          </w:sdt>
          <w:r>
            <w:rPr>
              <w:rFonts w:hint="default" w:ascii="Times New Roman" w:hAnsi="Times New Roman" w:eastAsia="宋体" w:cs="Times New Roman"/>
              <w:sz w:val="24"/>
              <w:szCs w:val="24"/>
              <w:highlight w:val="none"/>
            </w:rPr>
            <w:tab/>
          </w:r>
          <w:bookmarkStart w:id="5" w:name="_Toc6317_WPSOffice_Level1Page"/>
          <w:r>
            <w:rPr>
              <w:rFonts w:hint="default" w:ascii="Times New Roman" w:hAnsi="Times New Roman" w:eastAsia="宋体" w:cs="Times New Roman"/>
              <w:sz w:val="24"/>
              <w:szCs w:val="24"/>
              <w:highlight w:val="none"/>
            </w:rPr>
            <w:t>25</w:t>
          </w:r>
          <w:bookmarkEnd w:id="5"/>
          <w:r>
            <w:rPr>
              <w:rFonts w:hint="default" w:ascii="Times New Roman" w:hAnsi="Times New Roman" w:eastAsia="宋体" w:cs="Times New Roman"/>
              <w:sz w:val="24"/>
              <w:szCs w:val="24"/>
              <w:highlight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_Toc1671_WPSOffice_Level1 </w:instrText>
          </w:r>
          <w:r>
            <w:rPr>
              <w:rFonts w:hint="default" w:ascii="Times New Roman" w:hAnsi="Times New Roman" w:eastAsia="宋体" w:cs="Times New Roman"/>
              <w:sz w:val="24"/>
              <w:szCs w:val="24"/>
              <w:highlight w:val="none"/>
            </w:rPr>
            <w:fldChar w:fldCharType="separate"/>
          </w:r>
          <w:sdt>
            <w:sdtPr>
              <w:rPr>
                <w:rFonts w:hint="default" w:ascii="Times New Roman" w:hAnsi="Times New Roman" w:eastAsia="宋体" w:cs="Times New Roman"/>
                <w:sz w:val="24"/>
                <w:szCs w:val="24"/>
                <w:highlight w:val="none"/>
              </w:rPr>
              <w:id w:val="147466514"/>
              <w:placeholder>
                <w:docPart w:val="{c513d965-d3d1-4301-99ca-3c7a15d233e2}"/>
              </w:placeholder>
              <w15:color w:val="509DF3"/>
            </w:sdtPr>
            <w:sdtEndPr>
              <w:rPr>
                <w:rFonts w:hint="default" w:ascii="Times New Roman" w:hAnsi="Times New Roman" w:eastAsia="宋体" w:cs="Times New Roman"/>
                <w:sz w:val="24"/>
                <w:szCs w:val="24"/>
                <w:highlight w:val="none"/>
              </w:rPr>
            </w:sdtEndPr>
            <w:sdtContent>
              <w:r>
                <w:rPr>
                  <w:rFonts w:hint="default" w:ascii="Times New Roman" w:hAnsi="Times New Roman" w:eastAsia="宋体" w:cs="Times New Roman"/>
                  <w:sz w:val="24"/>
                  <w:szCs w:val="24"/>
                  <w:highlight w:val="none"/>
                </w:rPr>
                <w:t>表六 验收监测内容</w:t>
              </w:r>
            </w:sdtContent>
          </w:sdt>
          <w:r>
            <w:rPr>
              <w:rFonts w:hint="default" w:ascii="Times New Roman" w:hAnsi="Times New Roman" w:eastAsia="宋体" w:cs="Times New Roman"/>
              <w:sz w:val="24"/>
              <w:szCs w:val="24"/>
              <w:highlight w:val="none"/>
            </w:rPr>
            <w:tab/>
          </w:r>
          <w:bookmarkStart w:id="6" w:name="_Toc1671_WPSOffice_Level1Page"/>
          <w:r>
            <w:rPr>
              <w:rFonts w:hint="default" w:ascii="Times New Roman" w:hAnsi="Times New Roman" w:eastAsia="宋体" w:cs="Times New Roman"/>
              <w:sz w:val="24"/>
              <w:szCs w:val="24"/>
              <w:highlight w:val="none"/>
            </w:rPr>
            <w:t>28</w:t>
          </w:r>
          <w:bookmarkEnd w:id="6"/>
          <w:r>
            <w:rPr>
              <w:rFonts w:hint="default" w:ascii="Times New Roman" w:hAnsi="Times New Roman" w:eastAsia="宋体" w:cs="Times New Roman"/>
              <w:sz w:val="24"/>
              <w:szCs w:val="24"/>
              <w:highlight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_Toc30201_WPSOffice_Level1 </w:instrText>
          </w:r>
          <w:r>
            <w:rPr>
              <w:rFonts w:hint="default" w:ascii="Times New Roman" w:hAnsi="Times New Roman" w:eastAsia="宋体" w:cs="Times New Roman"/>
              <w:sz w:val="24"/>
              <w:szCs w:val="24"/>
              <w:highlight w:val="none"/>
            </w:rPr>
            <w:fldChar w:fldCharType="separate"/>
          </w:r>
          <w:sdt>
            <w:sdtPr>
              <w:rPr>
                <w:rFonts w:hint="default" w:ascii="Times New Roman" w:hAnsi="Times New Roman" w:eastAsia="宋体" w:cs="Times New Roman"/>
                <w:sz w:val="24"/>
                <w:szCs w:val="24"/>
                <w:highlight w:val="none"/>
              </w:rPr>
              <w:id w:val="147466514"/>
              <w:placeholder>
                <w:docPart w:val="{a6e18d09-2f19-4d37-85e3-30f4070537e0}"/>
              </w:placeholder>
              <w15:color w:val="509DF3"/>
            </w:sdtPr>
            <w:sdtEndPr>
              <w:rPr>
                <w:rFonts w:hint="default" w:ascii="Times New Roman" w:hAnsi="Times New Roman" w:eastAsia="宋体" w:cs="Times New Roman"/>
                <w:sz w:val="24"/>
                <w:szCs w:val="24"/>
                <w:highlight w:val="none"/>
              </w:rPr>
            </w:sdtEndPr>
            <w:sdtContent>
              <w:r>
                <w:rPr>
                  <w:rFonts w:hint="default" w:ascii="Times New Roman" w:hAnsi="Times New Roman" w:eastAsia="宋体" w:cs="Times New Roman"/>
                  <w:sz w:val="24"/>
                  <w:szCs w:val="24"/>
                  <w:highlight w:val="none"/>
                </w:rPr>
                <w:t>表七 验收监测期间生产工况记录及验收监测结果</w:t>
              </w:r>
            </w:sdtContent>
          </w:sdt>
          <w:r>
            <w:rPr>
              <w:rFonts w:hint="default" w:ascii="Times New Roman" w:hAnsi="Times New Roman" w:eastAsia="宋体" w:cs="Times New Roman"/>
              <w:sz w:val="24"/>
              <w:szCs w:val="24"/>
              <w:highlight w:val="none"/>
            </w:rPr>
            <w:tab/>
          </w:r>
          <w:bookmarkStart w:id="7" w:name="_Toc30201_WPSOffice_Level1Page"/>
          <w:r>
            <w:rPr>
              <w:rFonts w:hint="default" w:ascii="Times New Roman" w:hAnsi="Times New Roman" w:eastAsia="宋体" w:cs="Times New Roman"/>
              <w:sz w:val="24"/>
              <w:szCs w:val="24"/>
              <w:highlight w:val="none"/>
            </w:rPr>
            <w:t>30</w:t>
          </w:r>
          <w:bookmarkEnd w:id="7"/>
          <w:r>
            <w:rPr>
              <w:rFonts w:hint="default" w:ascii="Times New Roman" w:hAnsi="Times New Roman" w:eastAsia="宋体" w:cs="Times New Roman"/>
              <w:sz w:val="24"/>
              <w:szCs w:val="24"/>
              <w:highlight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_Toc13842_WPSOffice_Level1 </w:instrText>
          </w:r>
          <w:r>
            <w:rPr>
              <w:rFonts w:hint="default" w:ascii="Times New Roman" w:hAnsi="Times New Roman" w:eastAsia="宋体" w:cs="Times New Roman"/>
              <w:sz w:val="24"/>
              <w:szCs w:val="24"/>
              <w:highlight w:val="none"/>
            </w:rPr>
            <w:fldChar w:fldCharType="separate"/>
          </w:r>
          <w:sdt>
            <w:sdtPr>
              <w:rPr>
                <w:rFonts w:hint="default" w:ascii="Times New Roman" w:hAnsi="Times New Roman" w:eastAsia="宋体" w:cs="Times New Roman"/>
                <w:sz w:val="24"/>
                <w:szCs w:val="24"/>
                <w:highlight w:val="none"/>
              </w:rPr>
              <w:id w:val="147466514"/>
              <w:placeholder>
                <w:docPart w:val="{0b46bd4e-aa2d-4bed-86a1-df4d1d1b2e17}"/>
              </w:placeholder>
              <w15:color w:val="509DF3"/>
            </w:sdtPr>
            <w:sdtEndPr>
              <w:rPr>
                <w:rFonts w:hint="default" w:ascii="Times New Roman" w:hAnsi="Times New Roman" w:eastAsia="宋体" w:cs="Times New Roman"/>
                <w:sz w:val="24"/>
                <w:szCs w:val="24"/>
                <w:highlight w:val="none"/>
              </w:rPr>
            </w:sdtEndPr>
            <w:sdtContent>
              <w:r>
                <w:rPr>
                  <w:rFonts w:hint="default" w:ascii="Times New Roman" w:hAnsi="Times New Roman" w:eastAsia="宋体" w:cs="Times New Roman"/>
                  <w:sz w:val="24"/>
                  <w:szCs w:val="24"/>
                  <w:highlight w:val="none"/>
                </w:rPr>
                <w:t>表八 验收监测结论</w:t>
              </w:r>
            </w:sdtContent>
          </w:sdt>
          <w:r>
            <w:rPr>
              <w:rFonts w:hint="default" w:ascii="Times New Roman" w:hAnsi="Times New Roman" w:eastAsia="宋体" w:cs="Times New Roman"/>
              <w:sz w:val="24"/>
              <w:szCs w:val="24"/>
              <w:highlight w:val="none"/>
            </w:rPr>
            <w:tab/>
          </w:r>
          <w:bookmarkStart w:id="8" w:name="_Toc13842_WPSOffice_Level1Page"/>
          <w:r>
            <w:rPr>
              <w:rFonts w:hint="default" w:ascii="Times New Roman" w:hAnsi="Times New Roman" w:eastAsia="宋体" w:cs="Times New Roman"/>
              <w:sz w:val="24"/>
              <w:szCs w:val="24"/>
              <w:highlight w:val="none"/>
            </w:rPr>
            <w:t>34</w:t>
          </w:r>
          <w:bookmarkEnd w:id="8"/>
          <w:r>
            <w:rPr>
              <w:rFonts w:hint="default" w:ascii="Times New Roman" w:hAnsi="Times New Roman" w:eastAsia="宋体" w:cs="Times New Roman"/>
              <w:sz w:val="24"/>
              <w:szCs w:val="24"/>
              <w:highlight w:val="none"/>
            </w:rPr>
            <w:fldChar w:fldCharType="end"/>
          </w:r>
        </w:p>
        <w:p>
          <w:pPr>
            <w:pStyle w:val="14"/>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cs="Times New Roman"/>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_Toc24100_WPSOffice_Level1 </w:instrText>
          </w:r>
          <w:r>
            <w:rPr>
              <w:rFonts w:hint="default" w:ascii="Times New Roman" w:hAnsi="Times New Roman" w:eastAsia="宋体" w:cs="Times New Roman"/>
              <w:sz w:val="24"/>
              <w:szCs w:val="24"/>
              <w:highlight w:val="none"/>
            </w:rPr>
            <w:fldChar w:fldCharType="separate"/>
          </w:r>
          <w:sdt>
            <w:sdtPr>
              <w:rPr>
                <w:rFonts w:hint="default" w:ascii="Times New Roman" w:hAnsi="Times New Roman" w:eastAsia="宋体" w:cs="Times New Roman"/>
                <w:sz w:val="24"/>
                <w:szCs w:val="24"/>
                <w:highlight w:val="none"/>
              </w:rPr>
              <w:id w:val="147466514"/>
              <w:placeholder>
                <w:docPart w:val="{5bc9a9c3-9077-4b5b-aa64-91fe9e2a2fe7}"/>
              </w:placeholder>
              <w15:color w:val="509DF3"/>
            </w:sdtPr>
            <w:sdtEndPr>
              <w:rPr>
                <w:rFonts w:hint="default" w:ascii="Times New Roman" w:hAnsi="Times New Roman" w:eastAsia="宋体" w:cs="Times New Roman"/>
                <w:sz w:val="24"/>
                <w:szCs w:val="24"/>
                <w:highlight w:val="none"/>
              </w:rPr>
            </w:sdtEndPr>
            <w:sdtContent>
              <w:r>
                <w:rPr>
                  <w:rFonts w:hint="default" w:ascii="Times New Roman" w:hAnsi="Times New Roman" w:eastAsia="宋体" w:cs="Times New Roman"/>
                  <w:sz w:val="24"/>
                  <w:szCs w:val="24"/>
                  <w:highlight w:val="none"/>
                </w:rPr>
                <w:t>建设项目竣工环境保护“三同时”验收登记表</w:t>
              </w:r>
            </w:sdtContent>
          </w:sdt>
          <w:r>
            <w:rPr>
              <w:rFonts w:hint="default" w:ascii="Times New Roman" w:hAnsi="Times New Roman" w:eastAsia="宋体" w:cs="Times New Roman"/>
              <w:sz w:val="24"/>
              <w:szCs w:val="24"/>
              <w:highlight w:val="none"/>
            </w:rPr>
            <w:tab/>
          </w:r>
          <w:bookmarkStart w:id="9" w:name="_Toc24100_WPSOffice_Level1Page"/>
          <w:r>
            <w:rPr>
              <w:rFonts w:hint="default" w:ascii="Times New Roman" w:hAnsi="Times New Roman" w:eastAsia="宋体" w:cs="Times New Roman"/>
              <w:sz w:val="24"/>
              <w:szCs w:val="24"/>
              <w:highlight w:val="none"/>
            </w:rPr>
            <w:t>37</w:t>
          </w:r>
          <w:bookmarkEnd w:id="9"/>
          <w:r>
            <w:rPr>
              <w:rFonts w:hint="default" w:ascii="Times New Roman" w:hAnsi="Times New Roman" w:eastAsia="宋体" w:cs="Times New Roman"/>
              <w:sz w:val="24"/>
              <w:szCs w:val="24"/>
              <w:highlight w:val="none"/>
            </w:rPr>
            <w:fldChar w:fldCharType="end"/>
          </w:r>
        </w:p>
        <w:bookmarkEnd w:id="0"/>
        <w:p>
          <w:pPr>
            <w:pStyle w:val="14"/>
            <w:tabs>
              <w:tab w:val="right" w:leader="dot" w:pos="9072"/>
            </w:tabs>
            <w:ind w:left="0" w:leftChars="0"/>
            <w:rPr>
              <w:highlight w:val="none"/>
            </w:rPr>
          </w:pPr>
          <w:bookmarkStart w:id="10" w:name="_Toc13144_WPSOffice_Level1"/>
          <w:bookmarkStart w:id="11" w:name="_Toc12589_WPSOffice_Level1"/>
        </w:p>
      </w:sdtContent>
    </w:sdt>
    <w:p>
      <w:pPr>
        <w:pStyle w:val="14"/>
        <w:tabs>
          <w:tab w:val="right" w:leader="dot" w:pos="9072"/>
        </w:tabs>
        <w:ind w:left="0" w:leftChars="0"/>
        <w:rPr>
          <w:rFonts w:hint="default" w:ascii="Times New Roman" w:hAnsi="Times New Roman" w:eastAsia="宋体" w:cs="Times New Roman"/>
          <w:b/>
          <w:sz w:val="28"/>
          <w:highlight w:val="none"/>
          <w:lang w:val="en-US" w:eastAsia="zh-CN"/>
        </w:rPr>
      </w:pPr>
      <w:r>
        <w:rPr>
          <w:rFonts w:hint="default" w:ascii="Times New Roman" w:hAnsi="Times New Roman" w:eastAsia="宋体" w:cs="Times New Roman"/>
          <w:b/>
          <w:sz w:val="28"/>
          <w:highlight w:val="none"/>
          <w:lang w:val="en-US" w:eastAsia="zh-CN"/>
        </w:rPr>
        <w:t>附 件</w:t>
      </w:r>
      <w:bookmarkEnd w:id="10"/>
      <w:bookmarkEnd w:id="11"/>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eastAsia="宋体" w:cs="Times New Roman"/>
          <w:highlight w:val="none"/>
          <w:lang w:val="zh-CN" w:eastAsia="zh-CN"/>
        </w:rPr>
      </w:pPr>
      <w:bookmarkStart w:id="12" w:name="_Toc14786_WPSOffice_Level1"/>
      <w:bookmarkStart w:id="13" w:name="_Toc16284_WPSOffice_Level1"/>
      <w:bookmarkStart w:id="14" w:name="_Toc8110_WPSOffice_Level1"/>
      <w:r>
        <w:rPr>
          <w:rFonts w:hint="default" w:ascii="Times New Roman" w:hAnsi="Times New Roman" w:eastAsia="宋体" w:cs="Times New Roman"/>
          <w:highlight w:val="none"/>
          <w:lang w:val="zh-CN" w:eastAsia="zh-CN"/>
        </w:rPr>
        <w:fldChar w:fldCharType="begin"/>
      </w:r>
      <w:r>
        <w:rPr>
          <w:rFonts w:hint="default" w:ascii="Times New Roman" w:hAnsi="Times New Roman" w:eastAsia="宋体" w:cs="Times New Roman"/>
          <w:highlight w:val="none"/>
          <w:lang w:val="zh-CN" w:eastAsia="zh-CN"/>
        </w:rPr>
        <w:instrText xml:space="preserve"> HYPERLINK \l _Toc21952 </w:instrText>
      </w:r>
      <w:r>
        <w:rPr>
          <w:rFonts w:hint="default" w:ascii="Times New Roman" w:hAnsi="Times New Roman" w:eastAsia="宋体" w:cs="Times New Roman"/>
          <w:highlight w:val="none"/>
          <w:lang w:val="zh-CN" w:eastAsia="zh-CN"/>
        </w:rPr>
        <w:fldChar w:fldCharType="separate"/>
      </w:r>
      <w:bookmarkStart w:id="15" w:name="_Toc13082_WPSOffice_Level1"/>
      <w:bookmarkStart w:id="16" w:name="_Toc13640_WPSOffice_Level1"/>
      <w:bookmarkStart w:id="17" w:name="_Toc25873_WPSOffice_Level1"/>
      <w:bookmarkStart w:id="18" w:name="_Toc8084_WPSOffice_Level1"/>
      <w:bookmarkStart w:id="19" w:name="_Toc11903_WPSOffice_Level1"/>
      <w:r>
        <w:rPr>
          <w:rFonts w:hint="default" w:ascii="Times New Roman" w:hAnsi="Times New Roman" w:eastAsia="宋体" w:cs="Times New Roman"/>
          <w:highlight w:val="none"/>
          <w:lang w:val="en-US" w:eastAsia="zh-CN"/>
        </w:rPr>
        <w:t>附件1</w:t>
      </w:r>
      <w:r>
        <w:rPr>
          <w:rFonts w:hint="eastAsia"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lang w:val="en-US" w:eastAsia="zh-CN"/>
        </w:rPr>
        <w:t xml:space="preserve"> </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委托书</w:t>
      </w:r>
      <w:bookmarkEnd w:id="15"/>
      <w:bookmarkEnd w:id="16"/>
      <w:bookmarkEnd w:id="17"/>
      <w:bookmarkEnd w:id="18"/>
      <w:bookmarkEnd w:id="19"/>
      <w:r>
        <w:rPr>
          <w:rFonts w:hint="default" w:ascii="Times New Roman" w:hAnsi="Times New Roman" w:eastAsia="宋体" w:cs="Times New Roman"/>
          <w:highlight w:val="none"/>
          <w:lang w:val="zh-CN" w:eastAsia="zh-CN"/>
        </w:rPr>
        <w:fldChar w:fldCharType="end"/>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eastAsia="宋体" w:cs="Times New Roman"/>
          <w:highlight w:val="none"/>
          <w:lang w:val="zh-CN" w:eastAsia="zh-CN"/>
        </w:rPr>
      </w:pPr>
      <w:r>
        <w:rPr>
          <w:rFonts w:hint="default" w:ascii="Times New Roman" w:hAnsi="Times New Roman" w:eastAsia="宋体" w:cs="Times New Roman"/>
          <w:highlight w:val="none"/>
          <w:lang w:val="zh-CN" w:eastAsia="zh-CN"/>
        </w:rPr>
        <w:fldChar w:fldCharType="begin"/>
      </w:r>
      <w:r>
        <w:rPr>
          <w:rFonts w:hint="default" w:ascii="Times New Roman" w:hAnsi="Times New Roman" w:eastAsia="宋体" w:cs="Times New Roman"/>
          <w:highlight w:val="none"/>
          <w:lang w:val="zh-CN" w:eastAsia="zh-CN"/>
        </w:rPr>
        <w:instrText xml:space="preserve"> HYPERLINK \l _Toc18928 </w:instrText>
      </w:r>
      <w:r>
        <w:rPr>
          <w:rFonts w:hint="default" w:ascii="Times New Roman" w:hAnsi="Times New Roman" w:eastAsia="宋体" w:cs="Times New Roman"/>
          <w:highlight w:val="none"/>
          <w:lang w:val="zh-CN" w:eastAsia="zh-CN"/>
        </w:rPr>
        <w:fldChar w:fldCharType="separate"/>
      </w:r>
      <w:bookmarkStart w:id="20" w:name="_Toc22842_WPSOffice_Level1"/>
      <w:bookmarkStart w:id="21" w:name="_Toc7632_WPSOffice_Level1"/>
      <w:bookmarkStart w:id="22" w:name="_Toc24113_WPSOffice_Level1"/>
      <w:bookmarkStart w:id="23" w:name="_Toc24625_WPSOffice_Level1"/>
      <w:bookmarkStart w:id="24" w:name="_Toc3705_WPSOffice_Level1"/>
      <w:r>
        <w:rPr>
          <w:rFonts w:hint="default" w:ascii="Times New Roman" w:hAnsi="Times New Roman" w:eastAsia="宋体" w:cs="Times New Roman"/>
          <w:highlight w:val="none"/>
          <w:lang w:val="en-US" w:eastAsia="zh-CN"/>
        </w:rPr>
        <w:t>附件2</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lang w:val="en-US" w:eastAsia="zh-CN"/>
        </w:rPr>
        <w:t>营业执照</w:t>
      </w:r>
      <w:bookmarkEnd w:id="20"/>
      <w:bookmarkEnd w:id="21"/>
      <w:bookmarkEnd w:id="22"/>
      <w:bookmarkEnd w:id="23"/>
      <w:bookmarkEnd w:id="24"/>
      <w:r>
        <w:rPr>
          <w:rFonts w:hint="default" w:ascii="Times New Roman" w:hAnsi="Times New Roman" w:eastAsia="宋体" w:cs="Times New Roman"/>
          <w:highlight w:val="none"/>
          <w:lang w:val="zh-CN" w:eastAsia="zh-CN"/>
        </w:rPr>
        <w:fldChar w:fldCharType="end"/>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eastAsia="宋体" w:cs="Times New Roman"/>
          <w:highlight w:val="none"/>
          <w:lang w:val="zh-CN" w:eastAsia="zh-CN"/>
        </w:rPr>
      </w:pPr>
      <w:bookmarkStart w:id="25" w:name="_Toc9172_WPSOffice_Level1"/>
      <w:bookmarkStart w:id="26" w:name="_Toc28074_WPSOffice_Level1"/>
      <w:bookmarkStart w:id="27" w:name="_Toc8124_WPSOffice_Level1"/>
      <w:bookmarkStart w:id="28" w:name="_Toc2474_WPSOffice_Level1"/>
      <w:bookmarkStart w:id="29" w:name="_Toc30156_WPSOffice_Level1"/>
      <w:r>
        <w:rPr>
          <w:rFonts w:hint="eastAsia" w:ascii="Times New Roman" w:hAnsi="Times New Roman" w:cs="Times New Roman"/>
          <w:highlight w:val="none"/>
          <w:lang w:val="zh-CN" w:eastAsia="zh-CN"/>
        </w:rPr>
        <w:t>附件</w:t>
      </w:r>
      <w:r>
        <w:rPr>
          <w:rFonts w:hint="eastAsia" w:ascii="Times New Roman" w:hAnsi="Times New Roman" w:cs="Times New Roman"/>
          <w:highlight w:val="none"/>
          <w:lang w:val="en-US" w:eastAsia="zh-CN"/>
        </w:rPr>
        <w:t xml:space="preserve">3   </w:t>
      </w:r>
      <w:r>
        <w:rPr>
          <w:rFonts w:hint="eastAsia" w:ascii="Times New Roman" w:hAnsi="Times New Roman" w:cs="Times New Roman"/>
          <w:highlight w:val="none"/>
          <w:lang w:val="zh-CN" w:eastAsia="zh-CN"/>
        </w:rPr>
        <w:t>立项</w:t>
      </w:r>
      <w:bookmarkEnd w:id="25"/>
      <w:bookmarkEnd w:id="26"/>
      <w:bookmarkEnd w:id="27"/>
      <w:bookmarkEnd w:id="28"/>
      <w:bookmarkEnd w:id="29"/>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eastAsia="宋体" w:cs="Times New Roman"/>
          <w:highlight w:val="none"/>
          <w:lang w:val="zh-CN" w:eastAsia="zh-CN"/>
        </w:rPr>
      </w:pPr>
      <w:r>
        <w:rPr>
          <w:rFonts w:hint="default" w:ascii="Times New Roman" w:hAnsi="Times New Roman" w:eastAsia="宋体" w:cs="Times New Roman"/>
          <w:highlight w:val="none"/>
          <w:lang w:val="zh-CN" w:eastAsia="zh-CN"/>
        </w:rPr>
        <w:fldChar w:fldCharType="begin"/>
      </w:r>
      <w:r>
        <w:rPr>
          <w:rFonts w:hint="default" w:ascii="Times New Roman" w:hAnsi="Times New Roman" w:eastAsia="宋体" w:cs="Times New Roman"/>
          <w:highlight w:val="none"/>
          <w:lang w:val="zh-CN" w:eastAsia="zh-CN"/>
        </w:rPr>
        <w:instrText xml:space="preserve"> HYPERLINK \l _Toc11177 </w:instrText>
      </w:r>
      <w:r>
        <w:rPr>
          <w:rFonts w:hint="default" w:ascii="Times New Roman" w:hAnsi="Times New Roman" w:eastAsia="宋体" w:cs="Times New Roman"/>
          <w:highlight w:val="none"/>
          <w:lang w:val="zh-CN" w:eastAsia="zh-CN"/>
        </w:rPr>
        <w:fldChar w:fldCharType="separate"/>
      </w:r>
      <w:bookmarkStart w:id="30" w:name="_Toc16383_WPSOffice_Level1"/>
      <w:bookmarkStart w:id="31" w:name="_Toc23847_WPSOffice_Level1"/>
      <w:bookmarkStart w:id="32" w:name="_Toc16739_WPSOffice_Level1"/>
      <w:bookmarkStart w:id="33" w:name="_Toc26136_WPSOffice_Level1"/>
      <w:bookmarkStart w:id="34" w:name="_Toc29805_WPSOffice_Level1"/>
      <w:r>
        <w:rPr>
          <w:rFonts w:hint="default" w:ascii="Times New Roman" w:hAnsi="Times New Roman" w:eastAsia="宋体" w:cs="Times New Roman"/>
          <w:highlight w:val="none"/>
          <w:lang w:val="en-US" w:eastAsia="zh-CN"/>
        </w:rPr>
        <w:t xml:space="preserve">附件4 </w:t>
      </w:r>
      <w:r>
        <w:rPr>
          <w:rFonts w:hint="eastAsia" w:ascii="Times New Roman" w:hAnsi="Times New Roman" w:cs="Times New Roman"/>
          <w:highlight w:val="none"/>
          <w:lang w:val="en-US" w:eastAsia="zh-CN"/>
        </w:rPr>
        <w:t xml:space="preserve">  华州区</w:t>
      </w:r>
      <w:r>
        <w:rPr>
          <w:rFonts w:hint="eastAsia" w:ascii="Times New Roman" w:hAnsi="Times New Roman" w:eastAsia="宋体" w:cs="Times New Roman"/>
          <w:highlight w:val="none"/>
          <w:lang w:val="en-US" w:eastAsia="zh-CN"/>
        </w:rPr>
        <w:t>服务区</w:t>
      </w:r>
      <w:r>
        <w:rPr>
          <w:rFonts w:hint="eastAsia" w:ascii="Times New Roman" w:hAnsi="Times New Roman" w:cs="Times New Roman"/>
          <w:highlight w:val="none"/>
          <w:lang w:val="en-US" w:eastAsia="zh-CN"/>
        </w:rPr>
        <w:t>西</w:t>
      </w:r>
      <w:r>
        <w:rPr>
          <w:rFonts w:hint="eastAsia" w:ascii="Times New Roman" w:hAnsi="Times New Roman" w:eastAsia="宋体" w:cs="Times New Roman"/>
          <w:highlight w:val="none"/>
          <w:lang w:val="en-US" w:eastAsia="zh-CN"/>
        </w:rPr>
        <w:t>加油站项目环境影响报告表的批复</w:t>
      </w:r>
      <w:bookmarkEnd w:id="30"/>
      <w:bookmarkEnd w:id="31"/>
      <w:bookmarkEnd w:id="32"/>
      <w:bookmarkEnd w:id="33"/>
      <w:bookmarkEnd w:id="34"/>
      <w:r>
        <w:rPr>
          <w:rFonts w:hint="default" w:ascii="Times New Roman" w:hAnsi="Times New Roman" w:eastAsia="宋体" w:cs="Times New Roman"/>
          <w:highlight w:val="none"/>
          <w:lang w:val="zh-CN" w:eastAsia="zh-CN"/>
        </w:rPr>
        <w:fldChar w:fldCharType="end"/>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eastAsia" w:ascii="Times New Roman" w:hAnsi="Times New Roman" w:cs="Times New Roman"/>
          <w:highlight w:val="none"/>
          <w:lang w:val="zh-CN" w:eastAsia="zh-CN"/>
        </w:rPr>
      </w:pPr>
      <w:r>
        <w:rPr>
          <w:rFonts w:hint="default" w:ascii="Times New Roman" w:hAnsi="Times New Roman" w:eastAsia="宋体" w:cs="Times New Roman"/>
          <w:highlight w:val="none"/>
          <w:lang w:val="zh-CN" w:eastAsia="zh-CN"/>
        </w:rPr>
        <w:fldChar w:fldCharType="begin"/>
      </w:r>
      <w:r>
        <w:rPr>
          <w:rFonts w:hint="default" w:ascii="Times New Roman" w:hAnsi="Times New Roman" w:eastAsia="宋体" w:cs="Times New Roman"/>
          <w:highlight w:val="none"/>
          <w:lang w:val="zh-CN" w:eastAsia="zh-CN"/>
        </w:rPr>
        <w:instrText xml:space="preserve"> HYPERLINK \l _Toc10215 </w:instrText>
      </w:r>
      <w:r>
        <w:rPr>
          <w:rFonts w:hint="default" w:ascii="Times New Roman" w:hAnsi="Times New Roman" w:eastAsia="宋体" w:cs="Times New Roman"/>
          <w:highlight w:val="none"/>
          <w:lang w:val="zh-CN" w:eastAsia="zh-CN"/>
        </w:rPr>
        <w:fldChar w:fldCharType="separate"/>
      </w:r>
      <w:bookmarkStart w:id="35" w:name="_Toc29407_WPSOffice_Level1"/>
      <w:bookmarkStart w:id="36" w:name="_Toc26765_WPSOffice_Level1"/>
      <w:bookmarkStart w:id="37" w:name="_Toc24329_WPSOffice_Level1"/>
      <w:bookmarkStart w:id="38" w:name="_Toc2096_WPSOffice_Level1"/>
      <w:bookmarkStart w:id="39" w:name="_Toc12220_WPSOffice_Level1"/>
      <w:r>
        <w:rPr>
          <w:rFonts w:hint="default" w:ascii="Times New Roman" w:hAnsi="Times New Roman" w:eastAsia="宋体" w:cs="Times New Roman"/>
          <w:highlight w:val="none"/>
          <w:lang w:val="en-US" w:eastAsia="zh-CN"/>
        </w:rPr>
        <w:t xml:space="preserve">附件5 </w:t>
      </w:r>
      <w:r>
        <w:rPr>
          <w:rFonts w:hint="eastAsia" w:ascii="Times New Roman" w:hAnsi="Times New Roman" w:eastAsia="宋体" w:cs="Times New Roman"/>
          <w:highlight w:val="none"/>
          <w:lang w:val="en-US" w:eastAsia="zh-CN"/>
        </w:rPr>
        <w:t xml:space="preserve"> </w:t>
      </w:r>
      <w:r>
        <w:rPr>
          <w:rFonts w:hint="eastAsia" w:ascii="Times New Roman" w:hAnsi="Times New Roman" w:cs="Times New Roman"/>
          <w:highlight w:val="none"/>
          <w:lang w:val="en-US" w:eastAsia="zh-CN"/>
        </w:rPr>
        <w:t xml:space="preserve"> 加</w:t>
      </w:r>
      <w:r>
        <w:rPr>
          <w:rFonts w:hint="default" w:ascii="Times New Roman" w:hAnsi="Times New Roman" w:eastAsia="宋体" w:cs="Times New Roman"/>
          <w:highlight w:val="none"/>
          <w:lang w:val="zh-CN" w:eastAsia="zh-CN"/>
        </w:rPr>
        <w:fldChar w:fldCharType="end"/>
      </w:r>
      <w:r>
        <w:rPr>
          <w:rFonts w:hint="eastAsia" w:ascii="Times New Roman" w:hAnsi="Times New Roman" w:cs="Times New Roman"/>
          <w:highlight w:val="none"/>
          <w:lang w:val="zh-CN" w:eastAsia="zh-CN"/>
        </w:rPr>
        <w:t>油站规</w:t>
      </w:r>
      <w:bookmarkEnd w:id="35"/>
      <w:bookmarkEnd w:id="36"/>
      <w:bookmarkEnd w:id="37"/>
      <w:bookmarkEnd w:id="38"/>
      <w:bookmarkEnd w:id="39"/>
      <w:r>
        <w:rPr>
          <w:rFonts w:hint="eastAsia" w:ascii="Times New Roman" w:hAnsi="Times New Roman" w:cs="Times New Roman"/>
          <w:highlight w:val="none"/>
          <w:lang w:val="zh-CN" w:eastAsia="zh-CN"/>
        </w:rPr>
        <w:t>划</w:t>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cs="Times New Roman"/>
          <w:highlight w:val="none"/>
          <w:lang w:val="zh-CN" w:eastAsia="zh-CN"/>
        </w:rPr>
      </w:pPr>
      <w:r>
        <w:rPr>
          <w:rFonts w:hint="default" w:ascii="Times New Roman" w:hAnsi="Times New Roman" w:cs="Times New Roman"/>
          <w:highlight w:val="none"/>
          <w:lang w:val="zh-CN" w:eastAsia="zh-CN"/>
        </w:rPr>
        <w:t xml:space="preserve">附件6 </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zh-CN" w:eastAsia="zh-CN"/>
        </w:rPr>
        <w:t xml:space="preserve"> 渭南到玉山高速公路环评批复</w:t>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eastAsia="宋体" w:cs="Times New Roman"/>
          <w:highlight w:val="none"/>
          <w:lang w:val="zh-CN" w:eastAsia="zh-CN"/>
        </w:rPr>
      </w:pPr>
      <w:r>
        <w:rPr>
          <w:rFonts w:hint="default" w:ascii="Times New Roman" w:hAnsi="Times New Roman" w:eastAsia="宋体" w:cs="Times New Roman"/>
          <w:highlight w:val="none"/>
          <w:lang w:val="zh-CN" w:eastAsia="zh-CN"/>
        </w:rPr>
        <w:fldChar w:fldCharType="begin"/>
      </w:r>
      <w:r>
        <w:rPr>
          <w:rFonts w:hint="default" w:ascii="Times New Roman" w:hAnsi="Times New Roman" w:eastAsia="宋体" w:cs="Times New Roman"/>
          <w:highlight w:val="none"/>
          <w:lang w:val="zh-CN" w:eastAsia="zh-CN"/>
        </w:rPr>
        <w:instrText xml:space="preserve"> HYPERLINK \l _Toc15169 </w:instrText>
      </w:r>
      <w:r>
        <w:rPr>
          <w:rFonts w:hint="default" w:ascii="Times New Roman" w:hAnsi="Times New Roman" w:eastAsia="宋体" w:cs="Times New Roman"/>
          <w:highlight w:val="none"/>
          <w:lang w:val="zh-CN" w:eastAsia="zh-CN"/>
        </w:rPr>
        <w:fldChar w:fldCharType="separate"/>
      </w:r>
      <w:bookmarkStart w:id="40" w:name="_Toc813_WPSOffice_Level1"/>
      <w:bookmarkStart w:id="41" w:name="_Toc20050_WPSOffice_Level1"/>
      <w:bookmarkStart w:id="42" w:name="_Toc8332_WPSOffice_Level1"/>
      <w:bookmarkStart w:id="43" w:name="_Toc26740_WPSOffice_Level1"/>
      <w:bookmarkStart w:id="44" w:name="_Toc30856_WPSOffice_Level1"/>
      <w:r>
        <w:rPr>
          <w:rFonts w:hint="default" w:ascii="Times New Roman" w:hAnsi="Times New Roman" w:eastAsia="宋体" w:cs="Times New Roman"/>
          <w:highlight w:val="none"/>
          <w:lang w:val="en-US" w:eastAsia="zh-CN"/>
        </w:rPr>
        <w:t>附件</w:t>
      </w:r>
      <w:r>
        <w:rPr>
          <w:rFonts w:hint="eastAsia" w:ascii="Times New Roman" w:hAnsi="Times New Roman" w:cs="Times New Roman"/>
          <w:highlight w:val="none"/>
          <w:lang w:val="en-US" w:eastAsia="zh-CN"/>
        </w:rPr>
        <w:t>7</w:t>
      </w:r>
      <w:r>
        <w:rPr>
          <w:rFonts w:hint="default" w:ascii="Times New Roman" w:hAnsi="Times New Roman" w:eastAsia="宋体" w:cs="Times New Roman"/>
          <w:highlight w:val="none"/>
          <w:lang w:val="en-US" w:eastAsia="zh-CN"/>
        </w:rPr>
        <w:t xml:space="preserve"> </w:t>
      </w:r>
      <w:r>
        <w:rPr>
          <w:rFonts w:hint="eastAsia" w:ascii="Times New Roman" w:hAnsi="Times New Roman" w:cs="Times New Roman"/>
          <w:highlight w:val="none"/>
          <w:lang w:val="en-US" w:eastAsia="zh-CN"/>
        </w:rPr>
        <w:t xml:space="preserve">  租</w:t>
      </w:r>
      <w:r>
        <w:rPr>
          <w:rFonts w:hint="default" w:ascii="Times New Roman" w:hAnsi="Times New Roman" w:eastAsia="宋体" w:cs="Times New Roman"/>
          <w:highlight w:val="none"/>
          <w:lang w:val="zh-CN" w:eastAsia="zh-CN"/>
        </w:rPr>
        <w:fldChar w:fldCharType="end"/>
      </w:r>
      <w:r>
        <w:rPr>
          <w:rFonts w:hint="eastAsia" w:ascii="Times New Roman" w:hAnsi="Times New Roman" w:cs="Times New Roman"/>
          <w:highlight w:val="none"/>
          <w:lang w:val="zh-CN" w:eastAsia="zh-CN"/>
        </w:rPr>
        <w:t>赁合</w:t>
      </w:r>
      <w:bookmarkEnd w:id="40"/>
      <w:bookmarkEnd w:id="41"/>
      <w:bookmarkEnd w:id="42"/>
      <w:bookmarkEnd w:id="43"/>
      <w:bookmarkEnd w:id="44"/>
      <w:r>
        <w:rPr>
          <w:rFonts w:hint="eastAsia" w:ascii="Times New Roman" w:hAnsi="Times New Roman" w:cs="Times New Roman"/>
          <w:highlight w:val="none"/>
          <w:lang w:val="zh-CN" w:eastAsia="zh-CN"/>
        </w:rPr>
        <w:t>同</w:t>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eastAsia="宋体" w:cs="Times New Roman"/>
          <w:highlight w:val="none"/>
          <w:lang w:val="en-US" w:eastAsia="zh-CN"/>
        </w:rPr>
      </w:pPr>
      <w:bookmarkStart w:id="45" w:name="_Toc21798_WPSOffice_Level1"/>
      <w:bookmarkStart w:id="46" w:name="_Toc30493_WPSOffice_Level1"/>
      <w:bookmarkStart w:id="47" w:name="_Toc14980_WPSOffice_Level1"/>
      <w:bookmarkStart w:id="48" w:name="_Toc16204_WPSOffice_Level1"/>
      <w:bookmarkStart w:id="49" w:name="_Toc31061_WPSOffice_Level1"/>
      <w:r>
        <w:rPr>
          <w:rFonts w:hint="eastAsia" w:ascii="Times New Roman" w:hAnsi="Times New Roman" w:eastAsia="宋体" w:cs="Times New Roman"/>
          <w:highlight w:val="none"/>
          <w:lang w:val="zh-CN" w:eastAsia="zh-CN"/>
        </w:rPr>
        <w:t>附件</w:t>
      </w:r>
      <w:r>
        <w:rPr>
          <w:rFonts w:hint="eastAsia" w:ascii="Times New Roman" w:hAnsi="Times New Roman" w:cs="Times New Roman"/>
          <w:highlight w:val="none"/>
          <w:lang w:val="en-US" w:eastAsia="zh-CN"/>
        </w:rPr>
        <w:t>8</w:t>
      </w:r>
      <w:r>
        <w:rPr>
          <w:rFonts w:hint="eastAsia" w:ascii="Times New Roman" w:hAnsi="Times New Roman" w:eastAsia="宋体" w:cs="Times New Roman"/>
          <w:highlight w:val="none"/>
          <w:lang w:val="en-US" w:eastAsia="zh-CN"/>
        </w:rPr>
        <w:t xml:space="preserve">  </w:t>
      </w:r>
      <w:r>
        <w:rPr>
          <w:rFonts w:hint="eastAsia" w:ascii="Times New Roman" w:hAnsi="Times New Roman" w:cs="Times New Roman"/>
          <w:highlight w:val="none"/>
          <w:lang w:val="en-US" w:eastAsia="zh-CN"/>
        </w:rPr>
        <w:t xml:space="preserve"> 危化证</w:t>
      </w:r>
      <w:bookmarkEnd w:id="45"/>
      <w:bookmarkEnd w:id="46"/>
      <w:bookmarkEnd w:id="47"/>
      <w:bookmarkEnd w:id="48"/>
      <w:bookmarkEnd w:id="49"/>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eastAsia="宋体" w:cs="Times New Roman"/>
          <w:highlight w:val="none"/>
          <w:lang w:val="en-US" w:eastAsia="zh-CN"/>
        </w:rPr>
      </w:pPr>
      <w:bookmarkStart w:id="50" w:name="_Toc25069_WPSOffice_Level1"/>
      <w:bookmarkStart w:id="51" w:name="_Toc20192_WPSOffice_Level1"/>
      <w:bookmarkStart w:id="52" w:name="_Toc27339_WPSOffice_Level1"/>
      <w:bookmarkStart w:id="53" w:name="_Toc1581_WPSOffice_Level1"/>
      <w:bookmarkStart w:id="54" w:name="_Toc20731_WPSOffice_Level1"/>
      <w:r>
        <w:rPr>
          <w:rFonts w:hint="eastAsia" w:ascii="Times New Roman" w:hAnsi="Times New Roman" w:eastAsia="宋体" w:cs="Times New Roman"/>
          <w:highlight w:val="none"/>
          <w:lang w:val="en-US" w:eastAsia="zh-CN"/>
        </w:rPr>
        <w:t>附件</w:t>
      </w:r>
      <w:r>
        <w:rPr>
          <w:rFonts w:hint="eastAsia" w:ascii="Times New Roman" w:hAnsi="Times New Roman" w:cs="Times New Roman"/>
          <w:highlight w:val="none"/>
          <w:lang w:val="en-US" w:eastAsia="zh-CN"/>
        </w:rPr>
        <w:t>9</w:t>
      </w:r>
      <w:r>
        <w:rPr>
          <w:rFonts w:hint="eastAsia" w:ascii="Times New Roman" w:hAnsi="Times New Roman" w:eastAsia="宋体" w:cs="Times New Roman"/>
          <w:highlight w:val="none"/>
          <w:lang w:val="en-US" w:eastAsia="zh-CN"/>
        </w:rPr>
        <w:t xml:space="preserve"> </w:t>
      </w:r>
      <w:r>
        <w:rPr>
          <w:rFonts w:hint="eastAsia" w:ascii="Times New Roman" w:hAnsi="Times New Roman" w:cs="Times New Roman"/>
          <w:highlight w:val="none"/>
          <w:lang w:val="en-US" w:eastAsia="zh-CN"/>
        </w:rPr>
        <w:t xml:space="preserve"> </w:t>
      </w:r>
      <w:r>
        <w:rPr>
          <w:rFonts w:hint="eastAsia" w:ascii="Times New Roman" w:hAnsi="Times New Roman" w:eastAsia="宋体" w:cs="Times New Roman"/>
          <w:highlight w:val="none"/>
          <w:lang w:val="en-US" w:eastAsia="zh-CN"/>
        </w:rPr>
        <w:t xml:space="preserve"> </w:t>
      </w:r>
      <w:r>
        <w:rPr>
          <w:rFonts w:hint="eastAsia" w:ascii="Times New Roman" w:hAnsi="Times New Roman" w:cs="Times New Roman"/>
          <w:highlight w:val="none"/>
          <w:lang w:val="en-US" w:eastAsia="zh-CN"/>
        </w:rPr>
        <w:t>应急预案登记表</w:t>
      </w:r>
      <w:bookmarkEnd w:id="50"/>
      <w:bookmarkEnd w:id="51"/>
      <w:bookmarkEnd w:id="52"/>
      <w:bookmarkEnd w:id="53"/>
      <w:bookmarkEnd w:id="54"/>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eastAsia="宋体" w:cs="Times New Roman"/>
          <w:highlight w:val="none"/>
          <w:lang w:val="en-US" w:eastAsia="zh-CN"/>
        </w:rPr>
      </w:pPr>
      <w:bookmarkStart w:id="55" w:name="_Toc4741_WPSOffice_Level1"/>
      <w:bookmarkStart w:id="56" w:name="_Toc12146_WPSOffice_Level1"/>
      <w:bookmarkStart w:id="57" w:name="_Toc6704_WPSOffice_Level1"/>
      <w:bookmarkStart w:id="58" w:name="_Toc7705_WPSOffice_Level1"/>
      <w:bookmarkStart w:id="59" w:name="_Toc19131_WPSOffice_Level1"/>
      <w:r>
        <w:rPr>
          <w:rFonts w:hint="default" w:ascii="Times New Roman" w:hAnsi="Times New Roman" w:eastAsia="宋体" w:cs="Times New Roman"/>
          <w:highlight w:val="none"/>
          <w:lang w:val="en-US" w:eastAsia="zh-CN"/>
        </w:rPr>
        <w:t>附件</w:t>
      </w:r>
      <w:r>
        <w:rPr>
          <w:rFonts w:hint="eastAsia" w:ascii="Times New Roman" w:hAnsi="Times New Roman" w:cs="Times New Roman"/>
          <w:highlight w:val="none"/>
          <w:lang w:val="en-US" w:eastAsia="zh-CN"/>
        </w:rPr>
        <w:t>10</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 xml:space="preserve"> 安全设计审查批复</w:t>
      </w:r>
      <w:bookmarkEnd w:id="55"/>
      <w:bookmarkEnd w:id="56"/>
      <w:bookmarkEnd w:id="57"/>
      <w:bookmarkEnd w:id="58"/>
      <w:bookmarkEnd w:id="59"/>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eastAsia" w:ascii="Times New Roman" w:hAnsi="Times New Roman" w:cs="Times New Roman"/>
          <w:highlight w:val="none"/>
          <w:lang w:val="en-US" w:eastAsia="zh-CN"/>
        </w:rPr>
      </w:pPr>
      <w:bookmarkStart w:id="60" w:name="_Toc3652_WPSOffice_Level1"/>
      <w:bookmarkStart w:id="61" w:name="_Toc31391_WPSOffice_Level1"/>
      <w:bookmarkStart w:id="62" w:name="_Toc31185_WPSOffice_Level1"/>
      <w:bookmarkStart w:id="63" w:name="_Toc22917_WPSOffice_Level1"/>
      <w:bookmarkStart w:id="64" w:name="_Toc27704_WPSOffice_Level1"/>
      <w:r>
        <w:rPr>
          <w:rFonts w:hint="eastAsia" w:ascii="Times New Roman" w:hAnsi="Times New Roman" w:eastAsia="宋体" w:cs="Times New Roman"/>
          <w:highlight w:val="none"/>
          <w:lang w:val="en-US" w:eastAsia="zh-CN"/>
        </w:rPr>
        <w:t>附件1</w:t>
      </w:r>
      <w:r>
        <w:rPr>
          <w:rFonts w:hint="eastAsia" w:ascii="Times New Roman" w:hAnsi="Times New Roman" w:cs="Times New Roman"/>
          <w:highlight w:val="none"/>
          <w:lang w:val="en-US" w:eastAsia="zh-CN"/>
        </w:rPr>
        <w:t>1</w:t>
      </w:r>
      <w:r>
        <w:rPr>
          <w:rFonts w:hint="eastAsia" w:ascii="Times New Roman" w:hAnsi="Times New Roman" w:eastAsia="宋体" w:cs="Times New Roman"/>
          <w:highlight w:val="none"/>
          <w:lang w:val="en-US" w:eastAsia="zh-CN"/>
        </w:rPr>
        <w:t xml:space="preserve">  </w:t>
      </w:r>
      <w:bookmarkEnd w:id="60"/>
      <w:bookmarkEnd w:id="61"/>
      <w:bookmarkEnd w:id="62"/>
      <w:r>
        <w:rPr>
          <w:rFonts w:hint="eastAsia" w:ascii="Times New Roman" w:hAnsi="Times New Roman" w:cs="Times New Roman"/>
          <w:highlight w:val="none"/>
          <w:lang w:val="en-US" w:eastAsia="zh-CN"/>
        </w:rPr>
        <w:t>监测报告</w:t>
      </w:r>
      <w:bookmarkEnd w:id="63"/>
      <w:bookmarkEnd w:id="64"/>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附件12  突发环境事件应急预案备案表</w:t>
      </w:r>
    </w:p>
    <w:p>
      <w:pPr>
        <w:spacing w:before="1"/>
        <w:ind w:right="0"/>
        <w:jc w:val="left"/>
        <w:rPr>
          <w:rFonts w:hint="default" w:ascii="Times New Roman" w:hAnsi="Times New Roman" w:eastAsia="宋体" w:cs="Times New Roman"/>
          <w:b/>
          <w:sz w:val="28"/>
          <w:highlight w:val="none"/>
          <w:lang w:val="en-US" w:eastAsia="zh-CN"/>
        </w:rPr>
      </w:pPr>
      <w:r>
        <w:rPr>
          <w:rFonts w:hint="eastAsia" w:ascii="Times New Roman" w:hAnsi="Times New Roman" w:eastAsia="宋体" w:cs="Times New Roman"/>
          <w:b/>
          <w:sz w:val="28"/>
          <w:highlight w:val="none"/>
          <w:lang w:val="en-US" w:eastAsia="zh-CN"/>
        </w:rPr>
        <w:t>附图</w:t>
      </w:r>
      <w:bookmarkEnd w:id="12"/>
      <w:bookmarkEnd w:id="13"/>
      <w:bookmarkEnd w:id="14"/>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eastAsia="宋体" w:cs="Times New Roman"/>
          <w:highlight w:val="none"/>
          <w:lang w:val="zh-CN" w:eastAsia="zh-CN"/>
        </w:rPr>
      </w:pPr>
      <w:bookmarkStart w:id="65" w:name="_bookmark0"/>
      <w:bookmarkEnd w:id="65"/>
      <w:bookmarkStart w:id="66" w:name="表1 建设项目基本情况及验收依据"/>
      <w:bookmarkEnd w:id="66"/>
      <w:r>
        <w:rPr>
          <w:rFonts w:hint="default" w:ascii="Times New Roman" w:hAnsi="Times New Roman" w:eastAsia="宋体" w:cs="Times New Roman"/>
          <w:highlight w:val="none"/>
          <w:lang w:val="zh-CN" w:eastAsia="zh-CN"/>
        </w:rPr>
        <w:fldChar w:fldCharType="begin"/>
      </w:r>
      <w:r>
        <w:rPr>
          <w:rFonts w:hint="default" w:ascii="Times New Roman" w:hAnsi="Times New Roman" w:eastAsia="宋体" w:cs="Times New Roman"/>
          <w:highlight w:val="none"/>
          <w:lang w:val="zh-CN" w:eastAsia="zh-CN"/>
        </w:rPr>
        <w:instrText xml:space="preserve"> HYPERLINK \l _Toc16466 </w:instrText>
      </w:r>
      <w:r>
        <w:rPr>
          <w:rFonts w:hint="default" w:ascii="Times New Roman" w:hAnsi="Times New Roman" w:eastAsia="宋体" w:cs="Times New Roman"/>
          <w:highlight w:val="none"/>
          <w:lang w:val="zh-CN" w:eastAsia="zh-CN"/>
        </w:rPr>
        <w:fldChar w:fldCharType="separate"/>
      </w:r>
      <w:bookmarkStart w:id="67" w:name="_Toc889_WPSOffice_Level1"/>
      <w:bookmarkStart w:id="68" w:name="_Toc31656_WPSOffice_Level1"/>
      <w:bookmarkStart w:id="69" w:name="_Toc30714_WPSOffice_Level1"/>
      <w:r>
        <w:rPr>
          <w:rFonts w:hint="default" w:ascii="Times New Roman" w:hAnsi="Times New Roman" w:eastAsia="宋体" w:cs="Times New Roman"/>
          <w:highlight w:val="none"/>
          <w:lang w:val="en-US" w:eastAsia="zh-CN"/>
        </w:rPr>
        <w:t xml:space="preserve">附图1 </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项目地理位置图</w:t>
      </w:r>
      <w:bookmarkEnd w:id="67"/>
      <w:bookmarkEnd w:id="68"/>
      <w:bookmarkEnd w:id="69"/>
      <w:r>
        <w:rPr>
          <w:rFonts w:hint="default" w:ascii="Times New Roman" w:hAnsi="Times New Roman" w:eastAsia="宋体" w:cs="Times New Roman"/>
          <w:highlight w:val="none"/>
          <w:lang w:val="zh-CN" w:eastAsia="zh-CN"/>
        </w:rPr>
        <w:fldChar w:fldCharType="end"/>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eastAsia="宋体" w:cs="Times New Roman"/>
          <w:highlight w:val="none"/>
          <w:lang w:val="zh-CN" w:eastAsia="zh-CN"/>
        </w:rPr>
      </w:pPr>
      <w:r>
        <w:rPr>
          <w:rFonts w:hint="default" w:ascii="Times New Roman" w:hAnsi="Times New Roman" w:eastAsia="宋体" w:cs="Times New Roman"/>
          <w:highlight w:val="none"/>
          <w:lang w:val="zh-CN" w:eastAsia="zh-CN"/>
        </w:rPr>
        <w:fldChar w:fldCharType="begin"/>
      </w:r>
      <w:r>
        <w:rPr>
          <w:rFonts w:hint="default" w:ascii="Times New Roman" w:hAnsi="Times New Roman" w:eastAsia="宋体" w:cs="Times New Roman"/>
          <w:highlight w:val="none"/>
          <w:lang w:val="zh-CN" w:eastAsia="zh-CN"/>
        </w:rPr>
        <w:instrText xml:space="preserve"> HYPERLINK \l _Toc19608 </w:instrText>
      </w:r>
      <w:r>
        <w:rPr>
          <w:rFonts w:hint="default" w:ascii="Times New Roman" w:hAnsi="Times New Roman" w:eastAsia="宋体" w:cs="Times New Roman"/>
          <w:highlight w:val="none"/>
          <w:lang w:val="zh-CN" w:eastAsia="zh-CN"/>
        </w:rPr>
        <w:fldChar w:fldCharType="separate"/>
      </w:r>
      <w:bookmarkStart w:id="70" w:name="_Toc5799_WPSOffice_Level1"/>
      <w:bookmarkStart w:id="71" w:name="_Toc13504_WPSOffice_Level1"/>
      <w:bookmarkStart w:id="72" w:name="_Toc19024_WPSOffice_Level1"/>
      <w:r>
        <w:rPr>
          <w:rFonts w:hint="default" w:ascii="Times New Roman" w:hAnsi="Times New Roman" w:eastAsia="宋体" w:cs="Times New Roman"/>
          <w:highlight w:val="none"/>
          <w:lang w:val="en-US" w:eastAsia="zh-CN"/>
        </w:rPr>
        <w:t xml:space="preserve">附图2 </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项目总平面布置图</w:t>
      </w:r>
      <w:bookmarkEnd w:id="70"/>
      <w:bookmarkEnd w:id="71"/>
      <w:bookmarkEnd w:id="72"/>
      <w:r>
        <w:rPr>
          <w:rFonts w:hint="default" w:ascii="Times New Roman" w:hAnsi="Times New Roman" w:eastAsia="宋体" w:cs="Times New Roman"/>
          <w:highlight w:val="none"/>
          <w:lang w:val="zh-CN" w:eastAsia="zh-CN"/>
        </w:rPr>
        <w:fldChar w:fldCharType="end"/>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eastAsia="宋体" w:cs="Times New Roman"/>
          <w:highlight w:val="none"/>
          <w:lang w:val="zh-CN" w:eastAsia="zh-CN"/>
        </w:rPr>
      </w:pPr>
      <w:r>
        <w:rPr>
          <w:rFonts w:hint="default" w:ascii="Times New Roman" w:hAnsi="Times New Roman" w:eastAsia="宋体" w:cs="Times New Roman"/>
          <w:highlight w:val="none"/>
          <w:lang w:val="zh-CN" w:eastAsia="zh-CN"/>
        </w:rPr>
        <w:fldChar w:fldCharType="begin"/>
      </w:r>
      <w:r>
        <w:rPr>
          <w:rFonts w:hint="default" w:ascii="Times New Roman" w:hAnsi="Times New Roman" w:eastAsia="宋体" w:cs="Times New Roman"/>
          <w:highlight w:val="none"/>
          <w:lang w:val="zh-CN" w:eastAsia="zh-CN"/>
        </w:rPr>
        <w:instrText xml:space="preserve"> HYPERLINK \l _Toc3752 </w:instrText>
      </w:r>
      <w:r>
        <w:rPr>
          <w:rFonts w:hint="default" w:ascii="Times New Roman" w:hAnsi="Times New Roman" w:eastAsia="宋体" w:cs="Times New Roman"/>
          <w:highlight w:val="none"/>
          <w:lang w:val="zh-CN" w:eastAsia="zh-CN"/>
        </w:rPr>
        <w:fldChar w:fldCharType="separate"/>
      </w:r>
      <w:bookmarkStart w:id="73" w:name="_Toc26956_WPSOffice_Level1"/>
      <w:bookmarkStart w:id="74" w:name="_Toc27825_WPSOffice_Level1"/>
      <w:bookmarkStart w:id="75" w:name="_Toc9565_WPSOffice_Level1"/>
      <w:r>
        <w:rPr>
          <w:rFonts w:hint="default" w:ascii="Times New Roman" w:hAnsi="Times New Roman" w:eastAsia="宋体" w:cs="Times New Roman"/>
          <w:highlight w:val="none"/>
          <w:lang w:val="en-US" w:eastAsia="zh-CN"/>
        </w:rPr>
        <w:t xml:space="preserve">附图3 </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项目四邻关系图</w:t>
      </w:r>
      <w:bookmarkEnd w:id="73"/>
      <w:bookmarkEnd w:id="74"/>
      <w:bookmarkEnd w:id="75"/>
      <w:r>
        <w:rPr>
          <w:rFonts w:hint="default" w:ascii="Times New Roman" w:hAnsi="Times New Roman" w:eastAsia="宋体" w:cs="Times New Roman"/>
          <w:highlight w:val="none"/>
          <w:lang w:val="zh-CN" w:eastAsia="zh-CN"/>
        </w:rPr>
        <w:fldChar w:fldCharType="end"/>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default" w:ascii="Times New Roman" w:hAnsi="Times New Roman" w:eastAsia="宋体" w:cs="Times New Roman"/>
          <w:highlight w:val="none"/>
          <w:lang w:val="zh-CN" w:eastAsia="zh-CN"/>
        </w:rPr>
      </w:pPr>
      <w:r>
        <w:rPr>
          <w:rFonts w:hint="default" w:ascii="Times New Roman" w:hAnsi="Times New Roman" w:eastAsia="宋体" w:cs="Times New Roman"/>
          <w:highlight w:val="none"/>
          <w:lang w:val="zh-CN" w:eastAsia="zh-CN"/>
        </w:rPr>
        <w:fldChar w:fldCharType="begin"/>
      </w:r>
      <w:r>
        <w:rPr>
          <w:rFonts w:hint="default" w:ascii="Times New Roman" w:hAnsi="Times New Roman" w:eastAsia="宋体" w:cs="Times New Roman"/>
          <w:highlight w:val="none"/>
          <w:lang w:val="zh-CN" w:eastAsia="zh-CN"/>
        </w:rPr>
        <w:instrText xml:space="preserve"> HYPERLINK \l _Toc21217 </w:instrText>
      </w:r>
      <w:r>
        <w:rPr>
          <w:rFonts w:hint="default" w:ascii="Times New Roman" w:hAnsi="Times New Roman" w:eastAsia="宋体" w:cs="Times New Roman"/>
          <w:highlight w:val="none"/>
          <w:lang w:val="zh-CN" w:eastAsia="zh-CN"/>
        </w:rPr>
        <w:fldChar w:fldCharType="separate"/>
      </w:r>
      <w:bookmarkStart w:id="76" w:name="_Toc9852_WPSOffice_Level1"/>
      <w:bookmarkStart w:id="77" w:name="_Toc4160_WPSOffice_Level1"/>
      <w:bookmarkStart w:id="78" w:name="_Toc22490_WPSOffice_Level1"/>
      <w:r>
        <w:rPr>
          <w:rFonts w:hint="default" w:ascii="Times New Roman" w:hAnsi="Times New Roman" w:eastAsia="宋体" w:cs="Times New Roman"/>
          <w:highlight w:val="none"/>
          <w:lang w:val="en-US" w:eastAsia="zh-CN"/>
        </w:rPr>
        <w:t>附图</w:t>
      </w:r>
      <w:r>
        <w:rPr>
          <w:rFonts w:hint="eastAsia" w:ascii="Times New Roman" w:hAnsi="Times New Roman" w:cs="Times New Roman"/>
          <w:highlight w:val="none"/>
          <w:lang w:val="en-US" w:eastAsia="zh-CN"/>
        </w:rPr>
        <w:t xml:space="preserve">4  </w:t>
      </w:r>
      <w:r>
        <w:rPr>
          <w:rFonts w:hint="default" w:ascii="Times New Roman" w:hAnsi="Times New Roman" w:eastAsia="宋体" w:cs="Times New Roman"/>
          <w:highlight w:val="none"/>
          <w:lang w:val="en-US" w:eastAsia="zh-CN"/>
        </w:rPr>
        <w:t>项目工艺流程图</w:t>
      </w:r>
      <w:bookmarkEnd w:id="76"/>
      <w:bookmarkEnd w:id="77"/>
      <w:bookmarkEnd w:id="78"/>
      <w:r>
        <w:rPr>
          <w:rFonts w:hint="default" w:ascii="Times New Roman" w:hAnsi="Times New Roman" w:eastAsia="宋体" w:cs="Times New Roman"/>
          <w:highlight w:val="none"/>
          <w:lang w:val="zh-CN" w:eastAsia="zh-CN"/>
        </w:rPr>
        <w:fldChar w:fldCharType="end"/>
      </w: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0" w:firstLine="420" w:firstLineChars="200"/>
        <w:textAlignment w:val="auto"/>
        <w:rPr>
          <w:rFonts w:hint="eastAsia" w:ascii="Times New Roman" w:hAnsi="Times New Roman" w:eastAsia="宋体" w:cs="Times New Roman"/>
          <w:highlight w:val="none"/>
          <w:lang w:val="en-US" w:eastAsia="zh-CN"/>
        </w:rPr>
        <w:sectPr>
          <w:pgSz w:w="11906" w:h="16838"/>
          <w:pgMar w:top="1417" w:right="1417" w:bottom="1417" w:left="1417" w:header="1361" w:footer="1134" w:gutter="0"/>
          <w:pgBorders>
            <w:top w:val="none" w:sz="0" w:space="0"/>
            <w:left w:val="none" w:sz="0" w:space="0"/>
            <w:bottom w:val="none" w:sz="0" w:space="0"/>
            <w:right w:val="none" w:sz="0" w:space="0"/>
          </w:pgBorders>
          <w:pgNumType w:start="1"/>
          <w:cols w:space="720" w:num="1"/>
          <w:docGrid w:linePitch="467" w:charSpace="4710"/>
        </w:sectPr>
      </w:pPr>
      <w:r>
        <w:rPr>
          <w:rFonts w:hint="default" w:ascii="Times New Roman" w:hAnsi="Times New Roman" w:eastAsia="宋体" w:cs="Times New Roman"/>
          <w:highlight w:val="none"/>
          <w:lang w:val="zh-CN" w:eastAsia="zh-CN"/>
        </w:rPr>
        <w:t>附图</w:t>
      </w:r>
      <w:r>
        <w:rPr>
          <w:rFonts w:hint="eastAsia" w:ascii="Times New Roman" w:hAnsi="Times New Roman" w:cs="Times New Roman"/>
          <w:highlight w:val="none"/>
          <w:lang w:val="en-US" w:eastAsia="zh-CN"/>
        </w:rPr>
        <w:t>5</w:t>
      </w:r>
      <w:r>
        <w:rPr>
          <w:rFonts w:hint="default" w:ascii="Times New Roman" w:hAnsi="Times New Roman" w:eastAsia="宋体" w:cs="Times New Roman"/>
          <w:highlight w:val="none"/>
          <w:lang w:val="zh-CN" w:eastAsia="zh-CN"/>
        </w:rPr>
        <w:t xml:space="preserve">  监测点位图</w:t>
      </w:r>
    </w:p>
    <w:p>
      <w:pPr>
        <w:pStyle w:val="3"/>
        <w:rPr>
          <w:rFonts w:hint="default" w:ascii="Times New Roman" w:hAnsi="Times New Roman" w:cs="Times New Roman"/>
          <w:highlight w:val="none"/>
          <w:lang w:val="en-US" w:eastAsia="zh-CN"/>
        </w:rPr>
      </w:pPr>
      <w:bookmarkStart w:id="79" w:name="_Toc25985_WPSOffice_Level1"/>
      <w:bookmarkStart w:id="80" w:name="_Toc28849_WPSOffice_Level1"/>
      <w:r>
        <w:rPr>
          <w:rFonts w:hint="eastAsia"/>
          <w:highlight w:val="none"/>
        </w:rPr>
        <w:t>表一</w:t>
      </w:r>
      <w:bookmarkEnd w:id="79"/>
      <w:r>
        <w:rPr>
          <w:rFonts w:hint="eastAsia"/>
          <w:highlight w:val="none"/>
          <w:lang w:val="en-US" w:eastAsia="zh-CN"/>
        </w:rPr>
        <w:t xml:space="preserve"> </w:t>
      </w:r>
      <w:r>
        <w:rPr>
          <w:rFonts w:hint="eastAsia" w:ascii="Times New Roman" w:hAnsi="Times New Roman" w:cs="Times New Roman"/>
          <w:highlight w:val="none"/>
        </w:rPr>
        <w:t>建设项目基本情况及验收依据</w:t>
      </w:r>
      <w:bookmarkEnd w:id="80"/>
    </w:p>
    <w:tbl>
      <w:tblPr>
        <w:tblStyle w:val="1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2101"/>
        <w:gridCol w:w="1775"/>
        <w:gridCol w:w="1090"/>
        <w:gridCol w:w="719"/>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sz w:val="24"/>
                <w:highlight w:val="none"/>
              </w:rPr>
            </w:pPr>
            <w:r>
              <w:rPr>
                <w:rFonts w:hint="default" w:ascii="Times New Roman" w:hAnsi="Times New Roman" w:eastAsia="宋体" w:cs="Times New Roman"/>
                <w:snapToGrid w:val="0"/>
                <w:kern w:val="0"/>
                <w:sz w:val="24"/>
                <w:highlight w:val="none"/>
                <w:lang w:val="en-US" w:bidi="ar-SA"/>
              </w:rPr>
              <w:t>建设项目名称</w:t>
            </w:r>
          </w:p>
        </w:tc>
        <w:tc>
          <w:tcPr>
            <w:tcW w:w="6796" w:type="dxa"/>
            <w:gridSpan w:val="5"/>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spacing w:val="-10"/>
                <w:w w:val="90"/>
                <w:sz w:val="24"/>
                <w:highlight w:val="none"/>
              </w:rPr>
            </w:pPr>
            <w:r>
              <w:rPr>
                <w:rFonts w:hint="default" w:ascii="Times New Roman" w:hAnsi="Times New Roman" w:cs="Times New Roman"/>
                <w:snapToGrid w:val="0"/>
                <w:kern w:val="0"/>
                <w:sz w:val="24"/>
                <w:highlight w:val="none"/>
                <w:lang w:val="zh-CN"/>
              </w:rPr>
              <w:t>陕西省石油化工工业贸易有限公司华州服务区</w:t>
            </w:r>
            <w:r>
              <w:rPr>
                <w:rFonts w:hint="eastAsia" w:cs="Times New Roman"/>
                <w:snapToGrid w:val="0"/>
                <w:kern w:val="0"/>
                <w:sz w:val="24"/>
                <w:highlight w:val="none"/>
                <w:lang w:val="zh-CN" w:eastAsia="zh-CN"/>
              </w:rPr>
              <w:t>西</w:t>
            </w:r>
            <w:r>
              <w:rPr>
                <w:rFonts w:hint="default" w:ascii="Times New Roman" w:hAnsi="Times New Roman" w:cs="Times New Roman"/>
                <w:snapToGrid w:val="0"/>
                <w:kern w:val="0"/>
                <w:sz w:val="24"/>
                <w:highlight w:val="none"/>
                <w:lang w:val="zh-CN"/>
              </w:rPr>
              <w:t>加油站</w:t>
            </w:r>
            <w:r>
              <w:rPr>
                <w:rFonts w:hint="eastAsia" w:cs="Times New Roman"/>
                <w:snapToGrid w:val="0"/>
                <w:kern w:val="0"/>
                <w:sz w:val="24"/>
                <w:highlight w:val="none"/>
                <w:lang w:val="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sz w:val="24"/>
                <w:highlight w:val="none"/>
              </w:rPr>
            </w:pPr>
            <w:r>
              <w:rPr>
                <w:rFonts w:hint="default" w:ascii="Times New Roman" w:hAnsi="Times New Roman" w:eastAsia="宋体" w:cs="Times New Roman"/>
                <w:snapToGrid w:val="0"/>
                <w:kern w:val="0"/>
                <w:sz w:val="24"/>
                <w:highlight w:val="none"/>
                <w:lang w:val="en-US" w:bidi="ar-SA"/>
              </w:rPr>
              <w:t>建设单位名称</w:t>
            </w:r>
          </w:p>
        </w:tc>
        <w:tc>
          <w:tcPr>
            <w:tcW w:w="6796" w:type="dxa"/>
            <w:gridSpan w:val="5"/>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eastAsia"/>
                <w:sz w:val="24"/>
                <w:highlight w:val="none"/>
              </w:rPr>
            </w:pPr>
            <w:r>
              <w:rPr>
                <w:rFonts w:hint="default" w:ascii="Times New Roman" w:hAnsi="Times New Roman" w:cs="Times New Roman"/>
                <w:snapToGrid w:val="0"/>
                <w:kern w:val="0"/>
                <w:sz w:val="24"/>
                <w:highlight w:val="none"/>
                <w:lang w:val="zh-CN"/>
              </w:rPr>
              <w:t>陕西省石油化工工业贸易有限公司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eastAsia"/>
                <w:sz w:val="24"/>
                <w:highlight w:val="none"/>
              </w:rPr>
            </w:pPr>
            <w:r>
              <w:rPr>
                <w:rFonts w:hint="default" w:ascii="Times New Roman" w:hAnsi="Times New Roman" w:eastAsia="宋体" w:cs="Times New Roman"/>
                <w:snapToGrid w:val="0"/>
                <w:kern w:val="0"/>
                <w:sz w:val="24"/>
                <w:highlight w:val="none"/>
                <w:lang w:val="en-US" w:bidi="ar-SA"/>
              </w:rPr>
              <w:t>建设项目性质</w:t>
            </w:r>
          </w:p>
        </w:tc>
        <w:tc>
          <w:tcPr>
            <w:tcW w:w="6796" w:type="dxa"/>
            <w:gridSpan w:val="5"/>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firstLine="480" w:firstLineChars="200"/>
              <w:jc w:val="left"/>
              <w:rPr>
                <w:rFonts w:hint="eastAsia"/>
                <w:spacing w:val="-10"/>
                <w:sz w:val="24"/>
                <w:highlight w:val="none"/>
              </w:rPr>
            </w:pPr>
            <w:r>
              <w:rPr>
                <w:rFonts w:hint="default" w:ascii="Times New Roman" w:hAnsi="Times New Roman" w:eastAsia="宋体" w:cs="Times New Roman"/>
                <w:snapToGrid w:val="0"/>
                <w:kern w:val="0"/>
                <w:sz w:val="24"/>
                <w:highlight w:val="none"/>
                <w:lang w:val="en-US" w:bidi="ar-SA"/>
              </w:rPr>
              <w:t>新建</w:t>
            </w:r>
            <w:r>
              <w:rPr>
                <w:rFonts w:hint="default" w:ascii="Arial" w:hAnsi="Arial" w:eastAsia="宋体" w:cs="Arial"/>
                <w:snapToGrid w:val="0"/>
                <w:kern w:val="0"/>
                <w:sz w:val="24"/>
                <w:highlight w:val="none"/>
                <w:lang w:val="en-US" w:bidi="ar-SA"/>
              </w:rPr>
              <w:t>√</w:t>
            </w:r>
            <w:r>
              <w:rPr>
                <w:rFonts w:hint="default" w:ascii="Times New Roman" w:hAnsi="Times New Roman" w:eastAsia="宋体" w:cs="Times New Roman"/>
                <w:snapToGrid w:val="0"/>
                <w:kern w:val="0"/>
                <w:sz w:val="24"/>
                <w:highlight w:val="none"/>
                <w:lang w:val="en-US" w:bidi="ar-SA"/>
              </w:rPr>
              <w:tab/>
            </w:r>
            <w:r>
              <w:rPr>
                <w:rFonts w:hint="default" w:ascii="Times New Roman" w:hAnsi="Times New Roman" w:cs="Times New Roman"/>
                <w:snapToGrid w:val="0"/>
                <w:kern w:val="0"/>
                <w:sz w:val="24"/>
                <w:highlight w:val="none"/>
                <w:lang w:val="en-US" w:eastAsia="zh-CN" w:bidi="ar-SA"/>
              </w:rPr>
              <w:t xml:space="preserve">    </w:t>
            </w:r>
            <w:r>
              <w:rPr>
                <w:rFonts w:hint="default" w:ascii="Times New Roman" w:hAnsi="Times New Roman" w:eastAsia="宋体" w:cs="Times New Roman"/>
                <w:snapToGrid w:val="0"/>
                <w:kern w:val="0"/>
                <w:sz w:val="24"/>
                <w:highlight w:val="none"/>
                <w:lang w:val="en-US" w:bidi="ar-SA"/>
              </w:rPr>
              <w:t>改扩建</w:t>
            </w:r>
            <w:r>
              <w:rPr>
                <w:rFonts w:hint="default" w:ascii="Times New Roman" w:hAnsi="Times New Roman" w:cs="Times New Roman"/>
                <w:snapToGrid w:val="0"/>
                <w:kern w:val="0"/>
                <w:sz w:val="24"/>
                <w:highlight w:val="none"/>
                <w:lang w:val="en-US" w:eastAsia="zh-CN" w:bidi="ar-SA"/>
              </w:rPr>
              <w:t xml:space="preserve">       </w:t>
            </w:r>
            <w:r>
              <w:rPr>
                <w:rFonts w:hint="default" w:ascii="Times New Roman" w:hAnsi="Times New Roman" w:eastAsia="宋体" w:cs="Times New Roman"/>
                <w:snapToGrid w:val="0"/>
                <w:kern w:val="0"/>
                <w:sz w:val="24"/>
                <w:highlight w:val="none"/>
                <w:lang w:val="en-US" w:bidi="ar-SA"/>
              </w:rPr>
              <w:t>技改</w:t>
            </w:r>
            <w:r>
              <w:rPr>
                <w:rFonts w:hint="default" w:ascii="Times New Roman" w:hAnsi="Times New Roman" w:eastAsia="宋体" w:cs="Times New Roman"/>
                <w:snapToGrid w:val="0"/>
                <w:kern w:val="0"/>
                <w:sz w:val="24"/>
                <w:highlight w:val="none"/>
                <w:lang w:val="en-US" w:bidi="ar-SA"/>
              </w:rPr>
              <w:tab/>
            </w:r>
            <w:r>
              <w:rPr>
                <w:rFonts w:hint="default" w:ascii="Times New Roman" w:hAnsi="Times New Roman" w:cs="Times New Roman"/>
                <w:snapToGrid w:val="0"/>
                <w:kern w:val="0"/>
                <w:sz w:val="24"/>
                <w:highlight w:val="none"/>
                <w:lang w:val="en-US" w:eastAsia="zh-CN" w:bidi="ar-SA"/>
              </w:rPr>
              <w:t xml:space="preserve">  </w:t>
            </w:r>
            <w:r>
              <w:rPr>
                <w:rFonts w:hint="default" w:ascii="Times New Roman" w:hAnsi="Times New Roman" w:eastAsia="宋体" w:cs="Times New Roman"/>
                <w:snapToGrid w:val="0"/>
                <w:kern w:val="0"/>
                <w:sz w:val="24"/>
                <w:highlight w:val="none"/>
                <w:lang w:val="en-US" w:bidi="ar-SA"/>
              </w:rPr>
              <w:t>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Ansi="宋体"/>
                <w:sz w:val="24"/>
                <w:highlight w:val="none"/>
              </w:rPr>
            </w:pPr>
            <w:r>
              <w:rPr>
                <w:rFonts w:hint="default" w:ascii="Times New Roman" w:hAnsi="Times New Roman" w:eastAsia="宋体" w:cs="Times New Roman"/>
                <w:snapToGrid w:val="0"/>
                <w:kern w:val="0"/>
                <w:sz w:val="24"/>
                <w:highlight w:val="none"/>
                <w:lang w:val="en-US" w:bidi="ar-SA"/>
              </w:rPr>
              <w:t>建设地点</w:t>
            </w:r>
          </w:p>
        </w:tc>
        <w:tc>
          <w:tcPr>
            <w:tcW w:w="6796" w:type="dxa"/>
            <w:gridSpan w:val="5"/>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bCs/>
                <w:sz w:val="24"/>
                <w:highlight w:val="none"/>
              </w:rPr>
            </w:pPr>
            <w:r>
              <w:rPr>
                <w:rFonts w:hint="default" w:ascii="Times New Roman" w:hAnsi="Times New Roman" w:cs="Times New Roman"/>
                <w:snapToGrid w:val="0"/>
                <w:kern w:val="0"/>
                <w:sz w:val="24"/>
                <w:highlight w:val="none"/>
                <w:lang w:val="zh-CN"/>
              </w:rPr>
              <w:t>渭南至玉山高速公路华州服务区</w:t>
            </w:r>
            <w:r>
              <w:rPr>
                <w:rFonts w:hint="eastAsia" w:cs="Times New Roman"/>
                <w:snapToGrid w:val="0"/>
                <w:kern w:val="0"/>
                <w:sz w:val="24"/>
                <w:highlight w:val="none"/>
                <w:lang w:val="zh-CN"/>
              </w:rPr>
              <w:t>西</w:t>
            </w:r>
            <w:r>
              <w:rPr>
                <w:rFonts w:hint="default" w:ascii="Times New Roman" w:hAnsi="Times New Roman" w:cs="Times New Roman"/>
                <w:snapToGrid w:val="0"/>
                <w:kern w:val="0"/>
                <w:sz w:val="24"/>
                <w:highlight w:val="none"/>
                <w:lang w:val="zh-CN"/>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eastAsia"/>
                <w:sz w:val="24"/>
                <w:highlight w:val="none"/>
              </w:rPr>
            </w:pPr>
            <w:r>
              <w:rPr>
                <w:rFonts w:hint="default" w:ascii="Times New Roman" w:hAnsi="Times New Roman" w:eastAsia="宋体" w:cs="Times New Roman"/>
                <w:snapToGrid w:val="0"/>
                <w:kern w:val="0"/>
                <w:sz w:val="24"/>
                <w:highlight w:val="none"/>
                <w:lang w:val="en-US" w:bidi="ar-SA"/>
              </w:rPr>
              <w:t>主要产品名称</w:t>
            </w:r>
          </w:p>
        </w:tc>
        <w:tc>
          <w:tcPr>
            <w:tcW w:w="6796"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0" w:leftChars="0" w:right="0" w:rightChars="0"/>
              <w:jc w:val="center"/>
              <w:rPr>
                <w:rFonts w:hint="eastAsia"/>
                <w:sz w:val="24"/>
                <w:highlight w:val="none"/>
              </w:rPr>
            </w:pPr>
            <w:r>
              <w:rPr>
                <w:rFonts w:hint="default" w:ascii="Times New Roman" w:hAnsi="Times New Roman" w:eastAsia="宋体" w:cs="Times New Roman"/>
                <w:snapToGrid w:val="0"/>
                <w:kern w:val="0"/>
                <w:sz w:val="24"/>
                <w:highlight w:val="none"/>
                <w:lang w:val="zh-CN"/>
              </w:rPr>
              <w:t>汽油</w:t>
            </w:r>
            <w:r>
              <w:rPr>
                <w:rFonts w:hint="eastAsia" w:ascii="Times New Roman" w:hAnsi="Times New Roman" w:eastAsia="宋体" w:cs="Times New Roman"/>
                <w:snapToGrid w:val="0"/>
                <w:kern w:val="0"/>
                <w:sz w:val="24"/>
                <w:highlight w:val="none"/>
                <w:lang w:val="zh-CN" w:eastAsia="zh-CN"/>
              </w:rPr>
              <w:t>（</w:t>
            </w:r>
            <w:r>
              <w:rPr>
                <w:rFonts w:hint="eastAsia" w:ascii="Times New Roman" w:hAnsi="Times New Roman" w:eastAsia="宋体" w:cs="Times New Roman"/>
                <w:snapToGrid w:val="0"/>
                <w:kern w:val="0"/>
                <w:sz w:val="24"/>
                <w:highlight w:val="none"/>
                <w:lang w:val="zh-CN"/>
              </w:rPr>
              <w:t>92#、95#</w:t>
            </w:r>
            <w:r>
              <w:rPr>
                <w:rFonts w:hint="eastAsia" w:ascii="Times New Roman" w:hAnsi="Times New Roman" w:eastAsia="宋体" w:cs="Times New Roman"/>
                <w:snapToGrid w:val="0"/>
                <w:kern w:val="0"/>
                <w:sz w:val="24"/>
                <w:highlight w:val="none"/>
                <w:lang w:val="zh-CN" w:eastAsia="zh-CN"/>
              </w:rPr>
              <w:t>）、</w:t>
            </w:r>
            <w:r>
              <w:rPr>
                <w:rFonts w:hint="default" w:ascii="Times New Roman" w:hAnsi="Times New Roman" w:eastAsia="宋体" w:cs="Times New Roman"/>
                <w:snapToGrid w:val="0"/>
                <w:kern w:val="0"/>
                <w:sz w:val="24"/>
                <w:highlight w:val="none"/>
                <w:lang w:val="zh-CN"/>
              </w:rPr>
              <w:t>柴油</w:t>
            </w:r>
            <w:r>
              <w:rPr>
                <w:rFonts w:hint="eastAsia" w:ascii="Times New Roman" w:hAnsi="Times New Roman" w:eastAsia="宋体" w:cs="Times New Roman"/>
                <w:snapToGrid w:val="0"/>
                <w:kern w:val="0"/>
                <w:sz w:val="24"/>
                <w:highlight w:val="none"/>
                <w:lang w:val="zh-CN" w:eastAsia="zh-CN"/>
              </w:rPr>
              <w:t>（</w:t>
            </w:r>
            <w:r>
              <w:rPr>
                <w:rFonts w:hint="eastAsia" w:ascii="Times New Roman" w:hAnsi="Times New Roman" w:eastAsia="宋体" w:cs="Times New Roman"/>
                <w:snapToGrid w:val="0"/>
                <w:kern w:val="0"/>
                <w:sz w:val="24"/>
                <w:highlight w:val="none"/>
                <w:lang w:val="zh-CN"/>
              </w:rPr>
              <w:t>0#、-10#</w:t>
            </w:r>
            <w:r>
              <w:rPr>
                <w:rFonts w:hint="eastAsia" w:ascii="Times New Roman" w:hAnsi="Times New Roman" w:eastAsia="宋体" w:cs="Times New Roman"/>
                <w:snapToGrid w:val="0"/>
                <w:kern w:val="0"/>
                <w:sz w:val="24"/>
                <w:highlight w:val="no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7" w:hRule="exac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sz w:val="24"/>
                <w:highlight w:val="none"/>
              </w:rPr>
            </w:pPr>
            <w:r>
              <w:rPr>
                <w:rFonts w:hint="default" w:ascii="Times New Roman" w:hAnsi="Times New Roman" w:eastAsia="宋体" w:cs="Times New Roman"/>
                <w:snapToGrid w:val="0"/>
                <w:kern w:val="0"/>
                <w:sz w:val="24"/>
                <w:highlight w:val="none"/>
                <w:lang w:val="en-US" w:bidi="ar-SA"/>
              </w:rPr>
              <w:t>设计生产能力</w:t>
            </w:r>
          </w:p>
        </w:tc>
        <w:tc>
          <w:tcPr>
            <w:tcW w:w="6796"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0" w:leftChars="0" w:right="0" w:rightChars="0"/>
              <w:jc w:val="center"/>
              <w:rPr>
                <w:rFonts w:hint="eastAsia" w:eastAsia="宋体"/>
                <w:sz w:val="24"/>
                <w:highlight w:val="none"/>
                <w:lang w:eastAsia="zh-CN"/>
              </w:rPr>
            </w:pPr>
            <w:r>
              <w:rPr>
                <w:rFonts w:hint="default" w:ascii="Times New Roman" w:hAnsi="Times New Roman" w:eastAsia="宋体" w:cs="Times New Roman"/>
                <w:sz w:val="24"/>
                <w:szCs w:val="22"/>
                <w:highlight w:val="none"/>
                <w:lang w:val="en-US" w:eastAsia="zh-CN" w:bidi="zh-CN"/>
              </w:rPr>
              <w:t>项目设有税控燃油加油机</w:t>
            </w:r>
            <w:r>
              <w:rPr>
                <w:rFonts w:hint="eastAsia" w:cs="Times New Roman"/>
                <w:sz w:val="24"/>
                <w:szCs w:val="22"/>
                <w:highlight w:val="none"/>
                <w:lang w:val="en-US" w:eastAsia="zh-CN" w:bidi="zh-CN"/>
              </w:rPr>
              <w:t>6</w:t>
            </w:r>
            <w:r>
              <w:rPr>
                <w:rFonts w:hint="default" w:ascii="Times New Roman" w:hAnsi="Times New Roman" w:eastAsia="宋体" w:cs="Times New Roman"/>
                <w:sz w:val="24"/>
                <w:szCs w:val="22"/>
                <w:highlight w:val="none"/>
                <w:lang w:val="en-US" w:eastAsia="zh-CN" w:bidi="zh-CN"/>
              </w:rPr>
              <w:t>台，储罐总容积175m</w:t>
            </w:r>
            <w:r>
              <w:rPr>
                <w:rFonts w:hint="default" w:ascii="Times New Roman" w:hAnsi="Times New Roman" w:eastAsia="宋体" w:cs="Times New Roman"/>
                <w:sz w:val="24"/>
                <w:szCs w:val="22"/>
                <w:highlight w:val="none"/>
                <w:vertAlign w:val="superscript"/>
                <w:lang w:val="en-US" w:eastAsia="zh-CN" w:bidi="zh-CN"/>
              </w:rPr>
              <w:t>3</w:t>
            </w:r>
            <w:r>
              <w:rPr>
                <w:rFonts w:hint="default" w:ascii="Times New Roman" w:hAnsi="Times New Roman" w:eastAsia="宋体" w:cs="Times New Roman"/>
                <w:sz w:val="24"/>
                <w:szCs w:val="22"/>
                <w:highlight w:val="none"/>
                <w:lang w:val="en-US" w:eastAsia="zh-CN" w:bidi="zh-CN"/>
              </w:rPr>
              <w:t>（其中，50m</w:t>
            </w:r>
            <w:r>
              <w:rPr>
                <w:rFonts w:hint="default" w:ascii="Times New Roman" w:hAnsi="Times New Roman" w:eastAsia="宋体" w:cs="Times New Roman"/>
                <w:sz w:val="24"/>
                <w:szCs w:val="22"/>
                <w:highlight w:val="none"/>
                <w:vertAlign w:val="superscript"/>
                <w:lang w:val="en-US" w:eastAsia="zh-CN" w:bidi="zh-CN"/>
              </w:rPr>
              <w:t>3</w:t>
            </w:r>
            <w:r>
              <w:rPr>
                <w:rFonts w:hint="default" w:ascii="Times New Roman" w:hAnsi="Times New Roman" w:eastAsia="宋体" w:cs="Times New Roman"/>
                <w:sz w:val="24"/>
                <w:szCs w:val="22"/>
                <w:highlight w:val="none"/>
                <w:lang w:val="en-US" w:eastAsia="zh-CN" w:bidi="zh-CN"/>
              </w:rPr>
              <w:t>柴油罐3具、50m</w:t>
            </w:r>
            <w:r>
              <w:rPr>
                <w:rFonts w:hint="default" w:ascii="Times New Roman" w:hAnsi="Times New Roman" w:eastAsia="宋体" w:cs="Times New Roman"/>
                <w:sz w:val="24"/>
                <w:szCs w:val="22"/>
                <w:highlight w:val="none"/>
                <w:vertAlign w:val="superscript"/>
                <w:lang w:val="en-US" w:eastAsia="zh-CN" w:bidi="zh-CN"/>
              </w:rPr>
              <w:t>3</w:t>
            </w:r>
            <w:r>
              <w:rPr>
                <w:rFonts w:hint="default" w:ascii="Times New Roman" w:hAnsi="Times New Roman" w:eastAsia="宋体" w:cs="Times New Roman"/>
                <w:sz w:val="24"/>
                <w:szCs w:val="22"/>
                <w:highlight w:val="none"/>
                <w:lang w:val="en-US" w:eastAsia="zh-CN" w:bidi="zh-CN"/>
              </w:rPr>
              <w:t>汽油罐2具，柴油罐折半计算）为一级加油站。年销售1</w:t>
            </w:r>
            <w:r>
              <w:rPr>
                <w:rFonts w:hint="eastAsia" w:cs="Times New Roman"/>
                <w:sz w:val="24"/>
                <w:szCs w:val="22"/>
                <w:highlight w:val="none"/>
                <w:lang w:val="en-US" w:eastAsia="zh-CN" w:bidi="zh-CN"/>
              </w:rPr>
              <w:t>0</w:t>
            </w:r>
            <w:r>
              <w:rPr>
                <w:rFonts w:hint="default" w:ascii="Times New Roman" w:hAnsi="Times New Roman" w:eastAsia="宋体" w:cs="Times New Roman"/>
                <w:sz w:val="24"/>
                <w:szCs w:val="22"/>
                <w:highlight w:val="none"/>
                <w:lang w:val="en-US" w:eastAsia="zh-CN" w:bidi="zh-CN"/>
              </w:rPr>
              <w:t>00t汽油、2</w:t>
            </w:r>
            <w:r>
              <w:rPr>
                <w:rFonts w:hint="eastAsia" w:cs="Times New Roman"/>
                <w:sz w:val="24"/>
                <w:szCs w:val="22"/>
                <w:highlight w:val="none"/>
                <w:lang w:val="en-US" w:eastAsia="zh-CN" w:bidi="zh-CN"/>
              </w:rPr>
              <w:t>0</w:t>
            </w:r>
            <w:r>
              <w:rPr>
                <w:rFonts w:hint="default" w:ascii="Times New Roman" w:hAnsi="Times New Roman" w:eastAsia="宋体" w:cs="Times New Roman"/>
                <w:sz w:val="24"/>
                <w:szCs w:val="22"/>
                <w:highlight w:val="none"/>
                <w:lang w:val="en-US" w:eastAsia="zh-CN" w:bidi="zh-CN"/>
              </w:rPr>
              <w:t>00t柴油</w:t>
            </w:r>
            <w:r>
              <w:rPr>
                <w:rFonts w:hint="eastAsia" w:ascii="Times New Roman" w:hAnsi="Times New Roman" w:cs="Times New Roman"/>
                <w:sz w:val="24"/>
                <w:szCs w:val="22"/>
                <w:highlight w:val="none"/>
                <w:lang w:val="en-US" w:eastAsia="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sz w:val="24"/>
                <w:highlight w:val="none"/>
              </w:rPr>
            </w:pPr>
            <w:r>
              <w:rPr>
                <w:rFonts w:hint="default" w:ascii="Times New Roman" w:hAnsi="Times New Roman" w:eastAsia="宋体" w:cs="Times New Roman"/>
                <w:snapToGrid w:val="0"/>
                <w:kern w:val="0"/>
                <w:sz w:val="24"/>
                <w:highlight w:val="none"/>
                <w:lang w:val="en-US" w:bidi="ar-SA"/>
              </w:rPr>
              <w:t>实际生产能力</w:t>
            </w:r>
          </w:p>
        </w:tc>
        <w:tc>
          <w:tcPr>
            <w:tcW w:w="6796" w:type="dxa"/>
            <w:gridSpan w:val="5"/>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spacing w:val="-10"/>
                <w:sz w:val="24"/>
                <w:highlight w:val="none"/>
              </w:rPr>
            </w:pPr>
            <w:r>
              <w:rPr>
                <w:rFonts w:hint="default" w:ascii="Times New Roman" w:hAnsi="Times New Roman" w:eastAsia="宋体" w:cs="Times New Roman"/>
                <w:sz w:val="24"/>
                <w:szCs w:val="22"/>
                <w:highlight w:val="none"/>
                <w:lang w:val="en-US" w:eastAsia="zh-CN" w:bidi="zh-CN"/>
              </w:rPr>
              <w:t>项目设有税控燃油加油机</w:t>
            </w:r>
            <w:r>
              <w:rPr>
                <w:rFonts w:hint="eastAsia" w:cs="Times New Roman"/>
                <w:sz w:val="24"/>
                <w:szCs w:val="22"/>
                <w:highlight w:val="none"/>
                <w:lang w:val="en-US" w:eastAsia="zh-CN" w:bidi="zh-CN"/>
              </w:rPr>
              <w:t>6</w:t>
            </w:r>
            <w:r>
              <w:rPr>
                <w:rFonts w:hint="default" w:ascii="Times New Roman" w:hAnsi="Times New Roman" w:eastAsia="宋体" w:cs="Times New Roman"/>
                <w:sz w:val="24"/>
                <w:szCs w:val="22"/>
                <w:highlight w:val="none"/>
                <w:lang w:val="en-US" w:eastAsia="zh-CN" w:bidi="zh-CN"/>
              </w:rPr>
              <w:t>台，储罐总容积175m</w:t>
            </w:r>
            <w:r>
              <w:rPr>
                <w:rFonts w:hint="default" w:ascii="Times New Roman" w:hAnsi="Times New Roman" w:eastAsia="宋体" w:cs="Times New Roman"/>
                <w:sz w:val="24"/>
                <w:szCs w:val="22"/>
                <w:highlight w:val="none"/>
                <w:vertAlign w:val="superscript"/>
                <w:lang w:val="en-US" w:eastAsia="zh-CN" w:bidi="zh-CN"/>
              </w:rPr>
              <w:t>3</w:t>
            </w:r>
            <w:r>
              <w:rPr>
                <w:rFonts w:hint="default" w:ascii="Times New Roman" w:hAnsi="Times New Roman" w:eastAsia="宋体" w:cs="Times New Roman"/>
                <w:sz w:val="24"/>
                <w:szCs w:val="22"/>
                <w:highlight w:val="none"/>
                <w:lang w:val="en-US" w:eastAsia="zh-CN" w:bidi="zh-CN"/>
              </w:rPr>
              <w:t>（其中，50m</w:t>
            </w:r>
            <w:r>
              <w:rPr>
                <w:rFonts w:hint="default" w:ascii="Times New Roman" w:hAnsi="Times New Roman" w:eastAsia="宋体" w:cs="Times New Roman"/>
                <w:sz w:val="24"/>
                <w:szCs w:val="22"/>
                <w:highlight w:val="none"/>
                <w:vertAlign w:val="superscript"/>
                <w:lang w:val="en-US" w:eastAsia="zh-CN" w:bidi="zh-CN"/>
              </w:rPr>
              <w:t>3</w:t>
            </w:r>
            <w:r>
              <w:rPr>
                <w:rFonts w:hint="default" w:ascii="Times New Roman" w:hAnsi="Times New Roman" w:eastAsia="宋体" w:cs="Times New Roman"/>
                <w:sz w:val="24"/>
                <w:szCs w:val="22"/>
                <w:highlight w:val="none"/>
                <w:lang w:val="en-US" w:eastAsia="zh-CN" w:bidi="zh-CN"/>
              </w:rPr>
              <w:t>柴油罐3具、50m</w:t>
            </w:r>
            <w:r>
              <w:rPr>
                <w:rFonts w:hint="default" w:ascii="Times New Roman" w:hAnsi="Times New Roman" w:eastAsia="宋体" w:cs="Times New Roman"/>
                <w:sz w:val="24"/>
                <w:szCs w:val="22"/>
                <w:highlight w:val="none"/>
                <w:vertAlign w:val="superscript"/>
                <w:lang w:val="en-US" w:eastAsia="zh-CN" w:bidi="zh-CN"/>
              </w:rPr>
              <w:t>3</w:t>
            </w:r>
            <w:r>
              <w:rPr>
                <w:rFonts w:hint="default" w:ascii="Times New Roman" w:hAnsi="Times New Roman" w:eastAsia="宋体" w:cs="Times New Roman"/>
                <w:sz w:val="24"/>
                <w:szCs w:val="22"/>
                <w:highlight w:val="none"/>
                <w:lang w:val="en-US" w:eastAsia="zh-CN" w:bidi="zh-CN"/>
              </w:rPr>
              <w:t>汽油罐2具，柴油罐折半计算）为一级加油站。年销售1</w:t>
            </w:r>
            <w:r>
              <w:rPr>
                <w:rFonts w:hint="eastAsia" w:ascii="Times New Roman" w:hAnsi="Times New Roman" w:cs="Times New Roman"/>
                <w:sz w:val="24"/>
                <w:szCs w:val="22"/>
                <w:highlight w:val="none"/>
                <w:lang w:val="en-US" w:eastAsia="zh-CN" w:bidi="zh-CN"/>
              </w:rPr>
              <w:t>0</w:t>
            </w:r>
            <w:r>
              <w:rPr>
                <w:rFonts w:hint="default" w:ascii="Times New Roman" w:hAnsi="Times New Roman" w:eastAsia="宋体" w:cs="Times New Roman"/>
                <w:sz w:val="24"/>
                <w:szCs w:val="22"/>
                <w:highlight w:val="none"/>
                <w:lang w:val="en-US" w:eastAsia="zh-CN" w:bidi="zh-CN"/>
              </w:rPr>
              <w:t>00t汽油、2</w:t>
            </w:r>
            <w:r>
              <w:rPr>
                <w:rFonts w:hint="eastAsia" w:ascii="Times New Roman" w:hAnsi="Times New Roman" w:cs="Times New Roman"/>
                <w:sz w:val="24"/>
                <w:szCs w:val="22"/>
                <w:highlight w:val="none"/>
                <w:lang w:val="en-US" w:eastAsia="zh-CN" w:bidi="zh-CN"/>
              </w:rPr>
              <w:t>0</w:t>
            </w:r>
            <w:r>
              <w:rPr>
                <w:rFonts w:hint="default" w:ascii="Times New Roman" w:hAnsi="Times New Roman" w:eastAsia="宋体" w:cs="Times New Roman"/>
                <w:sz w:val="24"/>
                <w:szCs w:val="22"/>
                <w:highlight w:val="none"/>
                <w:lang w:val="en-US" w:eastAsia="zh-CN" w:bidi="zh-CN"/>
              </w:rPr>
              <w:t>00t柴油</w:t>
            </w:r>
            <w:r>
              <w:rPr>
                <w:rFonts w:hint="eastAsia" w:ascii="Times New Roman" w:hAnsi="Times New Roman" w:cs="Times New Roman"/>
                <w:sz w:val="24"/>
                <w:szCs w:val="22"/>
                <w:highlight w:val="none"/>
                <w:lang w:val="en-US" w:eastAsia="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eastAsia" w:hAnsi="宋体"/>
                <w:sz w:val="24"/>
                <w:highlight w:val="none"/>
              </w:rPr>
            </w:pPr>
            <w:r>
              <w:rPr>
                <w:rFonts w:hint="default" w:ascii="Times New Roman" w:hAnsi="Times New Roman" w:eastAsia="宋体" w:cs="Times New Roman"/>
                <w:snapToGrid w:val="0"/>
                <w:kern w:val="0"/>
                <w:sz w:val="24"/>
                <w:highlight w:val="none"/>
                <w:lang w:val="en-US" w:bidi="ar-SA"/>
              </w:rPr>
              <w:t>建设项目环评时间</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eastAsia="宋体"/>
                <w:sz w:val="24"/>
                <w:highlight w:val="none"/>
                <w:lang w:val="en-US" w:eastAsia="zh-CN"/>
              </w:rPr>
            </w:pPr>
            <w:r>
              <w:rPr>
                <w:rFonts w:hint="eastAsia"/>
                <w:sz w:val="24"/>
                <w:highlight w:val="none"/>
                <w:lang w:val="en-US" w:eastAsia="zh-CN"/>
              </w:rPr>
              <w:t>2019年10月</w:t>
            </w:r>
          </w:p>
        </w:tc>
        <w:tc>
          <w:tcPr>
            <w:tcW w:w="1775"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sz w:val="24"/>
                <w:highlight w:val="none"/>
              </w:rPr>
            </w:pPr>
            <w:r>
              <w:rPr>
                <w:rFonts w:hint="default" w:ascii="Times New Roman" w:hAnsi="Times New Roman" w:eastAsia="宋体" w:cs="Times New Roman"/>
                <w:snapToGrid w:val="0"/>
                <w:kern w:val="0"/>
                <w:sz w:val="24"/>
                <w:highlight w:val="none"/>
                <w:lang w:val="en-US" w:bidi="ar-SA"/>
              </w:rPr>
              <w:t>开工建设时间</w:t>
            </w:r>
          </w:p>
        </w:tc>
        <w:tc>
          <w:tcPr>
            <w:tcW w:w="2920" w:type="dxa"/>
            <w:gridSpan w:val="3"/>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eastAsia="宋体"/>
                <w:sz w:val="24"/>
                <w:highlight w:val="none"/>
                <w:lang w:val="en-US" w:eastAsia="zh-CN"/>
              </w:rPr>
            </w:pPr>
            <w:r>
              <w:rPr>
                <w:rFonts w:hint="eastAsia"/>
                <w:sz w:val="24"/>
                <w:highlight w:val="none"/>
                <w:lang w:val="en-US" w:eastAsia="zh-CN"/>
              </w:rPr>
              <w:t>2019年8月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eastAsia"/>
                <w:sz w:val="24"/>
                <w:highlight w:val="none"/>
              </w:rPr>
            </w:pPr>
            <w:r>
              <w:rPr>
                <w:rFonts w:hint="default" w:ascii="Times New Roman" w:hAnsi="Times New Roman" w:eastAsia="宋体" w:cs="Times New Roman"/>
                <w:snapToGrid w:val="0"/>
                <w:kern w:val="0"/>
                <w:sz w:val="24"/>
                <w:highlight w:val="none"/>
                <w:lang w:val="en-US" w:bidi="ar-SA"/>
              </w:rPr>
              <w:t>调试时间</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eastAsia" w:eastAsia="宋体"/>
                <w:spacing w:val="-10"/>
                <w:sz w:val="24"/>
                <w:highlight w:val="none"/>
                <w:lang w:eastAsia="zh-CN"/>
              </w:rPr>
            </w:pPr>
            <w:r>
              <w:rPr>
                <w:rFonts w:hint="default" w:ascii="Times New Roman" w:hAnsi="Times New Roman" w:cs="Times New Roman"/>
                <w:sz w:val="24"/>
                <w:highlight w:val="none"/>
              </w:rPr>
              <w:t>2019</w:t>
            </w:r>
            <w:r>
              <w:rPr>
                <w:rFonts w:hint="eastAsia" w:cs="Times New Roman"/>
                <w:sz w:val="24"/>
                <w:highlight w:val="none"/>
                <w:lang w:eastAsia="zh-CN"/>
              </w:rPr>
              <w:t>年</w:t>
            </w:r>
            <w:r>
              <w:rPr>
                <w:rFonts w:hint="default" w:ascii="Times New Roman" w:hAnsi="Times New Roman" w:cs="Times New Roman"/>
                <w:sz w:val="24"/>
                <w:highlight w:val="none"/>
              </w:rPr>
              <w:t>11</w:t>
            </w:r>
            <w:r>
              <w:rPr>
                <w:rFonts w:hint="eastAsia" w:cs="Times New Roman"/>
                <w:sz w:val="24"/>
                <w:highlight w:val="none"/>
                <w:lang w:eastAsia="zh-CN"/>
              </w:rPr>
              <w:t>月</w:t>
            </w:r>
            <w:r>
              <w:rPr>
                <w:rFonts w:hint="default" w:ascii="Times New Roman" w:hAnsi="Times New Roman" w:cs="Times New Roman"/>
                <w:sz w:val="24"/>
                <w:highlight w:val="none"/>
              </w:rPr>
              <w:t>1</w:t>
            </w:r>
            <w:r>
              <w:rPr>
                <w:rFonts w:hint="eastAsia" w:cs="Times New Roman"/>
                <w:sz w:val="24"/>
                <w:highlight w:val="none"/>
                <w:lang w:val="en-US" w:eastAsia="zh-CN"/>
              </w:rPr>
              <w:t>0</w:t>
            </w:r>
            <w:r>
              <w:rPr>
                <w:rFonts w:hint="eastAsia" w:cs="Times New Roman"/>
                <w:sz w:val="24"/>
                <w:highlight w:val="none"/>
                <w:lang w:eastAsia="zh-CN"/>
              </w:rPr>
              <w:t>日</w:t>
            </w:r>
          </w:p>
        </w:tc>
        <w:tc>
          <w:tcPr>
            <w:tcW w:w="1775"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ascii="Times New Roman" w:hAnsi="Times New Roman" w:eastAsia="宋体" w:cs="Times New Roman"/>
                <w:snapToGrid w:val="0"/>
                <w:kern w:val="0"/>
                <w:sz w:val="24"/>
                <w:highlight w:val="none"/>
                <w:lang w:val="en-US" w:bidi="ar-SA"/>
              </w:rPr>
            </w:pPr>
            <w:r>
              <w:rPr>
                <w:rFonts w:hint="default" w:ascii="Times New Roman" w:hAnsi="Times New Roman" w:eastAsia="宋体" w:cs="Times New Roman"/>
                <w:snapToGrid w:val="0"/>
                <w:kern w:val="0"/>
                <w:sz w:val="24"/>
                <w:highlight w:val="none"/>
                <w:lang w:val="en-US" w:bidi="ar-SA"/>
              </w:rPr>
              <w:t>验收现场</w:t>
            </w:r>
          </w:p>
          <w:p>
            <w:pPr>
              <w:autoSpaceDE/>
              <w:autoSpaceDN/>
              <w:snapToGrid w:val="0"/>
              <w:spacing w:before="0" w:after="0" w:line="276" w:lineRule="auto"/>
              <w:ind w:left="0" w:leftChars="0" w:right="0" w:rightChars="0"/>
              <w:jc w:val="center"/>
              <w:rPr>
                <w:spacing w:val="-10"/>
                <w:sz w:val="24"/>
                <w:highlight w:val="none"/>
              </w:rPr>
            </w:pPr>
            <w:r>
              <w:rPr>
                <w:rFonts w:hint="default" w:ascii="Times New Roman" w:hAnsi="Times New Roman" w:eastAsia="宋体" w:cs="Times New Roman"/>
                <w:snapToGrid w:val="0"/>
                <w:kern w:val="0"/>
                <w:sz w:val="24"/>
                <w:highlight w:val="none"/>
                <w:lang w:val="en-US" w:bidi="ar-SA"/>
              </w:rPr>
              <w:t>监测时间</w:t>
            </w:r>
          </w:p>
        </w:tc>
        <w:tc>
          <w:tcPr>
            <w:tcW w:w="2920" w:type="dxa"/>
            <w:gridSpan w:val="3"/>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eastAsia" w:cs="Times New Roman"/>
                <w:sz w:val="24"/>
                <w:highlight w:val="none"/>
                <w:lang w:val="en-US" w:eastAsia="zh-CN"/>
              </w:rPr>
            </w:pPr>
            <w:r>
              <w:rPr>
                <w:rFonts w:hint="default" w:ascii="Times New Roman" w:hAnsi="Times New Roman" w:cs="Times New Roman"/>
                <w:sz w:val="24"/>
                <w:highlight w:val="none"/>
              </w:rPr>
              <w:t>2019</w:t>
            </w:r>
            <w:r>
              <w:rPr>
                <w:rFonts w:hint="eastAsia" w:cs="Times New Roman"/>
                <w:sz w:val="24"/>
                <w:highlight w:val="none"/>
                <w:lang w:eastAsia="zh-CN"/>
              </w:rPr>
              <w:t>年</w:t>
            </w:r>
            <w:r>
              <w:rPr>
                <w:rFonts w:hint="default" w:ascii="Times New Roman" w:hAnsi="Times New Roman" w:cs="Times New Roman"/>
                <w:sz w:val="24"/>
                <w:highlight w:val="none"/>
              </w:rPr>
              <w:t>11</w:t>
            </w:r>
            <w:r>
              <w:rPr>
                <w:rFonts w:hint="eastAsia" w:cs="Times New Roman"/>
                <w:sz w:val="24"/>
                <w:highlight w:val="none"/>
                <w:lang w:eastAsia="zh-CN"/>
              </w:rPr>
              <w:t>月</w:t>
            </w:r>
            <w:r>
              <w:rPr>
                <w:rFonts w:hint="eastAsia" w:cs="Times New Roman"/>
                <w:sz w:val="24"/>
                <w:highlight w:val="none"/>
                <w:lang w:val="en-US" w:eastAsia="zh-CN"/>
              </w:rPr>
              <w:t>11</w:t>
            </w:r>
            <w:r>
              <w:rPr>
                <w:rFonts w:hint="eastAsia" w:cs="Times New Roman"/>
                <w:sz w:val="24"/>
                <w:highlight w:val="none"/>
                <w:lang w:eastAsia="zh-CN"/>
              </w:rPr>
              <w:t>日</w:t>
            </w:r>
            <w:r>
              <w:rPr>
                <w:rFonts w:hint="eastAsia" w:cs="Times New Roman"/>
                <w:sz w:val="24"/>
                <w:highlight w:val="none"/>
                <w:lang w:val="en-US" w:eastAsia="zh-CN"/>
              </w:rPr>
              <w:t>~</w:t>
            </w:r>
          </w:p>
          <w:p>
            <w:pPr>
              <w:autoSpaceDE/>
              <w:autoSpaceDN/>
              <w:snapToGrid w:val="0"/>
              <w:spacing w:before="0" w:after="0" w:line="276" w:lineRule="auto"/>
              <w:ind w:left="0" w:leftChars="0" w:right="0" w:rightChars="0"/>
              <w:jc w:val="center"/>
              <w:rPr>
                <w:spacing w:val="-10"/>
                <w:sz w:val="24"/>
                <w:highlight w:val="none"/>
              </w:rPr>
            </w:pPr>
            <w:r>
              <w:rPr>
                <w:rFonts w:hint="eastAsia" w:cs="Times New Roman"/>
                <w:sz w:val="24"/>
                <w:highlight w:val="none"/>
                <w:lang w:val="en-US" w:eastAsia="zh-CN"/>
              </w:rPr>
              <w:t>2019年11月12日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eastAsia"/>
                <w:sz w:val="24"/>
                <w:highlight w:val="none"/>
              </w:rPr>
            </w:pPr>
            <w:r>
              <w:rPr>
                <w:rFonts w:hint="default" w:ascii="Times New Roman" w:hAnsi="Times New Roman" w:eastAsia="宋体" w:cs="Times New Roman"/>
                <w:snapToGrid w:val="0"/>
                <w:kern w:val="0"/>
                <w:sz w:val="24"/>
                <w:highlight w:val="none"/>
                <w:lang w:val="en-US" w:bidi="ar-SA"/>
              </w:rPr>
              <w:t>环评报告表审批部门</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eastAsia" w:eastAsia="宋体"/>
                <w:spacing w:val="-10"/>
                <w:sz w:val="24"/>
                <w:highlight w:val="none"/>
                <w:lang w:val="en-US" w:eastAsia="zh-CN"/>
              </w:rPr>
            </w:pPr>
            <w:r>
              <w:rPr>
                <w:rFonts w:hint="eastAsia"/>
                <w:spacing w:val="-10"/>
                <w:sz w:val="24"/>
                <w:highlight w:val="none"/>
                <w:lang w:val="en-US" w:eastAsia="zh-CN"/>
              </w:rPr>
              <w:t>渭南市华州区环境保护局</w:t>
            </w:r>
          </w:p>
        </w:tc>
        <w:tc>
          <w:tcPr>
            <w:tcW w:w="1775"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ascii="Times New Roman" w:hAnsi="Times New Roman" w:eastAsia="宋体" w:cs="Times New Roman"/>
                <w:snapToGrid w:val="0"/>
                <w:kern w:val="0"/>
                <w:sz w:val="24"/>
                <w:highlight w:val="none"/>
                <w:lang w:val="en-US" w:bidi="ar-SA"/>
              </w:rPr>
            </w:pPr>
            <w:r>
              <w:rPr>
                <w:rFonts w:hint="default" w:ascii="Times New Roman" w:hAnsi="Times New Roman" w:eastAsia="宋体" w:cs="Times New Roman"/>
                <w:snapToGrid w:val="0"/>
                <w:kern w:val="0"/>
                <w:sz w:val="24"/>
                <w:highlight w:val="none"/>
                <w:lang w:val="en-US" w:bidi="ar-SA"/>
              </w:rPr>
              <w:t>环评报告表</w:t>
            </w:r>
          </w:p>
          <w:p>
            <w:pPr>
              <w:autoSpaceDE/>
              <w:autoSpaceDN/>
              <w:snapToGrid w:val="0"/>
              <w:spacing w:before="0" w:after="0" w:line="276" w:lineRule="auto"/>
              <w:ind w:left="0" w:leftChars="0" w:right="0" w:rightChars="0"/>
              <w:jc w:val="center"/>
              <w:rPr>
                <w:rFonts w:hint="default" w:ascii="Times New Roman" w:hAnsi="Times New Roman" w:eastAsia="宋体" w:cs="Times New Roman"/>
                <w:snapToGrid w:val="0"/>
                <w:kern w:val="0"/>
                <w:sz w:val="24"/>
                <w:highlight w:val="none"/>
                <w:lang w:val="en-US" w:eastAsia="zh-CN" w:bidi="ar-SA"/>
              </w:rPr>
            </w:pPr>
            <w:r>
              <w:rPr>
                <w:rFonts w:hint="default" w:ascii="Times New Roman" w:hAnsi="Times New Roman" w:eastAsia="宋体" w:cs="Times New Roman"/>
                <w:snapToGrid w:val="0"/>
                <w:kern w:val="0"/>
                <w:sz w:val="24"/>
                <w:highlight w:val="none"/>
                <w:lang w:val="en-US" w:bidi="ar-SA"/>
              </w:rPr>
              <w:t>编制单位</w:t>
            </w:r>
          </w:p>
        </w:tc>
        <w:tc>
          <w:tcPr>
            <w:tcW w:w="2920" w:type="dxa"/>
            <w:gridSpan w:val="3"/>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ascii="Times New Roman" w:hAnsi="Times New Roman" w:eastAsia="宋体" w:cs="Times New Roman"/>
                <w:snapToGrid w:val="0"/>
                <w:kern w:val="0"/>
                <w:sz w:val="24"/>
                <w:highlight w:val="none"/>
                <w:lang w:val="en-US" w:eastAsia="zh-CN" w:bidi="ar-SA"/>
              </w:rPr>
            </w:pPr>
            <w:r>
              <w:rPr>
                <w:rFonts w:hint="eastAsia" w:cs="Times New Roman"/>
                <w:snapToGrid w:val="0"/>
                <w:kern w:val="0"/>
                <w:sz w:val="24"/>
                <w:highlight w:val="none"/>
                <w:lang w:val="en-US" w:eastAsia="zh-CN" w:bidi="ar-SA"/>
              </w:rPr>
              <w:t>宝鸡博源环境科技有限公司西安分公司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eastAsia"/>
                <w:sz w:val="24"/>
                <w:highlight w:val="none"/>
              </w:rPr>
            </w:pPr>
            <w:r>
              <w:rPr>
                <w:rFonts w:hint="default" w:ascii="Times New Roman" w:hAnsi="Times New Roman" w:eastAsia="宋体" w:cs="Times New Roman"/>
                <w:snapToGrid w:val="0"/>
                <w:kern w:val="0"/>
                <w:sz w:val="24"/>
                <w:highlight w:val="none"/>
                <w:lang w:val="en-US" w:bidi="ar-SA"/>
              </w:rPr>
              <w:t>环保设施设计单位</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eastAsia="宋体"/>
                <w:spacing w:val="-10"/>
                <w:sz w:val="24"/>
                <w:highlight w:val="none"/>
                <w:lang w:val="en-US" w:eastAsia="zh-CN"/>
              </w:rPr>
            </w:pPr>
            <w:r>
              <w:rPr>
                <w:rFonts w:hint="default" w:eastAsia="宋体"/>
                <w:spacing w:val="-10"/>
                <w:sz w:val="24"/>
                <w:highlight w:val="none"/>
                <w:lang w:val="en-US" w:eastAsia="zh-CN"/>
              </w:rPr>
              <w:t>陕西宇泰建筑设计有限公司</w:t>
            </w:r>
          </w:p>
        </w:tc>
        <w:tc>
          <w:tcPr>
            <w:tcW w:w="1775"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ascii="Times New Roman" w:hAnsi="Times New Roman" w:eastAsia="宋体" w:cs="Times New Roman"/>
                <w:snapToGrid w:val="0"/>
                <w:kern w:val="0"/>
                <w:sz w:val="24"/>
                <w:highlight w:val="none"/>
                <w:lang w:val="en-US" w:bidi="ar-SA"/>
              </w:rPr>
            </w:pPr>
            <w:r>
              <w:rPr>
                <w:rFonts w:hint="default" w:ascii="Times New Roman" w:hAnsi="Times New Roman" w:eastAsia="宋体" w:cs="Times New Roman"/>
                <w:snapToGrid w:val="0"/>
                <w:kern w:val="0"/>
                <w:sz w:val="24"/>
                <w:highlight w:val="none"/>
                <w:lang w:val="en-US" w:bidi="ar-SA"/>
              </w:rPr>
              <w:t>环保设施</w:t>
            </w:r>
          </w:p>
          <w:p>
            <w:pPr>
              <w:autoSpaceDE/>
              <w:autoSpaceDN/>
              <w:snapToGrid w:val="0"/>
              <w:spacing w:before="0" w:after="0" w:line="276" w:lineRule="auto"/>
              <w:ind w:left="0" w:leftChars="0" w:right="0" w:rightChars="0"/>
              <w:jc w:val="center"/>
              <w:rPr>
                <w:rFonts w:hint="default" w:eastAsia="宋体"/>
                <w:spacing w:val="-10"/>
                <w:sz w:val="24"/>
                <w:highlight w:val="none"/>
                <w:lang w:val="en-US" w:eastAsia="zh-CN"/>
              </w:rPr>
            </w:pPr>
            <w:r>
              <w:rPr>
                <w:rFonts w:hint="default" w:ascii="Times New Roman" w:hAnsi="Times New Roman" w:eastAsia="宋体" w:cs="Times New Roman"/>
                <w:snapToGrid w:val="0"/>
                <w:kern w:val="0"/>
                <w:sz w:val="24"/>
                <w:highlight w:val="none"/>
                <w:lang w:val="en-US" w:bidi="ar-SA"/>
              </w:rPr>
              <w:t>施工单位</w:t>
            </w:r>
          </w:p>
        </w:tc>
        <w:tc>
          <w:tcPr>
            <w:tcW w:w="2920" w:type="dxa"/>
            <w:gridSpan w:val="3"/>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eastAsia="宋体"/>
                <w:spacing w:val="-10"/>
                <w:sz w:val="24"/>
                <w:highlight w:val="none"/>
                <w:lang w:val="en-US" w:eastAsia="zh-CN"/>
              </w:rPr>
            </w:pPr>
            <w:r>
              <w:rPr>
                <w:rFonts w:hint="default" w:eastAsia="宋体"/>
                <w:spacing w:val="-10"/>
                <w:sz w:val="24"/>
                <w:highlight w:val="none"/>
                <w:lang w:val="en-US" w:eastAsia="zh-CN"/>
              </w:rPr>
              <w:t xml:space="preserve">  延安三星建筑工程有限责任公司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exac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eastAsia" w:eastAsia="宋体"/>
                <w:sz w:val="24"/>
                <w:highlight w:val="none"/>
                <w:lang w:eastAsia="zh-CN"/>
              </w:rPr>
            </w:pPr>
            <w:r>
              <w:rPr>
                <w:rFonts w:hint="default" w:ascii="Times New Roman" w:hAnsi="Times New Roman" w:eastAsia="宋体" w:cs="Times New Roman"/>
                <w:snapToGrid w:val="0"/>
                <w:kern w:val="0"/>
                <w:sz w:val="24"/>
                <w:highlight w:val="none"/>
                <w:lang w:val="en-US" w:bidi="ar-SA"/>
              </w:rPr>
              <w:t>投资总概算</w:t>
            </w:r>
            <w:r>
              <w:rPr>
                <w:rFonts w:hint="eastAsia" w:cs="Times New Roman"/>
                <w:snapToGrid w:val="0"/>
                <w:kern w:val="0"/>
                <w:sz w:val="24"/>
                <w:highlight w:val="none"/>
                <w:lang w:val="en-US" w:eastAsia="zh-CN" w:bidi="ar-SA"/>
              </w:rPr>
              <w:t>（万元）</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eastAsia="宋体"/>
                <w:color w:val="auto"/>
                <w:sz w:val="24"/>
                <w:highlight w:val="none"/>
                <w:lang w:val="en-US" w:eastAsia="zh-CN"/>
              </w:rPr>
            </w:pPr>
            <w:r>
              <w:rPr>
                <w:rFonts w:hint="default" w:ascii="Times New Roman" w:hAnsi="Times New Roman" w:cs="Times New Roman"/>
                <w:snapToGrid w:val="0"/>
                <w:kern w:val="0"/>
                <w:sz w:val="24"/>
                <w:highlight w:val="none"/>
              </w:rPr>
              <w:t>342.71</w:t>
            </w:r>
          </w:p>
        </w:tc>
        <w:tc>
          <w:tcPr>
            <w:tcW w:w="1775"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ascii="Times New Roman" w:hAnsi="Times New Roman" w:cs="Times New Roman"/>
                <w:snapToGrid w:val="0"/>
                <w:kern w:val="0"/>
                <w:sz w:val="24"/>
                <w:highlight w:val="none"/>
              </w:rPr>
            </w:pPr>
            <w:r>
              <w:rPr>
                <w:rFonts w:hint="default" w:ascii="Times New Roman" w:hAnsi="Times New Roman" w:eastAsia="宋体" w:cs="Times New Roman"/>
                <w:snapToGrid w:val="0"/>
                <w:kern w:val="0"/>
                <w:sz w:val="24"/>
                <w:highlight w:val="none"/>
                <w:lang w:val="en-US" w:bidi="ar-SA"/>
              </w:rPr>
              <w:t>环保投资总概算</w:t>
            </w:r>
            <w:r>
              <w:rPr>
                <w:rFonts w:hint="eastAsia" w:cs="Times New Roman"/>
                <w:snapToGrid w:val="0"/>
                <w:kern w:val="0"/>
                <w:sz w:val="24"/>
                <w:highlight w:val="none"/>
                <w:lang w:val="en-US" w:eastAsia="zh-CN" w:bidi="ar-SA"/>
              </w:rPr>
              <w:t>（万元）</w:t>
            </w:r>
          </w:p>
        </w:tc>
        <w:tc>
          <w:tcPr>
            <w:tcW w:w="1090"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eastAsia" w:ascii="Times New Roman" w:hAnsi="Times New Roman" w:eastAsia="宋体" w:cs="Times New Roman"/>
                <w:snapToGrid w:val="0"/>
                <w:kern w:val="0"/>
                <w:sz w:val="24"/>
                <w:highlight w:val="none"/>
                <w:lang w:eastAsia="zh-CN"/>
              </w:rPr>
            </w:pPr>
            <w:r>
              <w:rPr>
                <w:rFonts w:hint="default" w:ascii="Times New Roman" w:hAnsi="Times New Roman" w:cs="Times New Roman"/>
                <w:snapToGrid w:val="0"/>
                <w:kern w:val="0"/>
                <w:sz w:val="24"/>
                <w:szCs w:val="24"/>
                <w:highlight w:val="none"/>
                <w:lang w:val="en-US" w:eastAsia="zh-CN"/>
              </w:rPr>
              <w:t>7</w:t>
            </w:r>
            <w:r>
              <w:rPr>
                <w:rFonts w:hint="default" w:ascii="Times New Roman" w:hAnsi="Times New Roman" w:cs="Times New Roman"/>
                <w:snapToGrid w:val="0"/>
                <w:kern w:val="0"/>
                <w:sz w:val="24"/>
                <w:szCs w:val="24"/>
                <w:highlight w:val="none"/>
              </w:rPr>
              <w:t>7.</w:t>
            </w:r>
            <w:r>
              <w:rPr>
                <w:rFonts w:hint="eastAsia" w:cs="Times New Roman"/>
                <w:snapToGrid w:val="0"/>
                <w:kern w:val="0"/>
                <w:sz w:val="24"/>
                <w:szCs w:val="24"/>
                <w:highlight w:val="none"/>
                <w:lang w:val="en-US" w:eastAsia="zh-CN"/>
              </w:rPr>
              <w:t>8</w:t>
            </w:r>
          </w:p>
        </w:tc>
        <w:tc>
          <w:tcPr>
            <w:tcW w:w="719"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ascii="Times New Roman" w:hAnsi="Times New Roman" w:cs="Times New Roman"/>
                <w:snapToGrid w:val="0"/>
                <w:kern w:val="0"/>
                <w:sz w:val="24"/>
                <w:highlight w:val="none"/>
              </w:rPr>
            </w:pPr>
            <w:r>
              <w:rPr>
                <w:rFonts w:hint="default" w:ascii="Times New Roman" w:hAnsi="Times New Roman" w:eastAsia="宋体" w:cs="Times New Roman"/>
                <w:snapToGrid w:val="0"/>
                <w:kern w:val="0"/>
                <w:sz w:val="24"/>
                <w:highlight w:val="none"/>
                <w:lang w:val="en-US" w:bidi="ar-SA"/>
              </w:rPr>
              <w:t>比例</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szCs w:val="24"/>
                <w:highlight w:val="none"/>
                <w:lang w:val="en-US" w:eastAsia="zh-CN"/>
              </w:rPr>
              <w:t>22.</w:t>
            </w:r>
            <w:r>
              <w:rPr>
                <w:rFonts w:hint="eastAsia" w:cs="Times New Roman"/>
                <w:snapToGrid w:val="0"/>
                <w:kern w:val="0"/>
                <w:sz w:val="24"/>
                <w:szCs w:val="24"/>
                <w:highlight w:val="none"/>
                <w:lang w:val="en-US" w:eastAsia="zh-CN"/>
              </w:rPr>
              <w:t>7</w:t>
            </w:r>
            <w:r>
              <w:rPr>
                <w:rFonts w:hint="default" w:ascii="Times New Roman" w:hAnsi="Times New Roman" w:cs="Times New Roman"/>
                <w:snapToGrid w:val="0"/>
                <w:kern w:val="0"/>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sz w:val="24"/>
                <w:highlight w:val="none"/>
              </w:rPr>
            </w:pPr>
            <w:r>
              <w:rPr>
                <w:rFonts w:hint="default" w:ascii="Times New Roman" w:hAnsi="Times New Roman" w:eastAsia="宋体" w:cs="Times New Roman"/>
                <w:snapToGrid w:val="0"/>
                <w:kern w:val="0"/>
                <w:sz w:val="24"/>
                <w:highlight w:val="none"/>
                <w:lang w:val="en-US" w:bidi="ar-SA"/>
              </w:rPr>
              <w:t>实际总概算</w:t>
            </w:r>
            <w:r>
              <w:rPr>
                <w:rFonts w:hint="eastAsia" w:cs="Times New Roman"/>
                <w:snapToGrid w:val="0"/>
                <w:kern w:val="0"/>
                <w:sz w:val="24"/>
                <w:highlight w:val="none"/>
                <w:lang w:val="en-US" w:eastAsia="zh-CN" w:bidi="ar-SA"/>
              </w:rPr>
              <w:t>（万元）</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color w:val="auto"/>
                <w:spacing w:val="-10"/>
                <w:sz w:val="24"/>
                <w:highlight w:val="none"/>
              </w:rPr>
            </w:pPr>
            <w:r>
              <w:rPr>
                <w:rFonts w:hint="default" w:ascii="Times New Roman" w:hAnsi="Times New Roman" w:cs="Times New Roman"/>
                <w:snapToGrid w:val="0"/>
                <w:kern w:val="0"/>
                <w:sz w:val="24"/>
                <w:highlight w:val="none"/>
              </w:rPr>
              <w:t>342.71</w:t>
            </w:r>
          </w:p>
        </w:tc>
        <w:tc>
          <w:tcPr>
            <w:tcW w:w="1775"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ascii="Times New Roman" w:hAnsi="Times New Roman" w:eastAsia="宋体" w:cs="Times New Roman"/>
                <w:snapToGrid w:val="0"/>
                <w:kern w:val="0"/>
                <w:sz w:val="24"/>
                <w:highlight w:val="none"/>
                <w:lang w:val="en-US" w:bidi="ar-SA"/>
              </w:rPr>
            </w:pPr>
            <w:r>
              <w:rPr>
                <w:rFonts w:hint="default" w:ascii="Times New Roman" w:hAnsi="Times New Roman" w:eastAsia="宋体" w:cs="Times New Roman"/>
                <w:snapToGrid w:val="0"/>
                <w:kern w:val="0"/>
                <w:sz w:val="24"/>
                <w:highlight w:val="none"/>
                <w:lang w:val="en-US" w:bidi="ar-SA"/>
              </w:rPr>
              <w:t>环保投资</w:t>
            </w:r>
          </w:p>
          <w:p>
            <w:pPr>
              <w:autoSpaceDE/>
              <w:autoSpaceDN/>
              <w:snapToGrid w:val="0"/>
              <w:spacing w:before="0" w:after="0" w:line="276" w:lineRule="auto"/>
              <w:ind w:left="0" w:leftChars="0" w:right="0" w:rightChars="0"/>
              <w:jc w:val="center"/>
              <w:rPr>
                <w:rFonts w:hint="default" w:ascii="Times New Roman" w:hAnsi="Times New Roman" w:cs="Times New Roman"/>
                <w:snapToGrid w:val="0"/>
                <w:kern w:val="0"/>
                <w:sz w:val="24"/>
                <w:highlight w:val="none"/>
              </w:rPr>
            </w:pPr>
            <w:r>
              <w:rPr>
                <w:rFonts w:hint="eastAsia" w:cs="Times New Roman"/>
                <w:snapToGrid w:val="0"/>
                <w:kern w:val="0"/>
                <w:sz w:val="24"/>
                <w:highlight w:val="none"/>
                <w:lang w:val="en-US" w:eastAsia="zh-CN" w:bidi="ar-SA"/>
              </w:rPr>
              <w:t>（万元）</w:t>
            </w:r>
          </w:p>
        </w:tc>
        <w:tc>
          <w:tcPr>
            <w:tcW w:w="1090"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eastAsia" w:ascii="Times New Roman" w:hAnsi="Times New Roman" w:eastAsia="宋体" w:cs="Times New Roman"/>
                <w:snapToGrid w:val="0"/>
                <w:kern w:val="0"/>
                <w:sz w:val="24"/>
                <w:highlight w:val="none"/>
                <w:lang w:eastAsia="zh-CN"/>
              </w:rPr>
            </w:pPr>
            <w:r>
              <w:rPr>
                <w:rFonts w:hint="default" w:ascii="Times New Roman" w:hAnsi="Times New Roman" w:cs="Times New Roman"/>
                <w:snapToGrid w:val="0"/>
                <w:kern w:val="0"/>
                <w:sz w:val="24"/>
                <w:szCs w:val="24"/>
                <w:highlight w:val="none"/>
                <w:lang w:val="en-US" w:eastAsia="zh-CN"/>
              </w:rPr>
              <w:t>7</w:t>
            </w:r>
            <w:r>
              <w:rPr>
                <w:rFonts w:hint="default" w:ascii="Times New Roman" w:hAnsi="Times New Roman" w:cs="Times New Roman"/>
                <w:snapToGrid w:val="0"/>
                <w:kern w:val="0"/>
                <w:sz w:val="24"/>
                <w:szCs w:val="24"/>
                <w:highlight w:val="none"/>
              </w:rPr>
              <w:t>7.</w:t>
            </w:r>
            <w:r>
              <w:rPr>
                <w:rFonts w:hint="eastAsia" w:cs="Times New Roman"/>
                <w:snapToGrid w:val="0"/>
                <w:kern w:val="0"/>
                <w:sz w:val="24"/>
                <w:szCs w:val="24"/>
                <w:highlight w:val="none"/>
                <w:lang w:val="en-US" w:eastAsia="zh-CN"/>
              </w:rPr>
              <w:t>8</w:t>
            </w:r>
          </w:p>
        </w:tc>
        <w:tc>
          <w:tcPr>
            <w:tcW w:w="719"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ascii="Times New Roman" w:hAnsi="Times New Roman" w:cs="Times New Roman"/>
                <w:snapToGrid w:val="0"/>
                <w:kern w:val="0"/>
                <w:sz w:val="24"/>
                <w:highlight w:val="none"/>
              </w:rPr>
            </w:pPr>
            <w:r>
              <w:rPr>
                <w:rFonts w:hint="default" w:ascii="Times New Roman" w:hAnsi="Times New Roman" w:eastAsia="宋体" w:cs="Times New Roman"/>
                <w:snapToGrid w:val="0"/>
                <w:kern w:val="0"/>
                <w:sz w:val="24"/>
                <w:highlight w:val="none"/>
                <w:lang w:val="en-US" w:bidi="ar-SA"/>
              </w:rPr>
              <w:t>比例</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ascii="Times New Roman" w:hAnsi="Times New Roman" w:cs="Times New Roman"/>
                <w:snapToGrid w:val="0"/>
                <w:kern w:val="0"/>
                <w:sz w:val="24"/>
                <w:highlight w:val="none"/>
              </w:rPr>
            </w:pPr>
            <w:r>
              <w:rPr>
                <w:rFonts w:hint="default" w:ascii="Times New Roman" w:hAnsi="Times New Roman" w:cs="Times New Roman"/>
                <w:snapToGrid w:val="0"/>
                <w:kern w:val="0"/>
                <w:sz w:val="24"/>
                <w:szCs w:val="24"/>
                <w:highlight w:val="none"/>
                <w:lang w:val="en-US" w:eastAsia="zh-CN"/>
              </w:rPr>
              <w:t>22.</w:t>
            </w:r>
            <w:r>
              <w:rPr>
                <w:rFonts w:hint="eastAsia" w:cs="Times New Roman"/>
                <w:snapToGrid w:val="0"/>
                <w:kern w:val="0"/>
                <w:sz w:val="24"/>
                <w:szCs w:val="24"/>
                <w:highlight w:val="none"/>
                <w:lang w:val="en-US" w:eastAsia="zh-CN"/>
              </w:rPr>
              <w:t>7</w:t>
            </w:r>
            <w:r>
              <w:rPr>
                <w:rFonts w:hint="default" w:ascii="Times New Roman" w:hAnsi="Times New Roman" w:cs="Times New Roman"/>
                <w:snapToGrid w:val="0"/>
                <w:kern w:val="0"/>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492" w:type="dxa"/>
            <w:tcBorders>
              <w:top w:val="single" w:color="auto" w:sz="4" w:space="0"/>
              <w:left w:val="single" w:color="auto" w:sz="4" w:space="0"/>
              <w:bottom w:val="single" w:color="auto" w:sz="4" w:space="0"/>
              <w:right w:val="single" w:color="auto" w:sz="4" w:space="0"/>
            </w:tcBorders>
            <w:noWrap w:val="0"/>
            <w:vAlign w:val="center"/>
          </w:tcPr>
          <w:p>
            <w:pPr>
              <w:autoSpaceDE/>
              <w:autoSpaceDN/>
              <w:snapToGrid w:val="0"/>
              <w:spacing w:before="0" w:after="0" w:line="276" w:lineRule="auto"/>
              <w:ind w:left="0" w:leftChars="0" w:right="0" w:rightChars="0"/>
              <w:jc w:val="center"/>
              <w:rPr>
                <w:rFonts w:hint="default" w:ascii="Times New Roman" w:hAnsi="Times New Roman" w:eastAsia="宋体" w:cs="Times New Roman"/>
                <w:snapToGrid w:val="0"/>
                <w:kern w:val="0"/>
                <w:sz w:val="24"/>
                <w:highlight w:val="none"/>
                <w:lang w:val="en-US" w:bidi="ar-SA"/>
              </w:rPr>
            </w:pPr>
            <w:r>
              <w:rPr>
                <w:rFonts w:hint="eastAsia" w:ascii="Calibri" w:hAnsi="Calibri" w:eastAsia="宋体" w:cs="Times New Roman"/>
                <w:snapToGrid w:val="0"/>
                <w:kern w:val="0"/>
                <w:sz w:val="24"/>
                <w:highlight w:val="none"/>
                <w:lang w:val="en-US" w:bidi="ar-SA"/>
              </w:rPr>
              <w:t>验收监测依据</w:t>
            </w:r>
          </w:p>
        </w:tc>
        <w:tc>
          <w:tcPr>
            <w:tcW w:w="6796" w:type="dxa"/>
            <w:gridSpan w:val="5"/>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auto"/>
              <w:jc w:val="left"/>
              <w:rPr>
                <w:rFonts w:hint="default" w:ascii="Times New Roman" w:hAnsi="Times New Roman" w:eastAsia="宋体" w:cs="Times New Roman"/>
                <w:sz w:val="24"/>
                <w:szCs w:val="22"/>
                <w:highlight w:val="none"/>
                <w:lang w:val="en-US" w:eastAsia="zh-CN" w:bidi="zh-CN"/>
              </w:rPr>
            </w:pPr>
            <w:r>
              <w:rPr>
                <w:rFonts w:hint="default" w:ascii="Times New Roman" w:hAnsi="Times New Roman" w:eastAsia="宋体" w:cs="Times New Roman"/>
                <w:sz w:val="24"/>
                <w:szCs w:val="22"/>
                <w:highlight w:val="none"/>
                <w:lang w:val="en-US" w:eastAsia="zh-CN" w:bidi="zh-CN"/>
              </w:rPr>
              <w:t>《中华人民共和国环境保护法》（2015.1.1）；</w:t>
            </w:r>
          </w:p>
          <w:p>
            <w:pPr>
              <w:numPr>
                <w:ilvl w:val="0"/>
                <w:numId w:val="0"/>
              </w:numPr>
              <w:spacing w:line="360" w:lineRule="auto"/>
              <w:jc w:val="left"/>
              <w:rPr>
                <w:rFonts w:hint="default" w:ascii="Times New Roman" w:hAnsi="Times New Roman" w:eastAsia="宋体" w:cs="Times New Roman"/>
                <w:sz w:val="24"/>
                <w:szCs w:val="22"/>
                <w:highlight w:val="none"/>
                <w:lang w:val="en-US" w:eastAsia="zh-CN" w:bidi="zh-CN"/>
              </w:rPr>
            </w:pPr>
            <w:r>
              <w:rPr>
                <w:rFonts w:hint="eastAsia" w:ascii="Times New Roman" w:hAnsi="Times New Roman" w:cs="Times New Roman"/>
                <w:sz w:val="24"/>
                <w:szCs w:val="22"/>
                <w:highlight w:val="none"/>
                <w:lang w:val="en-US" w:eastAsia="zh-CN" w:bidi="zh-CN"/>
              </w:rPr>
              <w:t>2、</w:t>
            </w:r>
            <w:r>
              <w:rPr>
                <w:rFonts w:hint="default" w:ascii="Times New Roman" w:hAnsi="Times New Roman" w:eastAsia="宋体" w:cs="Times New Roman"/>
                <w:sz w:val="24"/>
                <w:szCs w:val="22"/>
                <w:highlight w:val="none"/>
                <w:lang w:val="en-US" w:eastAsia="zh-CN" w:bidi="zh-CN"/>
              </w:rPr>
              <w:t>《中华人民共和国大气污染防治法》（2018.10.26）；</w:t>
            </w:r>
          </w:p>
          <w:p>
            <w:pPr>
              <w:numPr>
                <w:ilvl w:val="0"/>
                <w:numId w:val="0"/>
              </w:numPr>
              <w:spacing w:line="360" w:lineRule="auto"/>
              <w:jc w:val="left"/>
              <w:rPr>
                <w:rFonts w:hint="default" w:ascii="Times New Roman" w:hAnsi="Times New Roman" w:eastAsia="宋体" w:cs="Times New Roman"/>
                <w:sz w:val="24"/>
                <w:szCs w:val="22"/>
                <w:highlight w:val="none"/>
                <w:lang w:val="en-US" w:eastAsia="zh-CN" w:bidi="zh-CN"/>
              </w:rPr>
            </w:pPr>
            <w:r>
              <w:rPr>
                <w:rFonts w:hint="eastAsia" w:ascii="Times New Roman" w:hAnsi="Times New Roman" w:cs="Times New Roman"/>
                <w:sz w:val="24"/>
                <w:szCs w:val="22"/>
                <w:highlight w:val="none"/>
                <w:lang w:val="en-US" w:eastAsia="zh-CN" w:bidi="zh-CN"/>
              </w:rPr>
              <w:t>3、</w:t>
            </w:r>
            <w:r>
              <w:rPr>
                <w:rFonts w:hint="default" w:ascii="Times New Roman" w:hAnsi="Times New Roman" w:eastAsia="宋体" w:cs="Times New Roman"/>
                <w:sz w:val="24"/>
                <w:szCs w:val="22"/>
                <w:highlight w:val="none"/>
                <w:lang w:val="en-US" w:eastAsia="zh-CN" w:bidi="zh-CN"/>
              </w:rPr>
              <w:t>《中华人民共和国水污染防治法》（2018.1.1）；</w:t>
            </w:r>
          </w:p>
          <w:p>
            <w:pPr>
              <w:numPr>
                <w:ilvl w:val="0"/>
                <w:numId w:val="0"/>
              </w:numPr>
              <w:spacing w:line="360" w:lineRule="auto"/>
              <w:jc w:val="left"/>
              <w:rPr>
                <w:rFonts w:hint="default" w:ascii="Times New Roman" w:hAnsi="Times New Roman" w:eastAsia="宋体" w:cs="Times New Roman"/>
                <w:sz w:val="24"/>
                <w:szCs w:val="22"/>
                <w:highlight w:val="none"/>
                <w:lang w:val="en-US" w:eastAsia="zh-CN" w:bidi="zh-CN"/>
              </w:rPr>
            </w:pPr>
            <w:r>
              <w:rPr>
                <w:rFonts w:hint="eastAsia" w:ascii="Times New Roman" w:hAnsi="Times New Roman" w:cs="Times New Roman"/>
                <w:sz w:val="24"/>
                <w:szCs w:val="22"/>
                <w:highlight w:val="none"/>
                <w:lang w:val="en-US" w:eastAsia="zh-CN" w:bidi="zh-CN"/>
              </w:rPr>
              <w:t>4、</w:t>
            </w:r>
            <w:r>
              <w:rPr>
                <w:rFonts w:hint="default" w:ascii="Times New Roman" w:hAnsi="Times New Roman" w:eastAsia="宋体" w:cs="Times New Roman"/>
                <w:sz w:val="24"/>
                <w:szCs w:val="22"/>
                <w:highlight w:val="none"/>
                <w:lang w:val="en-US" w:eastAsia="zh-CN" w:bidi="zh-CN"/>
              </w:rPr>
              <w:t>《中华人民共和国环境噪声污染防治法》（2018.12.29）；</w:t>
            </w:r>
          </w:p>
          <w:p>
            <w:pPr>
              <w:numPr>
                <w:ilvl w:val="0"/>
                <w:numId w:val="0"/>
              </w:numPr>
              <w:spacing w:line="360" w:lineRule="auto"/>
              <w:jc w:val="left"/>
              <w:rPr>
                <w:rFonts w:hint="default" w:ascii="Times New Roman" w:hAnsi="Times New Roman" w:eastAsia="宋体" w:cs="Times New Roman"/>
                <w:b w:val="0"/>
                <w:bCs w:val="0"/>
                <w:color w:val="auto"/>
                <w:sz w:val="24"/>
                <w:szCs w:val="22"/>
                <w:highlight w:val="none"/>
                <w:lang w:val="en-US" w:eastAsia="zh-CN"/>
              </w:rPr>
            </w:pPr>
            <w:r>
              <w:rPr>
                <w:rFonts w:hint="eastAsia" w:ascii="Times New Roman" w:hAnsi="Times New Roman" w:cs="Times New Roman"/>
                <w:sz w:val="24"/>
                <w:szCs w:val="22"/>
                <w:highlight w:val="none"/>
                <w:lang w:val="en-US" w:eastAsia="zh-CN" w:bidi="zh-CN"/>
              </w:rPr>
              <w:t>5、</w:t>
            </w:r>
            <w:r>
              <w:rPr>
                <w:rFonts w:hint="default" w:ascii="Times New Roman" w:hAnsi="Times New Roman" w:eastAsia="宋体" w:cs="Times New Roman"/>
                <w:sz w:val="24"/>
                <w:szCs w:val="22"/>
                <w:highlight w:val="none"/>
                <w:lang w:val="en-US" w:eastAsia="zh-CN" w:bidi="zh-CN"/>
              </w:rPr>
              <w:t>《建设项目环境保护管理条例》（2017.10.1）</w:t>
            </w:r>
            <w:r>
              <w:rPr>
                <w:rFonts w:hint="eastAsia" w:ascii="Times New Roman" w:hAnsi="Times New Roman" w:cs="Times New Roman"/>
                <w:sz w:val="24"/>
                <w:szCs w:val="22"/>
                <w:highlight w:val="none"/>
                <w:lang w:val="en-US" w:eastAsia="zh-CN" w:bidi="zh-CN"/>
              </w:rPr>
              <w:t>；</w:t>
            </w:r>
          </w:p>
          <w:p>
            <w:pPr>
              <w:numPr>
                <w:ilvl w:val="0"/>
                <w:numId w:val="0"/>
              </w:numPr>
              <w:spacing w:line="360" w:lineRule="auto"/>
              <w:jc w:val="left"/>
              <w:rPr>
                <w:rFonts w:hint="default" w:ascii="Times New Roman" w:hAnsi="Times New Roman" w:eastAsia="宋体" w:cs="Times New Roman"/>
                <w:b w:val="0"/>
                <w:bCs w:val="0"/>
                <w:color w:val="auto"/>
                <w:sz w:val="24"/>
                <w:szCs w:val="22"/>
                <w:highlight w:val="none"/>
                <w:lang w:val="en-US" w:eastAsia="zh-CN"/>
              </w:rPr>
            </w:pPr>
            <w:r>
              <w:rPr>
                <w:rFonts w:hint="eastAsia" w:ascii="Times New Roman" w:hAnsi="Times New Roman" w:cs="Times New Roman"/>
                <w:b w:val="0"/>
                <w:bCs w:val="0"/>
                <w:color w:val="auto"/>
                <w:sz w:val="24"/>
                <w:szCs w:val="22"/>
                <w:highlight w:val="none"/>
                <w:lang w:val="en-US" w:eastAsia="zh-CN"/>
              </w:rPr>
              <w:t>6、</w:t>
            </w:r>
            <w:r>
              <w:rPr>
                <w:rFonts w:hint="default" w:ascii="Times New Roman" w:hAnsi="Times New Roman" w:eastAsia="宋体" w:cs="Times New Roman"/>
                <w:b w:val="0"/>
                <w:bCs w:val="0"/>
                <w:color w:val="auto"/>
                <w:sz w:val="24"/>
                <w:szCs w:val="22"/>
                <w:highlight w:val="none"/>
                <w:lang w:val="en-US" w:eastAsia="zh-CN"/>
              </w:rPr>
              <w:t>《关于规范建设单位自主开展建设项目竣工环境保护验收的通知（征求意见稿）》（环办环评函[2017]1235号）；</w:t>
            </w:r>
          </w:p>
          <w:p>
            <w:pPr>
              <w:numPr>
                <w:ilvl w:val="0"/>
                <w:numId w:val="0"/>
              </w:numPr>
              <w:spacing w:line="360" w:lineRule="auto"/>
              <w:jc w:val="left"/>
              <w:rPr>
                <w:rFonts w:hint="default" w:ascii="Times New Roman" w:hAnsi="Times New Roman" w:eastAsia="宋体" w:cs="Times New Roman"/>
                <w:b w:val="0"/>
                <w:bCs w:val="0"/>
                <w:color w:val="auto"/>
                <w:sz w:val="24"/>
                <w:szCs w:val="22"/>
                <w:highlight w:val="none"/>
                <w:lang w:val="en-US" w:eastAsia="zh-CN"/>
              </w:rPr>
            </w:pPr>
            <w:r>
              <w:rPr>
                <w:rFonts w:hint="eastAsia" w:ascii="Times New Roman" w:hAnsi="Times New Roman" w:cs="Times New Roman"/>
                <w:b w:val="0"/>
                <w:bCs w:val="0"/>
                <w:color w:val="auto"/>
                <w:sz w:val="24"/>
                <w:szCs w:val="22"/>
                <w:highlight w:val="none"/>
                <w:lang w:val="en-US" w:eastAsia="zh-CN"/>
              </w:rPr>
              <w:t>7、</w:t>
            </w:r>
            <w:r>
              <w:rPr>
                <w:rFonts w:hint="default" w:ascii="Times New Roman" w:hAnsi="Times New Roman" w:eastAsia="宋体" w:cs="Times New Roman"/>
                <w:b w:val="0"/>
                <w:bCs w:val="0"/>
                <w:color w:val="auto"/>
                <w:sz w:val="24"/>
                <w:szCs w:val="22"/>
                <w:highlight w:val="none"/>
                <w:lang w:val="en-US" w:eastAsia="zh-CN"/>
              </w:rPr>
              <w:t>《关于印发建设项目竣工环境保护验收现场检查及审查要点的通知》（环办〔2015〕113号）；</w:t>
            </w:r>
          </w:p>
          <w:p>
            <w:pPr>
              <w:numPr>
                <w:ilvl w:val="0"/>
                <w:numId w:val="0"/>
              </w:numPr>
              <w:spacing w:line="360" w:lineRule="auto"/>
              <w:jc w:val="left"/>
              <w:rPr>
                <w:rFonts w:hint="default" w:ascii="Times New Roman" w:hAnsi="Times New Roman" w:eastAsia="宋体" w:cs="Times New Roman"/>
                <w:b w:val="0"/>
                <w:bCs w:val="0"/>
                <w:color w:val="auto"/>
                <w:sz w:val="24"/>
                <w:szCs w:val="22"/>
                <w:highlight w:val="none"/>
                <w:lang w:val="en-US" w:eastAsia="zh-CN"/>
              </w:rPr>
            </w:pPr>
            <w:r>
              <w:rPr>
                <w:rFonts w:hint="eastAsia" w:ascii="Times New Roman" w:hAnsi="Times New Roman" w:cs="Times New Roman"/>
                <w:b w:val="0"/>
                <w:bCs w:val="0"/>
                <w:color w:val="auto"/>
                <w:sz w:val="24"/>
                <w:szCs w:val="22"/>
                <w:highlight w:val="none"/>
                <w:lang w:val="en-US" w:eastAsia="zh-CN"/>
              </w:rPr>
              <w:t>8、</w:t>
            </w:r>
            <w:r>
              <w:rPr>
                <w:rFonts w:hint="default" w:ascii="Times New Roman" w:hAnsi="Times New Roman" w:eastAsia="宋体" w:cs="Times New Roman"/>
                <w:b w:val="0"/>
                <w:bCs w:val="0"/>
                <w:color w:val="auto"/>
                <w:sz w:val="24"/>
                <w:szCs w:val="22"/>
                <w:highlight w:val="none"/>
                <w:lang w:val="en-US" w:eastAsia="zh-CN"/>
              </w:rPr>
              <w:t>《建设项目竣工环境保护验收技术指南 污染影响类》（2018.5.16）；</w:t>
            </w:r>
          </w:p>
          <w:p>
            <w:pPr>
              <w:numPr>
                <w:ilvl w:val="0"/>
                <w:numId w:val="0"/>
              </w:numPr>
              <w:spacing w:line="360" w:lineRule="auto"/>
              <w:jc w:val="left"/>
              <w:rPr>
                <w:rFonts w:hint="default" w:ascii="Times New Roman" w:hAnsi="Times New Roman" w:eastAsia="宋体" w:cstheme="minorBidi"/>
                <w:sz w:val="28"/>
                <w:szCs w:val="22"/>
                <w:highlight w:val="none"/>
                <w:lang w:eastAsia="zh-CN"/>
              </w:rPr>
            </w:pPr>
            <w:r>
              <w:rPr>
                <w:rFonts w:hint="eastAsia" w:ascii="Times New Roman" w:hAnsi="Times New Roman" w:cs="Times New Roman"/>
                <w:sz w:val="24"/>
                <w:szCs w:val="22"/>
                <w:highlight w:val="none"/>
                <w:lang w:val="en-US" w:eastAsia="zh-CN" w:bidi="zh-CN"/>
              </w:rPr>
              <w:t>9、</w:t>
            </w:r>
            <w:r>
              <w:rPr>
                <w:rFonts w:hint="default" w:ascii="Times New Roman" w:hAnsi="Times New Roman" w:eastAsia="宋体" w:cs="Times New Roman"/>
                <w:sz w:val="24"/>
                <w:szCs w:val="22"/>
                <w:highlight w:val="none"/>
                <w:lang w:val="en-US" w:eastAsia="zh-CN" w:bidi="zh-CN"/>
              </w:rPr>
              <w:t>《加油站地下水污染防治技术指南（试行）》（2017.3.9）</w:t>
            </w:r>
            <w:r>
              <w:rPr>
                <w:rFonts w:hint="eastAsia" w:ascii="Times New Roman" w:hAnsi="Times New Roman" w:eastAsia="宋体" w:cs="Times New Roman"/>
                <w:sz w:val="24"/>
                <w:szCs w:val="22"/>
                <w:highlight w:val="none"/>
                <w:lang w:val="en-US" w:eastAsia="zh-CN" w:bidi="zh-CN"/>
              </w:rPr>
              <w:t>；《关于进一步规范适用环境行政处罚自由裁量权的指导（环</w:t>
            </w:r>
            <w:r>
              <w:rPr>
                <w:rFonts w:hint="eastAsia" w:ascii="Times New Roman" w:hAnsi="Times New Roman" w:cs="Times New Roman"/>
                <w:b w:val="0"/>
                <w:bCs w:val="0"/>
                <w:color w:val="auto"/>
                <w:sz w:val="24"/>
                <w:szCs w:val="22"/>
                <w:highlight w:val="none"/>
                <w:lang w:val="en-US" w:eastAsia="zh-CN"/>
              </w:rPr>
              <w:t>执法〔2019〕42号）；</w:t>
            </w:r>
          </w:p>
          <w:p>
            <w:pPr>
              <w:numPr>
                <w:ilvl w:val="0"/>
                <w:numId w:val="0"/>
              </w:numPr>
              <w:spacing w:line="360" w:lineRule="auto"/>
              <w:jc w:val="left"/>
              <w:rPr>
                <w:rFonts w:hint="default" w:ascii="Times New Roman" w:hAnsi="Times New Roman" w:eastAsia="宋体" w:cstheme="minorBidi"/>
                <w:sz w:val="28"/>
                <w:szCs w:val="22"/>
                <w:highlight w:val="none"/>
                <w:lang w:eastAsia="zh-CN"/>
              </w:rPr>
            </w:pPr>
            <w:r>
              <w:rPr>
                <w:rFonts w:hint="eastAsia" w:ascii="Times New Roman" w:hAnsi="Times New Roman"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highlight w:val="none"/>
                <w:lang w:val="en-US" w:eastAsia="zh-CN"/>
              </w:rPr>
              <w:t>省级高速公路</w:t>
            </w:r>
            <w:r>
              <w:rPr>
                <w:rFonts w:hint="eastAsia" w:ascii="Times New Roman" w:hAnsi="Times New Roman" w:cs="Times New Roman"/>
                <w:color w:val="000000"/>
                <w:sz w:val="24"/>
                <w:highlight w:val="none"/>
                <w:lang w:val="en-US" w:eastAsia="zh-CN"/>
              </w:rPr>
              <w:t>西安大</w:t>
            </w:r>
            <w:r>
              <w:rPr>
                <w:rFonts w:hint="default" w:ascii="Times New Roman" w:hAnsi="Times New Roman" w:eastAsia="宋体" w:cs="Times New Roman"/>
                <w:color w:val="000000"/>
                <w:sz w:val="24"/>
                <w:highlight w:val="none"/>
                <w:lang w:val="en-US" w:eastAsia="zh-CN"/>
              </w:rPr>
              <w:t>环线</w:t>
            </w:r>
            <w:r>
              <w:rPr>
                <w:rFonts w:hint="eastAsia" w:ascii="Times New Roman" w:hAnsi="Times New Roman" w:cs="Times New Roman"/>
                <w:color w:val="000000"/>
                <w:sz w:val="24"/>
                <w:highlight w:val="none"/>
                <w:lang w:val="en-US" w:eastAsia="zh-CN"/>
              </w:rPr>
              <w:t>渭南至玉山高速公路项目</w:t>
            </w:r>
            <w:r>
              <w:rPr>
                <w:rFonts w:hint="default" w:ascii="Times New Roman" w:hAnsi="Times New Roman" w:eastAsia="宋体" w:cs="Times New Roman"/>
                <w:color w:val="000000"/>
                <w:sz w:val="24"/>
                <w:highlight w:val="none"/>
                <w:lang w:val="en-US" w:eastAsia="zh-CN"/>
              </w:rPr>
              <w:t>环境影响报告书</w:t>
            </w:r>
            <w:r>
              <w:rPr>
                <w:rFonts w:hint="default"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eastAsia="zh-CN"/>
              </w:rPr>
              <w:t>的批复</w:t>
            </w:r>
            <w:r>
              <w:rPr>
                <w:rFonts w:hint="default" w:ascii="Times New Roman" w:hAnsi="Times New Roman" w:eastAsia="宋体" w:cs="Times New Roman"/>
                <w:color w:val="000000"/>
                <w:sz w:val="24"/>
                <w:highlight w:val="none"/>
                <w:lang w:val="en-US" w:eastAsia="zh-CN"/>
              </w:rPr>
              <w:t>（陕环批复〔201</w:t>
            </w:r>
            <w:r>
              <w:rPr>
                <w:rFonts w:hint="eastAsia" w:ascii="Times New Roman" w:hAnsi="Times New Roman" w:cs="Times New Roman"/>
                <w:color w:val="000000"/>
                <w:sz w:val="24"/>
                <w:highlight w:val="none"/>
                <w:lang w:val="en-US" w:eastAsia="zh-CN"/>
              </w:rPr>
              <w:t>0</w:t>
            </w:r>
            <w:r>
              <w:rPr>
                <w:rFonts w:hint="default" w:ascii="Times New Roman" w:hAnsi="Times New Roman" w:eastAsia="宋体" w:cs="Times New Roman"/>
                <w:color w:val="000000"/>
                <w:sz w:val="24"/>
                <w:highlight w:val="none"/>
                <w:lang w:val="en-US" w:eastAsia="zh-CN"/>
              </w:rPr>
              <w:t>〕</w:t>
            </w:r>
            <w:r>
              <w:rPr>
                <w:rFonts w:hint="eastAsia" w:ascii="Times New Roman" w:hAnsi="Times New Roman" w:cs="Times New Roman"/>
                <w:color w:val="000000"/>
                <w:sz w:val="24"/>
                <w:highlight w:val="none"/>
                <w:lang w:val="en-US" w:eastAsia="zh-CN"/>
              </w:rPr>
              <w:t>565</w:t>
            </w:r>
            <w:r>
              <w:rPr>
                <w:rFonts w:hint="default" w:ascii="Times New Roman" w:hAnsi="Times New Roman" w:eastAsia="宋体" w:cs="Times New Roman"/>
                <w:color w:val="000000"/>
                <w:sz w:val="24"/>
                <w:highlight w:val="none"/>
                <w:lang w:val="en-US" w:eastAsia="zh-CN"/>
              </w:rPr>
              <w:t>号）</w:t>
            </w:r>
            <w:r>
              <w:rPr>
                <w:rFonts w:hint="default" w:ascii="Times New Roman" w:hAnsi="Times New Roman" w:eastAsia="宋体" w:cs="Times New Roman"/>
                <w:color w:val="000000"/>
                <w:sz w:val="24"/>
                <w:szCs w:val="24"/>
                <w:highlight w:val="none"/>
                <w:lang w:eastAsia="zh-CN"/>
              </w:rPr>
              <w:t>；</w:t>
            </w:r>
          </w:p>
          <w:p>
            <w:pPr>
              <w:numPr>
                <w:ilvl w:val="0"/>
                <w:numId w:val="0"/>
              </w:numPr>
              <w:spacing w:line="360" w:lineRule="auto"/>
              <w:jc w:val="left"/>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bCs/>
                <w:kern w:val="2"/>
                <w:sz w:val="24"/>
                <w:szCs w:val="24"/>
                <w:highlight w:val="none"/>
                <w:lang w:val="en-US" w:eastAsia="zh-CN"/>
              </w:rPr>
              <w:t>11、</w:t>
            </w:r>
            <w:r>
              <w:rPr>
                <w:rFonts w:hint="default" w:ascii="Times New Roman" w:hAnsi="Times New Roman" w:cs="Times New Roman" w:eastAsiaTheme="minorEastAsia"/>
                <w:bCs/>
                <w:kern w:val="2"/>
                <w:sz w:val="24"/>
                <w:szCs w:val="24"/>
                <w:highlight w:val="none"/>
                <w:lang w:val="en-US" w:eastAsia="zh-CN"/>
              </w:rPr>
              <w:t>《</w:t>
            </w:r>
            <w:r>
              <w:rPr>
                <w:rFonts w:hint="eastAsia" w:ascii="Times New Roman" w:hAnsi="Times New Roman" w:cs="Times New Roman" w:eastAsiaTheme="minorEastAsia"/>
                <w:bCs/>
                <w:kern w:val="2"/>
                <w:sz w:val="24"/>
                <w:szCs w:val="24"/>
                <w:highlight w:val="none"/>
                <w:lang w:val="en-US" w:eastAsia="zh-CN"/>
              </w:rPr>
              <w:t>陕西省石油化工工业贸易有限公司华州服务区西加油站项目</w:t>
            </w:r>
            <w:r>
              <w:rPr>
                <w:rFonts w:hint="default" w:ascii="Times New Roman" w:hAnsi="Times New Roman" w:cs="Times New Roman" w:eastAsiaTheme="minorEastAsia"/>
                <w:bCs/>
                <w:kern w:val="2"/>
                <w:sz w:val="24"/>
                <w:szCs w:val="24"/>
                <w:highlight w:val="none"/>
                <w:lang w:val="en-US" w:eastAsia="zh-CN"/>
              </w:rPr>
              <w:t>环境影响报告表》</w:t>
            </w:r>
            <w:r>
              <w:rPr>
                <w:rFonts w:hint="eastAsia" w:ascii="Times New Roman" w:hAnsi="Times New Roman" w:cs="Times New Roman" w:eastAsiaTheme="minorEastAsia"/>
                <w:bCs/>
                <w:kern w:val="2"/>
                <w:sz w:val="24"/>
                <w:szCs w:val="24"/>
                <w:highlight w:val="none"/>
                <w:lang w:val="en-US" w:eastAsia="zh-CN"/>
              </w:rPr>
              <w:t>（宝鸡博源环境科技有限公司西安分公司，2019年10月）；</w:t>
            </w:r>
          </w:p>
          <w:p>
            <w:pPr>
              <w:numPr>
                <w:ilvl w:val="0"/>
                <w:numId w:val="0"/>
              </w:numPr>
              <w:spacing w:line="360" w:lineRule="auto"/>
              <w:jc w:val="left"/>
              <w:rPr>
                <w:rFonts w:hint="default" w:ascii="Times New Roman" w:hAnsi="Times New Roman" w:eastAsia="宋体" w:cs="Times New Roman"/>
                <w:snapToGrid w:val="0"/>
                <w:kern w:val="0"/>
                <w:sz w:val="24"/>
                <w:highlight w:val="none"/>
                <w:lang w:val="en-US" w:bidi="ar-SA"/>
              </w:rPr>
            </w:pPr>
            <w:r>
              <w:rPr>
                <w:rFonts w:hint="eastAsia" w:ascii="Times New Roman" w:hAnsi="Times New Roman" w:cs="Times New Roman" w:eastAsiaTheme="minorEastAsia"/>
                <w:bCs/>
                <w:kern w:val="2"/>
                <w:sz w:val="24"/>
                <w:szCs w:val="24"/>
                <w:highlight w:val="none"/>
                <w:lang w:val="en-US" w:eastAsia="zh-CN"/>
              </w:rPr>
              <w:t>12、</w:t>
            </w:r>
            <w:r>
              <w:rPr>
                <w:rFonts w:hint="default" w:ascii="Times New Roman" w:hAnsi="Times New Roman" w:cs="Times New Roman" w:eastAsiaTheme="minorEastAsia"/>
                <w:bCs/>
                <w:kern w:val="2"/>
                <w:sz w:val="24"/>
                <w:szCs w:val="24"/>
                <w:highlight w:val="none"/>
                <w:lang w:val="en-US" w:eastAsia="zh-CN"/>
              </w:rPr>
              <w:t>《</w:t>
            </w:r>
            <w:r>
              <w:rPr>
                <w:rFonts w:hint="eastAsia" w:ascii="Times New Roman" w:hAnsi="Times New Roman" w:cs="Times New Roman" w:eastAsiaTheme="minorEastAsia"/>
                <w:bCs/>
                <w:kern w:val="2"/>
                <w:sz w:val="24"/>
                <w:szCs w:val="24"/>
                <w:highlight w:val="none"/>
                <w:lang w:val="en-US" w:eastAsia="zh-CN"/>
              </w:rPr>
              <w:t>陕西省石油化工工业贸易有限公司华州服务区西加油站项目</w:t>
            </w:r>
            <w:r>
              <w:rPr>
                <w:rFonts w:hint="default" w:ascii="Times New Roman" w:hAnsi="Times New Roman" w:cs="Times New Roman" w:eastAsiaTheme="minorEastAsia"/>
                <w:bCs/>
                <w:kern w:val="2"/>
                <w:sz w:val="24"/>
                <w:szCs w:val="24"/>
                <w:highlight w:val="none"/>
                <w:lang w:val="en-US" w:eastAsia="zh-CN"/>
              </w:rPr>
              <w:t>环境影响报告表》</w:t>
            </w:r>
            <w:r>
              <w:rPr>
                <w:rFonts w:hint="eastAsia" w:ascii="Times New Roman" w:hAnsi="Times New Roman" w:cs="Times New Roman" w:eastAsiaTheme="minorEastAsia"/>
                <w:bCs/>
                <w:kern w:val="2"/>
                <w:sz w:val="24"/>
                <w:szCs w:val="24"/>
                <w:highlight w:val="none"/>
                <w:lang w:val="en-US" w:eastAsia="zh-CN"/>
              </w:rPr>
              <w:t>的批复</w:t>
            </w:r>
            <w:r>
              <w:rPr>
                <w:rFonts w:hint="default" w:ascii="Times New Roman" w:hAnsi="Times New Roman" w:cs="Times New Roman" w:eastAsiaTheme="minorEastAsia"/>
                <w:bCs/>
                <w:kern w:val="2"/>
                <w:sz w:val="24"/>
                <w:szCs w:val="24"/>
                <w:highlight w:val="none"/>
                <w:lang w:val="en-US" w:eastAsia="zh-CN"/>
              </w:rPr>
              <w:t>（</w:t>
            </w:r>
            <w:r>
              <w:rPr>
                <w:rFonts w:hint="eastAsia" w:ascii="Times New Roman" w:hAnsi="Times New Roman" w:cs="Times New Roman" w:eastAsiaTheme="minorEastAsia"/>
                <w:bCs/>
                <w:kern w:val="2"/>
                <w:sz w:val="24"/>
                <w:szCs w:val="24"/>
                <w:highlight w:val="none"/>
                <w:lang w:val="en-US" w:eastAsia="zh-CN"/>
              </w:rPr>
              <w:t>渭华</w:t>
            </w:r>
            <w:r>
              <w:rPr>
                <w:rFonts w:hint="default" w:ascii="Times New Roman" w:hAnsi="Times New Roman" w:cs="Times New Roman" w:eastAsiaTheme="minorEastAsia"/>
                <w:bCs/>
                <w:kern w:val="2"/>
                <w:sz w:val="24"/>
                <w:szCs w:val="24"/>
                <w:highlight w:val="none"/>
                <w:lang w:val="en-US" w:eastAsia="zh-CN"/>
              </w:rPr>
              <w:t>环</w:t>
            </w:r>
            <w:r>
              <w:rPr>
                <w:rFonts w:hint="eastAsia" w:ascii="Times New Roman" w:hAnsi="Times New Roman" w:cs="Times New Roman" w:eastAsiaTheme="minorEastAsia"/>
                <w:bCs/>
                <w:kern w:val="2"/>
                <w:sz w:val="24"/>
                <w:szCs w:val="24"/>
                <w:highlight w:val="none"/>
                <w:lang w:val="en-US" w:eastAsia="zh-CN"/>
              </w:rPr>
              <w:t>审发</w:t>
            </w:r>
            <w:r>
              <w:rPr>
                <w:rFonts w:hint="default" w:ascii="Times New Roman" w:hAnsi="Times New Roman" w:cs="Times New Roman" w:eastAsiaTheme="minorEastAsia"/>
                <w:bCs/>
                <w:kern w:val="2"/>
                <w:sz w:val="24"/>
                <w:szCs w:val="24"/>
                <w:highlight w:val="none"/>
                <w:lang w:val="en-US" w:eastAsia="zh-CN"/>
              </w:rPr>
              <w:t>[2019]</w:t>
            </w:r>
            <w:r>
              <w:rPr>
                <w:rFonts w:hint="eastAsia" w:ascii="Times New Roman" w:hAnsi="Times New Roman" w:cs="Times New Roman" w:eastAsiaTheme="minorEastAsia"/>
                <w:bCs/>
                <w:kern w:val="2"/>
                <w:sz w:val="24"/>
                <w:szCs w:val="24"/>
                <w:highlight w:val="none"/>
                <w:lang w:val="en-US" w:eastAsia="zh-CN"/>
              </w:rPr>
              <w:t>25</w:t>
            </w:r>
            <w:r>
              <w:rPr>
                <w:rFonts w:hint="default" w:ascii="Times New Roman" w:hAnsi="Times New Roman" w:cs="Times New Roman" w:eastAsiaTheme="minorEastAsia"/>
                <w:bCs/>
                <w:kern w:val="2"/>
                <w:sz w:val="24"/>
                <w:szCs w:val="24"/>
                <w:highlight w:val="none"/>
                <w:lang w:val="en-US" w:eastAsia="zh-CN"/>
              </w:rPr>
              <w:t>号）</w:t>
            </w:r>
            <w:r>
              <w:rPr>
                <w:rFonts w:hint="eastAsia" w:ascii="Times New Roman" w:hAnsi="Times New Roman" w:cs="Times New Roman"/>
                <w:highlight w:val="none"/>
                <w:lang w:eastAsia="zh-CN"/>
              </w:rPr>
              <w:t>；</w:t>
            </w:r>
          </w:p>
          <w:p>
            <w:pPr>
              <w:numPr>
                <w:ilvl w:val="0"/>
                <w:numId w:val="0"/>
              </w:numPr>
              <w:spacing w:line="360" w:lineRule="auto"/>
              <w:jc w:val="left"/>
              <w:rPr>
                <w:rFonts w:hint="default" w:ascii="Times New Roman" w:hAnsi="Times New Roman" w:eastAsia="宋体" w:cs="Times New Roman"/>
                <w:snapToGrid w:val="0"/>
                <w:kern w:val="0"/>
                <w:sz w:val="24"/>
                <w:highlight w:val="none"/>
                <w:lang w:val="en-US" w:bidi="ar-SA"/>
              </w:rPr>
            </w:pPr>
            <w:r>
              <w:rPr>
                <w:rFonts w:hint="eastAsia" w:ascii="Times New Roman" w:hAnsi="Times New Roman"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lang w:val="en-US" w:eastAsia="zh-CN"/>
              </w:rPr>
              <w:t>其他工程相关技术文件。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0" w:hRule="atLeast"/>
        </w:trPr>
        <w:tc>
          <w:tcPr>
            <w:tcW w:w="2492" w:type="dxa"/>
            <w:tcBorders>
              <w:top w:val="single" w:color="auto" w:sz="4" w:space="0"/>
              <w:left w:val="single" w:color="auto" w:sz="4" w:space="0"/>
              <w:right w:val="single" w:color="auto" w:sz="4" w:space="0"/>
            </w:tcBorders>
            <w:noWrap w:val="0"/>
            <w:vAlign w:val="center"/>
          </w:tcPr>
          <w:p>
            <w:pPr>
              <w:snapToGrid w:val="0"/>
              <w:spacing w:line="240" w:lineRule="auto"/>
              <w:jc w:val="center"/>
              <w:rPr>
                <w:rFonts w:hint="eastAsia" w:ascii="Calibri" w:hAnsi="Calibri" w:eastAsia="宋体" w:cs="Times New Roman"/>
                <w:snapToGrid w:val="0"/>
                <w:kern w:val="0"/>
                <w:sz w:val="24"/>
                <w:highlight w:val="none"/>
                <w:lang w:val="en-US" w:bidi="ar-SA"/>
              </w:rPr>
            </w:pPr>
            <w:r>
              <w:rPr>
                <w:rFonts w:hint="eastAsia" w:ascii="Calibri" w:hAnsi="Calibri" w:eastAsia="宋体" w:cs="Times New Roman"/>
                <w:snapToGrid w:val="0"/>
                <w:kern w:val="0"/>
                <w:sz w:val="24"/>
                <w:highlight w:val="none"/>
                <w:lang w:val="en-US" w:bidi="ar-SA"/>
              </w:rPr>
              <w:t>验收监测评价标准、标号、级别、限值</w:t>
            </w:r>
          </w:p>
        </w:tc>
        <w:tc>
          <w:tcPr>
            <w:tcW w:w="6796"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1、环境空气质量标准</w:t>
            </w:r>
          </w:p>
          <w:p>
            <w:pPr>
              <w:keepNext w:val="0"/>
              <w:keepLines w:val="0"/>
              <w:pageBreakBefore w:val="0"/>
              <w:widowControl w:val="0"/>
              <w:numPr>
                <w:ilvl w:val="0"/>
                <w:numId w:val="0"/>
              </w:numPr>
              <w:kinsoku/>
              <w:wordWrap w:val="0"/>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kern w:val="0"/>
                <w:sz w:val="24"/>
                <w:highlight w:val="none"/>
              </w:rPr>
            </w:pPr>
            <w:r>
              <w:rPr>
                <w:rFonts w:hint="default" w:ascii="Times New Roman" w:hAnsi="Times New Roman" w:cs="Times New Roman" w:eastAsiaTheme="minorEastAsia"/>
                <w:color w:val="auto"/>
                <w:kern w:val="0"/>
                <w:sz w:val="24"/>
                <w:highlight w:val="none"/>
              </w:rPr>
              <w:t>站区内非甲烷总烃执行</w:t>
            </w:r>
            <w:r>
              <w:rPr>
                <w:rFonts w:hint="default" w:ascii="Times New Roman" w:hAnsi="Times New Roman" w:cs="Times New Roman" w:eastAsiaTheme="minorEastAsia"/>
                <w:sz w:val="24"/>
                <w:szCs w:val="24"/>
                <w:highlight w:val="none"/>
                <w:lang w:val="en-US" w:eastAsia="zh-CN"/>
              </w:rPr>
              <w:t>《大气污染物综合排放标准》</w:t>
            </w:r>
            <w:r>
              <w:rPr>
                <w:rFonts w:hint="default" w:ascii="Times New Roman" w:hAnsi="Times New Roman" w:cs="Times New Roman" w:eastAsiaTheme="minorEastAsia"/>
                <w:color w:val="auto"/>
                <w:kern w:val="0"/>
                <w:sz w:val="24"/>
                <w:highlight w:val="none"/>
              </w:rPr>
              <w:t>中</w:t>
            </w:r>
            <w:r>
              <w:rPr>
                <w:rFonts w:hint="default" w:ascii="Times New Roman" w:hAnsi="Times New Roman" w:cs="Times New Roman" w:eastAsiaTheme="minorEastAsia"/>
                <w:color w:val="auto"/>
                <w:kern w:val="0"/>
                <w:sz w:val="24"/>
                <w:highlight w:val="none"/>
                <w:lang w:val="en-US" w:eastAsia="zh-CN"/>
              </w:rPr>
              <w:t>规定，取值</w:t>
            </w:r>
            <w:r>
              <w:rPr>
                <w:rFonts w:hint="eastAsia" w:ascii="Times New Roman" w:hAnsi="Times New Roman" w:cs="Times New Roman" w:eastAsiaTheme="minorEastAsia"/>
                <w:color w:val="auto"/>
                <w:kern w:val="0"/>
                <w:sz w:val="24"/>
                <w:highlight w:val="none"/>
                <w:lang w:val="en-US" w:eastAsia="zh-CN"/>
              </w:rPr>
              <w:t>4</w:t>
            </w:r>
            <w:r>
              <w:rPr>
                <w:rFonts w:hint="default" w:ascii="Times New Roman" w:hAnsi="Times New Roman" w:cs="Times New Roman" w:eastAsiaTheme="minorEastAsia"/>
                <w:color w:val="auto"/>
                <w:kern w:val="0"/>
                <w:sz w:val="24"/>
                <w:highlight w:val="none"/>
                <w:lang w:val="en-US" w:eastAsia="zh-CN"/>
              </w:rPr>
              <w:t>.0mg/m</w:t>
            </w:r>
            <w:r>
              <w:rPr>
                <w:rFonts w:hint="default" w:ascii="Times New Roman" w:hAnsi="Times New Roman" w:cs="Times New Roman" w:eastAsiaTheme="minorEastAsia"/>
                <w:color w:val="auto"/>
                <w:kern w:val="0"/>
                <w:sz w:val="24"/>
                <w:highlight w:val="none"/>
                <w:vertAlign w:val="superscript"/>
                <w:lang w:val="en-US" w:eastAsia="zh-CN"/>
              </w:rPr>
              <w:t>3</w:t>
            </w:r>
            <w:r>
              <w:rPr>
                <w:rFonts w:hint="default" w:ascii="Times New Roman" w:hAnsi="Times New Roman" w:cs="Times New Roman" w:eastAsiaTheme="minorEastAsia"/>
                <w:color w:val="auto"/>
                <w:kern w:val="0"/>
                <w:sz w:val="24"/>
                <w:highlight w:val="none"/>
                <w:lang w:eastAsia="zh-CN"/>
              </w:rPr>
              <w:t>；油气回收装置排放口</w:t>
            </w:r>
            <w:r>
              <w:rPr>
                <w:rFonts w:hint="default" w:ascii="Times New Roman" w:hAnsi="Times New Roman" w:cs="Times New Roman" w:eastAsiaTheme="minorEastAsia"/>
                <w:color w:val="auto"/>
                <w:kern w:val="0"/>
                <w:sz w:val="24"/>
                <w:highlight w:val="none"/>
              </w:rPr>
              <w:t>非甲烷总烃执行</w:t>
            </w:r>
            <w:r>
              <w:rPr>
                <w:rFonts w:hint="default" w:ascii="Times New Roman" w:hAnsi="Times New Roman" w:cs="Times New Roman" w:eastAsiaTheme="minorEastAsia"/>
                <w:b w:val="0"/>
                <w:bCs/>
                <w:color w:val="auto"/>
                <w:sz w:val="24"/>
                <w:highlight w:val="none"/>
                <w:lang w:eastAsia="zh-CN"/>
              </w:rPr>
              <w:t>执行《加油站大气污染物排放标准》（</w:t>
            </w:r>
            <w:r>
              <w:rPr>
                <w:rFonts w:hint="default" w:ascii="Times New Roman" w:hAnsi="Times New Roman" w:cs="Times New Roman" w:eastAsiaTheme="minorEastAsia"/>
                <w:b w:val="0"/>
                <w:bCs/>
                <w:color w:val="auto"/>
                <w:sz w:val="24"/>
                <w:highlight w:val="none"/>
                <w:lang w:val="en-US" w:eastAsia="zh-CN"/>
              </w:rPr>
              <w:t>GB20957-2007</w:t>
            </w:r>
            <w:r>
              <w:rPr>
                <w:rFonts w:hint="default" w:ascii="Times New Roman" w:hAnsi="Times New Roman" w:cs="Times New Roman" w:eastAsiaTheme="minorEastAsia"/>
                <w:b w:val="0"/>
                <w:bCs/>
                <w:color w:val="auto"/>
                <w:sz w:val="24"/>
                <w:highlight w:val="none"/>
                <w:lang w:eastAsia="zh-CN"/>
              </w:rPr>
              <w:t>）。</w:t>
            </w:r>
          </w:p>
          <w:p>
            <w:pPr>
              <w:keepLines w:val="0"/>
              <w:pageBreakBefore w:val="0"/>
              <w:kinsoku/>
              <w:overflowPunct/>
              <w:topLinePunct w:val="0"/>
              <w:bidi w:val="0"/>
              <w:spacing w:after="0" w:line="360" w:lineRule="auto"/>
              <w:jc w:val="center"/>
              <w:outlineLvl w:val="9"/>
              <w:rPr>
                <w:rFonts w:hint="default" w:ascii="Times New Roman" w:hAnsi="Times New Roman" w:cs="Times New Roman" w:eastAsiaTheme="minorEastAsia"/>
                <w:b/>
                <w:color w:val="auto"/>
                <w:sz w:val="21"/>
                <w:szCs w:val="21"/>
                <w:highlight w:val="none"/>
              </w:rPr>
            </w:pPr>
            <w:bookmarkStart w:id="81" w:name="_Toc21833_WPSOffice_Level2"/>
            <w:bookmarkStart w:id="82" w:name="_Toc23397_WPSOffice_Level2"/>
            <w:r>
              <w:rPr>
                <w:rFonts w:hint="default" w:ascii="Times New Roman" w:hAnsi="Times New Roman" w:cs="Times New Roman" w:eastAsiaTheme="minorEastAsia"/>
                <w:b/>
                <w:color w:val="auto"/>
                <w:sz w:val="21"/>
                <w:szCs w:val="21"/>
                <w:highlight w:val="none"/>
              </w:rPr>
              <w:t>表</w:t>
            </w:r>
            <w:r>
              <w:rPr>
                <w:rFonts w:hint="eastAsia" w:cs="Times New Roman" w:eastAsiaTheme="minorEastAsia"/>
                <w:b/>
                <w:color w:val="auto"/>
                <w:sz w:val="21"/>
                <w:szCs w:val="21"/>
                <w:highlight w:val="none"/>
                <w:lang w:val="en-US" w:eastAsia="zh-CN"/>
              </w:rPr>
              <w:t>1-1</w:t>
            </w:r>
            <w:r>
              <w:rPr>
                <w:rFonts w:hint="default" w:ascii="Times New Roman" w:hAnsi="Times New Roman" w:cs="Times New Roman" w:eastAsiaTheme="minorEastAsia"/>
                <w:b/>
                <w:color w:val="auto"/>
                <w:sz w:val="21"/>
                <w:szCs w:val="21"/>
                <w:highlight w:val="none"/>
                <w:lang w:val="en-US" w:eastAsia="zh-CN"/>
              </w:rPr>
              <w:t xml:space="preserve">  </w:t>
            </w:r>
            <w:r>
              <w:rPr>
                <w:rFonts w:hint="default" w:ascii="Times New Roman" w:hAnsi="Times New Roman" w:cs="Times New Roman" w:eastAsiaTheme="minorEastAsia"/>
                <w:b/>
                <w:color w:val="auto"/>
                <w:sz w:val="21"/>
                <w:szCs w:val="21"/>
                <w:highlight w:val="none"/>
              </w:rPr>
              <w:t>项目废气排放标准</w:t>
            </w:r>
            <w:bookmarkEnd w:id="81"/>
            <w:bookmarkEnd w:id="82"/>
          </w:p>
          <w:tbl>
            <w:tblPr>
              <w:tblStyle w:val="11"/>
              <w:tblW w:w="6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802"/>
              <w:gridCol w:w="3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37"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污染物名称</w:t>
                  </w:r>
                </w:p>
              </w:tc>
              <w:tc>
                <w:tcPr>
                  <w:tcW w:w="180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排放浓度限值</w:t>
                  </w:r>
                </w:p>
              </w:tc>
              <w:tc>
                <w:tcPr>
                  <w:tcW w:w="343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37" w:type="dxa"/>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非甲烷总烃</w:t>
                  </w:r>
                </w:p>
              </w:tc>
              <w:tc>
                <w:tcPr>
                  <w:tcW w:w="180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2"/>
                      <w:szCs w:val="22"/>
                      <w:highlight w:val="none"/>
                      <w:lang w:val="en-US" w:eastAsia="zh-CN"/>
                    </w:rPr>
                    <w:t>4</w:t>
                  </w:r>
                  <w:r>
                    <w:rPr>
                      <w:rFonts w:hint="default" w:ascii="Times New Roman" w:hAnsi="Times New Roman" w:cs="Times New Roman" w:eastAsiaTheme="minorEastAsia"/>
                      <w:b w:val="0"/>
                      <w:bCs w:val="0"/>
                      <w:color w:val="auto"/>
                      <w:sz w:val="22"/>
                      <w:szCs w:val="22"/>
                      <w:highlight w:val="none"/>
                      <w:lang w:val="en-US" w:eastAsia="zh-CN"/>
                    </w:rPr>
                    <w:t>.0</w:t>
                  </w:r>
                  <w:r>
                    <w:rPr>
                      <w:rFonts w:hint="default" w:ascii="Times New Roman" w:hAnsi="Times New Roman" w:cs="Times New Roman" w:eastAsiaTheme="minorEastAsia"/>
                      <w:b w:val="0"/>
                      <w:bCs w:val="0"/>
                      <w:color w:val="auto"/>
                      <w:sz w:val="21"/>
                      <w:szCs w:val="21"/>
                      <w:highlight w:val="none"/>
                    </w:rPr>
                    <w:t>mg/m</w:t>
                  </w:r>
                  <w:r>
                    <w:rPr>
                      <w:rFonts w:hint="default" w:ascii="Times New Roman" w:hAnsi="Times New Roman" w:cs="Times New Roman" w:eastAsiaTheme="minorEastAsia"/>
                      <w:b w:val="0"/>
                      <w:bCs w:val="0"/>
                      <w:color w:val="auto"/>
                      <w:sz w:val="21"/>
                      <w:szCs w:val="21"/>
                      <w:highlight w:val="none"/>
                      <w:vertAlign w:val="superscript"/>
                    </w:rPr>
                    <w:t>3</w:t>
                  </w:r>
                </w:p>
              </w:tc>
              <w:tc>
                <w:tcPr>
                  <w:tcW w:w="343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w:t>
                  </w:r>
                </w:p>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color w:val="auto"/>
                      <w:sz w:val="21"/>
                      <w:szCs w:val="21"/>
                      <w:highlight w:val="none"/>
                    </w:rPr>
                    <w:t>（GB16297-1996）表2</w:t>
                  </w:r>
                  <w:r>
                    <w:rPr>
                      <w:rFonts w:hint="default" w:ascii="Times New Roman" w:hAnsi="Times New Roman" w:eastAsia="宋体" w:cs="Times New Roman"/>
                      <w:color w:val="auto"/>
                      <w:sz w:val="21"/>
                      <w:szCs w:val="21"/>
                      <w:highlight w:val="none"/>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37"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80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25g/m</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343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《加油站大气污染物排放标准》（</w:t>
                  </w:r>
                  <w:r>
                    <w:rPr>
                      <w:rFonts w:hint="default" w:ascii="Times New Roman" w:hAnsi="Times New Roman" w:cs="Times New Roman" w:eastAsiaTheme="minorEastAsia"/>
                      <w:color w:val="auto"/>
                      <w:sz w:val="21"/>
                      <w:szCs w:val="21"/>
                      <w:highlight w:val="none"/>
                      <w:lang w:val="en-US" w:eastAsia="zh-CN"/>
                    </w:rPr>
                    <w:t>GB20957-2007</w:t>
                  </w:r>
                  <w:r>
                    <w:rPr>
                      <w:rFonts w:hint="default" w:ascii="Times New Roman" w:hAnsi="Times New Roman" w:cs="Times New Roman" w:eastAsiaTheme="minorEastAsia"/>
                      <w:color w:val="auto"/>
                      <w:sz w:val="21"/>
                      <w:szCs w:val="21"/>
                      <w:highlight w:val="none"/>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napToGrid w:val="0"/>
                <w:kern w:val="0"/>
                <w:sz w:val="24"/>
                <w:szCs w:val="24"/>
                <w:highlight w:val="none"/>
              </w:rPr>
            </w:pPr>
            <w:r>
              <w:rPr>
                <w:snapToGrid w:val="0"/>
                <w:kern w:val="0"/>
                <w:sz w:val="24"/>
                <w:szCs w:val="24"/>
                <w:highlight w:val="none"/>
              </w:rPr>
              <w:t>2、废水排放标准</w:t>
            </w:r>
          </w:p>
          <w:p>
            <w:pPr>
              <w:adjustRightInd w:val="0"/>
              <w:snapToGrid w:val="0"/>
              <w:spacing w:line="360" w:lineRule="auto"/>
              <w:ind w:firstLine="480" w:firstLineChars="200"/>
              <w:rPr>
                <w:snapToGrid w:val="0"/>
                <w:kern w:val="0"/>
                <w:sz w:val="24"/>
                <w:szCs w:val="24"/>
                <w:highlight w:val="none"/>
              </w:rPr>
            </w:pPr>
            <w:r>
              <w:rPr>
                <w:snapToGrid w:val="0"/>
                <w:kern w:val="0"/>
                <w:sz w:val="24"/>
                <w:szCs w:val="24"/>
                <w:highlight w:val="none"/>
              </w:rPr>
              <w:t>项目场地冲洗废水经隔油池处理后和生活污水一并进入</w:t>
            </w:r>
            <w:r>
              <w:rPr>
                <w:sz w:val="24"/>
                <w:szCs w:val="24"/>
                <w:highlight w:val="none"/>
              </w:rPr>
              <w:t>渭南至玉山高速公路华州服务区一体化埋地式中水回用膜处理系统处理后回用于服务区厕所用水和服务区绿化用水</w:t>
            </w:r>
            <w:r>
              <w:rPr>
                <w:snapToGrid w:val="0"/>
                <w:kern w:val="0"/>
                <w:sz w:val="24"/>
                <w:szCs w:val="24"/>
                <w:highlight w:val="none"/>
              </w:rPr>
              <w:t>，不外排。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napToGrid w:val="0"/>
                <w:kern w:val="0"/>
                <w:sz w:val="24"/>
                <w:szCs w:val="24"/>
                <w:highlight w:val="none"/>
              </w:rPr>
            </w:pPr>
            <w:r>
              <w:rPr>
                <w:snapToGrid w:val="0"/>
                <w:kern w:val="0"/>
                <w:sz w:val="24"/>
                <w:szCs w:val="24"/>
                <w:highlight w:val="none"/>
              </w:rPr>
              <w:t>3、噪声排放标准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napToGrid w:val="0"/>
                <w:kern w:val="0"/>
                <w:sz w:val="24"/>
                <w:szCs w:val="24"/>
                <w:highlight w:val="none"/>
                <w:lang w:eastAsia="zh-CN"/>
              </w:rPr>
            </w:pPr>
            <w:r>
              <w:rPr>
                <w:rFonts w:ascii="Times New Roman" w:hAnsi="Times New Roman" w:cs="Times New Roman"/>
                <w:snapToGrid w:val="0"/>
                <w:kern w:val="0"/>
                <w:sz w:val="24"/>
                <w:szCs w:val="24"/>
                <w:highlight w:val="none"/>
              </w:rPr>
              <w:t>营运期厂界噪声执行《工业企业厂界环境噪声排放标准》（GB12348-2008）中</w:t>
            </w:r>
            <w:r>
              <w:rPr>
                <w:rFonts w:hint="eastAsia" w:ascii="Times New Roman" w:hAnsi="Times New Roman" w:cs="Times New Roman"/>
                <w:snapToGrid w:val="0"/>
                <w:kern w:val="0"/>
                <w:sz w:val="24"/>
                <w:szCs w:val="24"/>
                <w:highlight w:val="none"/>
              </w:rPr>
              <w:t>2类和</w:t>
            </w:r>
            <w:r>
              <w:rPr>
                <w:rFonts w:ascii="Times New Roman" w:hAnsi="Times New Roman" w:cs="Times New Roman"/>
                <w:snapToGrid w:val="0"/>
                <w:kern w:val="0"/>
                <w:sz w:val="24"/>
                <w:szCs w:val="24"/>
                <w:highlight w:val="none"/>
              </w:rPr>
              <w:t>4类标准</w:t>
            </w:r>
            <w:r>
              <w:rPr>
                <w:rFonts w:hint="eastAsia" w:ascii="Times New Roman" w:hAnsi="Times New Roman" w:cs="Times New Roman"/>
                <w:snapToGrid w:val="0"/>
                <w:kern w:val="0"/>
                <w:sz w:val="24"/>
                <w:szCs w:val="24"/>
                <w:highlight w:val="none"/>
                <w:lang w:eastAsia="zh-CN"/>
              </w:rPr>
              <w:t>。</w:t>
            </w:r>
          </w:p>
          <w:p>
            <w:pPr>
              <w:keepLines w:val="0"/>
              <w:pageBreakBefore w:val="0"/>
              <w:kinsoku/>
              <w:overflowPunct/>
              <w:topLinePunct w:val="0"/>
              <w:bidi w:val="0"/>
              <w:spacing w:after="0" w:line="360" w:lineRule="auto"/>
              <w:jc w:val="center"/>
              <w:outlineLvl w:val="9"/>
              <w:rPr>
                <w:rFonts w:hint="default" w:ascii="Times New Roman" w:hAnsi="Times New Roman" w:cs="Times New Roman" w:eastAsiaTheme="minorEastAsia"/>
                <w:b/>
                <w:color w:val="auto"/>
                <w:sz w:val="21"/>
                <w:szCs w:val="21"/>
                <w:highlight w:val="none"/>
              </w:rPr>
            </w:pPr>
            <w:bookmarkStart w:id="83" w:name="_Toc27426_WPSOffice_Level2"/>
            <w:bookmarkStart w:id="84" w:name="_Toc9670_WPSOffice_Level2"/>
            <w:r>
              <w:rPr>
                <w:rFonts w:hint="default" w:ascii="Times New Roman" w:hAnsi="Times New Roman" w:cs="Times New Roman" w:eastAsiaTheme="minorEastAsia"/>
                <w:b/>
                <w:color w:val="auto"/>
                <w:sz w:val="21"/>
                <w:szCs w:val="21"/>
                <w:highlight w:val="none"/>
              </w:rPr>
              <w:t>表</w:t>
            </w:r>
            <w:r>
              <w:rPr>
                <w:rFonts w:hint="eastAsia" w:cs="Times New Roman" w:eastAsiaTheme="minorEastAsia"/>
                <w:b/>
                <w:color w:val="auto"/>
                <w:sz w:val="21"/>
                <w:szCs w:val="21"/>
                <w:highlight w:val="none"/>
                <w:lang w:val="en-US" w:eastAsia="zh-CN"/>
              </w:rPr>
              <w:t>1-2</w:t>
            </w:r>
            <w:r>
              <w:rPr>
                <w:rFonts w:hint="default" w:ascii="Times New Roman" w:hAnsi="Times New Roman" w:cs="Times New Roman" w:eastAsiaTheme="minorEastAsia"/>
                <w:b/>
                <w:color w:val="auto"/>
                <w:sz w:val="21"/>
                <w:szCs w:val="21"/>
                <w:highlight w:val="none"/>
                <w:lang w:val="en-US" w:eastAsia="zh-CN"/>
              </w:rPr>
              <w:t xml:space="preserve">  </w:t>
            </w:r>
            <w:r>
              <w:rPr>
                <w:rFonts w:hint="default" w:ascii="Times New Roman" w:hAnsi="Times New Roman" w:cs="Times New Roman" w:eastAsiaTheme="minorEastAsia"/>
                <w:b/>
                <w:color w:val="auto"/>
                <w:sz w:val="21"/>
                <w:szCs w:val="21"/>
                <w:highlight w:val="none"/>
              </w:rPr>
              <w:t>工业企业厂界环境噪声排放标准（dB（A））</w:t>
            </w:r>
            <w:bookmarkEnd w:id="83"/>
            <w:bookmarkEnd w:id="84"/>
          </w:p>
          <w:tbl>
            <w:tblPr>
              <w:tblStyle w:val="11"/>
              <w:tblW w:w="6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1"/>
              <w:gridCol w:w="2189"/>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9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lang w:eastAsia="zh-CN"/>
                    </w:rPr>
                    <w:t>类别</w:t>
                  </w:r>
                </w:p>
              </w:tc>
              <w:tc>
                <w:tcPr>
                  <w:tcW w:w="218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lang w:eastAsia="zh-CN"/>
                    </w:rPr>
                    <w:t>昼间</w:t>
                  </w:r>
                </w:p>
              </w:tc>
              <w:tc>
                <w:tcPr>
                  <w:tcW w:w="219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9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2类</w:t>
                  </w:r>
                </w:p>
              </w:tc>
              <w:tc>
                <w:tcPr>
                  <w:tcW w:w="218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60</w:t>
                  </w:r>
                </w:p>
              </w:tc>
              <w:tc>
                <w:tcPr>
                  <w:tcW w:w="219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9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4类</w:t>
                  </w:r>
                </w:p>
              </w:tc>
              <w:tc>
                <w:tcPr>
                  <w:tcW w:w="218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70</w:t>
                  </w:r>
                </w:p>
              </w:tc>
              <w:tc>
                <w:tcPr>
                  <w:tcW w:w="219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55</w:t>
                  </w:r>
                </w:p>
              </w:tc>
            </w:tr>
          </w:tbl>
          <w:p>
            <w:pPr>
              <w:autoSpaceDE/>
              <w:autoSpaceDN/>
              <w:adjustRightInd w:val="0"/>
              <w:snapToGrid w:val="0"/>
              <w:spacing w:before="0" w:after="0" w:line="360" w:lineRule="auto"/>
              <w:ind w:left="0" w:right="0" w:firstLine="480" w:firstLineChars="200"/>
              <w:jc w:val="left"/>
              <w:rPr>
                <w:rFonts w:hint="default" w:ascii="Times New Roman" w:hAnsi="Times New Roman" w:eastAsia="宋体" w:cs="Times New Roman"/>
                <w:color w:val="auto"/>
                <w:kern w:val="0"/>
                <w:sz w:val="24"/>
                <w:szCs w:val="24"/>
                <w:highlight w:val="none"/>
                <w:lang w:val="en-US" w:eastAsia="zh-CN" w:bidi="ar-SA"/>
              </w:rPr>
            </w:pPr>
          </w:p>
        </w:tc>
      </w:tr>
    </w:tbl>
    <w:p>
      <w:pPr>
        <w:pStyle w:val="3"/>
        <w:rPr>
          <w:rFonts w:hint="eastAsia" w:ascii="Times New Roman" w:hAnsi="Times New Roman" w:cs="Times New Roman"/>
          <w:highlight w:val="none"/>
          <w:lang w:val="en-US" w:eastAsia="zh-CN"/>
        </w:rPr>
      </w:pPr>
      <w:r>
        <w:rPr>
          <w:highlight w:val="none"/>
        </w:rPr>
        <w:br w:type="page"/>
      </w:r>
      <w:bookmarkStart w:id="85" w:name="_Toc10421_WPSOffice_Level1"/>
      <w:bookmarkStart w:id="86" w:name="_Toc32245_WPSOffice_Level1"/>
      <w:r>
        <w:rPr>
          <w:rFonts w:hint="eastAsia"/>
          <w:highlight w:val="none"/>
        </w:rPr>
        <w:t>表二</w:t>
      </w:r>
      <w:bookmarkEnd w:id="85"/>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rPr>
        <w:t>建设项目工程概况</w:t>
      </w:r>
      <w:bookmarkEnd w:id="86"/>
    </w:p>
    <w:tbl>
      <w:tblPr>
        <w:tblStyle w:val="11"/>
        <w:tblW w:w="9086"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9" w:hRule="atLeast"/>
        </w:trPr>
        <w:tc>
          <w:tcPr>
            <w:tcW w:w="9086" w:type="dxa"/>
            <w:tcBorders>
              <w:top w:val="single" w:color="auto" w:sz="4" w:space="0"/>
              <w:left w:val="single" w:color="auto" w:sz="4" w:space="0"/>
              <w:bottom w:val="single" w:color="auto" w:sz="4" w:space="0"/>
              <w:right w:val="single" w:color="auto" w:sz="4" w:space="0"/>
            </w:tcBorders>
            <w:noWrap w:val="0"/>
            <w:vAlign w:val="center"/>
          </w:tcPr>
          <w:p>
            <w:pPr>
              <w:pStyle w:val="4"/>
              <w:keepNext w:val="0"/>
              <w:keepLines w:val="0"/>
              <w:pageBreakBefore w:val="0"/>
              <w:widowControl w:val="0"/>
              <w:kinsoku/>
              <w:wordWrap/>
              <w:overflowPunct/>
              <w:topLinePunct w:val="0"/>
              <w:autoSpaceDE w:val="0"/>
              <w:autoSpaceDN w:val="0"/>
              <w:bidi w:val="0"/>
              <w:adjustRightInd/>
              <w:snapToGrid/>
              <w:spacing w:before="0" w:line="360" w:lineRule="auto"/>
              <w:textAlignment w:val="auto"/>
              <w:rPr>
                <w:rFonts w:hint="eastAsia" w:hAnsi="宋体"/>
                <w:b/>
                <w:sz w:val="28"/>
                <w:szCs w:val="28"/>
                <w:highlight w:val="none"/>
                <w:u w:val="none"/>
                <w:lang w:val="zh-CN" w:eastAsia="zh-CN"/>
              </w:rPr>
            </w:pPr>
            <w:r>
              <w:rPr>
                <w:rFonts w:hint="eastAsia" w:hAnsi="宋体"/>
                <w:b/>
                <w:sz w:val="28"/>
                <w:szCs w:val="28"/>
                <w:highlight w:val="none"/>
                <w:u w:val="none"/>
                <w:lang w:val="zh-CN" w:eastAsia="zh-CN"/>
              </w:rPr>
              <w:t>工程建设内容</w:t>
            </w:r>
          </w:p>
          <w:p>
            <w:pPr>
              <w:numPr>
                <w:ilvl w:val="0"/>
                <w:numId w:val="0"/>
              </w:numPr>
              <w:adjustRightInd w:val="0"/>
              <w:snapToGrid w:val="0"/>
              <w:spacing w:line="360" w:lineRule="auto"/>
              <w:rPr>
                <w:rFonts w:hAnsi="宋体"/>
                <w:b/>
                <w:sz w:val="24"/>
                <w:highlight w:val="none"/>
                <w:u w:val="none"/>
              </w:rPr>
            </w:pPr>
            <w:r>
              <w:rPr>
                <w:rFonts w:hint="eastAsia" w:hAnsi="宋体"/>
                <w:b/>
                <w:sz w:val="24"/>
                <w:highlight w:val="none"/>
                <w:u w:val="none"/>
                <w:lang w:eastAsia="zh-CN"/>
              </w:rPr>
              <w:t>一、</w:t>
            </w:r>
            <w:r>
              <w:rPr>
                <w:rFonts w:hAnsi="宋体"/>
                <w:b/>
                <w:sz w:val="24"/>
                <w:highlight w:val="none"/>
                <w:u w:val="none"/>
              </w:rPr>
              <w:t>工程基本情况</w:t>
            </w:r>
          </w:p>
          <w:p>
            <w:pPr>
              <w:numPr>
                <w:ilvl w:val="0"/>
                <w:numId w:val="0"/>
              </w:numPr>
              <w:adjustRightInd w:val="0"/>
              <w:snapToGrid w:val="0"/>
              <w:spacing w:line="360" w:lineRule="auto"/>
              <w:ind w:leftChars="200" w:right="0" w:rightChars="0"/>
              <w:rPr>
                <w:rFonts w:hint="default" w:ascii="Times New Roman" w:hAnsi="Times New Roman" w:cs="Times New Roman" w:eastAsiaTheme="minorEastAsia"/>
                <w:snapToGrid w:val="0"/>
                <w:kern w:val="0"/>
                <w:sz w:val="24"/>
                <w:highlight w:val="none"/>
                <w:lang w:val="en-US" w:eastAsia="zh-CN"/>
              </w:rPr>
            </w:pPr>
            <w:r>
              <w:rPr>
                <w:rFonts w:hint="default" w:ascii="Times New Roman" w:hAnsi="Times New Roman" w:cs="Times New Roman" w:eastAsiaTheme="minorEastAsia"/>
                <w:snapToGrid w:val="0"/>
                <w:kern w:val="0"/>
                <w:sz w:val="24"/>
                <w:highlight w:val="none"/>
              </w:rPr>
              <w:t>项目名称：陕西省石油化工工业贸易有限公司华州服务区</w:t>
            </w:r>
            <w:r>
              <w:rPr>
                <w:rFonts w:hint="eastAsia" w:cs="Times New Roman" w:eastAsiaTheme="minorEastAsia"/>
                <w:snapToGrid w:val="0"/>
                <w:kern w:val="0"/>
                <w:sz w:val="24"/>
                <w:highlight w:val="none"/>
                <w:lang w:eastAsia="zh-CN"/>
              </w:rPr>
              <w:t>西</w:t>
            </w:r>
            <w:r>
              <w:rPr>
                <w:rFonts w:hint="default" w:ascii="Times New Roman" w:hAnsi="Times New Roman" w:cs="Times New Roman" w:eastAsiaTheme="minorEastAsia"/>
                <w:snapToGrid w:val="0"/>
                <w:kern w:val="0"/>
                <w:sz w:val="24"/>
                <w:highlight w:val="none"/>
              </w:rPr>
              <w:t>加油站</w:t>
            </w:r>
            <w:r>
              <w:rPr>
                <w:rFonts w:hint="default" w:ascii="Times New Roman" w:hAnsi="Times New Roman" w:cs="Times New Roman" w:eastAsiaTheme="minorEastAsia"/>
                <w:snapToGrid w:val="0"/>
                <w:kern w:val="0"/>
                <w:sz w:val="24"/>
                <w:highlight w:val="none"/>
                <w:lang w:val="en-US" w:eastAsia="zh-CN"/>
              </w:rPr>
              <w:t xml:space="preserve"> </w:t>
            </w:r>
          </w:p>
          <w:p>
            <w:pPr>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default" w:ascii="Times New Roman" w:hAnsi="Times New Roman" w:cs="Times New Roman" w:eastAsiaTheme="minorEastAsia"/>
                <w:snapToGrid w:val="0"/>
                <w:kern w:val="0"/>
                <w:sz w:val="24"/>
                <w:highlight w:val="none"/>
              </w:rPr>
              <w:t>建设单位：陕西省石油化工工业贸易有限公司</w:t>
            </w:r>
          </w:p>
          <w:p>
            <w:pPr>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default" w:ascii="Times New Roman" w:hAnsi="Times New Roman" w:cs="Times New Roman" w:eastAsiaTheme="minorEastAsia"/>
                <w:snapToGrid w:val="0"/>
                <w:kern w:val="0"/>
                <w:sz w:val="24"/>
                <w:highlight w:val="none"/>
              </w:rPr>
              <w:t xml:space="preserve">建设性质：新建  </w:t>
            </w:r>
          </w:p>
          <w:p>
            <w:pPr>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default" w:ascii="Times New Roman" w:hAnsi="Times New Roman" w:cs="Times New Roman" w:eastAsiaTheme="minorEastAsia"/>
                <w:snapToGrid w:val="0"/>
                <w:kern w:val="0"/>
                <w:sz w:val="24"/>
                <w:highlight w:val="none"/>
              </w:rPr>
              <w:t>地理位置：渭南至玉山高速公路华州服务区</w:t>
            </w:r>
            <w:r>
              <w:rPr>
                <w:rFonts w:hint="eastAsia" w:cs="Times New Roman" w:eastAsiaTheme="minorEastAsia"/>
                <w:snapToGrid w:val="0"/>
                <w:kern w:val="0"/>
                <w:sz w:val="24"/>
                <w:highlight w:val="none"/>
                <w:lang w:eastAsia="zh-CN"/>
              </w:rPr>
              <w:t>西</w:t>
            </w:r>
            <w:r>
              <w:rPr>
                <w:rFonts w:hint="default" w:ascii="Times New Roman" w:hAnsi="Times New Roman" w:cs="Times New Roman" w:eastAsiaTheme="minorEastAsia"/>
                <w:snapToGrid w:val="0"/>
                <w:kern w:val="0"/>
                <w:sz w:val="24"/>
                <w:highlight w:val="none"/>
              </w:rPr>
              <w:t>区。项目地理位置坐标为：</w:t>
            </w:r>
            <w:r>
              <w:rPr>
                <w:snapToGrid w:val="0"/>
                <w:kern w:val="0"/>
                <w:sz w:val="24"/>
                <w:highlight w:val="none"/>
              </w:rPr>
              <w:t>东经109.615365°、北纬34.419992°</w:t>
            </w:r>
            <w:r>
              <w:rPr>
                <w:rFonts w:hint="default" w:ascii="Times New Roman" w:hAnsi="Times New Roman" w:cs="Times New Roman" w:eastAsiaTheme="minorEastAsia"/>
                <w:snapToGrid w:val="0"/>
                <w:kern w:val="0"/>
                <w:sz w:val="24"/>
                <w:highlight w:val="none"/>
              </w:rPr>
              <w:t>，项目地理位置见附图1。</w:t>
            </w:r>
          </w:p>
          <w:p>
            <w:pPr>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snapToGrid w:val="0"/>
                <w:kern w:val="0"/>
                <w:sz w:val="24"/>
                <w:highlight w:val="none"/>
              </w:rPr>
              <w:t>四邻关系：项目西侧为空地，北侧为华州服务区停车场，东侧为渭南至玉山高速公路，南侧为空地，项目具体四邻关系见附图2。</w:t>
            </w:r>
          </w:p>
          <w:p>
            <w:pPr>
              <w:widowControl/>
              <w:tabs>
                <w:tab w:val="left" w:pos="924"/>
              </w:tabs>
              <w:adjustRightInd w:val="0"/>
              <w:snapToGrid w:val="0"/>
              <w:spacing w:line="360" w:lineRule="auto"/>
              <w:ind w:firstLine="480" w:firstLineChars="200"/>
              <w:jc w:val="left"/>
              <w:rPr>
                <w:rFonts w:hint="eastAsia"/>
                <w:sz w:val="24"/>
                <w:szCs w:val="24"/>
                <w:highlight w:val="none"/>
              </w:rPr>
            </w:pPr>
            <w:r>
              <w:rPr>
                <w:snapToGrid w:val="0"/>
                <w:kern w:val="0"/>
                <w:sz w:val="24"/>
                <w:highlight w:val="none"/>
              </w:rPr>
              <w:t>2018年10月，陕西省石油化工贸易有限公司与陕西高速公路服务有限责任公司签订合同，将华州服务区2座加油站经营权转让，此时加油站主体工程已建设完成，现阶段陕西省石油化工贸易有限公司正在对加油站按照</w:t>
            </w:r>
            <w:r>
              <w:rPr>
                <w:sz w:val="24"/>
                <w:szCs w:val="24"/>
                <w:highlight w:val="none"/>
              </w:rPr>
              <w:t>《汽车加油加气站设计与施工规范》和《加油站地下水污染防治技术指南》的要求进行改造。因此，本项目为未批先建项目。根据生态环境部发布的《关于进一步规范适用环境行政处罚自由裁量权的指导意见》（环执法[2019]42号）文件精神，本项目属于未批先建，</w:t>
            </w:r>
            <w:r>
              <w:rPr>
                <w:rFonts w:hint="eastAsia"/>
                <w:sz w:val="24"/>
                <w:szCs w:val="24"/>
                <w:highlight w:val="none"/>
              </w:rPr>
              <w:t>储罐未注油，</w:t>
            </w:r>
            <w:r>
              <w:rPr>
                <w:sz w:val="24"/>
                <w:szCs w:val="24"/>
                <w:highlight w:val="none"/>
              </w:rPr>
              <w:t>未造成环境污染后果，且企业自行实施关停或者实施停止建设、停止生产等措施的情形，</w:t>
            </w:r>
            <w:r>
              <w:rPr>
                <w:rFonts w:hint="eastAsia"/>
                <w:sz w:val="24"/>
                <w:szCs w:val="24"/>
                <w:highlight w:val="none"/>
              </w:rPr>
              <w:t>因此</w:t>
            </w:r>
            <w:r>
              <w:rPr>
                <w:rFonts w:hint="eastAsia"/>
                <w:sz w:val="24"/>
                <w:szCs w:val="24"/>
                <w:highlight w:val="none"/>
                <w:lang w:eastAsia="zh-CN"/>
              </w:rPr>
              <w:t>对本项目</w:t>
            </w:r>
            <w:r>
              <w:rPr>
                <w:sz w:val="24"/>
                <w:szCs w:val="24"/>
                <w:highlight w:val="none"/>
              </w:rPr>
              <w:t>免予处罚。</w:t>
            </w:r>
          </w:p>
          <w:p>
            <w:pPr>
              <w:adjustRightInd w:val="0"/>
              <w:snapToGrid w:val="0"/>
              <w:spacing w:line="360" w:lineRule="auto"/>
              <w:rPr>
                <w:rFonts w:hint="default" w:ascii="Times New Roman" w:hAnsi="Times New Roman" w:cs="Times New Roman" w:eastAsiaTheme="minorEastAsia"/>
                <w:b/>
                <w:snapToGrid w:val="0"/>
                <w:kern w:val="0"/>
                <w:sz w:val="24"/>
                <w:highlight w:val="none"/>
              </w:rPr>
            </w:pPr>
            <w:r>
              <w:rPr>
                <w:rFonts w:hint="eastAsia" w:ascii="Times New Roman" w:hAnsi="Times New Roman" w:cs="Times New Roman" w:eastAsiaTheme="minorEastAsia"/>
                <w:b/>
                <w:snapToGrid w:val="0"/>
                <w:kern w:val="0"/>
                <w:sz w:val="24"/>
                <w:highlight w:val="none"/>
                <w:lang w:eastAsia="zh-CN"/>
              </w:rPr>
              <w:t>二、</w:t>
            </w:r>
            <w:r>
              <w:rPr>
                <w:rFonts w:hint="default" w:ascii="Times New Roman" w:hAnsi="Times New Roman" w:cs="Times New Roman" w:eastAsiaTheme="minorEastAsia"/>
                <w:b/>
                <w:snapToGrid w:val="0"/>
                <w:kern w:val="0"/>
                <w:sz w:val="24"/>
                <w:highlight w:val="none"/>
              </w:rPr>
              <w:t>工程内容及规模</w:t>
            </w:r>
          </w:p>
          <w:p>
            <w:pPr>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lang w:val="en-US" w:eastAsia="zh-CN"/>
              </w:rPr>
            </w:pPr>
            <w:r>
              <w:rPr>
                <w:rFonts w:hint="default" w:ascii="Times New Roman" w:hAnsi="Times New Roman" w:cs="Times New Roman" w:eastAsiaTheme="minorEastAsia"/>
                <w:snapToGrid w:val="0"/>
                <w:kern w:val="0"/>
                <w:sz w:val="24"/>
                <w:highlight w:val="none"/>
                <w:lang w:val="en-US" w:eastAsia="zh-CN"/>
              </w:rPr>
              <w:t>项目总投资342.71万元，项目占地面积</w:t>
            </w:r>
            <w:r>
              <w:rPr>
                <w:snapToGrid w:val="0"/>
                <w:kern w:val="0"/>
                <w:sz w:val="24"/>
                <w:highlight w:val="none"/>
              </w:rPr>
              <w:t>4355.05</w:t>
            </w:r>
            <w:r>
              <w:rPr>
                <w:rFonts w:hint="default" w:ascii="Times New Roman" w:hAnsi="Times New Roman" w:cs="Times New Roman" w:eastAsiaTheme="minorEastAsia"/>
                <w:snapToGrid w:val="0"/>
                <w:kern w:val="0"/>
                <w:sz w:val="24"/>
                <w:highlight w:val="none"/>
                <w:lang w:val="en-US" w:eastAsia="zh-CN"/>
              </w:rPr>
              <w:t>m</w:t>
            </w:r>
            <w:r>
              <w:rPr>
                <w:rFonts w:hint="default" w:ascii="Times New Roman" w:hAnsi="Times New Roman" w:cs="Times New Roman" w:eastAsiaTheme="minorEastAsia"/>
                <w:snapToGrid w:val="0"/>
                <w:kern w:val="0"/>
                <w:sz w:val="24"/>
                <w:highlight w:val="none"/>
                <w:vertAlign w:val="superscript"/>
                <w:lang w:val="en-US" w:eastAsia="zh-CN"/>
              </w:rPr>
              <w:t>2</w:t>
            </w:r>
            <w:r>
              <w:rPr>
                <w:rFonts w:hint="default" w:ascii="Times New Roman" w:hAnsi="Times New Roman" w:cs="Times New Roman" w:eastAsiaTheme="minorEastAsia"/>
                <w:snapToGrid w:val="0"/>
                <w:kern w:val="0"/>
                <w:sz w:val="24"/>
                <w:highlight w:val="none"/>
                <w:lang w:val="en-US" w:eastAsia="zh-CN"/>
              </w:rPr>
              <w:t>，项目环评及批复建设内容与实际建设内容一览表见表</w:t>
            </w:r>
            <w:r>
              <w:rPr>
                <w:rFonts w:hint="eastAsia" w:ascii="Times New Roman" w:hAnsi="Times New Roman" w:cs="Times New Roman" w:eastAsiaTheme="minorEastAsia"/>
                <w:snapToGrid w:val="0"/>
                <w:kern w:val="0"/>
                <w:sz w:val="24"/>
                <w:highlight w:val="none"/>
                <w:lang w:val="en-US" w:eastAsia="zh-CN"/>
              </w:rPr>
              <w:t>2-1</w:t>
            </w:r>
            <w:r>
              <w:rPr>
                <w:rFonts w:hint="default" w:ascii="Times New Roman" w:hAnsi="Times New Roman" w:cs="Times New Roman" w:eastAsiaTheme="minorEastAsia"/>
                <w:snapToGrid w:val="0"/>
                <w:kern w:val="0"/>
                <w:sz w:val="24"/>
                <w:highlight w:val="none"/>
                <w:lang w:val="en-US" w:eastAsia="zh-CN"/>
              </w:rPr>
              <w:t>所示。</w:t>
            </w:r>
          </w:p>
          <w:p>
            <w:pPr>
              <w:tabs>
                <w:tab w:val="left" w:pos="2130"/>
              </w:tabs>
              <w:snapToGrid w:val="0"/>
              <w:jc w:val="center"/>
              <w:rPr>
                <w:rFonts w:hint="default" w:ascii="Times New Roman" w:hAnsi="Times New Roman" w:cs="Times New Roman" w:eastAsiaTheme="minorEastAsia"/>
                <w:b/>
                <w:snapToGrid w:val="0"/>
                <w:kern w:val="0"/>
                <w:sz w:val="21"/>
                <w:szCs w:val="21"/>
                <w:highlight w:val="none"/>
              </w:rPr>
            </w:pPr>
            <w:r>
              <w:rPr>
                <w:rFonts w:hint="default" w:ascii="Times New Roman" w:hAnsi="Times New Roman" w:cs="Times New Roman" w:eastAsiaTheme="minorEastAsia"/>
                <w:b/>
                <w:snapToGrid w:val="0"/>
                <w:kern w:val="0"/>
                <w:sz w:val="21"/>
                <w:szCs w:val="21"/>
                <w:highlight w:val="none"/>
              </w:rPr>
              <w:t>表</w:t>
            </w:r>
            <w:r>
              <w:rPr>
                <w:rFonts w:hint="eastAsia" w:ascii="Times New Roman" w:hAnsi="Times New Roman" w:cs="Times New Roman" w:eastAsiaTheme="minorEastAsia"/>
                <w:b/>
                <w:snapToGrid w:val="0"/>
                <w:kern w:val="0"/>
                <w:sz w:val="21"/>
                <w:szCs w:val="21"/>
                <w:highlight w:val="none"/>
                <w:lang w:val="en-US" w:eastAsia="zh-CN"/>
              </w:rPr>
              <w:t>2</w:t>
            </w:r>
            <w:r>
              <w:rPr>
                <w:rFonts w:hint="default" w:ascii="Times New Roman" w:hAnsi="Times New Roman" w:cs="Times New Roman" w:eastAsiaTheme="minorEastAsia"/>
                <w:b/>
                <w:snapToGrid w:val="0"/>
                <w:kern w:val="0"/>
                <w:sz w:val="21"/>
                <w:szCs w:val="21"/>
                <w:highlight w:val="none"/>
              </w:rPr>
              <w:t>-</w:t>
            </w:r>
            <w:r>
              <w:rPr>
                <w:rFonts w:hint="eastAsia" w:ascii="Times New Roman" w:hAnsi="Times New Roman" w:cs="Times New Roman" w:eastAsiaTheme="minorEastAsia"/>
                <w:b/>
                <w:snapToGrid w:val="0"/>
                <w:kern w:val="0"/>
                <w:sz w:val="21"/>
                <w:szCs w:val="21"/>
                <w:highlight w:val="none"/>
                <w:lang w:val="en-US" w:eastAsia="zh-CN"/>
              </w:rPr>
              <w:t>1</w:t>
            </w:r>
            <w:r>
              <w:rPr>
                <w:rFonts w:hint="default" w:ascii="Times New Roman" w:hAnsi="Times New Roman" w:cs="Times New Roman" w:eastAsiaTheme="minorEastAsia"/>
                <w:b/>
                <w:snapToGrid w:val="0"/>
                <w:kern w:val="0"/>
                <w:sz w:val="21"/>
                <w:szCs w:val="21"/>
                <w:highlight w:val="none"/>
              </w:rPr>
              <w:t xml:space="preserve">  环评及批复建设内容与实际建设内容一览表</w:t>
            </w:r>
          </w:p>
          <w:tbl>
            <w:tblPr>
              <w:tblStyle w:val="11"/>
              <w:tblW w:w="8860"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695"/>
              <w:gridCol w:w="3502"/>
              <w:gridCol w:w="3431"/>
              <w:gridCol w:w="77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152" w:type="dxa"/>
                  <w:gridSpan w:val="2"/>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b/>
                      <w:bCs/>
                      <w:sz w:val="21"/>
                      <w:highlight w:val="none"/>
                    </w:rPr>
                  </w:pPr>
                  <w:r>
                    <w:rPr>
                      <w:rFonts w:ascii="Times New Roman" w:hAnsi="Times New Roman" w:cs="Times New Roman"/>
                      <w:b/>
                      <w:bCs/>
                      <w:sz w:val="21"/>
                      <w:highlight w:val="none"/>
                    </w:rPr>
                    <w:t>名称</w:t>
                  </w:r>
                </w:p>
              </w:tc>
              <w:tc>
                <w:tcPr>
                  <w:tcW w:w="3502"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b/>
                      <w:bCs/>
                      <w:sz w:val="21"/>
                      <w:highlight w:val="none"/>
                    </w:rPr>
                  </w:pPr>
                  <w:r>
                    <w:rPr>
                      <w:rFonts w:ascii="Times New Roman" w:hAnsi="Times New Roman" w:cs="Times New Roman"/>
                      <w:b/>
                      <w:bCs/>
                      <w:sz w:val="21"/>
                      <w:highlight w:val="none"/>
                    </w:rPr>
                    <w:t>环评及批复建设内容</w:t>
                  </w:r>
                </w:p>
              </w:tc>
              <w:tc>
                <w:tcPr>
                  <w:tcW w:w="3431"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b/>
                      <w:bCs/>
                      <w:sz w:val="21"/>
                      <w:highlight w:val="none"/>
                    </w:rPr>
                  </w:pPr>
                  <w:r>
                    <w:rPr>
                      <w:rFonts w:ascii="Times New Roman" w:hAnsi="Times New Roman" w:cs="Times New Roman"/>
                      <w:b/>
                      <w:bCs/>
                      <w:sz w:val="21"/>
                      <w:highlight w:val="none"/>
                    </w:rPr>
                    <w:t>实际建设内容</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hint="eastAsia" w:ascii="Times New Roman" w:hAnsi="Times New Roman" w:cs="Times New Roman"/>
                      <w:b/>
                      <w:bCs/>
                      <w:sz w:val="21"/>
                      <w:highlight w:val="none"/>
                      <w:lang w:eastAsia="zh-CN"/>
                    </w:rPr>
                  </w:pPr>
                  <w:r>
                    <w:rPr>
                      <w:rFonts w:hint="eastAsia" w:ascii="Times New Roman" w:hAnsi="Times New Roman" w:cs="Times New Roman"/>
                      <w:b/>
                      <w:bCs/>
                      <w:sz w:val="21"/>
                      <w:highlight w:val="none"/>
                      <w:lang w:eastAsia="zh-CN"/>
                    </w:rPr>
                    <w:t>与环评审批的一致性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152" w:type="dxa"/>
                  <w:gridSpan w:val="2"/>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项目名称</w:t>
                  </w:r>
                </w:p>
              </w:tc>
              <w:tc>
                <w:tcPr>
                  <w:tcW w:w="3502"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highlight w:val="none"/>
                      <w:lang w:eastAsia="zh-CN"/>
                    </w:rPr>
                  </w:pPr>
                  <w:r>
                    <w:rPr>
                      <w:rFonts w:hint="default" w:ascii="Times New Roman" w:hAnsi="Times New Roman" w:cs="Times New Roman"/>
                      <w:sz w:val="21"/>
                      <w:highlight w:val="none"/>
                    </w:rPr>
                    <w:t>陕西省石油化工工业贸易有限公司华州服务区</w:t>
                  </w:r>
                  <w:r>
                    <w:rPr>
                      <w:rFonts w:hint="eastAsia" w:ascii="Times New Roman" w:hAnsi="Times New Roman" w:cs="Times New Roman"/>
                      <w:sz w:val="21"/>
                      <w:highlight w:val="none"/>
                      <w:lang w:eastAsia="zh-CN"/>
                    </w:rPr>
                    <w:t>西</w:t>
                  </w:r>
                  <w:r>
                    <w:rPr>
                      <w:rFonts w:hint="default" w:ascii="Times New Roman" w:hAnsi="Times New Roman" w:cs="Times New Roman"/>
                      <w:sz w:val="21"/>
                      <w:highlight w:val="none"/>
                    </w:rPr>
                    <w:t>加油站</w:t>
                  </w:r>
                  <w:r>
                    <w:rPr>
                      <w:rFonts w:hint="eastAsia" w:ascii="Times New Roman" w:hAnsi="Times New Roman" w:cs="Times New Roman"/>
                      <w:sz w:val="21"/>
                      <w:highlight w:val="none"/>
                      <w:lang w:eastAsia="zh-CN"/>
                    </w:rPr>
                    <w:t>项目</w:t>
                  </w:r>
                </w:p>
              </w:tc>
              <w:tc>
                <w:tcPr>
                  <w:tcW w:w="3431"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hint="default" w:ascii="Times New Roman" w:hAnsi="Times New Roman" w:cs="Times New Roman"/>
                      <w:sz w:val="21"/>
                      <w:highlight w:val="none"/>
                    </w:rPr>
                    <w:t>陕西省石油化工工业贸易有限公司华州服务区</w:t>
                  </w:r>
                  <w:r>
                    <w:rPr>
                      <w:rFonts w:hint="eastAsia" w:ascii="Times New Roman" w:hAnsi="Times New Roman" w:cs="Times New Roman"/>
                      <w:sz w:val="21"/>
                      <w:highlight w:val="none"/>
                      <w:lang w:eastAsia="zh-CN"/>
                    </w:rPr>
                    <w:t>西</w:t>
                  </w:r>
                  <w:r>
                    <w:rPr>
                      <w:rFonts w:hint="default" w:ascii="Times New Roman" w:hAnsi="Times New Roman" w:cs="Times New Roman"/>
                      <w:sz w:val="21"/>
                      <w:highlight w:val="none"/>
                    </w:rPr>
                    <w:t>加油站</w:t>
                  </w:r>
                  <w:r>
                    <w:rPr>
                      <w:rFonts w:hint="eastAsia" w:ascii="Times New Roman" w:hAnsi="Times New Roman" w:cs="Times New Roman"/>
                      <w:sz w:val="21"/>
                      <w:highlight w:val="none"/>
                      <w:lang w:eastAsia="zh-CN"/>
                    </w:rPr>
                    <w:t>项目</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152" w:type="dxa"/>
                  <w:gridSpan w:val="2"/>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投资规模</w:t>
                  </w:r>
                </w:p>
              </w:tc>
              <w:tc>
                <w:tcPr>
                  <w:tcW w:w="3502"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hint="default" w:ascii="Times New Roman" w:hAnsi="Times New Roman" w:cs="Times New Roman"/>
                      <w:snapToGrid w:val="0"/>
                      <w:kern w:val="0"/>
                      <w:sz w:val="21"/>
                      <w:szCs w:val="21"/>
                      <w:highlight w:val="none"/>
                    </w:rPr>
                    <w:t>342.71</w:t>
                  </w:r>
                  <w:r>
                    <w:rPr>
                      <w:rFonts w:ascii="Times New Roman" w:hAnsi="Times New Roman" w:cs="Times New Roman"/>
                      <w:sz w:val="21"/>
                      <w:szCs w:val="21"/>
                      <w:highlight w:val="none"/>
                    </w:rPr>
                    <w:t>万</w:t>
                  </w:r>
                  <w:r>
                    <w:rPr>
                      <w:rFonts w:ascii="Times New Roman" w:hAnsi="Times New Roman" w:cs="Times New Roman"/>
                      <w:sz w:val="21"/>
                      <w:highlight w:val="none"/>
                    </w:rPr>
                    <w:t>元</w:t>
                  </w:r>
                </w:p>
              </w:tc>
              <w:tc>
                <w:tcPr>
                  <w:tcW w:w="3431"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hint="default" w:ascii="Times New Roman" w:hAnsi="Times New Roman" w:cs="Times New Roman"/>
                      <w:snapToGrid w:val="0"/>
                      <w:kern w:val="0"/>
                      <w:sz w:val="21"/>
                      <w:szCs w:val="21"/>
                      <w:highlight w:val="none"/>
                    </w:rPr>
                    <w:t>342.71</w:t>
                  </w:r>
                  <w:r>
                    <w:rPr>
                      <w:rFonts w:ascii="Times New Roman" w:hAnsi="Times New Roman" w:cs="Times New Roman"/>
                      <w:sz w:val="21"/>
                      <w:szCs w:val="21"/>
                      <w:highlight w:val="none"/>
                    </w:rPr>
                    <w:t>万</w:t>
                  </w:r>
                  <w:r>
                    <w:rPr>
                      <w:rFonts w:ascii="Times New Roman" w:hAnsi="Times New Roman" w:cs="Times New Roman"/>
                      <w:sz w:val="21"/>
                      <w:highlight w:val="none"/>
                    </w:rPr>
                    <w:t>元</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152" w:type="dxa"/>
                  <w:gridSpan w:val="2"/>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占地面积</w:t>
                  </w:r>
                </w:p>
              </w:tc>
              <w:tc>
                <w:tcPr>
                  <w:tcW w:w="3502"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hint="default" w:ascii="Times New Roman" w:hAnsi="Times New Roman" w:cs="Times New Roman"/>
                      <w:sz w:val="21"/>
                      <w:highlight w:val="none"/>
                    </w:rPr>
                    <w:t>4355.05m</w:t>
                  </w:r>
                  <w:r>
                    <w:rPr>
                      <w:rFonts w:hint="default" w:ascii="Times New Roman" w:hAnsi="Times New Roman" w:cs="Times New Roman"/>
                      <w:sz w:val="21"/>
                      <w:highlight w:val="none"/>
                      <w:vertAlign w:val="superscript"/>
                    </w:rPr>
                    <w:t>2</w:t>
                  </w:r>
                </w:p>
              </w:tc>
              <w:tc>
                <w:tcPr>
                  <w:tcW w:w="3431"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hint="default" w:ascii="Times New Roman" w:hAnsi="Times New Roman" w:cs="Times New Roman"/>
                      <w:sz w:val="21"/>
                      <w:highlight w:val="none"/>
                    </w:rPr>
                    <w:t>4355.05m</w:t>
                  </w:r>
                  <w:r>
                    <w:rPr>
                      <w:rFonts w:hint="default" w:ascii="Times New Roman" w:hAnsi="Times New Roman" w:cs="Times New Roman"/>
                      <w:sz w:val="21"/>
                      <w:highlight w:val="none"/>
                      <w:vertAlign w:val="superscript"/>
                    </w:rPr>
                    <w:t>2</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152" w:type="dxa"/>
                  <w:gridSpan w:val="2"/>
                  <w:tcBorders>
                    <w:tl2br w:val="nil"/>
                    <w:tr2bl w:val="nil"/>
                  </w:tcBorders>
                  <w:vAlign w:val="center"/>
                </w:tcPr>
                <w:p>
                  <w:pPr>
                    <w:pStyle w:val="15"/>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highlight w:val="none"/>
                    </w:rPr>
                  </w:pPr>
                  <w:r>
                    <w:rPr>
                      <w:rFonts w:ascii="Times New Roman" w:hAnsi="Times New Roman" w:cs="Times New Roman"/>
                      <w:sz w:val="21"/>
                      <w:highlight w:val="none"/>
                    </w:rPr>
                    <w:t>销售规模</w:t>
                  </w:r>
                </w:p>
                <w:p>
                  <w:pPr>
                    <w:pStyle w:val="15"/>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highlight w:val="none"/>
                    </w:rPr>
                  </w:pPr>
                  <w:r>
                    <w:rPr>
                      <w:rFonts w:ascii="Times New Roman" w:hAnsi="Times New Roman" w:cs="Times New Roman"/>
                      <w:sz w:val="21"/>
                      <w:highlight w:val="none"/>
                    </w:rPr>
                    <w:t>及产品</w:t>
                  </w:r>
                </w:p>
              </w:tc>
              <w:tc>
                <w:tcPr>
                  <w:tcW w:w="3502"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年销售</w:t>
                  </w:r>
                  <w:r>
                    <w:rPr>
                      <w:rFonts w:ascii="Times New Roman" w:hAnsi="Times New Roman" w:eastAsia="Times New Roman" w:cs="Times New Roman"/>
                      <w:sz w:val="21"/>
                      <w:highlight w:val="none"/>
                    </w:rPr>
                    <w:t>1</w:t>
                  </w:r>
                  <w:r>
                    <w:rPr>
                      <w:rFonts w:hint="eastAsia" w:ascii="Times New Roman" w:hAnsi="Times New Roman" w:cs="Times New Roman"/>
                      <w:sz w:val="21"/>
                      <w:highlight w:val="none"/>
                      <w:lang w:val="en-US" w:eastAsia="zh-CN"/>
                    </w:rPr>
                    <w:t>0</w:t>
                  </w:r>
                  <w:r>
                    <w:rPr>
                      <w:rFonts w:ascii="Times New Roman" w:hAnsi="Times New Roman" w:eastAsia="Times New Roman" w:cs="Times New Roman"/>
                      <w:sz w:val="21"/>
                      <w:highlight w:val="none"/>
                    </w:rPr>
                    <w:t>00t</w:t>
                  </w:r>
                  <w:r>
                    <w:rPr>
                      <w:rFonts w:ascii="Times New Roman" w:hAnsi="Times New Roman" w:cs="Times New Roman"/>
                      <w:sz w:val="21"/>
                      <w:highlight w:val="none"/>
                    </w:rPr>
                    <w:t>汽油、</w:t>
                  </w:r>
                  <w:r>
                    <w:rPr>
                      <w:rFonts w:hint="default" w:ascii="Times New Roman" w:hAnsi="Times New Roman" w:cs="Times New Roman"/>
                      <w:sz w:val="21"/>
                      <w:highlight w:val="none"/>
                      <w:lang w:val="en-US" w:eastAsia="zh-CN"/>
                    </w:rPr>
                    <w:t>2</w:t>
                  </w:r>
                  <w:r>
                    <w:rPr>
                      <w:rFonts w:hint="eastAsia" w:ascii="Times New Roman" w:hAnsi="Times New Roman" w:cs="Times New Roman"/>
                      <w:sz w:val="21"/>
                      <w:highlight w:val="none"/>
                      <w:lang w:val="en-US" w:eastAsia="zh-CN"/>
                    </w:rPr>
                    <w:t>0</w:t>
                  </w:r>
                  <w:r>
                    <w:rPr>
                      <w:rFonts w:ascii="Times New Roman" w:hAnsi="Times New Roman" w:eastAsia="Times New Roman" w:cs="Times New Roman"/>
                      <w:sz w:val="21"/>
                      <w:highlight w:val="none"/>
                    </w:rPr>
                    <w:t>00t</w:t>
                  </w:r>
                  <w:r>
                    <w:rPr>
                      <w:rFonts w:ascii="Times New Roman" w:hAnsi="Times New Roman" w:cs="Times New Roman"/>
                      <w:sz w:val="21"/>
                      <w:highlight w:val="none"/>
                    </w:rPr>
                    <w:t>柴油</w:t>
                  </w:r>
                </w:p>
              </w:tc>
              <w:tc>
                <w:tcPr>
                  <w:tcW w:w="3431"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年销售</w:t>
                  </w:r>
                  <w:r>
                    <w:rPr>
                      <w:rFonts w:ascii="Times New Roman" w:hAnsi="Times New Roman" w:eastAsia="Times New Roman" w:cs="Times New Roman"/>
                      <w:sz w:val="21"/>
                      <w:highlight w:val="none"/>
                    </w:rPr>
                    <w:t>1</w:t>
                  </w:r>
                  <w:r>
                    <w:rPr>
                      <w:rFonts w:hint="eastAsia" w:ascii="Times New Roman" w:hAnsi="Times New Roman" w:cs="Times New Roman"/>
                      <w:sz w:val="21"/>
                      <w:highlight w:val="none"/>
                      <w:lang w:val="en-US" w:eastAsia="zh-CN"/>
                    </w:rPr>
                    <w:t>0</w:t>
                  </w:r>
                  <w:r>
                    <w:rPr>
                      <w:rFonts w:ascii="Times New Roman" w:hAnsi="Times New Roman" w:eastAsia="Times New Roman" w:cs="Times New Roman"/>
                      <w:sz w:val="21"/>
                      <w:highlight w:val="none"/>
                    </w:rPr>
                    <w:t>00t</w:t>
                  </w:r>
                  <w:r>
                    <w:rPr>
                      <w:rFonts w:ascii="Times New Roman" w:hAnsi="Times New Roman" w:cs="Times New Roman"/>
                      <w:sz w:val="21"/>
                      <w:highlight w:val="none"/>
                    </w:rPr>
                    <w:t>汽油、</w:t>
                  </w:r>
                  <w:r>
                    <w:rPr>
                      <w:rFonts w:hint="default" w:ascii="Times New Roman" w:hAnsi="Times New Roman" w:cs="Times New Roman"/>
                      <w:sz w:val="21"/>
                      <w:highlight w:val="none"/>
                      <w:lang w:val="en-US" w:eastAsia="zh-CN"/>
                    </w:rPr>
                    <w:t>2</w:t>
                  </w:r>
                  <w:r>
                    <w:rPr>
                      <w:rFonts w:hint="eastAsia" w:ascii="Times New Roman" w:hAnsi="Times New Roman" w:cs="Times New Roman"/>
                      <w:sz w:val="21"/>
                      <w:highlight w:val="none"/>
                      <w:lang w:val="en-US" w:eastAsia="zh-CN"/>
                    </w:rPr>
                    <w:t>0</w:t>
                  </w:r>
                  <w:r>
                    <w:rPr>
                      <w:rFonts w:ascii="Times New Roman" w:hAnsi="Times New Roman" w:eastAsia="Times New Roman" w:cs="Times New Roman"/>
                      <w:sz w:val="21"/>
                      <w:highlight w:val="none"/>
                    </w:rPr>
                    <w:t>00t</w:t>
                  </w:r>
                  <w:r>
                    <w:rPr>
                      <w:rFonts w:ascii="Times New Roman" w:hAnsi="Times New Roman" w:cs="Times New Roman"/>
                      <w:sz w:val="21"/>
                      <w:highlight w:val="none"/>
                    </w:rPr>
                    <w:t>柴油</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restart"/>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主体工程</w:t>
                  </w:r>
                </w:p>
              </w:tc>
              <w:tc>
                <w:tcPr>
                  <w:tcW w:w="695"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加</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油</w:t>
                  </w:r>
                </w:p>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区</w:t>
                  </w:r>
                </w:p>
              </w:tc>
              <w:tc>
                <w:tcPr>
                  <w:tcW w:w="3502"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含防撞柱的加油岛6座；加油机6台，其中，双枪柴油加油机4 台，四枪汽油加油机2 台；采用潜油泵式加油方式。设加油油气回收系统、卸油油气回收系统和油气排放处理装置</w:t>
                  </w:r>
                  <w:r>
                    <w:rPr>
                      <w:rFonts w:hint="eastAsia" w:ascii="Times New Roman" w:hAnsi="Times New Roman" w:eastAsia="宋体" w:cs="Times New Roman"/>
                      <w:sz w:val="21"/>
                      <w:szCs w:val="21"/>
                      <w:highlight w:val="none"/>
                      <w:lang w:eastAsia="zh-CN"/>
                    </w:rPr>
                    <w:t>。</w:t>
                  </w:r>
                </w:p>
              </w:tc>
              <w:tc>
                <w:tcPr>
                  <w:tcW w:w="3431"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leftChars="0" w:right="2" w:rightChars="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含防撞柱的加油岛6座；加油机6台，其中，双枪柴油加油机4 台，四枪汽油加油机2 台；采用潜油泵式加油方式。设加油油气回收系统、卸油油气回收系统和油气排放处理装置</w:t>
                  </w:r>
                  <w:r>
                    <w:rPr>
                      <w:rFonts w:hint="eastAsia" w:ascii="Times New Roman" w:hAnsi="Times New Roman" w:eastAsia="宋体" w:cs="Times New Roman"/>
                      <w:sz w:val="21"/>
                      <w:szCs w:val="21"/>
                      <w:highlight w:val="none"/>
                      <w:lang w:eastAsia="zh-CN"/>
                    </w:rPr>
                    <w:t>。</w:t>
                  </w:r>
                </w:p>
              </w:tc>
              <w:tc>
                <w:tcPr>
                  <w:tcW w:w="775"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szCs w:val="22"/>
                      <w:highlight w:val="none"/>
                    </w:rPr>
                  </w:pPr>
                </w:p>
              </w:tc>
              <w:tc>
                <w:tcPr>
                  <w:tcW w:w="695"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储</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罐</w:t>
                  </w:r>
                </w:p>
                <w:p>
                  <w:pPr>
                    <w:adjustRightInd w:val="0"/>
                    <w:snapToGrid w:val="0"/>
                    <w:jc w:val="center"/>
                    <w:rPr>
                      <w:rFonts w:ascii="Times New Roman" w:hAnsi="Times New Roman" w:cs="Times New Roman"/>
                      <w:sz w:val="21"/>
                      <w:szCs w:val="22"/>
                      <w:highlight w:val="none"/>
                    </w:rPr>
                  </w:pPr>
                  <w:r>
                    <w:rPr>
                      <w:rFonts w:hint="default" w:ascii="Times New Roman" w:hAnsi="Times New Roman" w:eastAsia="宋体" w:cs="Times New Roman"/>
                      <w:sz w:val="21"/>
                      <w:szCs w:val="21"/>
                      <w:highlight w:val="none"/>
                    </w:rPr>
                    <w:t>区</w:t>
                  </w:r>
                </w:p>
              </w:tc>
              <w:tc>
                <w:tcPr>
                  <w:tcW w:w="3502"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设卧式50m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SF双层油罐5个（2汽油3柴油）；油罐底部防渗措施为100厚C15混凝土垫层+400厚钢筋混凝土，罐之间用干净细砂分层填实，最上层地面为150厚C15素混凝土，另在罐区四周建有20cm的围堰。</w:t>
                  </w:r>
                </w:p>
              </w:tc>
              <w:tc>
                <w:tcPr>
                  <w:tcW w:w="3431"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leftChars="0" w:right="2" w:rightChars="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设卧式50m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SF双层油罐5个（2汽油3柴油）；油罐底部防渗措施为100厚C15混凝土垫层+400厚钢筋混凝土，罐之间用干净细砂分层填实，最上层地面为150厚C15素混凝土，另在罐区四周建有20cm的围堰。</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restart"/>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辅助工程</w:t>
                  </w:r>
                </w:p>
              </w:tc>
              <w:tc>
                <w:tcPr>
                  <w:tcW w:w="695" w:type="dxa"/>
                  <w:tcBorders>
                    <w:tl2br w:val="nil"/>
                    <w:tr2bl w:val="nil"/>
                  </w:tcBorders>
                  <w:vAlign w:val="center"/>
                </w:tcPr>
                <w:p>
                  <w:pPr>
                    <w:adjustRightInd w:val="0"/>
                    <w:snapToGrid w:val="0"/>
                    <w:ind w:left="59" w:leftChars="28"/>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站房</w:t>
                  </w:r>
                </w:p>
              </w:tc>
              <w:tc>
                <w:tcPr>
                  <w:tcW w:w="3502" w:type="dxa"/>
                  <w:tcBorders>
                    <w:tl2br w:val="nil"/>
                    <w:tr2bl w:val="nil"/>
                  </w:tcBorders>
                  <w:vAlign w:val="center"/>
                </w:tcPr>
                <w:p>
                  <w:pPr>
                    <w:adjustRightInd w:val="0"/>
                    <w:snapToGrid w:val="0"/>
                    <w:jc w:val="center"/>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szCs w:val="21"/>
                      <w:highlight w:val="none"/>
                    </w:rPr>
                    <w:t>建筑面积117.64m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，1F，砖混结构。主要包含办公室、营业厅、配电间、卫生间、库房等。</w:t>
                  </w:r>
                </w:p>
              </w:tc>
              <w:tc>
                <w:tcPr>
                  <w:tcW w:w="3431" w:type="dxa"/>
                  <w:tcBorders>
                    <w:tl2br w:val="nil"/>
                    <w:tr2bl w:val="nil"/>
                  </w:tcBorders>
                  <w:vAlign w:val="center"/>
                </w:tcPr>
                <w:p>
                  <w:pPr>
                    <w:adjustRightInd w:val="0"/>
                    <w:snapToGrid w:val="0"/>
                    <w:jc w:val="center"/>
                    <w:rPr>
                      <w:rFonts w:ascii="Times New Roman" w:hAnsi="Times New Roman" w:eastAsia="宋体" w:cs="Times New Roman"/>
                      <w:sz w:val="21"/>
                      <w:highlight w:val="none"/>
                    </w:rPr>
                  </w:pPr>
                  <w:r>
                    <w:rPr>
                      <w:rFonts w:hint="default" w:ascii="Times New Roman" w:hAnsi="Times New Roman" w:eastAsia="宋体" w:cs="Times New Roman"/>
                      <w:sz w:val="21"/>
                      <w:szCs w:val="21"/>
                      <w:highlight w:val="none"/>
                    </w:rPr>
                    <w:t>建筑面积117.64m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，1F，砖混结构。主要包含办公室、营业厅、配电间、卫生间、库房等。</w:t>
                  </w:r>
                </w:p>
              </w:tc>
              <w:tc>
                <w:tcPr>
                  <w:tcW w:w="775" w:type="dxa"/>
                  <w:vMerge w:val="restart"/>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p>
              </w:tc>
              <w:tc>
                <w:tcPr>
                  <w:tcW w:w="695" w:type="dxa"/>
                  <w:tcBorders>
                    <w:tl2br w:val="nil"/>
                    <w:tr2bl w:val="nil"/>
                  </w:tcBorders>
                  <w:vAlign w:val="center"/>
                </w:tcPr>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罩棚</w:t>
                  </w:r>
                </w:p>
              </w:tc>
              <w:tc>
                <w:tcPr>
                  <w:tcW w:w="3502" w:type="dxa"/>
                  <w:tcBorders>
                    <w:tl2br w:val="nil"/>
                    <w:tr2bl w:val="nil"/>
                  </w:tcBorders>
                  <w:vAlign w:val="center"/>
                </w:tcPr>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型钢罩棚1座，净高5.5m，面积956.80m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w:t>
                  </w:r>
                </w:p>
              </w:tc>
              <w:tc>
                <w:tcPr>
                  <w:tcW w:w="3431" w:type="dxa"/>
                  <w:tcBorders>
                    <w:tl2br w:val="nil"/>
                    <w:tr2bl w:val="nil"/>
                  </w:tcBorders>
                  <w:vAlign w:val="center"/>
                </w:tcPr>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型钢罩棚1座，净高5.5m，面积956.80m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w:t>
                  </w:r>
                </w:p>
              </w:tc>
              <w:tc>
                <w:tcPr>
                  <w:tcW w:w="775"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公用</w:t>
                  </w:r>
                </w:p>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工程</w:t>
                  </w:r>
                </w:p>
              </w:tc>
              <w:tc>
                <w:tcPr>
                  <w:tcW w:w="695"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给水</w:t>
                  </w:r>
                </w:p>
              </w:tc>
              <w:tc>
                <w:tcPr>
                  <w:tcW w:w="350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由华州服务区供给。</w:t>
                  </w:r>
                </w:p>
              </w:tc>
              <w:tc>
                <w:tcPr>
                  <w:tcW w:w="3431"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由华州服务区供给。</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p>
              </w:tc>
              <w:tc>
                <w:tcPr>
                  <w:tcW w:w="695"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排水</w:t>
                  </w:r>
                </w:p>
              </w:tc>
              <w:tc>
                <w:tcPr>
                  <w:tcW w:w="350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采用雨污分流，加油岛四周设雨水收集沟槽，雨水经隔油池处理后排入场外排水渠，最终进入赤水河；项目场地冲洗废水经隔油池处理后和生活污</w:t>
                  </w:r>
                  <w:r>
                    <w:rPr>
                      <w:rFonts w:hint="eastAsia" w:ascii="Times New Roman" w:hAnsi="Times New Roman" w:eastAsia="宋体" w:cs="Times New Roman"/>
                      <w:sz w:val="21"/>
                      <w:szCs w:val="21"/>
                      <w:highlight w:val="none"/>
                      <w:lang w:eastAsia="zh-CN"/>
                    </w:rPr>
                    <w:t>水</w:t>
                  </w:r>
                  <w:r>
                    <w:rPr>
                      <w:rFonts w:hint="default" w:ascii="Times New Roman" w:hAnsi="Times New Roman" w:eastAsia="宋体" w:cs="Times New Roman"/>
                      <w:sz w:val="21"/>
                      <w:szCs w:val="21"/>
                      <w:highlight w:val="none"/>
                    </w:rPr>
                    <w:t>一并进入华州服务区一体化埋地式中水回用膜处理系统</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处理后回用于服务区厕所用水和服务区绿化用水。</w:t>
                  </w:r>
                </w:p>
              </w:tc>
              <w:tc>
                <w:tcPr>
                  <w:tcW w:w="3431"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采用雨污分流，加油岛四周设雨水收集沟槽，雨水经隔油池处理后排入场外排水渠，最终进入赤水河；项目场地冲洗废水经隔油池处理后和生活污</w:t>
                  </w:r>
                  <w:r>
                    <w:rPr>
                      <w:rFonts w:hint="eastAsia" w:ascii="Times New Roman" w:hAnsi="Times New Roman" w:eastAsia="宋体" w:cs="Times New Roman"/>
                      <w:sz w:val="21"/>
                      <w:szCs w:val="21"/>
                      <w:highlight w:val="none"/>
                      <w:lang w:eastAsia="zh-CN"/>
                    </w:rPr>
                    <w:t>水</w:t>
                  </w:r>
                  <w:r>
                    <w:rPr>
                      <w:rFonts w:hint="default" w:ascii="Times New Roman" w:hAnsi="Times New Roman" w:eastAsia="宋体" w:cs="Times New Roman"/>
                      <w:sz w:val="21"/>
                      <w:szCs w:val="21"/>
                      <w:highlight w:val="none"/>
                    </w:rPr>
                    <w:t>一并进入华州服务区一体化埋地式中水回用膜处理系统</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处理后回用于服务区厕所用水和服务区绿化用水。</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p>
              </w:tc>
              <w:tc>
                <w:tcPr>
                  <w:tcW w:w="695"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供电</w:t>
                  </w:r>
                </w:p>
              </w:tc>
              <w:tc>
                <w:tcPr>
                  <w:tcW w:w="350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由华州服务区变电站供给。</w:t>
                  </w:r>
                </w:p>
              </w:tc>
              <w:tc>
                <w:tcPr>
                  <w:tcW w:w="3431"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由华州服务区变电站供给。</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p>
              </w:tc>
              <w:tc>
                <w:tcPr>
                  <w:tcW w:w="695"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供暖、制冷</w:t>
                  </w:r>
                </w:p>
              </w:tc>
              <w:tc>
                <w:tcPr>
                  <w:tcW w:w="350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冬季供暖、夏制冷采用分体式空调。</w:t>
                  </w:r>
                </w:p>
              </w:tc>
              <w:tc>
                <w:tcPr>
                  <w:tcW w:w="3431"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冬季供暖、夏制冷采用分体式空调。</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p>
              </w:tc>
              <w:tc>
                <w:tcPr>
                  <w:tcW w:w="695"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消防</w:t>
                  </w:r>
                </w:p>
              </w:tc>
              <w:tc>
                <w:tcPr>
                  <w:tcW w:w="350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配置35kg 推车式ABC 类干粉灭火器1 具，4kg 手提式ABC类干粉灭火器22 具，灭火毯5 块，消防沙2m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w:t>
                  </w:r>
                </w:p>
              </w:tc>
              <w:tc>
                <w:tcPr>
                  <w:tcW w:w="3431"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配置35kg 推车式ABC 类干粉灭火器1 具，4kg 手提式ABC类干粉灭火器22 具，灭火毯5 块，消防沙2m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restart"/>
                  <w:tcBorders>
                    <w:tl2br w:val="nil"/>
                    <w:tr2bl w:val="nil"/>
                  </w:tcBorders>
                  <w:vAlign w:val="center"/>
                </w:tcPr>
                <w:p>
                  <w:pPr>
                    <w:pStyle w:val="15"/>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highlight w:val="none"/>
                    </w:rPr>
                  </w:pPr>
                  <w:r>
                    <w:rPr>
                      <w:rFonts w:ascii="Times New Roman" w:hAnsi="Times New Roman" w:cs="Times New Roman"/>
                      <w:sz w:val="21"/>
                      <w:highlight w:val="none"/>
                    </w:rPr>
                    <w:t>环保工程</w:t>
                  </w:r>
                </w:p>
              </w:tc>
              <w:tc>
                <w:tcPr>
                  <w:tcW w:w="695"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废气</w:t>
                  </w:r>
                </w:p>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处理</w:t>
                  </w:r>
                </w:p>
              </w:tc>
              <w:tc>
                <w:tcPr>
                  <w:tcW w:w="3502" w:type="dxa"/>
                  <w:tcBorders>
                    <w:tl2br w:val="nil"/>
                    <w:tr2bl w:val="nil"/>
                  </w:tcBorders>
                  <w:vAlign w:val="center"/>
                </w:tcPr>
                <w:p>
                  <w:pPr>
                    <w:adjustRightInd w:val="0"/>
                    <w:snapToGrid w:val="0"/>
                    <w:jc w:val="center"/>
                    <w:rPr>
                      <w:rFonts w:hint="default" w:ascii="Times New Roman" w:hAnsi="Times New Roman" w:cs="Times New Roman"/>
                      <w:sz w:val="21"/>
                      <w:highlight w:val="none"/>
                      <w:lang w:val="en-US"/>
                    </w:rPr>
                  </w:pPr>
                  <w:r>
                    <w:rPr>
                      <w:rFonts w:hint="default" w:ascii="Times New Roman" w:hAnsi="Times New Roman" w:eastAsia="宋体" w:cs="Times New Roman"/>
                      <w:snapToGrid w:val="0"/>
                      <w:kern w:val="0"/>
                      <w:sz w:val="21"/>
                      <w:szCs w:val="21"/>
                      <w:highlight w:val="none"/>
                    </w:rPr>
                    <w:t>站区加强通风，储罐设有阻火器、呼吸阀，加油、卸油设三级油气回收装置</w:t>
                  </w:r>
                  <w:r>
                    <w:rPr>
                      <w:rFonts w:hint="default" w:ascii="Times New Roman" w:hAnsi="Times New Roman" w:eastAsia="宋体" w:cs="Times New Roman"/>
                      <w:snapToGrid w:val="0"/>
                      <w:kern w:val="0"/>
                      <w:sz w:val="21"/>
                      <w:szCs w:val="21"/>
                      <w:highlight w:val="none"/>
                      <w:lang w:eastAsia="zh-CN"/>
                    </w:rPr>
                    <w:t>。</w:t>
                  </w:r>
                </w:p>
              </w:tc>
              <w:tc>
                <w:tcPr>
                  <w:tcW w:w="3431" w:type="dxa"/>
                  <w:tcBorders>
                    <w:tl2br w:val="nil"/>
                    <w:tr2bl w:val="nil"/>
                  </w:tcBorders>
                  <w:vAlign w:val="center"/>
                </w:tcPr>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napToGrid w:val="0"/>
                      <w:kern w:val="0"/>
                      <w:sz w:val="21"/>
                      <w:szCs w:val="21"/>
                      <w:highlight w:val="none"/>
                    </w:rPr>
                    <w:t>站区加强通风，储罐设有阻火器、呼吸阀，加油、卸油设三级油气回收装置</w:t>
                  </w:r>
                  <w:r>
                    <w:rPr>
                      <w:rFonts w:hint="default" w:ascii="Times New Roman" w:hAnsi="Times New Roman" w:eastAsia="宋体" w:cs="Times New Roman"/>
                      <w:snapToGrid w:val="0"/>
                      <w:kern w:val="0"/>
                      <w:sz w:val="21"/>
                      <w:szCs w:val="21"/>
                      <w:highlight w:val="none"/>
                      <w:lang w:eastAsia="zh-CN"/>
                    </w:rPr>
                    <w:t>。</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szCs w:val="22"/>
                      <w:highlight w:val="none"/>
                    </w:rPr>
                  </w:pPr>
                </w:p>
              </w:tc>
              <w:tc>
                <w:tcPr>
                  <w:tcW w:w="695"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w:t>
                  </w:r>
                </w:p>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处理</w:t>
                  </w:r>
                </w:p>
              </w:tc>
              <w:tc>
                <w:tcPr>
                  <w:tcW w:w="3502" w:type="dxa"/>
                  <w:tcBorders>
                    <w:tl2br w:val="nil"/>
                    <w:tr2bl w:val="nil"/>
                  </w:tcBorders>
                  <w:vAlign w:val="center"/>
                </w:tcPr>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项目场地冲洗废水经隔油池处理后和生活污水一并进入渭南至玉山高速公路华州服务区一体化埋地式中水回用膜处理系统</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处理后回用于服务区厕所用水和服务区绿化用水。</w:t>
                  </w:r>
                </w:p>
              </w:tc>
              <w:tc>
                <w:tcPr>
                  <w:tcW w:w="3431"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项目场地冲洗废水经隔油池处理后和生活污水一并进入渭南至玉山高速公路华州服务区一体化埋地式中水回用膜处理系统</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处理后回用于服务区厕所用水和服务区绿化用水。</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leftChars="0" w:right="2" w:rightChars="0"/>
                    <w:jc w:val="center"/>
                    <w:rPr>
                      <w:rFonts w:hint="default" w:ascii="Times New Roman" w:hAnsi="Times New Roman" w:cs="Times New Roman"/>
                      <w:sz w:val="21"/>
                      <w:highlight w:val="none"/>
                    </w:rPr>
                  </w:pPr>
                  <w:r>
                    <w:rPr>
                      <w:rFonts w:hint="eastAsia" w:ascii="Times New Roman" w:hAnsi="Times New Roman" w:cs="Times New Roman"/>
                      <w:sz w:val="21"/>
                      <w:highlight w:val="none"/>
                      <w:lang w:eastAsia="zh-CN"/>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szCs w:val="22"/>
                      <w:highlight w:val="none"/>
                    </w:rPr>
                  </w:pPr>
                </w:p>
              </w:tc>
              <w:tc>
                <w:tcPr>
                  <w:tcW w:w="695" w:type="dxa"/>
                  <w:tcBorders>
                    <w:tl2br w:val="nil"/>
                    <w:tr2bl w:val="nil"/>
                  </w:tcBorders>
                  <w:vAlign w:val="center"/>
                </w:tcPr>
                <w:p>
                  <w:pPr>
                    <w:adjustRightInd w:val="0"/>
                    <w:snapToGrid w:val="0"/>
                    <w:jc w:val="center"/>
                    <w:rPr>
                      <w:rFonts w:hint="eastAsia" w:ascii="Times New Roman" w:hAnsi="Times New Roman" w:eastAsia="宋体" w:cs="Times New Roman"/>
                      <w:sz w:val="21"/>
                      <w:highlight w:val="none"/>
                      <w:lang w:eastAsia="zh-CN"/>
                    </w:rPr>
                  </w:pPr>
                  <w:r>
                    <w:rPr>
                      <w:rFonts w:hint="default" w:ascii="Times New Roman" w:hAnsi="Times New Roman" w:eastAsia="宋体" w:cs="Times New Roman"/>
                      <w:sz w:val="21"/>
                      <w:szCs w:val="21"/>
                      <w:highlight w:val="none"/>
                    </w:rPr>
                    <w:t>噪声</w:t>
                  </w:r>
                </w:p>
              </w:tc>
              <w:tc>
                <w:tcPr>
                  <w:tcW w:w="3502" w:type="dxa"/>
                  <w:tcBorders>
                    <w:tl2br w:val="nil"/>
                    <w:tr2bl w:val="nil"/>
                  </w:tcBorders>
                  <w:vAlign w:val="center"/>
                </w:tcPr>
                <w:p>
                  <w:pPr>
                    <w:adjustRightInd w:val="0"/>
                    <w:snapToGrid w:val="0"/>
                    <w:jc w:val="center"/>
                    <w:rPr>
                      <w:rFonts w:ascii="Times New Roman" w:hAnsi="Times New Roman" w:cs="Times New Roman"/>
                      <w:snapToGrid w:val="0"/>
                      <w:kern w:val="0"/>
                      <w:sz w:val="21"/>
                      <w:szCs w:val="21"/>
                      <w:highlight w:val="none"/>
                    </w:rPr>
                  </w:pPr>
                  <w:r>
                    <w:rPr>
                      <w:rFonts w:hint="default" w:ascii="Times New Roman" w:hAnsi="Times New Roman" w:eastAsia="宋体" w:cs="Times New Roman"/>
                      <w:snapToGrid w:val="0"/>
                      <w:color w:val="000000"/>
                      <w:kern w:val="0"/>
                      <w:sz w:val="21"/>
                      <w:szCs w:val="21"/>
                      <w:highlight w:val="none"/>
                    </w:rPr>
                    <w:t>高噪声设备采取</w:t>
                  </w:r>
                  <w:r>
                    <w:rPr>
                      <w:rFonts w:hint="eastAsia" w:ascii="Times New Roman" w:hAnsi="Times New Roman" w:eastAsia="宋体" w:cs="Times New Roman"/>
                      <w:snapToGrid w:val="0"/>
                      <w:color w:val="000000"/>
                      <w:kern w:val="0"/>
                      <w:sz w:val="21"/>
                      <w:szCs w:val="21"/>
                      <w:highlight w:val="none"/>
                      <w:lang w:eastAsia="zh-CN"/>
                    </w:rPr>
                    <w:t>减振</w:t>
                  </w:r>
                  <w:r>
                    <w:rPr>
                      <w:rFonts w:hint="default" w:ascii="Times New Roman" w:hAnsi="Times New Roman" w:eastAsia="宋体" w:cs="Times New Roman"/>
                      <w:snapToGrid w:val="0"/>
                      <w:color w:val="000000"/>
                      <w:kern w:val="0"/>
                      <w:sz w:val="21"/>
                      <w:szCs w:val="21"/>
                      <w:highlight w:val="none"/>
                    </w:rPr>
                    <w:t>和隔声处理，出入区域内来往的机动车辆进站时减速、禁止鸣笛</w:t>
                  </w:r>
                  <w:r>
                    <w:rPr>
                      <w:rFonts w:hint="default" w:ascii="Times New Roman" w:hAnsi="Times New Roman" w:eastAsia="宋体" w:cs="Times New Roman"/>
                      <w:snapToGrid w:val="0"/>
                      <w:color w:val="000000"/>
                      <w:kern w:val="0"/>
                      <w:sz w:val="21"/>
                      <w:szCs w:val="21"/>
                      <w:highlight w:val="none"/>
                      <w:lang w:eastAsia="zh-CN"/>
                    </w:rPr>
                    <w:t>。</w:t>
                  </w:r>
                </w:p>
              </w:tc>
              <w:tc>
                <w:tcPr>
                  <w:tcW w:w="3431" w:type="dxa"/>
                  <w:tcBorders>
                    <w:tl2br w:val="nil"/>
                    <w:tr2bl w:val="nil"/>
                  </w:tcBorders>
                  <w:vAlign w:val="center"/>
                </w:tcPr>
                <w:p>
                  <w:pPr>
                    <w:adjustRightInd w:val="0"/>
                    <w:snapToGrid w:val="0"/>
                    <w:jc w:val="center"/>
                    <w:rPr>
                      <w:rFonts w:ascii="Times New Roman" w:hAnsi="Times New Roman" w:cs="Times New Roman"/>
                      <w:snapToGrid w:val="0"/>
                      <w:kern w:val="0"/>
                      <w:sz w:val="21"/>
                      <w:szCs w:val="21"/>
                      <w:highlight w:val="none"/>
                    </w:rPr>
                  </w:pPr>
                  <w:r>
                    <w:rPr>
                      <w:rFonts w:hint="default" w:ascii="Times New Roman" w:hAnsi="Times New Roman" w:eastAsia="宋体" w:cs="Times New Roman"/>
                      <w:snapToGrid w:val="0"/>
                      <w:color w:val="000000"/>
                      <w:kern w:val="0"/>
                      <w:sz w:val="21"/>
                      <w:szCs w:val="21"/>
                      <w:highlight w:val="none"/>
                    </w:rPr>
                    <w:t>高噪声设备采取</w:t>
                  </w:r>
                  <w:r>
                    <w:rPr>
                      <w:rFonts w:hint="eastAsia" w:ascii="Times New Roman" w:hAnsi="Times New Roman" w:eastAsia="宋体" w:cs="Times New Roman"/>
                      <w:snapToGrid w:val="0"/>
                      <w:color w:val="000000"/>
                      <w:kern w:val="0"/>
                      <w:sz w:val="21"/>
                      <w:szCs w:val="21"/>
                      <w:highlight w:val="none"/>
                      <w:lang w:eastAsia="zh-CN"/>
                    </w:rPr>
                    <w:t>减振</w:t>
                  </w:r>
                  <w:r>
                    <w:rPr>
                      <w:rFonts w:hint="default" w:ascii="Times New Roman" w:hAnsi="Times New Roman" w:eastAsia="宋体" w:cs="Times New Roman"/>
                      <w:snapToGrid w:val="0"/>
                      <w:color w:val="000000"/>
                      <w:kern w:val="0"/>
                      <w:sz w:val="21"/>
                      <w:szCs w:val="21"/>
                      <w:highlight w:val="none"/>
                    </w:rPr>
                    <w:t>和隔声处理，出入区域内来往的机动车辆进站时减速、禁止鸣笛</w:t>
                  </w:r>
                  <w:r>
                    <w:rPr>
                      <w:rFonts w:hint="default" w:ascii="Times New Roman" w:hAnsi="Times New Roman" w:eastAsia="宋体" w:cs="Times New Roman"/>
                      <w:snapToGrid w:val="0"/>
                      <w:color w:val="000000"/>
                      <w:kern w:val="0"/>
                      <w:sz w:val="21"/>
                      <w:szCs w:val="21"/>
                      <w:highlight w:val="none"/>
                      <w:lang w:eastAsia="zh-CN"/>
                    </w:rPr>
                    <w:t>。</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leftChars="0" w:right="2" w:rightChars="0"/>
                    <w:jc w:val="center"/>
                    <w:rPr>
                      <w:rFonts w:hint="default" w:ascii="Times New Roman" w:hAnsi="Times New Roman" w:cs="Times New Roman"/>
                      <w:sz w:val="21"/>
                      <w:highlight w:val="none"/>
                      <w:lang w:val="en-US" w:eastAsia="zh-CN"/>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szCs w:val="22"/>
                      <w:highlight w:val="none"/>
                    </w:rPr>
                  </w:pPr>
                </w:p>
              </w:tc>
              <w:tc>
                <w:tcPr>
                  <w:tcW w:w="695"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固体</w:t>
                  </w:r>
                </w:p>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废物</w:t>
                  </w:r>
                </w:p>
              </w:tc>
              <w:tc>
                <w:tcPr>
                  <w:tcW w:w="3502" w:type="dxa"/>
                  <w:tcBorders>
                    <w:tl2br w:val="nil"/>
                    <w:tr2bl w:val="nil"/>
                  </w:tcBorders>
                  <w:vAlign w:val="center"/>
                </w:tcPr>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color w:val="auto"/>
                      <w:sz w:val="21"/>
                      <w:szCs w:val="21"/>
                      <w:highlight w:val="none"/>
                    </w:rPr>
                    <w:t>办公及生活垃圾，设垃圾桶，</w:t>
                  </w:r>
                  <w:r>
                    <w:rPr>
                      <w:rFonts w:hint="eastAsia" w:ascii="Times New Roman" w:hAnsi="Times New Roman" w:eastAsia="宋体" w:cs="Times New Roman"/>
                      <w:color w:val="auto"/>
                      <w:sz w:val="21"/>
                      <w:szCs w:val="21"/>
                      <w:highlight w:val="none"/>
                      <w:lang w:eastAsia="zh-CN"/>
                    </w:rPr>
                    <w:t>收集</w:t>
                  </w:r>
                  <w:r>
                    <w:rPr>
                      <w:rFonts w:hint="default" w:ascii="Times New Roman" w:hAnsi="Times New Roman" w:eastAsia="宋体" w:cs="Times New Roman"/>
                      <w:color w:val="auto"/>
                      <w:sz w:val="21"/>
                      <w:szCs w:val="21"/>
                      <w:highlight w:val="none"/>
                    </w:rPr>
                    <w:t>后交由华州服务区统一处置</w:t>
                  </w:r>
                  <w:r>
                    <w:rPr>
                      <w:rFonts w:hint="eastAsia" w:ascii="Times New Roman" w:hAnsi="Times New Roman" w:eastAsia="宋体" w:cs="Times New Roman"/>
                      <w:color w:val="auto"/>
                      <w:sz w:val="21"/>
                      <w:szCs w:val="21"/>
                      <w:highlight w:val="none"/>
                      <w:lang w:eastAsia="zh-CN"/>
                    </w:rPr>
                    <w:t>；</w:t>
                  </w:r>
                  <w:r>
                    <w:rPr>
                      <w:rFonts w:ascii="Times New Roman" w:hAnsi="Times New Roman" w:cs="Times New Roman"/>
                      <w:sz w:val="21"/>
                      <w:szCs w:val="21"/>
                      <w:highlight w:val="none"/>
                    </w:rPr>
                    <w:t>设置</w:t>
                  </w:r>
                  <w:r>
                    <w:rPr>
                      <w:rFonts w:ascii="Times New Roman" w:hAnsi="Times New Roman" w:eastAsia="宋体" w:cs="Times New Roman"/>
                      <w:sz w:val="21"/>
                      <w:szCs w:val="21"/>
                      <w:highlight w:val="none"/>
                    </w:rPr>
                    <w:t>1</w:t>
                  </w:r>
                  <w:r>
                    <w:rPr>
                      <w:rFonts w:ascii="Times New Roman" w:hAnsi="Times New Roman" w:cs="Times New Roman"/>
                      <w:sz w:val="21"/>
                      <w:szCs w:val="21"/>
                      <w:highlight w:val="none"/>
                    </w:rPr>
                    <w:t>座</w:t>
                  </w:r>
                  <w:r>
                    <w:rPr>
                      <w:rFonts w:hint="eastAsia" w:ascii="Times New Roman" w:hAnsi="Times New Roman" w:cs="Times New Roman"/>
                      <w:sz w:val="21"/>
                      <w:szCs w:val="21"/>
                      <w:highlight w:val="none"/>
                      <w:lang w:val="en-US" w:eastAsia="zh-CN"/>
                    </w:rPr>
                    <w:t>5</w:t>
                  </w:r>
                  <w:r>
                    <w:rPr>
                      <w:rFonts w:ascii="Times New Roman" w:hAnsi="Times New Roman" w:eastAsia="宋体" w:cs="Times New Roman"/>
                      <w:sz w:val="21"/>
                      <w:szCs w:val="21"/>
                      <w:highlight w:val="none"/>
                    </w:rPr>
                    <w:t>m</w:t>
                  </w:r>
                  <w:r>
                    <w:rPr>
                      <w:rFonts w:ascii="Times New Roman" w:hAnsi="Times New Roman" w:eastAsia="宋体" w:cs="Times New Roman"/>
                      <w:position w:val="0"/>
                      <w:sz w:val="21"/>
                      <w:szCs w:val="21"/>
                      <w:highlight w:val="none"/>
                      <w:vertAlign w:val="superscript"/>
                    </w:rPr>
                    <w:t>2</w:t>
                  </w:r>
                  <w:r>
                    <w:rPr>
                      <w:rFonts w:ascii="Times New Roman" w:hAnsi="Times New Roman" w:cs="Times New Roman"/>
                      <w:sz w:val="21"/>
                      <w:szCs w:val="21"/>
                      <w:highlight w:val="none"/>
                    </w:rPr>
                    <w:t>危险废物暂</w:t>
                  </w:r>
                  <w:r>
                    <w:rPr>
                      <w:rFonts w:hint="default" w:ascii="Times New Roman" w:hAnsi="Times New Roman" w:eastAsia="宋体" w:cs="Times New Roman"/>
                      <w:sz w:val="21"/>
                      <w:szCs w:val="21"/>
                      <w:highlight w:val="none"/>
                      <w:lang w:val="en-US" w:eastAsia="zh-CN"/>
                    </w:rPr>
                    <w:t>存</w:t>
                  </w:r>
                  <w:r>
                    <w:rPr>
                      <w:rFonts w:ascii="Times New Roman" w:hAnsi="Times New Roman" w:cs="Times New Roman"/>
                      <w:sz w:val="21"/>
                      <w:szCs w:val="21"/>
                      <w:highlight w:val="none"/>
                    </w:rPr>
                    <w:t>间，</w:t>
                  </w:r>
                  <w:r>
                    <w:rPr>
                      <w:rFonts w:hint="default" w:ascii="Times New Roman" w:hAnsi="Times New Roman" w:eastAsia="宋体" w:cs="Times New Roman"/>
                      <w:color w:val="auto"/>
                      <w:sz w:val="21"/>
                      <w:szCs w:val="21"/>
                      <w:highlight w:val="none"/>
                    </w:rPr>
                    <w:t>废润滑油及清罐油泥，分别采用专用容器暂存于危废暂存间，统一</w:t>
                  </w:r>
                  <w:r>
                    <w:rPr>
                      <w:rFonts w:hint="default" w:ascii="Times New Roman" w:hAnsi="Times New Roman" w:eastAsia="宋体" w:cs="Times New Roman"/>
                      <w:color w:val="auto"/>
                      <w:sz w:val="21"/>
                      <w:szCs w:val="21"/>
                      <w:highlight w:val="none"/>
                      <w:lang w:eastAsia="zh-CN"/>
                    </w:rPr>
                    <w:t>由</w:t>
                  </w:r>
                  <w:r>
                    <w:rPr>
                      <w:rFonts w:hint="default" w:ascii="Times New Roman" w:hAnsi="Times New Roman" w:eastAsia="宋体" w:cs="Times New Roman"/>
                      <w:color w:val="auto"/>
                      <w:sz w:val="21"/>
                      <w:szCs w:val="21"/>
                      <w:highlight w:val="none"/>
                    </w:rPr>
                    <w:t>陕西明瑞资源再生有限公司</w:t>
                  </w:r>
                  <w:r>
                    <w:rPr>
                      <w:rFonts w:hint="default" w:ascii="Times New Roman" w:hAnsi="Times New Roman" w:eastAsia="宋体" w:cs="Times New Roman"/>
                      <w:color w:val="auto"/>
                      <w:sz w:val="21"/>
                      <w:szCs w:val="21"/>
                      <w:highlight w:val="none"/>
                      <w:lang w:eastAsia="zh-CN"/>
                    </w:rPr>
                    <w:t>回收</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eastAsia="zh-CN"/>
                    </w:rPr>
                    <w:t>。</w:t>
                  </w:r>
                </w:p>
              </w:tc>
              <w:tc>
                <w:tcPr>
                  <w:tcW w:w="3431"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right="2" w:firstLine="0"/>
                    <w:jc w:val="center"/>
                    <w:rPr>
                      <w:rFonts w:hint="eastAsia" w:ascii="Times New Roman" w:hAnsi="Times New Roman" w:eastAsia="宋体" w:cs="Times New Roman"/>
                      <w:sz w:val="21"/>
                      <w:highlight w:val="none"/>
                      <w:lang w:eastAsia="zh-CN"/>
                    </w:rPr>
                  </w:pPr>
                  <w:r>
                    <w:rPr>
                      <w:rFonts w:hint="default" w:ascii="Times New Roman" w:hAnsi="Times New Roman" w:eastAsia="宋体" w:cs="Times New Roman"/>
                      <w:color w:val="auto"/>
                      <w:sz w:val="21"/>
                      <w:szCs w:val="21"/>
                      <w:highlight w:val="none"/>
                    </w:rPr>
                    <w:t>办公及生活垃圾，设垃圾桶，</w:t>
                  </w:r>
                  <w:r>
                    <w:rPr>
                      <w:rFonts w:hint="eastAsia" w:ascii="Times New Roman" w:hAnsi="Times New Roman" w:eastAsia="宋体" w:cs="Times New Roman"/>
                      <w:color w:val="auto"/>
                      <w:sz w:val="21"/>
                      <w:szCs w:val="21"/>
                      <w:highlight w:val="none"/>
                      <w:lang w:eastAsia="zh-CN"/>
                    </w:rPr>
                    <w:t>收集</w:t>
                  </w:r>
                  <w:r>
                    <w:rPr>
                      <w:rFonts w:hint="default" w:ascii="Times New Roman" w:hAnsi="Times New Roman" w:eastAsia="宋体" w:cs="Times New Roman"/>
                      <w:color w:val="auto"/>
                      <w:sz w:val="21"/>
                      <w:szCs w:val="21"/>
                      <w:highlight w:val="none"/>
                    </w:rPr>
                    <w:t>后交由华州服务区统一处置</w:t>
                  </w:r>
                  <w:r>
                    <w:rPr>
                      <w:rFonts w:hint="eastAsia" w:ascii="Times New Roman" w:hAnsi="Times New Roman" w:eastAsia="宋体" w:cs="Times New Roman"/>
                      <w:color w:val="auto"/>
                      <w:sz w:val="21"/>
                      <w:szCs w:val="21"/>
                      <w:highlight w:val="none"/>
                      <w:lang w:eastAsia="zh-CN"/>
                    </w:rPr>
                    <w:t>；</w:t>
                  </w:r>
                  <w:r>
                    <w:rPr>
                      <w:rFonts w:ascii="Times New Roman" w:hAnsi="Times New Roman" w:cs="Times New Roman"/>
                      <w:sz w:val="21"/>
                      <w:szCs w:val="21"/>
                      <w:highlight w:val="none"/>
                    </w:rPr>
                    <w:t>设置</w:t>
                  </w:r>
                  <w:r>
                    <w:rPr>
                      <w:rFonts w:ascii="Times New Roman" w:hAnsi="Times New Roman" w:eastAsia="宋体" w:cs="Times New Roman"/>
                      <w:sz w:val="21"/>
                      <w:szCs w:val="21"/>
                      <w:highlight w:val="none"/>
                    </w:rPr>
                    <w:t>1</w:t>
                  </w:r>
                  <w:r>
                    <w:rPr>
                      <w:rFonts w:ascii="Times New Roman" w:hAnsi="Times New Roman" w:cs="Times New Roman"/>
                      <w:sz w:val="21"/>
                      <w:szCs w:val="21"/>
                      <w:highlight w:val="none"/>
                    </w:rPr>
                    <w:t>座</w:t>
                  </w:r>
                  <w:r>
                    <w:rPr>
                      <w:rFonts w:hint="eastAsia" w:ascii="Times New Roman" w:hAnsi="Times New Roman" w:cs="Times New Roman"/>
                      <w:sz w:val="21"/>
                      <w:szCs w:val="21"/>
                      <w:highlight w:val="none"/>
                      <w:lang w:val="en-US" w:eastAsia="zh-CN"/>
                    </w:rPr>
                    <w:t>5</w:t>
                  </w:r>
                  <w:r>
                    <w:rPr>
                      <w:rFonts w:ascii="Times New Roman" w:hAnsi="Times New Roman" w:eastAsia="宋体" w:cs="Times New Roman"/>
                      <w:sz w:val="21"/>
                      <w:szCs w:val="21"/>
                      <w:highlight w:val="none"/>
                    </w:rPr>
                    <w:t>m</w:t>
                  </w:r>
                  <w:r>
                    <w:rPr>
                      <w:rFonts w:ascii="Times New Roman" w:hAnsi="Times New Roman" w:eastAsia="宋体" w:cs="Times New Roman"/>
                      <w:position w:val="0"/>
                      <w:sz w:val="21"/>
                      <w:szCs w:val="21"/>
                      <w:highlight w:val="none"/>
                      <w:vertAlign w:val="superscript"/>
                    </w:rPr>
                    <w:t>2</w:t>
                  </w:r>
                  <w:r>
                    <w:rPr>
                      <w:rFonts w:ascii="Times New Roman" w:hAnsi="Times New Roman" w:cs="Times New Roman"/>
                      <w:sz w:val="21"/>
                      <w:szCs w:val="21"/>
                      <w:highlight w:val="none"/>
                    </w:rPr>
                    <w:t>危险废物暂</w:t>
                  </w:r>
                  <w:r>
                    <w:rPr>
                      <w:rFonts w:hint="default" w:ascii="Times New Roman" w:hAnsi="Times New Roman" w:eastAsia="宋体" w:cs="Times New Roman"/>
                      <w:sz w:val="21"/>
                      <w:szCs w:val="21"/>
                      <w:highlight w:val="none"/>
                      <w:lang w:val="en-US" w:eastAsia="zh-CN"/>
                    </w:rPr>
                    <w:t>存</w:t>
                  </w:r>
                  <w:r>
                    <w:rPr>
                      <w:rFonts w:ascii="Times New Roman" w:hAnsi="Times New Roman" w:cs="Times New Roman"/>
                      <w:sz w:val="21"/>
                      <w:szCs w:val="21"/>
                      <w:highlight w:val="none"/>
                    </w:rPr>
                    <w:t>间，</w:t>
                  </w:r>
                  <w:r>
                    <w:rPr>
                      <w:rFonts w:hint="default" w:ascii="Times New Roman" w:hAnsi="Times New Roman" w:eastAsia="宋体" w:cs="Times New Roman"/>
                      <w:color w:val="auto"/>
                      <w:sz w:val="21"/>
                      <w:szCs w:val="21"/>
                      <w:highlight w:val="none"/>
                    </w:rPr>
                    <w:t>废润滑油及清罐油泥，分别采用专用容器暂存于危废暂存间，统一</w:t>
                  </w:r>
                  <w:r>
                    <w:rPr>
                      <w:rFonts w:hint="default" w:ascii="Times New Roman" w:hAnsi="Times New Roman" w:eastAsia="宋体" w:cs="Times New Roman"/>
                      <w:color w:val="auto"/>
                      <w:sz w:val="21"/>
                      <w:szCs w:val="21"/>
                      <w:highlight w:val="none"/>
                      <w:lang w:eastAsia="zh-CN"/>
                    </w:rPr>
                    <w:t>由</w:t>
                  </w:r>
                  <w:r>
                    <w:rPr>
                      <w:rFonts w:hint="default" w:ascii="Times New Roman" w:hAnsi="Times New Roman" w:eastAsia="宋体" w:cs="Times New Roman"/>
                      <w:color w:val="auto"/>
                      <w:sz w:val="21"/>
                      <w:szCs w:val="21"/>
                      <w:highlight w:val="none"/>
                    </w:rPr>
                    <w:t>陕西明瑞资源再生有限公司</w:t>
                  </w:r>
                  <w:r>
                    <w:rPr>
                      <w:rFonts w:hint="default" w:ascii="Times New Roman" w:hAnsi="Times New Roman" w:eastAsia="宋体" w:cs="Times New Roman"/>
                      <w:color w:val="auto"/>
                      <w:sz w:val="21"/>
                      <w:szCs w:val="21"/>
                      <w:highlight w:val="none"/>
                      <w:lang w:eastAsia="zh-CN"/>
                    </w:rPr>
                    <w:t>回收</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eastAsia="zh-CN"/>
                    </w:rPr>
                    <w:t>。</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highlight w:val="none"/>
                    </w:rPr>
                  </w:pPr>
                  <w:r>
                    <w:rPr>
                      <w:rFonts w:ascii="Times New Roman" w:hAnsi="Times New Roman" w:cs="Times New Roman"/>
                      <w:sz w:val="21"/>
                      <w:highlight w:val="none"/>
                    </w:rPr>
                    <w:t>一致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57"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szCs w:val="22"/>
                      <w:highlight w:val="none"/>
                    </w:rPr>
                  </w:pPr>
                </w:p>
              </w:tc>
              <w:tc>
                <w:tcPr>
                  <w:tcW w:w="695" w:type="dxa"/>
                  <w:tcBorders>
                    <w:tl2br w:val="nil"/>
                    <w:tr2bl w:val="nil"/>
                  </w:tcBorders>
                  <w:vAlign w:val="center"/>
                </w:tcPr>
                <w:p>
                  <w:pPr>
                    <w:adjustRightInd w:val="0"/>
                    <w:snapToGrid w:val="0"/>
                    <w:jc w:val="center"/>
                    <w:rPr>
                      <w:rFonts w:hint="eastAsia" w:ascii="Times New Roman" w:hAnsi="Times New Roman" w:eastAsia="宋体" w:cs="Times New Roman"/>
                      <w:spacing w:val="0"/>
                      <w:w w:val="100"/>
                      <w:sz w:val="21"/>
                      <w:highlight w:val="none"/>
                      <w:lang w:eastAsia="zh-CN"/>
                    </w:rPr>
                  </w:pPr>
                  <w:r>
                    <w:rPr>
                      <w:rFonts w:hint="default" w:ascii="Times New Roman" w:hAnsi="Times New Roman" w:eastAsia="宋体" w:cs="Times New Roman"/>
                      <w:sz w:val="21"/>
                      <w:szCs w:val="21"/>
                      <w:highlight w:val="none"/>
                    </w:rPr>
                    <w:t>绿化</w:t>
                  </w:r>
                </w:p>
              </w:tc>
              <w:tc>
                <w:tcPr>
                  <w:tcW w:w="3502" w:type="dxa"/>
                  <w:tcBorders>
                    <w:tl2br w:val="nil"/>
                    <w:tr2bl w:val="nil"/>
                  </w:tcBorders>
                  <w:vAlign w:val="center"/>
                </w:tcPr>
                <w:p>
                  <w:pPr>
                    <w:adjustRightInd w:val="0"/>
                    <w:snapToGrid w:val="0"/>
                    <w:jc w:val="center"/>
                    <w:rPr>
                      <w:rFonts w:ascii="Times New Roman" w:hAnsi="Times New Roman" w:cs="Times New Roman"/>
                      <w:w w:val="100"/>
                      <w:sz w:val="21"/>
                      <w:highlight w:val="none"/>
                    </w:rPr>
                  </w:pPr>
                  <w:r>
                    <w:rPr>
                      <w:sz w:val="21"/>
                      <w:szCs w:val="21"/>
                      <w:highlight w:val="none"/>
                    </w:rPr>
                    <w:t>绿化面积200m</w:t>
                  </w:r>
                  <w:r>
                    <w:rPr>
                      <w:sz w:val="21"/>
                      <w:szCs w:val="21"/>
                      <w:highlight w:val="none"/>
                      <w:vertAlign w:val="superscript"/>
                    </w:rPr>
                    <w:t>2</w:t>
                  </w:r>
                  <w:r>
                    <w:rPr>
                      <w:sz w:val="21"/>
                      <w:szCs w:val="21"/>
                      <w:highlight w:val="none"/>
                    </w:rPr>
                    <w:t>，绿化率4.6%</w:t>
                  </w:r>
                  <w:r>
                    <w:rPr>
                      <w:rFonts w:hint="eastAsia"/>
                      <w:sz w:val="21"/>
                      <w:szCs w:val="21"/>
                      <w:highlight w:val="none"/>
                      <w:lang w:eastAsia="zh-CN"/>
                    </w:rPr>
                    <w:t>。</w:t>
                  </w:r>
                </w:p>
              </w:tc>
              <w:tc>
                <w:tcPr>
                  <w:tcW w:w="3431"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right="2" w:firstLine="0"/>
                    <w:jc w:val="center"/>
                    <w:rPr>
                      <w:rFonts w:ascii="Times New Roman" w:hAnsi="Times New Roman" w:cs="Times New Roman"/>
                      <w:spacing w:val="0"/>
                      <w:sz w:val="21"/>
                      <w:highlight w:val="none"/>
                    </w:rPr>
                  </w:pPr>
                  <w:r>
                    <w:rPr>
                      <w:sz w:val="21"/>
                      <w:szCs w:val="21"/>
                      <w:highlight w:val="none"/>
                    </w:rPr>
                    <w:t>绿化面积200m</w:t>
                  </w:r>
                  <w:r>
                    <w:rPr>
                      <w:sz w:val="21"/>
                      <w:szCs w:val="21"/>
                      <w:highlight w:val="none"/>
                      <w:vertAlign w:val="superscript"/>
                    </w:rPr>
                    <w:t>2</w:t>
                  </w:r>
                  <w:r>
                    <w:rPr>
                      <w:sz w:val="21"/>
                      <w:szCs w:val="21"/>
                      <w:highlight w:val="none"/>
                    </w:rPr>
                    <w:t>，绿化率4.6%</w:t>
                  </w:r>
                  <w:r>
                    <w:rPr>
                      <w:rFonts w:hint="eastAsia"/>
                      <w:sz w:val="21"/>
                      <w:szCs w:val="21"/>
                      <w:highlight w:val="none"/>
                      <w:lang w:eastAsia="zh-CN"/>
                    </w:rPr>
                    <w:t>。</w:t>
                  </w:r>
                </w:p>
              </w:tc>
              <w:tc>
                <w:tcPr>
                  <w:tcW w:w="775" w:type="dxa"/>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hint="eastAsia" w:ascii="Times New Roman" w:hAnsi="Times New Roman" w:eastAsia="宋体" w:cs="Times New Roman"/>
                      <w:sz w:val="21"/>
                      <w:highlight w:val="none"/>
                      <w:lang w:eastAsia="zh-CN"/>
                    </w:rPr>
                  </w:pPr>
                  <w:r>
                    <w:rPr>
                      <w:rFonts w:hint="eastAsia" w:ascii="Times New Roman" w:hAnsi="Times New Roman" w:cs="Times New Roman"/>
                      <w:sz w:val="21"/>
                      <w:highlight w:val="none"/>
                      <w:lang w:eastAsia="zh-CN"/>
                    </w:rPr>
                    <w:t>一致</w:t>
                  </w:r>
                </w:p>
              </w:tc>
            </w:tr>
          </w:tbl>
          <w:p>
            <w:pPr>
              <w:pStyle w:val="15"/>
              <w:keepNext w:val="0"/>
              <w:keepLines w:val="0"/>
              <w:pageBreakBefore w:val="0"/>
              <w:widowControl w:val="0"/>
              <w:numPr>
                <w:ilvl w:val="0"/>
                <w:numId w:val="2"/>
              </w:numPr>
              <w:kinsoku/>
              <w:wordWrap/>
              <w:overflowPunct/>
              <w:topLinePunct w:val="0"/>
              <w:autoSpaceDE/>
              <w:autoSpaceDN/>
              <w:bidi w:val="0"/>
              <w:adjustRightInd/>
              <w:snapToGrid/>
              <w:spacing w:before="469" w:beforeLines="100" w:line="365" w:lineRule="auto"/>
              <w:ind w:left="0" w:right="96" w:firstLine="0"/>
              <w:jc w:val="both"/>
              <w:textAlignment w:val="auto"/>
              <w:rPr>
                <w:rFonts w:hint="default" w:ascii="Times New Roman" w:hAnsi="Times New Roman" w:eastAsia="宋体" w:cs="Times New Roman"/>
                <w:b/>
                <w:color w:val="auto"/>
                <w:sz w:val="24"/>
                <w:szCs w:val="22"/>
                <w:highlight w:val="none"/>
                <w:lang w:val="en-US" w:eastAsia="zh-CN"/>
              </w:rPr>
            </w:pPr>
            <w:r>
              <w:rPr>
                <w:rFonts w:hint="default" w:ascii="Times New Roman" w:hAnsi="Times New Roman" w:eastAsia="宋体" w:cs="Times New Roman"/>
                <w:b/>
                <w:color w:val="auto"/>
                <w:sz w:val="24"/>
                <w:szCs w:val="22"/>
                <w:highlight w:val="none"/>
                <w:lang w:val="en-US" w:eastAsia="zh-CN"/>
              </w:rPr>
              <w:t>主要设备设施</w:t>
            </w:r>
          </w:p>
          <w:p>
            <w:pPr>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lang w:val="en-US" w:eastAsia="zh-CN"/>
              </w:rPr>
            </w:pPr>
            <w:r>
              <w:rPr>
                <w:rFonts w:hint="default" w:ascii="Times New Roman" w:hAnsi="Times New Roman" w:cs="Times New Roman" w:eastAsiaTheme="minorEastAsia"/>
                <w:snapToGrid w:val="0"/>
                <w:kern w:val="0"/>
                <w:sz w:val="24"/>
                <w:highlight w:val="none"/>
                <w:lang w:val="en-US" w:eastAsia="zh-CN"/>
              </w:rPr>
              <w:t>项目主要设备情况见下表2</w:t>
            </w:r>
            <w:r>
              <w:rPr>
                <w:rFonts w:hint="eastAsia" w:ascii="Times New Roman" w:hAnsi="Times New Roman" w:cs="Times New Roman" w:eastAsiaTheme="minorEastAsia"/>
                <w:snapToGrid w:val="0"/>
                <w:kern w:val="0"/>
                <w:sz w:val="24"/>
                <w:highlight w:val="none"/>
                <w:lang w:val="en-US" w:eastAsia="zh-CN"/>
              </w:rPr>
              <w:t>-2</w:t>
            </w:r>
            <w:r>
              <w:rPr>
                <w:rFonts w:hint="default" w:ascii="Times New Roman" w:hAnsi="Times New Roman" w:cs="Times New Roman" w:eastAsiaTheme="minorEastAsia"/>
                <w:snapToGrid w:val="0"/>
                <w:kern w:val="0"/>
                <w:sz w:val="24"/>
                <w:highlight w:val="none"/>
                <w:lang w:val="en-US" w:eastAsia="zh-CN"/>
              </w:rPr>
              <w:t>。</w:t>
            </w:r>
          </w:p>
          <w:p>
            <w:pPr>
              <w:keepNext w:val="0"/>
              <w:keepLines w:val="0"/>
              <w:pageBreakBefore w:val="0"/>
              <w:widowControl w:val="0"/>
              <w:tabs>
                <w:tab w:val="left" w:pos="2130"/>
              </w:tabs>
              <w:kinsoku/>
              <w:wordWrap/>
              <w:overflowPunct/>
              <w:topLinePunct w:val="0"/>
              <w:autoSpaceDE/>
              <w:autoSpaceDN/>
              <w:bidi w:val="0"/>
              <w:adjustRightInd/>
              <w:snapToGrid w:val="0"/>
              <w:jc w:val="center"/>
              <w:textAlignment w:val="auto"/>
              <w:rPr>
                <w:rFonts w:hint="default" w:ascii="Times New Roman" w:hAnsi="Times New Roman" w:cs="Times New Roman" w:eastAsiaTheme="minorEastAsia"/>
                <w:b/>
                <w:snapToGrid w:val="0"/>
                <w:kern w:val="0"/>
                <w:sz w:val="21"/>
                <w:szCs w:val="21"/>
                <w:highlight w:val="none"/>
              </w:rPr>
            </w:pPr>
            <w:r>
              <w:rPr>
                <w:rFonts w:hint="default" w:ascii="Times New Roman" w:hAnsi="Times New Roman" w:cs="Times New Roman" w:eastAsiaTheme="minorEastAsia"/>
                <w:b/>
                <w:snapToGrid w:val="0"/>
                <w:kern w:val="0"/>
                <w:sz w:val="21"/>
                <w:szCs w:val="21"/>
                <w:highlight w:val="none"/>
              </w:rPr>
              <w:t>表</w:t>
            </w:r>
            <w:r>
              <w:rPr>
                <w:rFonts w:hint="eastAsia" w:ascii="Times New Roman" w:hAnsi="Times New Roman" w:cs="Times New Roman" w:eastAsiaTheme="minorEastAsia"/>
                <w:b/>
                <w:snapToGrid w:val="0"/>
                <w:kern w:val="0"/>
                <w:sz w:val="21"/>
                <w:szCs w:val="21"/>
                <w:highlight w:val="none"/>
                <w:lang w:val="en-US" w:eastAsia="zh-CN"/>
              </w:rPr>
              <w:t>2</w:t>
            </w:r>
            <w:r>
              <w:rPr>
                <w:rFonts w:hint="default" w:ascii="Times New Roman" w:hAnsi="Times New Roman" w:cs="Times New Roman" w:eastAsiaTheme="minorEastAsia"/>
                <w:b/>
                <w:snapToGrid w:val="0"/>
                <w:kern w:val="0"/>
                <w:sz w:val="21"/>
                <w:szCs w:val="21"/>
                <w:highlight w:val="none"/>
              </w:rPr>
              <w:t>-</w:t>
            </w:r>
            <w:r>
              <w:rPr>
                <w:rFonts w:hint="eastAsia" w:ascii="Times New Roman" w:hAnsi="Times New Roman" w:cs="Times New Roman" w:eastAsiaTheme="minorEastAsia"/>
                <w:b/>
                <w:snapToGrid w:val="0"/>
                <w:kern w:val="0"/>
                <w:sz w:val="21"/>
                <w:szCs w:val="21"/>
                <w:highlight w:val="none"/>
                <w:lang w:val="en-US" w:eastAsia="zh-CN"/>
              </w:rPr>
              <w:t>2</w:t>
            </w:r>
            <w:r>
              <w:rPr>
                <w:rFonts w:hint="default" w:ascii="Times New Roman" w:hAnsi="Times New Roman" w:cs="Times New Roman" w:eastAsiaTheme="minorEastAsia"/>
                <w:b/>
                <w:snapToGrid w:val="0"/>
                <w:kern w:val="0"/>
                <w:sz w:val="21"/>
                <w:szCs w:val="21"/>
                <w:highlight w:val="none"/>
              </w:rPr>
              <w:t xml:space="preserve">  项目主要设备一览表</w:t>
            </w:r>
          </w:p>
          <w:tbl>
            <w:tblPr>
              <w:tblStyle w:val="11"/>
              <w:tblW w:w="88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353"/>
              <w:gridCol w:w="4145"/>
              <w:gridCol w:w="835"/>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63"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序号</w:t>
                  </w:r>
                </w:p>
              </w:tc>
              <w:tc>
                <w:tcPr>
                  <w:tcW w:w="2353"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设备名称</w:t>
                  </w:r>
                </w:p>
              </w:tc>
              <w:tc>
                <w:tcPr>
                  <w:tcW w:w="4145"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规格及型号</w:t>
                  </w:r>
                </w:p>
              </w:tc>
              <w:tc>
                <w:tcPr>
                  <w:tcW w:w="835"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单位</w:t>
                  </w:r>
                </w:p>
              </w:tc>
              <w:tc>
                <w:tcPr>
                  <w:tcW w:w="764"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exact"/>
                <w:jc w:val="center"/>
              </w:trPr>
              <w:tc>
                <w:tcPr>
                  <w:tcW w:w="763" w:type="dxa"/>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w:t>
                  </w:r>
                </w:p>
              </w:tc>
              <w:tc>
                <w:tcPr>
                  <w:tcW w:w="2353" w:type="dxa"/>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加油机</w:t>
                  </w:r>
                </w:p>
              </w:tc>
              <w:tc>
                <w:tcPr>
                  <w:tcW w:w="4145"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双枪柴油加油机</w:t>
                  </w:r>
                </w:p>
              </w:tc>
              <w:tc>
                <w:tcPr>
                  <w:tcW w:w="835"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台</w:t>
                  </w:r>
                </w:p>
              </w:tc>
              <w:tc>
                <w:tcPr>
                  <w:tcW w:w="764"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exact"/>
                <w:jc w:val="center"/>
              </w:trPr>
              <w:tc>
                <w:tcPr>
                  <w:tcW w:w="763"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p>
              </w:tc>
              <w:tc>
                <w:tcPr>
                  <w:tcW w:w="2353"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p>
              </w:tc>
              <w:tc>
                <w:tcPr>
                  <w:tcW w:w="4145"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四枪汽油加油机</w:t>
                  </w:r>
                </w:p>
              </w:tc>
              <w:tc>
                <w:tcPr>
                  <w:tcW w:w="835"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台</w:t>
                  </w:r>
                </w:p>
              </w:tc>
              <w:tc>
                <w:tcPr>
                  <w:tcW w:w="764"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63"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w:t>
                  </w:r>
                </w:p>
              </w:tc>
              <w:tc>
                <w:tcPr>
                  <w:tcW w:w="2353"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柴油储罐</w:t>
                  </w:r>
                </w:p>
              </w:tc>
              <w:tc>
                <w:tcPr>
                  <w:tcW w:w="4145"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50m</w:t>
                  </w:r>
                  <w:r>
                    <w:rPr>
                      <w:rFonts w:hint="default" w:ascii="Times New Roman" w:hAnsi="Times New Roman" w:cs="Times New Roman" w:eastAsiaTheme="minorEastAsia"/>
                      <w:sz w:val="21"/>
                      <w:szCs w:val="21"/>
                      <w:highlight w:val="none"/>
                      <w:vertAlign w:val="superscript"/>
                    </w:rPr>
                    <w:t>3</w:t>
                  </w:r>
                  <w:r>
                    <w:rPr>
                      <w:rFonts w:hint="default" w:ascii="Times New Roman" w:hAnsi="Times New Roman" w:cs="Times New Roman" w:eastAsiaTheme="minorEastAsia"/>
                      <w:sz w:val="21"/>
                      <w:szCs w:val="21"/>
                      <w:highlight w:val="none"/>
                    </w:rPr>
                    <w:t>地埋式SF双层油罐</w:t>
                  </w:r>
                </w:p>
              </w:tc>
              <w:tc>
                <w:tcPr>
                  <w:tcW w:w="835"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个</w:t>
                  </w:r>
                </w:p>
              </w:tc>
              <w:tc>
                <w:tcPr>
                  <w:tcW w:w="764"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6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3</w:t>
                  </w:r>
                </w:p>
              </w:tc>
              <w:tc>
                <w:tcPr>
                  <w:tcW w:w="2353"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汽油储罐</w:t>
                  </w:r>
                </w:p>
              </w:tc>
              <w:tc>
                <w:tcPr>
                  <w:tcW w:w="4145"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50m</w:t>
                  </w:r>
                  <w:r>
                    <w:rPr>
                      <w:rFonts w:hint="default" w:ascii="Times New Roman" w:hAnsi="Times New Roman" w:cs="Times New Roman" w:eastAsiaTheme="minorEastAsia"/>
                      <w:sz w:val="21"/>
                      <w:szCs w:val="21"/>
                      <w:highlight w:val="none"/>
                      <w:vertAlign w:val="superscript"/>
                    </w:rPr>
                    <w:t>3</w:t>
                  </w:r>
                  <w:r>
                    <w:rPr>
                      <w:rFonts w:hint="default" w:ascii="Times New Roman" w:hAnsi="Times New Roman" w:cs="Times New Roman" w:eastAsiaTheme="minorEastAsia"/>
                      <w:sz w:val="21"/>
                      <w:szCs w:val="21"/>
                      <w:highlight w:val="none"/>
                    </w:rPr>
                    <w:t>地埋式SF双层油罐</w:t>
                  </w:r>
                </w:p>
              </w:tc>
              <w:tc>
                <w:tcPr>
                  <w:tcW w:w="835"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个</w:t>
                  </w:r>
                </w:p>
              </w:tc>
              <w:tc>
                <w:tcPr>
                  <w:tcW w:w="764" w:type="dxa"/>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6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4</w:t>
                  </w:r>
                </w:p>
              </w:tc>
              <w:tc>
                <w:tcPr>
                  <w:tcW w:w="235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消防沙箱</w:t>
                  </w:r>
                </w:p>
              </w:tc>
              <w:tc>
                <w:tcPr>
                  <w:tcW w:w="414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r>
                    <w:rPr>
                      <w:rFonts w:hint="default" w:ascii="Times New Roman" w:hAnsi="Times New Roman" w:cs="Times New Roman" w:eastAsiaTheme="minorEastAsia"/>
                      <w:sz w:val="21"/>
                      <w:szCs w:val="21"/>
                      <w:highlight w:val="none"/>
                    </w:rPr>
                    <w:cr/>
                  </w:r>
                </w:p>
              </w:tc>
              <w:tc>
                <w:tcPr>
                  <w:tcW w:w="83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座</w:t>
                  </w:r>
                </w:p>
              </w:tc>
              <w:tc>
                <w:tcPr>
                  <w:tcW w:w="76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6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5</w:t>
                  </w:r>
                </w:p>
              </w:tc>
              <w:tc>
                <w:tcPr>
                  <w:tcW w:w="235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消防器材</w:t>
                  </w:r>
                </w:p>
              </w:tc>
              <w:tc>
                <w:tcPr>
                  <w:tcW w:w="414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p>
              </w:tc>
              <w:tc>
                <w:tcPr>
                  <w:tcW w:w="83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处</w:t>
                  </w:r>
                </w:p>
              </w:tc>
              <w:tc>
                <w:tcPr>
                  <w:tcW w:w="76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6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6</w:t>
                  </w:r>
                </w:p>
              </w:tc>
              <w:tc>
                <w:tcPr>
                  <w:tcW w:w="235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高液位报警装置</w:t>
                  </w:r>
                </w:p>
              </w:tc>
              <w:tc>
                <w:tcPr>
                  <w:tcW w:w="414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p>
              </w:tc>
              <w:tc>
                <w:tcPr>
                  <w:tcW w:w="83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套</w:t>
                  </w:r>
                </w:p>
              </w:tc>
              <w:tc>
                <w:tcPr>
                  <w:tcW w:w="76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6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7</w:t>
                  </w:r>
                </w:p>
              </w:tc>
              <w:tc>
                <w:tcPr>
                  <w:tcW w:w="235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防漏监测仪</w:t>
                  </w:r>
                </w:p>
              </w:tc>
              <w:tc>
                <w:tcPr>
                  <w:tcW w:w="414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p>
              </w:tc>
              <w:tc>
                <w:tcPr>
                  <w:tcW w:w="83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套</w:t>
                  </w:r>
                </w:p>
              </w:tc>
              <w:tc>
                <w:tcPr>
                  <w:tcW w:w="76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6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8</w:t>
                  </w:r>
                </w:p>
              </w:tc>
              <w:tc>
                <w:tcPr>
                  <w:tcW w:w="235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潜油泵</w:t>
                  </w:r>
                </w:p>
              </w:tc>
              <w:tc>
                <w:tcPr>
                  <w:tcW w:w="414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1.0HP</w:t>
                  </w:r>
                </w:p>
              </w:tc>
              <w:tc>
                <w:tcPr>
                  <w:tcW w:w="83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台</w:t>
                  </w:r>
                </w:p>
              </w:tc>
              <w:tc>
                <w:tcPr>
                  <w:tcW w:w="76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6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9</w:t>
                  </w:r>
                </w:p>
              </w:tc>
              <w:tc>
                <w:tcPr>
                  <w:tcW w:w="235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空调</w:t>
                  </w:r>
                </w:p>
              </w:tc>
              <w:tc>
                <w:tcPr>
                  <w:tcW w:w="414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p>
              </w:tc>
              <w:tc>
                <w:tcPr>
                  <w:tcW w:w="83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台</w:t>
                  </w:r>
                </w:p>
              </w:tc>
              <w:tc>
                <w:tcPr>
                  <w:tcW w:w="76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3</w:t>
                  </w:r>
                </w:p>
              </w:tc>
            </w:tr>
          </w:tbl>
          <w:p>
            <w:pPr>
              <w:keepNext w:val="0"/>
              <w:keepLines w:val="0"/>
              <w:pageBreakBefore w:val="0"/>
              <w:widowControl w:val="0"/>
              <w:kinsoku/>
              <w:wordWrap/>
              <w:overflowPunct/>
              <w:topLinePunct w:val="0"/>
              <w:autoSpaceDE/>
              <w:autoSpaceDN/>
              <w:bidi w:val="0"/>
              <w:adjustRightInd/>
              <w:snapToGrid/>
              <w:spacing w:before="469" w:beforeLines="100" w:line="360" w:lineRule="auto"/>
              <w:textAlignment w:val="auto"/>
              <w:rPr>
                <w:rFonts w:hint="default" w:ascii="Times New Roman" w:hAnsi="Times New Roman" w:cs="Times New Roman" w:eastAsiaTheme="minorEastAsia"/>
                <w:b/>
                <w:sz w:val="24"/>
                <w:highlight w:val="none"/>
              </w:rPr>
            </w:pPr>
            <w:r>
              <w:rPr>
                <w:rFonts w:hint="eastAsia" w:cs="Times New Roman" w:eastAsiaTheme="minorEastAsia"/>
                <w:b/>
                <w:sz w:val="24"/>
                <w:highlight w:val="none"/>
                <w:lang w:eastAsia="zh-CN"/>
              </w:rPr>
              <w:t>四</w:t>
            </w:r>
            <w:r>
              <w:rPr>
                <w:rFonts w:hint="eastAsia" w:ascii="Times New Roman" w:hAnsi="Times New Roman" w:cs="Times New Roman" w:eastAsiaTheme="minorEastAsia"/>
                <w:b/>
                <w:sz w:val="24"/>
                <w:highlight w:val="none"/>
                <w:lang w:eastAsia="zh-CN"/>
              </w:rPr>
              <w:t>、</w:t>
            </w:r>
            <w:r>
              <w:rPr>
                <w:rFonts w:hint="default" w:ascii="Times New Roman" w:hAnsi="Times New Roman" w:cs="Times New Roman" w:eastAsiaTheme="minorEastAsia"/>
                <w:b/>
                <w:sz w:val="24"/>
                <w:highlight w:val="none"/>
              </w:rPr>
              <w:t>主要原辅材料及燃料</w:t>
            </w:r>
          </w:p>
          <w:p>
            <w:pPr>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rPr>
            </w:pPr>
            <w:r>
              <w:rPr>
                <w:rFonts w:hint="default" w:ascii="Times New Roman" w:hAnsi="Times New Roman" w:cs="Times New Roman" w:eastAsiaTheme="minorEastAsia"/>
                <w:snapToGrid w:val="0"/>
                <w:kern w:val="0"/>
                <w:sz w:val="24"/>
                <w:szCs w:val="24"/>
                <w:highlight w:val="none"/>
              </w:rPr>
              <w:t>项目主要原辅材料用量见表</w:t>
            </w:r>
            <w:r>
              <w:rPr>
                <w:rFonts w:hint="eastAsia" w:cs="Times New Roman" w:eastAsiaTheme="minorEastAsia"/>
                <w:snapToGrid w:val="0"/>
                <w:kern w:val="0"/>
                <w:sz w:val="24"/>
                <w:szCs w:val="24"/>
                <w:highlight w:val="none"/>
                <w:lang w:val="en-US" w:eastAsia="zh-CN"/>
              </w:rPr>
              <w:t>2-</w:t>
            </w:r>
            <w:r>
              <w:rPr>
                <w:rFonts w:hint="default" w:ascii="Times New Roman" w:hAnsi="Times New Roman" w:cs="Times New Roman" w:eastAsiaTheme="minorEastAsia"/>
                <w:snapToGrid w:val="0"/>
                <w:kern w:val="0"/>
                <w:sz w:val="24"/>
                <w:szCs w:val="24"/>
                <w:highlight w:val="none"/>
              </w:rPr>
              <w:t>3。</w:t>
            </w:r>
          </w:p>
          <w:p>
            <w:pPr>
              <w:tabs>
                <w:tab w:val="left" w:pos="2130"/>
              </w:tabs>
              <w:snapToGrid w:val="0"/>
              <w:jc w:val="center"/>
              <w:rPr>
                <w:rFonts w:hint="default" w:ascii="Times New Roman" w:hAnsi="Times New Roman" w:cs="Times New Roman" w:eastAsiaTheme="minorEastAsia"/>
                <w:b/>
                <w:snapToGrid w:val="0"/>
                <w:kern w:val="0"/>
                <w:sz w:val="21"/>
                <w:szCs w:val="21"/>
                <w:highlight w:val="none"/>
              </w:rPr>
            </w:pPr>
            <w:r>
              <w:rPr>
                <w:rFonts w:hint="default" w:ascii="Times New Roman" w:hAnsi="Times New Roman" w:cs="Times New Roman" w:eastAsiaTheme="minorEastAsia"/>
                <w:b/>
                <w:snapToGrid w:val="0"/>
                <w:kern w:val="0"/>
                <w:sz w:val="21"/>
                <w:szCs w:val="21"/>
                <w:highlight w:val="none"/>
              </w:rPr>
              <w:t>表</w:t>
            </w:r>
            <w:r>
              <w:rPr>
                <w:rFonts w:hint="eastAsia" w:ascii="Times New Roman" w:hAnsi="Times New Roman" w:cs="Times New Roman" w:eastAsiaTheme="minorEastAsia"/>
                <w:b/>
                <w:snapToGrid w:val="0"/>
                <w:kern w:val="0"/>
                <w:sz w:val="21"/>
                <w:szCs w:val="21"/>
                <w:highlight w:val="none"/>
                <w:lang w:val="en-US" w:eastAsia="zh-CN"/>
              </w:rPr>
              <w:t>2</w:t>
            </w:r>
            <w:r>
              <w:rPr>
                <w:rFonts w:hint="default" w:ascii="Times New Roman" w:hAnsi="Times New Roman" w:cs="Times New Roman" w:eastAsiaTheme="minorEastAsia"/>
                <w:b/>
                <w:snapToGrid w:val="0"/>
                <w:kern w:val="0"/>
                <w:sz w:val="21"/>
                <w:szCs w:val="21"/>
                <w:highlight w:val="none"/>
              </w:rPr>
              <w:t>-</w:t>
            </w:r>
            <w:r>
              <w:rPr>
                <w:rFonts w:hint="eastAsia" w:ascii="Times New Roman" w:hAnsi="Times New Roman" w:cs="Times New Roman" w:eastAsiaTheme="minorEastAsia"/>
                <w:b/>
                <w:snapToGrid w:val="0"/>
                <w:kern w:val="0"/>
                <w:sz w:val="21"/>
                <w:szCs w:val="21"/>
                <w:highlight w:val="none"/>
                <w:lang w:val="en-US" w:eastAsia="zh-CN"/>
              </w:rPr>
              <w:t>3</w:t>
            </w:r>
            <w:r>
              <w:rPr>
                <w:rFonts w:hint="default" w:ascii="Times New Roman" w:hAnsi="Times New Roman" w:cs="Times New Roman" w:eastAsiaTheme="minorEastAsia"/>
                <w:b/>
                <w:snapToGrid w:val="0"/>
                <w:kern w:val="0"/>
                <w:sz w:val="21"/>
                <w:szCs w:val="21"/>
                <w:highlight w:val="none"/>
              </w:rPr>
              <w:t xml:space="preserve"> 项目油品销售情况一览表</w:t>
            </w:r>
          </w:p>
          <w:tbl>
            <w:tblPr>
              <w:tblStyle w:val="11"/>
              <w:tblW w:w="88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350"/>
              <w:gridCol w:w="1734"/>
              <w:gridCol w:w="1785"/>
              <w:gridCol w:w="2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9" w:type="dxa"/>
                  <w:tcBorders>
                    <w:tl2br w:val="nil"/>
                    <w:tr2bl w:val="nil"/>
                  </w:tcBorders>
                  <w:noWrap w:val="0"/>
                  <w:vAlign w:val="center"/>
                </w:tcPr>
                <w:p>
                  <w:pPr>
                    <w:adjustRightInd w:val="0"/>
                    <w:snapToGrid w:val="0"/>
                    <w:jc w:val="center"/>
                    <w:rPr>
                      <w:rFonts w:hint="eastAsia" w:ascii="Times New Roman" w:hAnsi="Times New Roman" w:cs="Times New Roman" w:eastAsiaTheme="minorEastAsia"/>
                      <w:b/>
                      <w:bCs/>
                      <w:sz w:val="21"/>
                      <w:szCs w:val="21"/>
                      <w:highlight w:val="none"/>
                      <w:lang w:val="en-US" w:eastAsia="zh-CN"/>
                    </w:rPr>
                  </w:pPr>
                  <w:r>
                    <w:rPr>
                      <w:rFonts w:hint="eastAsia" w:cs="Times New Roman" w:eastAsiaTheme="minorEastAsia"/>
                      <w:b/>
                      <w:bCs/>
                      <w:sz w:val="21"/>
                      <w:szCs w:val="21"/>
                      <w:highlight w:val="none"/>
                      <w:lang w:val="en-US" w:eastAsia="zh-CN"/>
                    </w:rPr>
                    <w:t>序号</w:t>
                  </w:r>
                </w:p>
              </w:tc>
              <w:tc>
                <w:tcPr>
                  <w:tcW w:w="1350" w:type="dxa"/>
                  <w:tcBorders>
                    <w:tl2br w:val="nil"/>
                    <w:tr2bl w:val="nil"/>
                  </w:tcBorders>
                  <w:noWrap w:val="0"/>
                  <w:vAlign w:val="center"/>
                </w:tcPr>
                <w:p>
                  <w:pPr>
                    <w:adjustRightInd w:val="0"/>
                    <w:snapToGrid w:val="0"/>
                    <w:jc w:val="center"/>
                    <w:rPr>
                      <w:rFonts w:hint="eastAsia" w:ascii="Times New Roman" w:hAnsi="Times New Roman" w:cs="Times New Roman" w:eastAsiaTheme="minorEastAsia"/>
                      <w:b/>
                      <w:bCs/>
                      <w:sz w:val="21"/>
                      <w:szCs w:val="21"/>
                      <w:highlight w:val="none"/>
                      <w:lang w:eastAsia="zh-CN"/>
                    </w:rPr>
                  </w:pPr>
                  <w:r>
                    <w:rPr>
                      <w:rFonts w:hint="default" w:ascii="Times New Roman" w:hAnsi="Times New Roman" w:cs="Times New Roman" w:eastAsiaTheme="minorEastAsia"/>
                      <w:b/>
                      <w:bCs/>
                      <w:sz w:val="21"/>
                      <w:szCs w:val="21"/>
                      <w:highlight w:val="none"/>
                    </w:rPr>
                    <w:t>产品</w:t>
                  </w:r>
                  <w:r>
                    <w:rPr>
                      <w:rFonts w:hint="eastAsia" w:cs="Times New Roman" w:eastAsiaTheme="minorEastAsia"/>
                      <w:b/>
                      <w:bCs/>
                      <w:sz w:val="21"/>
                      <w:szCs w:val="21"/>
                      <w:highlight w:val="none"/>
                      <w:lang w:eastAsia="zh-CN"/>
                    </w:rPr>
                    <w:t>名称</w:t>
                  </w:r>
                </w:p>
              </w:tc>
              <w:tc>
                <w:tcPr>
                  <w:tcW w:w="1734" w:type="dxa"/>
                  <w:tcBorders>
                    <w:tl2br w:val="nil"/>
                    <w:tr2bl w:val="nil"/>
                  </w:tcBorders>
                  <w:noWrap w:val="0"/>
                  <w:vAlign w:val="center"/>
                </w:tcPr>
                <w:p>
                  <w:pPr>
                    <w:adjustRightInd w:val="0"/>
                    <w:snapToGrid w:val="0"/>
                    <w:jc w:val="center"/>
                    <w:rPr>
                      <w:rFonts w:hint="eastAsia" w:ascii="Times New Roman" w:hAnsi="Times New Roman" w:cs="Times New Roman" w:eastAsiaTheme="minorEastAsia"/>
                      <w:b/>
                      <w:bCs/>
                      <w:sz w:val="21"/>
                      <w:szCs w:val="21"/>
                      <w:highlight w:val="none"/>
                      <w:lang w:eastAsia="zh-CN"/>
                    </w:rPr>
                  </w:pPr>
                  <w:r>
                    <w:rPr>
                      <w:rFonts w:hint="eastAsia" w:cs="Times New Roman" w:eastAsiaTheme="minorEastAsia"/>
                      <w:b/>
                      <w:bCs/>
                      <w:sz w:val="21"/>
                      <w:szCs w:val="21"/>
                      <w:highlight w:val="none"/>
                      <w:lang w:eastAsia="zh-CN"/>
                    </w:rPr>
                    <w:t>规格</w:t>
                  </w:r>
                </w:p>
              </w:tc>
              <w:tc>
                <w:tcPr>
                  <w:tcW w:w="178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年销售量(t</w:t>
                  </w:r>
                  <w:r>
                    <w:rPr>
                      <w:rFonts w:hint="eastAsia" w:cs="Times New Roman" w:eastAsiaTheme="minorEastAsia"/>
                      <w:b/>
                      <w:bCs/>
                      <w:sz w:val="21"/>
                      <w:szCs w:val="21"/>
                      <w:highlight w:val="none"/>
                      <w:lang w:val="en-US" w:eastAsia="zh-CN"/>
                    </w:rPr>
                    <w:t>/a</w:t>
                  </w:r>
                  <w:r>
                    <w:rPr>
                      <w:rFonts w:hint="default" w:ascii="Times New Roman" w:hAnsi="Times New Roman" w:cs="Times New Roman" w:eastAsiaTheme="minorEastAsia"/>
                      <w:b/>
                      <w:bCs/>
                      <w:sz w:val="21"/>
                      <w:szCs w:val="21"/>
                      <w:highlight w:val="none"/>
                    </w:rPr>
                    <w:t>)</w:t>
                  </w:r>
                </w:p>
              </w:tc>
              <w:tc>
                <w:tcPr>
                  <w:tcW w:w="2642"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b/>
                      <w:bCs/>
                      <w:sz w:val="21"/>
                      <w:szCs w:val="21"/>
                      <w:highlight w:val="none"/>
                      <w:lang w:val="en-US" w:eastAsia="zh-CN"/>
                    </w:rPr>
                  </w:pPr>
                  <w:r>
                    <w:rPr>
                      <w:rFonts w:hint="eastAsia" w:cs="Times New Roman" w:eastAsiaTheme="minorEastAsia"/>
                      <w:b/>
                      <w:bCs/>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9" w:type="dxa"/>
                  <w:tcBorders>
                    <w:tl2br w:val="nil"/>
                    <w:tr2bl w:val="nil"/>
                  </w:tcBorders>
                  <w:noWrap w:val="0"/>
                  <w:vAlign w:val="center"/>
                </w:tcPr>
                <w:p>
                  <w:pPr>
                    <w:adjustRightInd w:val="0"/>
                    <w:snapToGrid w:val="0"/>
                    <w:jc w:val="center"/>
                    <w:rPr>
                      <w:rFonts w:hint="eastAsia"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1</w:t>
                  </w:r>
                </w:p>
              </w:tc>
              <w:tc>
                <w:tcPr>
                  <w:tcW w:w="1350"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汽油</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rPr>
                  </w:pPr>
                  <w:r>
                    <w:rPr>
                      <w:rFonts w:hint="default" w:ascii="Times New Roman" w:hAnsi="Times New Roman" w:eastAsia="宋体" w:cs="Times New Roman"/>
                      <w:sz w:val="21"/>
                      <w:szCs w:val="21"/>
                      <w:highlight w:val="none"/>
                    </w:rPr>
                    <w:t>92#、95#</w:t>
                  </w:r>
                </w:p>
              </w:tc>
              <w:tc>
                <w:tcPr>
                  <w:tcW w:w="178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1000</w:t>
                  </w:r>
                </w:p>
              </w:tc>
              <w:tc>
                <w:tcPr>
                  <w:tcW w:w="2642" w:type="dxa"/>
                  <w:vMerge w:val="restart"/>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eastAsia="宋体" w:cs="Times New Roman"/>
                      <w:color w:val="000000"/>
                      <w:sz w:val="21"/>
                      <w:szCs w:val="21"/>
                      <w:highlight w:val="none"/>
                      <w:lang w:val="en-US" w:eastAsia="zh-CN"/>
                    </w:rPr>
                    <w:t>不同型号产品数量根据市场的需求进行调整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49" w:type="dxa"/>
                  <w:tcBorders>
                    <w:tl2br w:val="nil"/>
                    <w:tr2bl w:val="nil"/>
                  </w:tcBorders>
                  <w:noWrap w:val="0"/>
                  <w:vAlign w:val="center"/>
                </w:tcPr>
                <w:p>
                  <w:pPr>
                    <w:adjustRightInd w:val="0"/>
                    <w:snapToGrid w:val="0"/>
                    <w:jc w:val="center"/>
                    <w:rPr>
                      <w:rFonts w:hint="eastAsia"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2</w:t>
                  </w:r>
                </w:p>
              </w:tc>
              <w:tc>
                <w:tcPr>
                  <w:tcW w:w="1350"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柴油</w:t>
                  </w:r>
                </w:p>
              </w:tc>
              <w:tc>
                <w:tcPr>
                  <w:tcW w:w="1734"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rPr>
                  </w:pPr>
                  <w:r>
                    <w:rPr>
                      <w:rFonts w:hint="default" w:ascii="Times New Roman" w:hAnsi="Times New Roman" w:eastAsia="宋体" w:cs="Times New Roman"/>
                      <w:sz w:val="21"/>
                      <w:szCs w:val="21"/>
                      <w:highlight w:val="none"/>
                    </w:rPr>
                    <w:t>0#、-10#</w:t>
                  </w:r>
                </w:p>
              </w:tc>
              <w:tc>
                <w:tcPr>
                  <w:tcW w:w="178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2000</w:t>
                  </w:r>
                </w:p>
              </w:tc>
              <w:tc>
                <w:tcPr>
                  <w:tcW w:w="2642" w:type="dxa"/>
                  <w:vMerge w:val="continue"/>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before="469" w:beforeLines="100" w:line="360" w:lineRule="auto"/>
              <w:textAlignment w:val="auto"/>
              <w:rPr>
                <w:rFonts w:hint="default" w:ascii="Times New Roman" w:hAnsi="Times New Roman" w:cs="Times New Roman" w:eastAsiaTheme="minorEastAsia"/>
                <w:b/>
                <w:snapToGrid w:val="0"/>
                <w:kern w:val="0"/>
                <w:sz w:val="24"/>
                <w:highlight w:val="none"/>
              </w:rPr>
            </w:pPr>
            <w:r>
              <w:rPr>
                <w:rFonts w:hint="eastAsia" w:cs="Times New Roman" w:eastAsiaTheme="minorEastAsia"/>
                <w:b/>
                <w:snapToGrid w:val="0"/>
                <w:kern w:val="0"/>
                <w:sz w:val="24"/>
                <w:highlight w:val="none"/>
                <w:lang w:eastAsia="zh-CN"/>
              </w:rPr>
              <w:t>五</w:t>
            </w:r>
            <w:r>
              <w:rPr>
                <w:rFonts w:hint="eastAsia" w:ascii="Times New Roman" w:hAnsi="Times New Roman" w:cs="Times New Roman" w:eastAsiaTheme="minorEastAsia"/>
                <w:b/>
                <w:snapToGrid w:val="0"/>
                <w:kern w:val="0"/>
                <w:sz w:val="24"/>
                <w:highlight w:val="none"/>
                <w:lang w:eastAsia="zh-CN"/>
              </w:rPr>
              <w:t>、</w:t>
            </w:r>
            <w:r>
              <w:rPr>
                <w:rFonts w:hint="default" w:ascii="Times New Roman" w:hAnsi="Times New Roman" w:cs="Times New Roman" w:eastAsiaTheme="minorEastAsia"/>
                <w:b/>
                <w:snapToGrid w:val="0"/>
                <w:kern w:val="0"/>
                <w:sz w:val="24"/>
                <w:highlight w:val="none"/>
              </w:rPr>
              <w:t>平面布局</w:t>
            </w:r>
          </w:p>
          <w:p>
            <w:pPr>
              <w:adjustRightInd w:val="0"/>
              <w:snapToGrid w:val="0"/>
              <w:spacing w:line="360" w:lineRule="auto"/>
              <w:ind w:firstLine="480" w:firstLineChars="200"/>
              <w:rPr>
                <w:snapToGrid w:val="0"/>
                <w:kern w:val="0"/>
                <w:sz w:val="24"/>
                <w:highlight w:val="none"/>
              </w:rPr>
            </w:pPr>
            <w:r>
              <w:rPr>
                <w:snapToGrid w:val="0"/>
                <w:kern w:val="0"/>
                <w:sz w:val="24"/>
                <w:highlight w:val="none"/>
              </w:rPr>
              <w:t>根据总平面布置原则，将站房、加油区和油罐区分区设置，加油区布置在站区的东侧，加油区内布置有罩棚及6台加油机；站房布置在罩棚西侧；储油区布置在站区西侧，设置直埋地下50m</w:t>
            </w:r>
            <w:r>
              <w:rPr>
                <w:snapToGrid w:val="0"/>
                <w:kern w:val="0"/>
                <w:sz w:val="24"/>
                <w:highlight w:val="none"/>
                <w:vertAlign w:val="superscript"/>
              </w:rPr>
              <w:t>3</w:t>
            </w:r>
            <w:r>
              <w:rPr>
                <w:snapToGrid w:val="0"/>
                <w:kern w:val="0"/>
                <w:sz w:val="24"/>
                <w:highlight w:val="none"/>
              </w:rPr>
              <w:t>卧式SF双层罐5个，密闭卸油口布置在油罐区南侧。车辆入口和出口分开设置，场地采用混凝土硬化地面。整个站区的布局合理，分区明确。</w:t>
            </w:r>
          </w:p>
          <w:p>
            <w:pPr>
              <w:adjustRightInd w:val="0"/>
              <w:snapToGrid w:val="0"/>
              <w:spacing w:line="360" w:lineRule="auto"/>
              <w:ind w:firstLine="480" w:firstLineChars="200"/>
              <w:rPr>
                <w:snapToGrid w:val="0"/>
                <w:kern w:val="0"/>
                <w:sz w:val="24"/>
                <w:highlight w:val="none"/>
              </w:rPr>
            </w:pPr>
            <w:r>
              <w:rPr>
                <w:snapToGrid w:val="0"/>
                <w:kern w:val="0"/>
                <w:sz w:val="24"/>
                <w:highlight w:val="none"/>
              </w:rPr>
              <w:t>项目加油站位于华州服务区的出口处，便于服务区车辆行驶，防止堵车现象,布局合理。</w:t>
            </w:r>
          </w:p>
          <w:p>
            <w:pPr>
              <w:tabs>
                <w:tab w:val="left" w:pos="924"/>
              </w:tabs>
              <w:adjustRightInd w:val="0"/>
              <w:snapToGrid w:val="0"/>
              <w:spacing w:line="360" w:lineRule="auto"/>
              <w:ind w:firstLine="480" w:firstLineChars="200"/>
              <w:rPr>
                <w:b/>
                <w:bCs/>
                <w:snapToGrid w:val="0"/>
                <w:color w:val="000000"/>
                <w:kern w:val="0"/>
                <w:sz w:val="24"/>
                <w:szCs w:val="24"/>
                <w:highlight w:val="none"/>
              </w:rPr>
            </w:pPr>
            <w:r>
              <w:rPr>
                <w:snapToGrid w:val="0"/>
                <w:kern w:val="0"/>
                <w:sz w:val="24"/>
                <w:szCs w:val="24"/>
                <w:highlight w:val="none"/>
              </w:rPr>
              <w:t>项目站内工艺设施之间的安全防火距离与《汽车加油加气站设计与施工规范》（GB50156-2012，2014年修订版）的符合性分析见表</w:t>
            </w:r>
            <w:r>
              <w:rPr>
                <w:rFonts w:hint="eastAsia"/>
                <w:snapToGrid w:val="0"/>
                <w:kern w:val="0"/>
                <w:sz w:val="24"/>
                <w:szCs w:val="24"/>
                <w:highlight w:val="none"/>
                <w:lang w:val="en-US" w:eastAsia="zh-CN"/>
              </w:rPr>
              <w:t>2</w:t>
            </w:r>
            <w:r>
              <w:rPr>
                <w:snapToGrid w:val="0"/>
                <w:kern w:val="0"/>
                <w:sz w:val="24"/>
                <w:szCs w:val="24"/>
                <w:highlight w:val="none"/>
              </w:rPr>
              <w:t>-</w:t>
            </w:r>
            <w:r>
              <w:rPr>
                <w:rFonts w:hint="eastAsia"/>
                <w:snapToGrid w:val="0"/>
                <w:kern w:val="0"/>
                <w:sz w:val="24"/>
                <w:szCs w:val="24"/>
                <w:highlight w:val="none"/>
                <w:lang w:val="en-US" w:eastAsia="zh-CN"/>
              </w:rPr>
              <w:t>4</w:t>
            </w:r>
            <w:r>
              <w:rPr>
                <w:snapToGrid w:val="0"/>
                <w:kern w:val="0"/>
                <w:sz w:val="24"/>
                <w:szCs w:val="24"/>
                <w:highlight w:val="none"/>
              </w:rPr>
              <w:t>（括号内数据为柴油设备与站内建筑物的防火距离，-表示无防火间距要求）。</w:t>
            </w:r>
          </w:p>
          <w:p>
            <w:pPr>
              <w:pStyle w:val="9"/>
              <w:spacing w:after="0"/>
              <w:ind w:firstLine="0" w:firstLineChars="0"/>
              <w:jc w:val="center"/>
              <w:rPr>
                <w:rFonts w:hint="default" w:ascii="Times New Roman" w:hAnsi="Times New Roman" w:cs="Times New Roman" w:eastAsiaTheme="minorEastAsia"/>
                <w:b/>
                <w:bCs/>
                <w:snapToGrid w:val="0"/>
                <w:kern w:val="0"/>
                <w:sz w:val="21"/>
                <w:szCs w:val="21"/>
                <w:highlight w:val="none"/>
              </w:rPr>
            </w:pPr>
            <w:r>
              <w:rPr>
                <w:rFonts w:hint="default" w:ascii="Times New Roman" w:hAnsi="Times New Roman" w:cs="Times New Roman" w:eastAsiaTheme="minorEastAsia"/>
                <w:b/>
                <w:bCs/>
                <w:snapToGrid w:val="0"/>
                <w:kern w:val="0"/>
                <w:sz w:val="21"/>
                <w:szCs w:val="21"/>
                <w:highlight w:val="none"/>
              </w:rPr>
              <w:t>表</w:t>
            </w:r>
            <w:r>
              <w:rPr>
                <w:rFonts w:hint="eastAsia" w:ascii="Times New Roman" w:hAnsi="Times New Roman" w:cs="Times New Roman" w:eastAsiaTheme="minorEastAsia"/>
                <w:b/>
                <w:bCs/>
                <w:snapToGrid w:val="0"/>
                <w:kern w:val="0"/>
                <w:sz w:val="21"/>
                <w:szCs w:val="21"/>
                <w:highlight w:val="none"/>
                <w:lang w:val="en-US" w:eastAsia="zh-CN"/>
              </w:rPr>
              <w:t>2</w:t>
            </w:r>
            <w:r>
              <w:rPr>
                <w:rFonts w:hint="default" w:ascii="Times New Roman" w:hAnsi="Times New Roman" w:cs="Times New Roman" w:eastAsiaTheme="minorEastAsia"/>
                <w:b/>
                <w:bCs/>
                <w:snapToGrid w:val="0"/>
                <w:kern w:val="0"/>
                <w:sz w:val="21"/>
                <w:szCs w:val="21"/>
                <w:highlight w:val="none"/>
              </w:rPr>
              <w:t>-</w:t>
            </w:r>
            <w:r>
              <w:rPr>
                <w:rFonts w:hint="eastAsia" w:ascii="Times New Roman" w:hAnsi="Times New Roman" w:cs="Times New Roman" w:eastAsiaTheme="minorEastAsia"/>
                <w:b/>
                <w:bCs/>
                <w:snapToGrid w:val="0"/>
                <w:kern w:val="0"/>
                <w:sz w:val="21"/>
                <w:szCs w:val="21"/>
                <w:highlight w:val="none"/>
                <w:lang w:val="en-US" w:eastAsia="zh-CN"/>
              </w:rPr>
              <w:t>4</w:t>
            </w:r>
            <w:r>
              <w:rPr>
                <w:rFonts w:hint="default" w:ascii="Times New Roman" w:hAnsi="Times New Roman" w:cs="Times New Roman" w:eastAsiaTheme="minorEastAsia"/>
                <w:b/>
                <w:bCs/>
                <w:snapToGrid w:val="0"/>
                <w:kern w:val="0"/>
                <w:sz w:val="21"/>
                <w:szCs w:val="21"/>
                <w:highlight w:val="none"/>
              </w:rPr>
              <w:t xml:space="preserve">  站内工艺设施之间的防火距离（m）</w:t>
            </w:r>
          </w:p>
          <w:tbl>
            <w:tblPr>
              <w:tblStyle w:val="11"/>
              <w:tblW w:w="8858" w:type="dxa"/>
              <w:jc w:val="center"/>
              <w:tblInd w:w="0" w:type="dxa"/>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48"/>
              <w:gridCol w:w="693"/>
              <w:gridCol w:w="692"/>
              <w:gridCol w:w="1247"/>
              <w:gridCol w:w="1244"/>
              <w:gridCol w:w="969"/>
              <w:gridCol w:w="1246"/>
              <w:gridCol w:w="1189"/>
              <w:gridCol w:w="830"/>
            </w:tblGrid>
            <w:tr>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1" w:type="dxa"/>
                  <w:gridSpan w:val="2"/>
                  <w:tcBorders>
                    <w:tl2br w:val="nil"/>
                    <w:tr2bl w:val="nil"/>
                  </w:tcBorders>
                  <w:noWrap w:val="0"/>
                  <w:vAlign w:val="center"/>
                </w:tcPr>
                <w:p>
                  <w:pPr>
                    <w:adjustRightInd w:val="0"/>
                    <w:snapToGrid w:val="0"/>
                    <w:jc w:val="center"/>
                    <w:rPr>
                      <w:rFonts w:hint="default" w:ascii="Times New Roman" w:hAnsi="Times New Roman" w:cs="Times New Roman" w:eastAsiaTheme="minorEastAsia"/>
                      <w:b/>
                      <w:bCs w:val="0"/>
                      <w:snapToGrid w:val="0"/>
                      <w:kern w:val="0"/>
                      <w:sz w:val="21"/>
                      <w:szCs w:val="21"/>
                      <w:highlight w:val="none"/>
                    </w:rPr>
                  </w:pPr>
                  <w:r>
                    <w:rPr>
                      <w:rFonts w:hint="default" w:ascii="Times New Roman" w:hAnsi="Times New Roman" w:cs="Times New Roman" w:eastAsiaTheme="minorEastAsia"/>
                      <w:b/>
                      <w:bCs w:val="0"/>
                      <w:snapToGrid w:val="0"/>
                      <w:kern w:val="0"/>
                      <w:sz w:val="21"/>
                      <w:szCs w:val="21"/>
                      <w:highlight w:val="none"/>
                    </w:rPr>
                    <w:t>类别</w:t>
                  </w:r>
                </w:p>
                <w:p>
                  <w:pPr>
                    <w:adjustRightInd w:val="0"/>
                    <w:snapToGrid w:val="0"/>
                    <w:jc w:val="center"/>
                    <w:rPr>
                      <w:rFonts w:hint="default" w:ascii="Times New Roman" w:hAnsi="Times New Roman" w:cs="Times New Roman" w:eastAsiaTheme="minorEastAsia"/>
                      <w:b/>
                      <w:bCs w:val="0"/>
                      <w:snapToGrid w:val="0"/>
                      <w:kern w:val="0"/>
                      <w:sz w:val="21"/>
                      <w:szCs w:val="21"/>
                      <w:highlight w:val="none"/>
                    </w:rPr>
                  </w:pPr>
                  <w:r>
                    <w:rPr>
                      <w:rFonts w:hint="default" w:ascii="Times New Roman" w:hAnsi="Times New Roman" w:cs="Times New Roman" w:eastAsiaTheme="minorEastAsia"/>
                      <w:b/>
                      <w:bCs w:val="0"/>
                      <w:snapToGrid w:val="0"/>
                      <w:kern w:val="0"/>
                      <w:sz w:val="21"/>
                      <w:szCs w:val="21"/>
                      <w:highlight w:val="none"/>
                    </w:rPr>
                    <w:t>类别</w:t>
                  </w:r>
                </w:p>
              </w:tc>
              <w:tc>
                <w:tcPr>
                  <w:tcW w:w="692"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b/>
                      <w:bCs w:val="0"/>
                      <w:snapToGrid w:val="0"/>
                      <w:kern w:val="0"/>
                      <w:sz w:val="21"/>
                      <w:szCs w:val="21"/>
                      <w:highlight w:val="none"/>
                    </w:rPr>
                  </w:pPr>
                  <w:r>
                    <w:rPr>
                      <w:rFonts w:hint="default" w:ascii="Times New Roman" w:hAnsi="Times New Roman" w:cs="Times New Roman" w:eastAsiaTheme="minorEastAsia"/>
                      <w:b/>
                      <w:bCs w:val="0"/>
                      <w:snapToGrid w:val="0"/>
                      <w:kern w:val="0"/>
                      <w:sz w:val="21"/>
                      <w:szCs w:val="21"/>
                      <w:highlight w:val="none"/>
                    </w:rPr>
                    <w:t>埋地油罐</w:t>
                  </w:r>
                </w:p>
              </w:tc>
              <w:tc>
                <w:tcPr>
                  <w:tcW w:w="1247" w:type="dxa"/>
                  <w:tcBorders>
                    <w:tl2br w:val="nil"/>
                    <w:tr2bl w:val="nil"/>
                  </w:tcBorders>
                  <w:noWrap w:val="0"/>
                  <w:vAlign w:val="center"/>
                </w:tcPr>
                <w:p>
                  <w:pPr>
                    <w:widowControl/>
                    <w:adjustRightInd w:val="0"/>
                    <w:snapToGrid w:val="0"/>
                    <w:jc w:val="center"/>
                    <w:rPr>
                      <w:rFonts w:hint="default" w:ascii="Times New Roman" w:hAnsi="Times New Roman" w:cs="Times New Roman" w:eastAsiaTheme="minorEastAsia"/>
                      <w:b/>
                      <w:bCs w:val="0"/>
                      <w:snapToGrid w:val="0"/>
                      <w:kern w:val="0"/>
                      <w:sz w:val="21"/>
                      <w:szCs w:val="21"/>
                      <w:highlight w:val="none"/>
                    </w:rPr>
                  </w:pPr>
                  <w:r>
                    <w:rPr>
                      <w:rFonts w:hint="default" w:ascii="Times New Roman" w:hAnsi="Times New Roman" w:cs="Times New Roman" w:eastAsiaTheme="minorEastAsia"/>
                      <w:b/>
                      <w:bCs w:val="0"/>
                      <w:snapToGrid w:val="0"/>
                      <w:kern w:val="0"/>
                      <w:sz w:val="21"/>
                      <w:szCs w:val="21"/>
                      <w:highlight w:val="none"/>
                    </w:rPr>
                    <w:t>通气管口</w:t>
                  </w:r>
                </w:p>
              </w:tc>
              <w:tc>
                <w:tcPr>
                  <w:tcW w:w="124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b/>
                      <w:bCs w:val="0"/>
                      <w:snapToGrid w:val="0"/>
                      <w:kern w:val="0"/>
                      <w:sz w:val="21"/>
                      <w:szCs w:val="21"/>
                      <w:highlight w:val="none"/>
                    </w:rPr>
                  </w:pPr>
                  <w:r>
                    <w:rPr>
                      <w:rFonts w:hint="default" w:ascii="Times New Roman" w:hAnsi="Times New Roman" w:cs="Times New Roman" w:eastAsiaTheme="minorEastAsia"/>
                      <w:b/>
                      <w:bCs w:val="0"/>
                      <w:snapToGrid w:val="0"/>
                      <w:kern w:val="0"/>
                      <w:sz w:val="21"/>
                      <w:szCs w:val="21"/>
                      <w:highlight w:val="none"/>
                    </w:rPr>
                    <w:t>卸油口</w:t>
                  </w:r>
                </w:p>
              </w:tc>
              <w:tc>
                <w:tcPr>
                  <w:tcW w:w="96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b/>
                      <w:bCs w:val="0"/>
                      <w:snapToGrid w:val="0"/>
                      <w:kern w:val="0"/>
                      <w:sz w:val="21"/>
                      <w:szCs w:val="21"/>
                      <w:highlight w:val="none"/>
                    </w:rPr>
                  </w:pPr>
                  <w:r>
                    <w:rPr>
                      <w:rFonts w:hint="default" w:ascii="Times New Roman" w:hAnsi="Times New Roman" w:cs="Times New Roman" w:eastAsiaTheme="minorEastAsia"/>
                      <w:b/>
                      <w:bCs w:val="0"/>
                      <w:snapToGrid w:val="0"/>
                      <w:kern w:val="0"/>
                      <w:sz w:val="21"/>
                      <w:szCs w:val="21"/>
                      <w:highlight w:val="none"/>
                    </w:rPr>
                    <w:t>站房</w:t>
                  </w:r>
                </w:p>
              </w:tc>
              <w:tc>
                <w:tcPr>
                  <w:tcW w:w="1246"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b/>
                      <w:bCs w:val="0"/>
                      <w:snapToGrid w:val="0"/>
                      <w:kern w:val="0"/>
                      <w:sz w:val="21"/>
                      <w:szCs w:val="21"/>
                      <w:highlight w:val="none"/>
                    </w:rPr>
                  </w:pPr>
                  <w:r>
                    <w:rPr>
                      <w:rFonts w:hint="default" w:ascii="Times New Roman" w:hAnsi="Times New Roman" w:cs="Times New Roman" w:eastAsiaTheme="minorEastAsia"/>
                      <w:b/>
                      <w:bCs w:val="0"/>
                      <w:snapToGrid w:val="0"/>
                      <w:kern w:val="0"/>
                      <w:sz w:val="21"/>
                      <w:szCs w:val="21"/>
                      <w:highlight w:val="none"/>
                    </w:rPr>
                    <w:t>配电间</w:t>
                  </w:r>
                </w:p>
              </w:tc>
              <w:tc>
                <w:tcPr>
                  <w:tcW w:w="118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b/>
                      <w:bCs w:val="0"/>
                      <w:snapToGrid w:val="0"/>
                      <w:kern w:val="0"/>
                      <w:sz w:val="21"/>
                      <w:szCs w:val="21"/>
                      <w:highlight w:val="none"/>
                    </w:rPr>
                  </w:pPr>
                  <w:r>
                    <w:rPr>
                      <w:rFonts w:hint="default" w:ascii="Times New Roman" w:hAnsi="Times New Roman" w:cs="Times New Roman" w:eastAsiaTheme="minorEastAsia"/>
                      <w:b/>
                      <w:bCs w:val="0"/>
                      <w:snapToGrid w:val="0"/>
                      <w:kern w:val="0"/>
                      <w:sz w:val="21"/>
                      <w:szCs w:val="21"/>
                      <w:highlight w:val="none"/>
                    </w:rPr>
                    <w:t>围墙</w:t>
                  </w:r>
                </w:p>
              </w:tc>
              <w:tc>
                <w:tcPr>
                  <w:tcW w:w="830"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b/>
                      <w:bCs w:val="0"/>
                      <w:snapToGrid w:val="0"/>
                      <w:kern w:val="0"/>
                      <w:sz w:val="21"/>
                      <w:szCs w:val="21"/>
                      <w:highlight w:val="none"/>
                    </w:rPr>
                  </w:pPr>
                  <w:r>
                    <w:rPr>
                      <w:rFonts w:hint="default" w:ascii="Times New Roman" w:hAnsi="Times New Roman" w:cs="Times New Roman" w:eastAsiaTheme="minorEastAsia"/>
                      <w:b/>
                      <w:bCs w:val="0"/>
                      <w:snapToGrid w:val="0"/>
                      <w:kern w:val="0"/>
                      <w:sz w:val="21"/>
                      <w:szCs w:val="21"/>
                      <w:highlight w:val="none"/>
                    </w:rPr>
                    <w:t>备注</w:t>
                  </w:r>
                </w:p>
              </w:tc>
            </w:tr>
            <w:tr>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8" w:type="dxa"/>
                  <w:vMerge w:val="restart"/>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埋地油罐</w:t>
                  </w:r>
                </w:p>
              </w:tc>
              <w:tc>
                <w:tcPr>
                  <w:tcW w:w="69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标准</w:t>
                  </w:r>
                </w:p>
              </w:tc>
              <w:tc>
                <w:tcPr>
                  <w:tcW w:w="692" w:type="dxa"/>
                  <w:tcBorders>
                    <w:tl2br w:val="nil"/>
                    <w:tr2bl w:val="nil"/>
                  </w:tcBorders>
                  <w:noWrap w:val="0"/>
                  <w:vAlign w:val="center"/>
                </w:tcPr>
                <w:p>
                  <w:pPr>
                    <w:widowControl/>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0.5</w:t>
                  </w:r>
                </w:p>
              </w:tc>
              <w:tc>
                <w:tcPr>
                  <w:tcW w:w="1247"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124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96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4（3）</w:t>
                  </w:r>
                </w:p>
              </w:tc>
              <w:tc>
                <w:tcPr>
                  <w:tcW w:w="1246"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4.5</w:t>
                  </w:r>
                </w:p>
              </w:tc>
              <w:tc>
                <w:tcPr>
                  <w:tcW w:w="118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3（2）</w:t>
                  </w:r>
                </w:p>
              </w:tc>
              <w:tc>
                <w:tcPr>
                  <w:tcW w:w="830" w:type="dxa"/>
                  <w:vMerge w:val="restart"/>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符合</w:t>
                  </w:r>
                </w:p>
              </w:tc>
            </w:tr>
            <w:tr>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8" w:type="dxa"/>
                  <w:vMerge w:val="continue"/>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p>
              </w:tc>
              <w:tc>
                <w:tcPr>
                  <w:tcW w:w="69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实际</w:t>
                  </w:r>
                </w:p>
              </w:tc>
              <w:tc>
                <w:tcPr>
                  <w:tcW w:w="692" w:type="dxa"/>
                  <w:tcBorders>
                    <w:tl2br w:val="nil"/>
                    <w:tr2bl w:val="nil"/>
                  </w:tcBorders>
                  <w:noWrap w:val="0"/>
                  <w:vAlign w:val="center"/>
                </w:tcPr>
                <w:p>
                  <w:pPr>
                    <w:widowControl/>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0.6</w:t>
                  </w:r>
                </w:p>
              </w:tc>
              <w:tc>
                <w:tcPr>
                  <w:tcW w:w="1247"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124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96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5.6（5.6）</w:t>
                  </w:r>
                </w:p>
              </w:tc>
              <w:tc>
                <w:tcPr>
                  <w:tcW w:w="1246"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12.3（6.3）</w:t>
                  </w:r>
                </w:p>
              </w:tc>
              <w:tc>
                <w:tcPr>
                  <w:tcW w:w="118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10.2（15.9）</w:t>
                  </w:r>
                </w:p>
              </w:tc>
              <w:tc>
                <w:tcPr>
                  <w:tcW w:w="830" w:type="dxa"/>
                  <w:vMerge w:val="continue"/>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p>
              </w:tc>
            </w:tr>
            <w:tr>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8" w:type="dxa"/>
                  <w:vMerge w:val="restart"/>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加油机</w:t>
                  </w:r>
                </w:p>
              </w:tc>
              <w:tc>
                <w:tcPr>
                  <w:tcW w:w="69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标准</w:t>
                  </w:r>
                </w:p>
              </w:tc>
              <w:tc>
                <w:tcPr>
                  <w:tcW w:w="692" w:type="dxa"/>
                  <w:tcBorders>
                    <w:tl2br w:val="nil"/>
                    <w:tr2bl w:val="nil"/>
                  </w:tcBorders>
                  <w:noWrap w:val="0"/>
                  <w:vAlign w:val="center"/>
                </w:tcPr>
                <w:p>
                  <w:pPr>
                    <w:widowControl/>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1247"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cr/>
                  </w:r>
                </w:p>
              </w:tc>
              <w:tc>
                <w:tcPr>
                  <w:tcW w:w="124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96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5</w:t>
                  </w:r>
                </w:p>
              </w:tc>
              <w:tc>
                <w:tcPr>
                  <w:tcW w:w="1246"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6</w:t>
                  </w:r>
                </w:p>
              </w:tc>
              <w:tc>
                <w:tcPr>
                  <w:tcW w:w="118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830" w:type="dxa"/>
                  <w:vMerge w:val="restart"/>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符合</w:t>
                  </w:r>
                </w:p>
              </w:tc>
            </w:tr>
            <w:tr>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8" w:type="dxa"/>
                  <w:vMerge w:val="continue"/>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p>
              </w:tc>
              <w:tc>
                <w:tcPr>
                  <w:tcW w:w="69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实际</w:t>
                  </w:r>
                </w:p>
              </w:tc>
              <w:tc>
                <w:tcPr>
                  <w:tcW w:w="692" w:type="dxa"/>
                  <w:tcBorders>
                    <w:tl2br w:val="nil"/>
                    <w:tr2bl w:val="nil"/>
                  </w:tcBorders>
                  <w:noWrap w:val="0"/>
                  <w:vAlign w:val="center"/>
                </w:tcPr>
                <w:p>
                  <w:pPr>
                    <w:widowControl/>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1247"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cr/>
                  </w:r>
                </w:p>
              </w:tc>
              <w:tc>
                <w:tcPr>
                  <w:tcW w:w="124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96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5.6</w:t>
                  </w:r>
                </w:p>
              </w:tc>
              <w:tc>
                <w:tcPr>
                  <w:tcW w:w="1246"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9.9</w:t>
                  </w:r>
                </w:p>
              </w:tc>
              <w:tc>
                <w:tcPr>
                  <w:tcW w:w="118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830" w:type="dxa"/>
                  <w:vMerge w:val="continue"/>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p>
              </w:tc>
            </w:tr>
            <w:tr>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8" w:type="dxa"/>
                  <w:vMerge w:val="restart"/>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通气管口</w:t>
                  </w:r>
                </w:p>
              </w:tc>
              <w:tc>
                <w:tcPr>
                  <w:tcW w:w="69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标准</w:t>
                  </w:r>
                </w:p>
              </w:tc>
              <w:tc>
                <w:tcPr>
                  <w:tcW w:w="692" w:type="dxa"/>
                  <w:tcBorders>
                    <w:tl2br w:val="nil"/>
                    <w:tr2bl w:val="nil"/>
                  </w:tcBorders>
                  <w:noWrap w:val="0"/>
                  <w:vAlign w:val="center"/>
                </w:tcPr>
                <w:p>
                  <w:pPr>
                    <w:widowControl/>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1247"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124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3（2）</w:t>
                  </w:r>
                </w:p>
              </w:tc>
              <w:tc>
                <w:tcPr>
                  <w:tcW w:w="96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4（3.5）</w:t>
                  </w:r>
                </w:p>
              </w:tc>
              <w:tc>
                <w:tcPr>
                  <w:tcW w:w="1246"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4.5</w:t>
                  </w:r>
                </w:p>
              </w:tc>
              <w:tc>
                <w:tcPr>
                  <w:tcW w:w="118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3（2）</w:t>
                  </w:r>
                </w:p>
              </w:tc>
              <w:tc>
                <w:tcPr>
                  <w:tcW w:w="830" w:type="dxa"/>
                  <w:vMerge w:val="restart"/>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符合</w:t>
                  </w:r>
                </w:p>
              </w:tc>
            </w:tr>
            <w:tr>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8" w:type="dxa"/>
                  <w:vMerge w:val="continue"/>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p>
              </w:tc>
              <w:tc>
                <w:tcPr>
                  <w:tcW w:w="69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实际</w:t>
                  </w:r>
                </w:p>
              </w:tc>
              <w:tc>
                <w:tcPr>
                  <w:tcW w:w="692" w:type="dxa"/>
                  <w:tcBorders>
                    <w:tl2br w:val="nil"/>
                    <w:tr2bl w:val="nil"/>
                  </w:tcBorders>
                  <w:noWrap w:val="0"/>
                  <w:vAlign w:val="center"/>
                </w:tcPr>
                <w:p>
                  <w:pPr>
                    <w:widowControl/>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1247"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124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14.6（14.6）</w:t>
                  </w:r>
                </w:p>
              </w:tc>
              <w:tc>
                <w:tcPr>
                  <w:tcW w:w="96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9.0（8.1）</w:t>
                  </w:r>
                </w:p>
              </w:tc>
              <w:tc>
                <w:tcPr>
                  <w:tcW w:w="1246"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16.4（15.9）</w:t>
                  </w:r>
                </w:p>
              </w:tc>
              <w:tc>
                <w:tcPr>
                  <w:tcW w:w="118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15.2（16.0）</w:t>
                  </w:r>
                </w:p>
              </w:tc>
              <w:tc>
                <w:tcPr>
                  <w:tcW w:w="830" w:type="dxa"/>
                  <w:vMerge w:val="continue"/>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p>
              </w:tc>
            </w:tr>
            <w:tr>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8" w:type="dxa"/>
                  <w:vMerge w:val="restart"/>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卸油口</w:t>
                  </w:r>
                </w:p>
              </w:tc>
              <w:tc>
                <w:tcPr>
                  <w:tcW w:w="69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标准</w:t>
                  </w:r>
                </w:p>
              </w:tc>
              <w:tc>
                <w:tcPr>
                  <w:tcW w:w="692" w:type="dxa"/>
                  <w:tcBorders>
                    <w:tl2br w:val="nil"/>
                    <w:tr2bl w:val="nil"/>
                  </w:tcBorders>
                  <w:noWrap w:val="0"/>
                  <w:vAlign w:val="center"/>
                </w:tcPr>
                <w:p>
                  <w:pPr>
                    <w:widowControl/>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1247"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3（2）</w:t>
                  </w:r>
                </w:p>
              </w:tc>
              <w:tc>
                <w:tcPr>
                  <w:tcW w:w="124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96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5</w:t>
                  </w:r>
                </w:p>
              </w:tc>
              <w:tc>
                <w:tcPr>
                  <w:tcW w:w="1246"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6</w:t>
                  </w:r>
                </w:p>
              </w:tc>
              <w:tc>
                <w:tcPr>
                  <w:tcW w:w="118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830" w:type="dxa"/>
                  <w:vMerge w:val="restart"/>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符合</w:t>
                  </w:r>
                </w:p>
              </w:tc>
            </w:tr>
            <w:tr>
              <w:tblPrEx>
                <w:tblBorders>
                  <w:top w:val="single" w:color="auto" w:sz="4" w:space="0"/>
                  <w:left w:val="single" w:color="auto" w:sz="4"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8" w:type="dxa"/>
                  <w:vMerge w:val="continue"/>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p>
              </w:tc>
              <w:tc>
                <w:tcPr>
                  <w:tcW w:w="693"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实际</w:t>
                  </w:r>
                </w:p>
              </w:tc>
              <w:tc>
                <w:tcPr>
                  <w:tcW w:w="692" w:type="dxa"/>
                  <w:tcBorders>
                    <w:tl2br w:val="nil"/>
                    <w:tr2bl w:val="nil"/>
                  </w:tcBorders>
                  <w:noWrap w:val="0"/>
                  <w:vAlign w:val="center"/>
                </w:tcPr>
                <w:p>
                  <w:pPr>
                    <w:widowControl/>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1247"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14.6（14.6）</w:t>
                  </w:r>
                </w:p>
              </w:tc>
              <w:tc>
                <w:tcPr>
                  <w:tcW w:w="124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96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9.9</w:t>
                  </w:r>
                </w:p>
              </w:tc>
              <w:tc>
                <w:tcPr>
                  <w:tcW w:w="1246"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10.3</w:t>
                  </w:r>
                </w:p>
              </w:tc>
              <w:tc>
                <w:tcPr>
                  <w:tcW w:w="1189"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r>
                    <w:rPr>
                      <w:rFonts w:hint="default" w:ascii="Times New Roman" w:hAnsi="Times New Roman" w:cs="Times New Roman" w:eastAsiaTheme="minorEastAsia"/>
                      <w:snapToGrid w:val="0"/>
                      <w:kern w:val="0"/>
                      <w:sz w:val="21"/>
                      <w:szCs w:val="21"/>
                      <w:highlight w:val="none"/>
                    </w:rPr>
                    <w:t>-</w:t>
                  </w:r>
                </w:p>
              </w:tc>
              <w:tc>
                <w:tcPr>
                  <w:tcW w:w="830" w:type="dxa"/>
                  <w:vMerge w:val="continue"/>
                  <w:tcBorders>
                    <w:tl2br w:val="nil"/>
                    <w:tr2bl w:val="nil"/>
                  </w:tcBorders>
                  <w:noWrap w:val="0"/>
                  <w:vAlign w:val="center"/>
                </w:tcPr>
                <w:p>
                  <w:pPr>
                    <w:adjustRightInd w:val="0"/>
                    <w:snapToGrid w:val="0"/>
                    <w:jc w:val="center"/>
                    <w:rPr>
                      <w:rFonts w:hint="default" w:ascii="Times New Roman" w:hAnsi="Times New Roman" w:cs="Times New Roman" w:eastAsiaTheme="minorEastAsia"/>
                      <w:snapToGrid w:val="0"/>
                      <w:kern w:val="0"/>
                      <w:sz w:val="21"/>
                      <w:szCs w:val="21"/>
                      <w:highlight w:val="none"/>
                    </w:rPr>
                  </w:pPr>
                </w:p>
              </w:tc>
            </w:tr>
          </w:tbl>
          <w:p>
            <w:pPr>
              <w:tabs>
                <w:tab w:val="left" w:pos="924"/>
              </w:tabs>
              <w:adjustRightInd w:val="0"/>
              <w:snapToGrid w:val="0"/>
              <w:spacing w:line="360" w:lineRule="auto"/>
              <w:ind w:firstLine="480" w:firstLineChars="200"/>
              <w:rPr>
                <w:rFonts w:hint="default" w:ascii="Times New Roman" w:hAnsi="Times New Roman" w:cs="Times New Roman" w:eastAsiaTheme="minorEastAsia"/>
                <w:b/>
                <w:bCs/>
                <w:snapToGrid w:val="0"/>
                <w:color w:val="000000"/>
                <w:kern w:val="0"/>
                <w:sz w:val="24"/>
                <w:highlight w:val="none"/>
              </w:rPr>
            </w:pPr>
            <w:r>
              <w:rPr>
                <w:rFonts w:hint="default" w:ascii="Times New Roman" w:hAnsi="Times New Roman" w:cs="Times New Roman" w:eastAsiaTheme="minorEastAsia"/>
                <w:bCs/>
                <w:snapToGrid w:val="0"/>
                <w:kern w:val="0"/>
                <w:sz w:val="24"/>
                <w:highlight w:val="none"/>
              </w:rPr>
              <w:t>由表</w:t>
            </w:r>
            <w:r>
              <w:rPr>
                <w:rFonts w:hint="eastAsia" w:ascii="Times New Roman" w:hAnsi="Times New Roman" w:cs="Times New Roman" w:eastAsiaTheme="minorEastAsia"/>
                <w:bCs/>
                <w:snapToGrid w:val="0"/>
                <w:kern w:val="0"/>
                <w:sz w:val="24"/>
                <w:highlight w:val="none"/>
                <w:lang w:val="en-US" w:eastAsia="zh-CN"/>
              </w:rPr>
              <w:t>2</w:t>
            </w:r>
            <w:r>
              <w:rPr>
                <w:rFonts w:hint="default" w:ascii="Times New Roman" w:hAnsi="Times New Roman" w:cs="Times New Roman" w:eastAsiaTheme="minorEastAsia"/>
                <w:bCs/>
                <w:snapToGrid w:val="0"/>
                <w:kern w:val="0"/>
                <w:sz w:val="24"/>
                <w:highlight w:val="none"/>
              </w:rPr>
              <w:t>-</w:t>
            </w:r>
            <w:r>
              <w:rPr>
                <w:rFonts w:hint="eastAsia" w:ascii="Times New Roman" w:hAnsi="Times New Roman" w:cs="Times New Roman" w:eastAsiaTheme="minorEastAsia"/>
                <w:bCs/>
                <w:snapToGrid w:val="0"/>
                <w:kern w:val="0"/>
                <w:sz w:val="24"/>
                <w:highlight w:val="none"/>
                <w:lang w:val="en-US" w:eastAsia="zh-CN"/>
              </w:rPr>
              <w:t>4</w:t>
            </w:r>
            <w:r>
              <w:rPr>
                <w:rFonts w:hint="default" w:ascii="Times New Roman" w:hAnsi="Times New Roman" w:cs="Times New Roman" w:eastAsiaTheme="minorEastAsia"/>
                <w:bCs/>
                <w:snapToGrid w:val="0"/>
                <w:kern w:val="0"/>
                <w:sz w:val="24"/>
                <w:highlight w:val="none"/>
              </w:rPr>
              <w:t>可知，项目站内工艺设施之间防火间距满足</w:t>
            </w:r>
            <w:r>
              <w:rPr>
                <w:rFonts w:hint="default" w:ascii="Times New Roman" w:hAnsi="Times New Roman" w:cs="Times New Roman" w:eastAsiaTheme="minorEastAsia"/>
                <w:snapToGrid w:val="0"/>
                <w:kern w:val="0"/>
                <w:sz w:val="24"/>
                <w:highlight w:val="none"/>
              </w:rPr>
              <w:t>《汽车加油加气站设计与施工规范》（GB50156-2012，2014年修订版）</w:t>
            </w:r>
            <w:r>
              <w:rPr>
                <w:rFonts w:hint="default" w:ascii="Times New Roman" w:hAnsi="Times New Roman" w:cs="Times New Roman" w:eastAsiaTheme="minorEastAsia"/>
                <w:bCs/>
                <w:snapToGrid w:val="0"/>
                <w:kern w:val="0"/>
                <w:sz w:val="24"/>
                <w:highlight w:val="none"/>
              </w:rPr>
              <w:t>规定中相关要求，项目平面布置合理。</w:t>
            </w:r>
          </w:p>
          <w:p>
            <w:pPr>
              <w:adjustRightInd w:val="0"/>
              <w:snapToGrid w:val="0"/>
              <w:spacing w:line="360" w:lineRule="auto"/>
              <w:rPr>
                <w:rFonts w:hint="default" w:ascii="Times New Roman" w:hAnsi="Times New Roman" w:cs="Times New Roman" w:eastAsiaTheme="minorEastAsia"/>
                <w:b/>
                <w:snapToGrid w:val="0"/>
                <w:kern w:val="0"/>
                <w:sz w:val="24"/>
                <w:highlight w:val="none"/>
              </w:rPr>
            </w:pPr>
            <w:r>
              <w:rPr>
                <w:rFonts w:hint="eastAsia" w:cs="Times New Roman" w:eastAsiaTheme="minorEastAsia"/>
                <w:b/>
                <w:snapToGrid w:val="0"/>
                <w:kern w:val="0"/>
                <w:sz w:val="24"/>
                <w:highlight w:val="none"/>
                <w:lang w:eastAsia="zh-CN"/>
              </w:rPr>
              <w:t>六</w:t>
            </w:r>
            <w:r>
              <w:rPr>
                <w:rFonts w:hint="eastAsia" w:ascii="Times New Roman" w:hAnsi="Times New Roman" w:cs="Times New Roman" w:eastAsiaTheme="minorEastAsia"/>
                <w:b/>
                <w:snapToGrid w:val="0"/>
                <w:kern w:val="0"/>
                <w:sz w:val="24"/>
                <w:highlight w:val="none"/>
                <w:lang w:eastAsia="zh-CN"/>
              </w:rPr>
              <w:t>、</w:t>
            </w:r>
            <w:r>
              <w:rPr>
                <w:rFonts w:hint="default" w:ascii="Times New Roman" w:hAnsi="Times New Roman" w:cs="Times New Roman" w:eastAsiaTheme="minorEastAsia"/>
                <w:b/>
                <w:snapToGrid w:val="0"/>
                <w:kern w:val="0"/>
                <w:sz w:val="24"/>
                <w:highlight w:val="none"/>
              </w:rPr>
              <w:t>公用工程</w:t>
            </w:r>
          </w:p>
          <w:p>
            <w:pPr>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eastAsia" w:cs="Times New Roman" w:eastAsiaTheme="minorEastAsia"/>
                <w:snapToGrid w:val="0"/>
                <w:kern w:val="0"/>
                <w:sz w:val="24"/>
                <w:highlight w:val="none"/>
                <w:lang w:val="en-US" w:eastAsia="zh-CN"/>
              </w:rPr>
              <w:t>1、</w:t>
            </w:r>
            <w:r>
              <w:rPr>
                <w:rFonts w:hint="default" w:ascii="Times New Roman" w:hAnsi="Times New Roman" w:cs="Times New Roman" w:eastAsiaTheme="minorEastAsia"/>
                <w:snapToGrid w:val="0"/>
                <w:kern w:val="0"/>
                <w:sz w:val="24"/>
                <w:highlight w:val="none"/>
              </w:rPr>
              <w:t>给排水</w:t>
            </w:r>
          </w:p>
          <w:p>
            <w:pPr>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default" w:ascii="Times New Roman" w:hAnsi="Times New Roman" w:cs="Times New Roman" w:eastAsiaTheme="minorEastAsia"/>
                <w:snapToGrid w:val="0"/>
                <w:kern w:val="0"/>
                <w:sz w:val="24"/>
                <w:highlight w:val="none"/>
              </w:rPr>
              <w:t>本项目给水水源由渭南至玉山高速公路华州服务区提供。本项目不提供住宿，用水主要为员工、顾客生活用水、绿化用水、地面冲洗。</w:t>
            </w:r>
          </w:p>
          <w:p>
            <w:pPr>
              <w:adjustRightInd w:val="0"/>
              <w:snapToGrid w:val="0"/>
              <w:spacing w:line="360" w:lineRule="auto"/>
              <w:ind w:firstLine="480" w:firstLineChars="200"/>
              <w:rPr>
                <w:rFonts w:hint="eastAsia" w:ascii="Times New Roman" w:hAnsi="Times New Roman" w:cs="Times New Roman"/>
                <w:snapToGrid w:val="0"/>
                <w:kern w:val="0"/>
                <w:sz w:val="24"/>
                <w:szCs w:val="24"/>
                <w:highlight w:val="none"/>
              </w:rPr>
            </w:pPr>
            <w:r>
              <w:rPr>
                <w:rFonts w:hint="eastAsia"/>
                <w:snapToGrid w:val="0"/>
                <w:kern w:val="0"/>
                <w:sz w:val="24"/>
                <w:szCs w:val="24"/>
                <w:highlight w:val="none"/>
              </w:rPr>
              <w:t>本</w:t>
            </w:r>
            <w:r>
              <w:rPr>
                <w:rFonts w:hint="eastAsia" w:ascii="Times New Roman" w:hAnsi="Times New Roman" w:cs="Times New Roman"/>
                <w:snapToGrid w:val="0"/>
                <w:kern w:val="0"/>
                <w:sz w:val="24"/>
                <w:szCs w:val="24"/>
                <w:highlight w:val="none"/>
              </w:rPr>
              <w:t>项目排水采用雨污分流，加油岛四周设雨水收集沟槽，雨水经隔油池处理后排入场外排水渠，最终进入赤水河</w:t>
            </w:r>
            <w:r>
              <w:rPr>
                <w:rFonts w:hint="eastAsia" w:ascii="Times New Roman" w:hAnsi="Times New Roman" w:cs="Times New Roman"/>
                <w:snapToGrid w:val="0"/>
                <w:kern w:val="0"/>
                <w:sz w:val="24"/>
                <w:szCs w:val="24"/>
                <w:highlight w:val="none"/>
                <w:lang w:eastAsia="zh-CN"/>
              </w:rPr>
              <w:t>。</w:t>
            </w:r>
            <w:r>
              <w:rPr>
                <w:rFonts w:hint="eastAsia" w:ascii="Times New Roman" w:hAnsi="Times New Roman" w:cs="Times New Roman"/>
                <w:snapToGrid w:val="0"/>
                <w:kern w:val="0"/>
                <w:sz w:val="24"/>
                <w:szCs w:val="24"/>
                <w:highlight w:val="none"/>
              </w:rPr>
              <w:t>项目场地冲洗废水经隔油池处理后和生活污水一并进入渭南至玉山高速公路华州服务区一体化埋地式中水回用膜处理统</w:t>
            </w:r>
            <w:r>
              <w:rPr>
                <w:rFonts w:hint="eastAsia" w:ascii="Times New Roman" w:hAnsi="Times New Roman" w:cs="Times New Roman"/>
                <w:snapToGrid w:val="0"/>
                <w:kern w:val="0"/>
                <w:sz w:val="24"/>
                <w:szCs w:val="24"/>
                <w:highlight w:val="none"/>
                <w:lang w:eastAsia="zh-CN"/>
              </w:rPr>
              <w:t>一</w:t>
            </w:r>
            <w:r>
              <w:rPr>
                <w:rFonts w:hint="eastAsia" w:ascii="Times New Roman" w:hAnsi="Times New Roman" w:cs="Times New Roman"/>
                <w:snapToGrid w:val="0"/>
                <w:kern w:val="0"/>
                <w:sz w:val="24"/>
                <w:szCs w:val="24"/>
                <w:highlight w:val="none"/>
              </w:rPr>
              <w:t>处理后回用于服务区厕所用水和服务区绿化用水</w:t>
            </w:r>
            <w:r>
              <w:rPr>
                <w:rFonts w:hint="eastAsia" w:ascii="Times New Roman" w:hAnsi="Times New Roman" w:cs="Times New Roman"/>
                <w:snapToGrid w:val="0"/>
                <w:kern w:val="0"/>
                <w:sz w:val="24"/>
                <w:szCs w:val="24"/>
                <w:highlight w:val="none"/>
                <w:lang w:eastAsia="zh-CN"/>
              </w:rPr>
              <w:t>，不外排</w:t>
            </w:r>
            <w:r>
              <w:rPr>
                <w:rFonts w:hint="eastAsia" w:ascii="Times New Roman" w:hAnsi="Times New Roman" w:cs="Times New Roman"/>
                <w:snapToGrid w:val="0"/>
                <w:kern w:val="0"/>
                <w:sz w:val="24"/>
                <w:szCs w:val="24"/>
                <w:highlight w:val="none"/>
              </w:rPr>
              <w:t>。</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eastAsia" w:cs="Times New Roman" w:eastAsiaTheme="minorEastAsia"/>
                <w:snapToGrid w:val="0"/>
                <w:kern w:val="0"/>
                <w:sz w:val="24"/>
                <w:highlight w:val="none"/>
                <w:lang w:val="en-US" w:eastAsia="zh-CN"/>
              </w:rPr>
              <w:t>2、</w:t>
            </w:r>
            <w:r>
              <w:rPr>
                <w:rFonts w:hint="default" w:ascii="Times New Roman" w:hAnsi="Times New Roman" w:cs="Times New Roman" w:eastAsiaTheme="minorEastAsia"/>
                <w:snapToGrid w:val="0"/>
                <w:kern w:val="0"/>
                <w:sz w:val="24"/>
                <w:highlight w:val="none"/>
              </w:rPr>
              <w:t>供热制冷</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default" w:ascii="Times New Roman" w:hAnsi="Times New Roman" w:cs="Times New Roman" w:eastAsiaTheme="minorEastAsia"/>
                <w:snapToGrid w:val="0"/>
                <w:kern w:val="0"/>
                <w:sz w:val="24"/>
                <w:highlight w:val="none"/>
              </w:rPr>
              <w:t>本项目采暖制冷由空调供给。</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eastAsia" w:cs="Times New Roman" w:eastAsiaTheme="minorEastAsia"/>
                <w:snapToGrid w:val="0"/>
                <w:kern w:val="0"/>
                <w:sz w:val="24"/>
                <w:highlight w:val="none"/>
                <w:lang w:val="en-US" w:eastAsia="zh-CN"/>
              </w:rPr>
              <w:t>3、</w:t>
            </w:r>
            <w:r>
              <w:rPr>
                <w:rFonts w:hint="default" w:ascii="Times New Roman" w:hAnsi="Times New Roman" w:cs="Times New Roman" w:eastAsiaTheme="minorEastAsia"/>
                <w:snapToGrid w:val="0"/>
                <w:kern w:val="0"/>
                <w:sz w:val="24"/>
                <w:highlight w:val="none"/>
              </w:rPr>
              <w:t>供配电</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default" w:ascii="Times New Roman" w:hAnsi="Times New Roman" w:cs="Times New Roman" w:eastAsiaTheme="minorEastAsia"/>
                <w:snapToGrid w:val="0"/>
                <w:kern w:val="0"/>
                <w:sz w:val="24"/>
                <w:highlight w:val="none"/>
              </w:rPr>
              <w:t>项目电源引自渭南至玉山高速公路华州服务区变电站，在项目区内设置变配电室1个。</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eastAsia" w:cs="Times New Roman" w:eastAsiaTheme="minorEastAsia"/>
                <w:snapToGrid w:val="0"/>
                <w:kern w:val="0"/>
                <w:sz w:val="24"/>
                <w:highlight w:val="none"/>
                <w:lang w:val="en-US" w:eastAsia="zh-CN"/>
              </w:rPr>
              <w:t>4、</w:t>
            </w:r>
            <w:r>
              <w:rPr>
                <w:rFonts w:hint="default" w:ascii="Times New Roman" w:hAnsi="Times New Roman" w:cs="Times New Roman" w:eastAsiaTheme="minorEastAsia"/>
                <w:snapToGrid w:val="0"/>
                <w:kern w:val="0"/>
                <w:sz w:val="24"/>
                <w:highlight w:val="none"/>
              </w:rPr>
              <w:t>防雷防静电接地</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default" w:ascii="Times New Roman" w:hAnsi="Times New Roman" w:cs="Times New Roman" w:eastAsiaTheme="minorEastAsia"/>
                <w:snapToGrid w:val="0"/>
                <w:kern w:val="0"/>
                <w:sz w:val="24"/>
                <w:highlight w:val="none"/>
              </w:rPr>
              <w:t>本项目全站内含1区爆炸危险场所，故防雷按二类防雷设计。防雷接地、防静电接地、电气设备工作接地、保护接地共用一个接地系统，接地电阻不大于4欧姆。罐区设置避雷针。油罐车设卸车时用的带报警器移动式接地装置。埋地油罐与露出地面的工艺管道相互作电气连接并接地。油品管道上的法兰连接处，法兰螺栓5个以下的，用铜线跨接。罩棚、站房用镀锌圆钢及网格作避雷带保护，并且用不小于¢16的钢筋与地网连接。</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eastAsia" w:cs="Times New Roman" w:eastAsiaTheme="minorEastAsia"/>
                <w:snapToGrid w:val="0"/>
                <w:kern w:val="0"/>
                <w:sz w:val="24"/>
                <w:highlight w:val="none"/>
                <w:lang w:val="en-US" w:eastAsia="zh-CN"/>
              </w:rPr>
              <w:t>5、</w:t>
            </w:r>
            <w:r>
              <w:rPr>
                <w:rFonts w:hint="default" w:ascii="Times New Roman" w:hAnsi="Times New Roman" w:cs="Times New Roman" w:eastAsiaTheme="minorEastAsia"/>
                <w:snapToGrid w:val="0"/>
                <w:kern w:val="0"/>
                <w:sz w:val="24"/>
                <w:highlight w:val="none"/>
              </w:rPr>
              <w:t>消防</w:t>
            </w:r>
          </w:p>
          <w:p>
            <w:pPr>
              <w:tabs>
                <w:tab w:val="left" w:pos="924"/>
              </w:tabs>
              <w:adjustRightInd w:val="0"/>
              <w:snapToGrid w:val="0"/>
              <w:spacing w:line="360" w:lineRule="auto"/>
              <w:ind w:firstLine="480" w:firstLineChars="200"/>
              <w:rPr>
                <w:rFonts w:hint="default" w:ascii="Times New Roman" w:hAnsi="Times New Roman" w:cs="Times New Roman" w:eastAsiaTheme="minorEastAsia"/>
                <w:bCs/>
                <w:snapToGrid w:val="0"/>
                <w:color w:val="000000"/>
                <w:kern w:val="0"/>
                <w:highlight w:val="none"/>
              </w:rPr>
            </w:pPr>
            <w:r>
              <w:rPr>
                <w:rFonts w:hint="default" w:ascii="Times New Roman" w:hAnsi="Times New Roman" w:cs="Times New Roman" w:eastAsiaTheme="minorEastAsia"/>
                <w:bCs/>
                <w:snapToGrid w:val="0"/>
                <w:color w:val="000000"/>
                <w:kern w:val="0"/>
                <w:sz w:val="24"/>
                <w:highlight w:val="none"/>
              </w:rPr>
              <w:t>按《汽车加油加气站设计与施工规范》</w:t>
            </w:r>
            <w:r>
              <w:rPr>
                <w:rFonts w:hint="default" w:ascii="Times New Roman" w:hAnsi="Times New Roman" w:cs="Times New Roman" w:eastAsiaTheme="minorEastAsia"/>
                <w:snapToGrid w:val="0"/>
                <w:kern w:val="0"/>
                <w:sz w:val="24"/>
                <w:highlight w:val="none"/>
              </w:rPr>
              <w:t>（GB50156-2012，2014年修订版）</w:t>
            </w:r>
            <w:r>
              <w:rPr>
                <w:rFonts w:hint="default" w:ascii="Times New Roman" w:hAnsi="Times New Roman" w:cs="Times New Roman" w:eastAsiaTheme="minorEastAsia"/>
                <w:bCs/>
                <w:snapToGrid w:val="0"/>
                <w:color w:val="000000"/>
                <w:kern w:val="0"/>
                <w:sz w:val="24"/>
                <w:highlight w:val="none"/>
              </w:rPr>
              <w:t>的10.1.1的要求，在站区危险区域设置消防器材，具体情况见表</w:t>
            </w:r>
            <w:r>
              <w:rPr>
                <w:rFonts w:hint="eastAsia" w:ascii="Times New Roman" w:hAnsi="Times New Roman" w:cs="Times New Roman" w:eastAsiaTheme="minorEastAsia"/>
                <w:bCs/>
                <w:snapToGrid w:val="0"/>
                <w:color w:val="000000"/>
                <w:kern w:val="0"/>
                <w:sz w:val="24"/>
                <w:highlight w:val="none"/>
                <w:lang w:val="en-US" w:eastAsia="zh-CN"/>
              </w:rPr>
              <w:t>2</w:t>
            </w:r>
            <w:r>
              <w:rPr>
                <w:rFonts w:hint="default" w:ascii="Times New Roman" w:hAnsi="Times New Roman" w:cs="Times New Roman" w:eastAsiaTheme="minorEastAsia"/>
                <w:bCs/>
                <w:snapToGrid w:val="0"/>
                <w:color w:val="000000"/>
                <w:kern w:val="0"/>
                <w:sz w:val="24"/>
                <w:highlight w:val="none"/>
              </w:rPr>
              <w:t>-</w:t>
            </w:r>
            <w:r>
              <w:rPr>
                <w:rFonts w:hint="eastAsia" w:ascii="Times New Roman" w:hAnsi="Times New Roman" w:cs="Times New Roman" w:eastAsiaTheme="minorEastAsia"/>
                <w:bCs/>
                <w:snapToGrid w:val="0"/>
                <w:color w:val="000000"/>
                <w:kern w:val="0"/>
                <w:sz w:val="24"/>
                <w:highlight w:val="none"/>
                <w:lang w:val="en-US" w:eastAsia="zh-CN"/>
              </w:rPr>
              <w:t>5</w:t>
            </w:r>
            <w:r>
              <w:rPr>
                <w:rFonts w:hint="default" w:ascii="Times New Roman" w:hAnsi="Times New Roman" w:cs="Times New Roman" w:eastAsiaTheme="minorEastAsia"/>
                <w:bCs/>
                <w:snapToGrid w:val="0"/>
                <w:color w:val="000000"/>
                <w:kern w:val="0"/>
                <w:sz w:val="24"/>
                <w:highlight w:val="none"/>
              </w:rPr>
              <w:t>。</w:t>
            </w:r>
          </w:p>
          <w:p>
            <w:pPr>
              <w:tabs>
                <w:tab w:val="left" w:pos="924"/>
              </w:tabs>
              <w:jc w:val="center"/>
              <w:rPr>
                <w:rFonts w:hint="default" w:ascii="Times New Roman" w:hAnsi="Times New Roman" w:cs="Times New Roman" w:eastAsiaTheme="minorEastAsia"/>
                <w:b/>
                <w:bCs/>
                <w:snapToGrid w:val="0"/>
                <w:kern w:val="0"/>
                <w:sz w:val="21"/>
                <w:szCs w:val="21"/>
                <w:highlight w:val="none"/>
              </w:rPr>
            </w:pPr>
            <w:r>
              <w:rPr>
                <w:rFonts w:hint="default" w:ascii="Times New Roman" w:hAnsi="Times New Roman" w:cs="Times New Roman" w:eastAsiaTheme="minorEastAsia"/>
                <w:b/>
                <w:bCs/>
                <w:snapToGrid w:val="0"/>
                <w:kern w:val="0"/>
                <w:sz w:val="21"/>
                <w:szCs w:val="21"/>
                <w:highlight w:val="none"/>
              </w:rPr>
              <w:t>表</w:t>
            </w:r>
            <w:r>
              <w:rPr>
                <w:rFonts w:hint="eastAsia" w:ascii="Times New Roman" w:hAnsi="Times New Roman" w:cs="Times New Roman" w:eastAsiaTheme="minorEastAsia"/>
                <w:b/>
                <w:bCs/>
                <w:snapToGrid w:val="0"/>
                <w:kern w:val="0"/>
                <w:sz w:val="21"/>
                <w:szCs w:val="21"/>
                <w:highlight w:val="none"/>
                <w:lang w:val="en-US" w:eastAsia="zh-CN"/>
              </w:rPr>
              <w:t>2-5</w:t>
            </w:r>
            <w:r>
              <w:rPr>
                <w:rFonts w:hint="default" w:ascii="Times New Roman" w:hAnsi="Times New Roman" w:cs="Times New Roman" w:eastAsiaTheme="minorEastAsia"/>
                <w:b/>
                <w:bCs/>
                <w:snapToGrid w:val="0"/>
                <w:kern w:val="0"/>
                <w:sz w:val="21"/>
                <w:szCs w:val="21"/>
                <w:highlight w:val="none"/>
              </w:rPr>
              <w:t xml:space="preserve">  消防设施一览表</w:t>
            </w:r>
          </w:p>
          <w:tbl>
            <w:tblPr>
              <w:tblStyle w:val="11"/>
              <w:tblW w:w="88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122"/>
              <w:gridCol w:w="4438"/>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2" w:type="dxa"/>
                  <w:noWrap w:val="0"/>
                  <w:vAlign w:val="center"/>
                </w:tcPr>
                <w:p>
                  <w:pPr>
                    <w:pStyle w:val="16"/>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序号</w:t>
                  </w:r>
                </w:p>
              </w:tc>
              <w:tc>
                <w:tcPr>
                  <w:tcW w:w="2122" w:type="dxa"/>
                  <w:noWrap w:val="0"/>
                  <w:vAlign w:val="center"/>
                </w:tcPr>
                <w:p>
                  <w:pPr>
                    <w:pStyle w:val="16"/>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配置灭火器区域</w:t>
                  </w:r>
                </w:p>
              </w:tc>
              <w:tc>
                <w:tcPr>
                  <w:tcW w:w="4438" w:type="dxa"/>
                  <w:noWrap w:val="0"/>
                  <w:vAlign w:val="center"/>
                </w:tcPr>
                <w:p>
                  <w:pPr>
                    <w:pStyle w:val="16"/>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灭火器配置规格及数量</w:t>
                  </w:r>
                </w:p>
              </w:tc>
              <w:tc>
                <w:tcPr>
                  <w:tcW w:w="1518" w:type="dxa"/>
                  <w:noWrap w:val="0"/>
                  <w:vAlign w:val="center"/>
                </w:tcPr>
                <w:p>
                  <w:pPr>
                    <w:pStyle w:val="16"/>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2"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w:t>
                  </w:r>
                </w:p>
              </w:tc>
              <w:tc>
                <w:tcPr>
                  <w:tcW w:w="2122"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站房</w:t>
                  </w:r>
                </w:p>
              </w:tc>
              <w:tc>
                <w:tcPr>
                  <w:tcW w:w="4438"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4kg手提式 ABC类干粉灭火器</w:t>
                  </w:r>
                </w:p>
              </w:tc>
              <w:tc>
                <w:tcPr>
                  <w:tcW w:w="1518"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8具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2" w:type="dxa"/>
                  <w:vMerge w:val="restart"/>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w:t>
                  </w:r>
                </w:p>
              </w:tc>
              <w:tc>
                <w:tcPr>
                  <w:tcW w:w="2122" w:type="dxa"/>
                  <w:vMerge w:val="restart"/>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油罐区</w:t>
                  </w:r>
                </w:p>
              </w:tc>
              <w:tc>
                <w:tcPr>
                  <w:tcW w:w="4438"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35kg推车式 ABC类干粉灭火器</w:t>
                  </w:r>
                </w:p>
              </w:tc>
              <w:tc>
                <w:tcPr>
                  <w:tcW w:w="1518"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2" w:type="dxa"/>
                  <w:vMerge w:val="continue"/>
                  <w:noWrap w:val="0"/>
                  <w:vAlign w:val="center"/>
                </w:tcPr>
                <w:p>
                  <w:pPr>
                    <w:pStyle w:val="16"/>
                    <w:jc w:val="center"/>
                    <w:rPr>
                      <w:rFonts w:hint="default" w:ascii="Times New Roman" w:hAnsi="Times New Roman" w:cs="Times New Roman" w:eastAsiaTheme="minorEastAsia"/>
                      <w:color w:val="auto"/>
                      <w:sz w:val="21"/>
                      <w:szCs w:val="21"/>
                      <w:highlight w:val="none"/>
                    </w:rPr>
                  </w:pPr>
                </w:p>
              </w:tc>
              <w:tc>
                <w:tcPr>
                  <w:tcW w:w="2122" w:type="dxa"/>
                  <w:vMerge w:val="continue"/>
                  <w:noWrap w:val="0"/>
                  <w:vAlign w:val="center"/>
                </w:tcPr>
                <w:p>
                  <w:pPr>
                    <w:pStyle w:val="16"/>
                    <w:jc w:val="center"/>
                    <w:rPr>
                      <w:rFonts w:hint="default" w:ascii="Times New Roman" w:hAnsi="Times New Roman" w:cs="Times New Roman" w:eastAsiaTheme="minorEastAsia"/>
                      <w:color w:val="auto"/>
                      <w:sz w:val="21"/>
                      <w:szCs w:val="21"/>
                      <w:highlight w:val="none"/>
                    </w:rPr>
                  </w:pPr>
                </w:p>
              </w:tc>
              <w:tc>
                <w:tcPr>
                  <w:tcW w:w="4438"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灭火毯</w:t>
                  </w:r>
                </w:p>
              </w:tc>
              <w:tc>
                <w:tcPr>
                  <w:tcW w:w="1518"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5块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2" w:type="dxa"/>
                  <w:vMerge w:val="continue"/>
                  <w:noWrap w:val="0"/>
                  <w:vAlign w:val="center"/>
                </w:tcPr>
                <w:p>
                  <w:pPr>
                    <w:pStyle w:val="16"/>
                    <w:jc w:val="center"/>
                    <w:rPr>
                      <w:rFonts w:hint="default" w:ascii="Times New Roman" w:hAnsi="Times New Roman" w:cs="Times New Roman" w:eastAsiaTheme="minorEastAsia"/>
                      <w:color w:val="auto"/>
                      <w:sz w:val="21"/>
                      <w:szCs w:val="21"/>
                      <w:highlight w:val="none"/>
                    </w:rPr>
                  </w:pPr>
                </w:p>
              </w:tc>
              <w:tc>
                <w:tcPr>
                  <w:tcW w:w="2122" w:type="dxa"/>
                  <w:vMerge w:val="continue"/>
                  <w:noWrap w:val="0"/>
                  <w:vAlign w:val="center"/>
                </w:tcPr>
                <w:p>
                  <w:pPr>
                    <w:pStyle w:val="16"/>
                    <w:jc w:val="center"/>
                    <w:rPr>
                      <w:rFonts w:hint="default" w:ascii="Times New Roman" w:hAnsi="Times New Roman" w:cs="Times New Roman" w:eastAsiaTheme="minorEastAsia"/>
                      <w:color w:val="auto"/>
                      <w:sz w:val="21"/>
                      <w:szCs w:val="21"/>
                      <w:highlight w:val="none"/>
                    </w:rPr>
                  </w:pPr>
                </w:p>
              </w:tc>
              <w:tc>
                <w:tcPr>
                  <w:tcW w:w="4438"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沙子</w:t>
                  </w:r>
                </w:p>
              </w:tc>
              <w:tc>
                <w:tcPr>
                  <w:tcW w:w="1518"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2"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3</w:t>
                  </w:r>
                </w:p>
              </w:tc>
              <w:tc>
                <w:tcPr>
                  <w:tcW w:w="2122"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加油区</w:t>
                  </w:r>
                </w:p>
              </w:tc>
              <w:tc>
                <w:tcPr>
                  <w:tcW w:w="4438"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4kg手提式 ABC类干粉灭火器</w:t>
                  </w:r>
                </w:p>
              </w:tc>
              <w:tc>
                <w:tcPr>
                  <w:tcW w:w="1518"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12具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2"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4</w:t>
                  </w:r>
                </w:p>
              </w:tc>
              <w:tc>
                <w:tcPr>
                  <w:tcW w:w="2122"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配电间</w:t>
                  </w:r>
                </w:p>
              </w:tc>
              <w:tc>
                <w:tcPr>
                  <w:tcW w:w="4438"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4kg手提式 ABC类干粉灭火器</w:t>
                  </w:r>
                </w:p>
              </w:tc>
              <w:tc>
                <w:tcPr>
                  <w:tcW w:w="1518" w:type="dxa"/>
                  <w:noWrap w:val="0"/>
                  <w:vAlign w:val="center"/>
                </w:tcPr>
                <w:p>
                  <w:pPr>
                    <w:pStyle w:val="16"/>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2具</w:t>
                  </w:r>
                </w:p>
              </w:tc>
            </w:tr>
          </w:tbl>
          <w:p>
            <w:pPr>
              <w:autoSpaceDE w:val="0"/>
              <w:autoSpaceDN w:val="0"/>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eastAsia" w:cs="Times New Roman" w:eastAsiaTheme="minorEastAsia"/>
                <w:snapToGrid w:val="0"/>
                <w:kern w:val="0"/>
                <w:sz w:val="24"/>
                <w:highlight w:val="none"/>
                <w:lang w:val="en-US" w:eastAsia="zh-CN"/>
              </w:rPr>
              <w:t>6、</w:t>
            </w:r>
            <w:r>
              <w:rPr>
                <w:rFonts w:hint="default" w:ascii="Times New Roman" w:hAnsi="Times New Roman" w:cs="Times New Roman" w:eastAsiaTheme="minorEastAsia"/>
                <w:snapToGrid w:val="0"/>
                <w:kern w:val="0"/>
                <w:sz w:val="24"/>
                <w:highlight w:val="none"/>
              </w:rPr>
              <w:t>自动控制</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default" w:ascii="Times New Roman" w:hAnsi="Times New Roman" w:cs="Times New Roman" w:eastAsiaTheme="minorEastAsia"/>
                <w:snapToGrid w:val="0"/>
                <w:kern w:val="0"/>
                <w:sz w:val="24"/>
                <w:highlight w:val="none"/>
              </w:rPr>
              <w:t>本项目加油站汽油、柴油地下储罐液位在站房进行集中显示，并设有高液位报警，其液位信号进到中央监控系统进行集中监视和管理，该系统采用PC机。设置卸车用的固定式静电接地报警器。</w:t>
            </w:r>
          </w:p>
          <w:p>
            <w:pPr>
              <w:autoSpaceDE w:val="0"/>
              <w:autoSpaceDN w:val="0"/>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default" w:ascii="Times New Roman" w:hAnsi="Times New Roman" w:cs="Times New Roman" w:eastAsiaTheme="minorEastAsia"/>
                <w:snapToGrid w:val="0"/>
                <w:kern w:val="0"/>
                <w:sz w:val="24"/>
                <w:highlight w:val="none"/>
              </w:rPr>
              <w:t>液位远传测量仪表选用具有RS485通讯接口的防爆型智能磁致液位探棒，液位现场指示仪表选用磁浮子液位计，控制室仪表选用具有RS485通讯接口的集散显示仪。现场安装仪表的防护等级不低于IP54，仪表的防爆等级为dIIBT4。</w:t>
            </w:r>
          </w:p>
          <w:p>
            <w:pPr>
              <w:autoSpaceDE w:val="0"/>
              <w:autoSpaceDN w:val="0"/>
              <w:adjustRightInd w:val="0"/>
              <w:snapToGrid w:val="0"/>
              <w:spacing w:line="360" w:lineRule="auto"/>
              <w:rPr>
                <w:rFonts w:hint="default" w:ascii="Times New Roman" w:hAnsi="Times New Roman" w:cs="Times New Roman" w:eastAsiaTheme="minorEastAsia"/>
                <w:b/>
                <w:snapToGrid w:val="0"/>
                <w:kern w:val="0"/>
                <w:sz w:val="24"/>
                <w:highlight w:val="none"/>
              </w:rPr>
            </w:pPr>
            <w:r>
              <w:rPr>
                <w:rFonts w:hint="eastAsia" w:cs="Times New Roman" w:eastAsiaTheme="minorEastAsia"/>
                <w:b/>
                <w:snapToGrid w:val="0"/>
                <w:kern w:val="0"/>
                <w:sz w:val="24"/>
                <w:highlight w:val="none"/>
                <w:lang w:eastAsia="zh-CN"/>
              </w:rPr>
              <w:t>七</w:t>
            </w:r>
            <w:r>
              <w:rPr>
                <w:rFonts w:hint="eastAsia" w:ascii="Times New Roman" w:hAnsi="Times New Roman" w:cs="Times New Roman" w:eastAsiaTheme="minorEastAsia"/>
                <w:b/>
                <w:snapToGrid w:val="0"/>
                <w:kern w:val="0"/>
                <w:sz w:val="24"/>
                <w:highlight w:val="none"/>
                <w:lang w:eastAsia="zh-CN"/>
              </w:rPr>
              <w:t>、</w:t>
            </w:r>
            <w:r>
              <w:rPr>
                <w:rFonts w:hint="default" w:ascii="Times New Roman" w:hAnsi="Times New Roman" w:cs="Times New Roman" w:eastAsiaTheme="minorEastAsia"/>
                <w:b/>
                <w:snapToGrid w:val="0"/>
                <w:kern w:val="0"/>
                <w:sz w:val="24"/>
                <w:highlight w:val="none"/>
              </w:rPr>
              <w:t>劳动定员及工作制度</w:t>
            </w:r>
          </w:p>
          <w:p>
            <w:pPr>
              <w:numPr>
                <w:ilvl w:val="0"/>
                <w:numId w:val="0"/>
              </w:numPr>
              <w:spacing w:line="360" w:lineRule="auto"/>
              <w:ind w:firstLine="480" w:firstLineChars="200"/>
              <w:jc w:val="left"/>
              <w:rPr>
                <w:rFonts w:hint="eastAsia" w:eastAsia="宋体"/>
                <w:color w:val="FF0000"/>
                <w:sz w:val="24"/>
                <w:highlight w:val="none"/>
                <w:lang w:eastAsia="zh-CN"/>
              </w:rPr>
            </w:pPr>
            <w:r>
              <w:rPr>
                <w:rFonts w:hint="default" w:ascii="Times New Roman" w:hAnsi="Times New Roman" w:cs="Times New Roman" w:eastAsiaTheme="minorEastAsia"/>
                <w:snapToGrid w:val="0"/>
                <w:kern w:val="0"/>
                <w:sz w:val="24"/>
                <w:highlight w:val="none"/>
              </w:rPr>
              <w:t>本项目站场劳动定员设计为6人，设站长1 人，副站长1 人，加油站质检人员1 人，加油工人3 人。该站营运期每年工作日为365天，采用三班制，每班工作8小时。</w:t>
            </w:r>
            <w:r>
              <w:rPr>
                <w:rFonts w:hint="eastAsia"/>
                <w:color w:val="FF0000"/>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086" w:type="dxa"/>
            <w:tcBorders>
              <w:top w:val="single" w:color="auto" w:sz="4" w:space="0"/>
              <w:left w:val="single" w:color="auto" w:sz="4" w:space="0"/>
              <w:bottom w:val="single" w:color="auto" w:sz="4" w:space="0"/>
              <w:right w:val="single" w:color="auto" w:sz="4" w:space="0"/>
            </w:tcBorders>
            <w:noWrap w:val="0"/>
            <w:vAlign w:val="center"/>
          </w:tcPr>
          <w:p>
            <w:pPr>
              <w:pStyle w:val="4"/>
              <w:keepNext w:val="0"/>
              <w:keepLines w:val="0"/>
              <w:pageBreakBefore w:val="0"/>
              <w:widowControl w:val="0"/>
              <w:kinsoku/>
              <w:wordWrap/>
              <w:overflowPunct/>
              <w:topLinePunct w:val="0"/>
              <w:autoSpaceDE w:val="0"/>
              <w:autoSpaceDN w:val="0"/>
              <w:bidi w:val="0"/>
              <w:adjustRightInd/>
              <w:snapToGrid/>
              <w:spacing w:before="0" w:line="360" w:lineRule="auto"/>
              <w:textAlignment w:val="auto"/>
              <w:rPr>
                <w:rFonts w:hint="eastAsia" w:hAnsi="宋体"/>
                <w:b/>
                <w:sz w:val="28"/>
                <w:szCs w:val="28"/>
                <w:highlight w:val="none"/>
                <w:u w:val="none"/>
                <w:lang w:val="zh-CN" w:eastAsia="zh-CN"/>
              </w:rPr>
            </w:pPr>
            <w:r>
              <w:rPr>
                <w:rFonts w:hint="eastAsia" w:hAnsi="宋体"/>
                <w:b/>
                <w:sz w:val="28"/>
                <w:szCs w:val="28"/>
                <w:highlight w:val="none"/>
                <w:u w:val="none"/>
                <w:lang w:val="zh-CN" w:eastAsia="zh-CN"/>
              </w:rPr>
              <w:t>原辅材料消耗及水平衡：</w:t>
            </w:r>
          </w:p>
          <w:p>
            <w:pPr>
              <w:autoSpaceDE w:val="0"/>
              <w:autoSpaceDN w:val="0"/>
              <w:adjustRightInd w:val="0"/>
              <w:snapToGrid w:val="0"/>
              <w:spacing w:line="360" w:lineRule="auto"/>
              <w:rPr>
                <w:rFonts w:hint="default" w:ascii="Times New Roman" w:hAnsi="Times New Roman" w:cs="Times New Roman" w:eastAsiaTheme="minorEastAsia"/>
                <w:b/>
                <w:snapToGrid w:val="0"/>
                <w:kern w:val="0"/>
                <w:sz w:val="24"/>
                <w:highlight w:val="none"/>
                <w:lang w:eastAsia="zh-CN"/>
              </w:rPr>
            </w:pPr>
            <w:r>
              <w:rPr>
                <w:rFonts w:hint="eastAsia" w:ascii="Times New Roman" w:hAnsi="Times New Roman" w:cs="Times New Roman" w:eastAsiaTheme="minorEastAsia"/>
                <w:b/>
                <w:snapToGrid w:val="0"/>
                <w:kern w:val="0"/>
                <w:sz w:val="24"/>
                <w:highlight w:val="none"/>
                <w:lang w:val="en-US" w:eastAsia="zh-CN"/>
              </w:rPr>
              <w:t>一、</w:t>
            </w:r>
            <w:r>
              <w:rPr>
                <w:rFonts w:hint="default" w:ascii="Times New Roman" w:hAnsi="Times New Roman" w:cs="Times New Roman" w:eastAsiaTheme="minorEastAsia"/>
                <w:b/>
                <w:snapToGrid w:val="0"/>
                <w:kern w:val="0"/>
                <w:sz w:val="24"/>
                <w:highlight w:val="none"/>
                <w:lang w:eastAsia="zh-CN"/>
              </w:rPr>
              <w:t>油品销售情况</w:t>
            </w:r>
          </w:p>
          <w:p>
            <w:pPr>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rPr>
            </w:pPr>
            <w:r>
              <w:rPr>
                <w:rFonts w:hint="default" w:ascii="Times New Roman" w:hAnsi="Times New Roman" w:cs="Times New Roman" w:eastAsiaTheme="minorEastAsia"/>
                <w:sz w:val="24"/>
                <w:highlight w:val="none"/>
              </w:rPr>
              <w:t>本项目主要</w:t>
            </w:r>
            <w:r>
              <w:rPr>
                <w:rFonts w:hint="default" w:ascii="Calibri" w:hAnsi="Calibri" w:eastAsia="宋体" w:cs="Times New Roman"/>
                <w:snapToGrid w:val="0"/>
                <w:kern w:val="0"/>
                <w:sz w:val="24"/>
                <w:highlight w:val="none"/>
                <w:lang w:val="en-US" w:bidi="ar-SA"/>
              </w:rPr>
              <w:t>销售汽油和柴油</w:t>
            </w:r>
            <w:r>
              <w:rPr>
                <w:rFonts w:hint="default" w:ascii="Times New Roman" w:hAnsi="Times New Roman" w:cs="Times New Roman" w:eastAsiaTheme="minorEastAsia"/>
                <w:sz w:val="24"/>
                <w:szCs w:val="24"/>
                <w:highlight w:val="none"/>
              </w:rPr>
              <w:t>，油源来自陕西延长石油有限责任公司，销售量</w:t>
            </w:r>
            <w:r>
              <w:rPr>
                <w:rFonts w:hint="default" w:ascii="Times New Roman" w:hAnsi="Times New Roman" w:cs="Times New Roman" w:eastAsiaTheme="minorEastAsia"/>
                <w:snapToGrid w:val="0"/>
                <w:kern w:val="0"/>
                <w:sz w:val="24"/>
                <w:szCs w:val="24"/>
                <w:highlight w:val="none"/>
              </w:rPr>
              <w:t>见表</w:t>
            </w:r>
            <w:r>
              <w:rPr>
                <w:rFonts w:hint="eastAsia" w:ascii="Times New Roman" w:hAnsi="Times New Roman" w:cs="Times New Roman" w:eastAsiaTheme="minorEastAsia"/>
                <w:snapToGrid w:val="0"/>
                <w:kern w:val="0"/>
                <w:sz w:val="24"/>
                <w:szCs w:val="24"/>
                <w:highlight w:val="none"/>
                <w:lang w:val="en-US" w:eastAsia="zh-CN"/>
              </w:rPr>
              <w:t>2</w:t>
            </w:r>
            <w:r>
              <w:rPr>
                <w:rFonts w:hint="default" w:ascii="Times New Roman" w:hAnsi="Times New Roman" w:cs="Times New Roman" w:eastAsiaTheme="minorEastAsia"/>
                <w:snapToGrid w:val="0"/>
                <w:kern w:val="0"/>
                <w:sz w:val="24"/>
                <w:szCs w:val="24"/>
                <w:highlight w:val="none"/>
              </w:rPr>
              <w:t>-</w:t>
            </w:r>
            <w:r>
              <w:rPr>
                <w:rFonts w:hint="eastAsia" w:ascii="Times New Roman" w:hAnsi="Times New Roman" w:cs="Times New Roman" w:eastAsiaTheme="minorEastAsia"/>
                <w:snapToGrid w:val="0"/>
                <w:kern w:val="0"/>
                <w:sz w:val="24"/>
                <w:szCs w:val="24"/>
                <w:highlight w:val="none"/>
                <w:lang w:val="en-US" w:eastAsia="zh-CN"/>
              </w:rPr>
              <w:t>6</w:t>
            </w:r>
            <w:r>
              <w:rPr>
                <w:rFonts w:hint="default" w:ascii="Times New Roman" w:hAnsi="Times New Roman" w:cs="Times New Roman" w:eastAsiaTheme="minorEastAsia"/>
                <w:snapToGrid w:val="0"/>
                <w:kern w:val="0"/>
                <w:sz w:val="24"/>
                <w:szCs w:val="24"/>
                <w:highlight w:val="none"/>
              </w:rPr>
              <w:t>。</w:t>
            </w:r>
          </w:p>
          <w:p>
            <w:pPr>
              <w:tabs>
                <w:tab w:val="left" w:pos="2130"/>
              </w:tabs>
              <w:snapToGrid w:val="0"/>
              <w:jc w:val="center"/>
              <w:rPr>
                <w:rFonts w:hint="default" w:ascii="Times New Roman" w:hAnsi="Times New Roman" w:cs="Times New Roman" w:eastAsiaTheme="minorEastAsia"/>
                <w:b/>
                <w:snapToGrid w:val="0"/>
                <w:kern w:val="0"/>
                <w:sz w:val="21"/>
                <w:szCs w:val="21"/>
                <w:highlight w:val="none"/>
              </w:rPr>
            </w:pPr>
            <w:r>
              <w:rPr>
                <w:rFonts w:hint="default" w:ascii="Times New Roman" w:hAnsi="Times New Roman" w:cs="Times New Roman" w:eastAsiaTheme="minorEastAsia"/>
                <w:b/>
                <w:snapToGrid w:val="0"/>
                <w:kern w:val="0"/>
                <w:sz w:val="21"/>
                <w:szCs w:val="21"/>
                <w:highlight w:val="none"/>
              </w:rPr>
              <w:t>表</w:t>
            </w:r>
            <w:r>
              <w:rPr>
                <w:rFonts w:hint="eastAsia" w:ascii="Times New Roman" w:hAnsi="Times New Roman" w:cs="Times New Roman" w:eastAsiaTheme="minorEastAsia"/>
                <w:b/>
                <w:snapToGrid w:val="0"/>
                <w:kern w:val="0"/>
                <w:sz w:val="21"/>
                <w:szCs w:val="21"/>
                <w:highlight w:val="none"/>
                <w:lang w:val="en-US" w:eastAsia="zh-CN"/>
              </w:rPr>
              <w:t>2</w:t>
            </w:r>
            <w:r>
              <w:rPr>
                <w:rFonts w:hint="default" w:ascii="Times New Roman" w:hAnsi="Times New Roman" w:cs="Times New Roman" w:eastAsiaTheme="minorEastAsia"/>
                <w:b/>
                <w:snapToGrid w:val="0"/>
                <w:kern w:val="0"/>
                <w:sz w:val="21"/>
                <w:szCs w:val="21"/>
                <w:highlight w:val="none"/>
              </w:rPr>
              <w:t>-</w:t>
            </w:r>
            <w:r>
              <w:rPr>
                <w:rFonts w:hint="eastAsia" w:ascii="Times New Roman" w:hAnsi="Times New Roman" w:cs="Times New Roman" w:eastAsiaTheme="minorEastAsia"/>
                <w:b/>
                <w:snapToGrid w:val="0"/>
                <w:kern w:val="0"/>
                <w:sz w:val="21"/>
                <w:szCs w:val="21"/>
                <w:highlight w:val="none"/>
                <w:lang w:val="en-US" w:eastAsia="zh-CN"/>
              </w:rPr>
              <w:t>6</w:t>
            </w:r>
            <w:r>
              <w:rPr>
                <w:rFonts w:hint="default" w:ascii="Times New Roman" w:hAnsi="Times New Roman" w:cs="Times New Roman" w:eastAsiaTheme="minorEastAsia"/>
                <w:b/>
                <w:snapToGrid w:val="0"/>
                <w:kern w:val="0"/>
                <w:sz w:val="21"/>
                <w:szCs w:val="21"/>
                <w:highlight w:val="none"/>
              </w:rPr>
              <w:t xml:space="preserve"> 项目油品销售情况一览表</w:t>
            </w:r>
          </w:p>
          <w:tbl>
            <w:tblPr>
              <w:tblStyle w:val="11"/>
              <w:tblW w:w="88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1"/>
              <w:gridCol w:w="3334"/>
              <w:gridCol w:w="3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91"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产品方案</w:t>
                  </w:r>
                </w:p>
              </w:tc>
              <w:tc>
                <w:tcPr>
                  <w:tcW w:w="333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预计日销售量(t)</w:t>
                  </w:r>
                </w:p>
              </w:tc>
              <w:tc>
                <w:tcPr>
                  <w:tcW w:w="333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预计年销售量(t)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91"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汽油</w:t>
                  </w:r>
                </w:p>
              </w:tc>
              <w:tc>
                <w:tcPr>
                  <w:tcW w:w="333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2.74</w:t>
                  </w:r>
                </w:p>
              </w:tc>
              <w:tc>
                <w:tcPr>
                  <w:tcW w:w="333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91"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柴油</w:t>
                  </w:r>
                </w:p>
              </w:tc>
              <w:tc>
                <w:tcPr>
                  <w:tcW w:w="333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5.48</w:t>
                  </w:r>
                </w:p>
              </w:tc>
              <w:tc>
                <w:tcPr>
                  <w:tcW w:w="333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91"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合计</w:t>
                  </w:r>
                </w:p>
              </w:tc>
              <w:tc>
                <w:tcPr>
                  <w:tcW w:w="3334"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8.22</w:t>
                  </w:r>
                </w:p>
              </w:tc>
              <w:tc>
                <w:tcPr>
                  <w:tcW w:w="3335"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3000</w:t>
                  </w:r>
                </w:p>
              </w:tc>
            </w:tr>
          </w:tbl>
          <w:p>
            <w:pPr>
              <w:keepNext w:val="0"/>
              <w:keepLines w:val="0"/>
              <w:pageBreakBefore w:val="0"/>
              <w:widowControl w:val="0"/>
              <w:kinsoku/>
              <w:wordWrap/>
              <w:overflowPunct/>
              <w:topLinePunct w:val="0"/>
              <w:autoSpaceDE w:val="0"/>
              <w:autoSpaceDN w:val="0"/>
              <w:bidi w:val="0"/>
              <w:adjustRightInd/>
              <w:snapToGrid w:val="0"/>
              <w:spacing w:before="469" w:beforeLines="100" w:line="360" w:lineRule="auto"/>
              <w:ind w:firstLine="480" w:firstLineChars="200"/>
              <w:jc w:val="left"/>
              <w:textAlignment w:val="auto"/>
              <w:rPr>
                <w:rFonts w:hint="default" w:ascii="Times New Roman" w:hAnsi="Times New Roman" w:cs="Times New Roman" w:eastAsiaTheme="minorEastAsia"/>
                <w:snapToGrid w:val="0"/>
                <w:kern w:val="0"/>
                <w:sz w:val="24"/>
                <w:highlight w:val="none"/>
              </w:rPr>
            </w:pPr>
            <w:r>
              <w:rPr>
                <w:rFonts w:hint="eastAsia" w:cs="Times New Roman" w:eastAsiaTheme="minorEastAsia"/>
                <w:snapToGrid w:val="0"/>
                <w:kern w:val="0"/>
                <w:sz w:val="24"/>
                <w:highlight w:val="none"/>
                <w:lang w:val="en-US" w:eastAsia="zh-CN"/>
              </w:rPr>
              <w:t>1、</w:t>
            </w:r>
            <w:r>
              <w:rPr>
                <w:rFonts w:hint="default" w:ascii="Times New Roman" w:hAnsi="Times New Roman" w:cs="Times New Roman" w:eastAsiaTheme="minorEastAsia"/>
                <w:snapToGrid w:val="0"/>
                <w:kern w:val="0"/>
                <w:sz w:val="24"/>
                <w:highlight w:val="none"/>
              </w:rPr>
              <w:t xml:space="preserve">汽油 </w:t>
            </w:r>
          </w:p>
          <w:p>
            <w:pPr>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default" w:ascii="Times New Roman" w:hAnsi="Times New Roman" w:cs="Times New Roman" w:eastAsiaTheme="minorEastAsia"/>
                <w:snapToGrid w:val="0"/>
                <w:kern w:val="0"/>
                <w:sz w:val="24"/>
                <w:highlight w:val="none"/>
              </w:rPr>
              <w:t>无色或淡黄色易挥发液体，具有特殊的石油臭味，易挥发。闪点-60℃，自然点250℃，沸点30～205℃，易燃。是应用于点燃式发动机（即汽油发动机）的专用燃料。密度一般在0.71～0.75g/cm</w:t>
            </w:r>
            <w:r>
              <w:rPr>
                <w:rFonts w:hint="default" w:ascii="Times New Roman" w:hAnsi="Times New Roman" w:cs="Times New Roman" w:eastAsiaTheme="minorEastAsia"/>
                <w:snapToGrid w:val="0"/>
                <w:kern w:val="0"/>
                <w:sz w:val="24"/>
                <w:highlight w:val="none"/>
                <w:vertAlign w:val="superscript"/>
              </w:rPr>
              <w:t>3</w:t>
            </w:r>
            <w:r>
              <w:rPr>
                <w:rFonts w:hint="default" w:ascii="Times New Roman" w:hAnsi="Times New Roman" w:cs="Times New Roman" w:eastAsiaTheme="minorEastAsia"/>
                <w:snapToGrid w:val="0"/>
                <w:kern w:val="0"/>
                <w:sz w:val="24"/>
                <w:highlight w:val="none"/>
              </w:rPr>
              <w:t>之间。汽油按用途分航空汽油与车用汽油之分，在加油站销售的汽油一般为车用汽油。汽油产品目前执行的标准《车用无铅汽油》（GB17930-1999）标准，项目使用的汽油牌号主要为92号（适用于引擎压缩比8.0到8.5之间的车子，2014年前标为93号）和95号（适用于引擎压缩比8.5到9.5之间的车子，2014年前标为97号）。项目汽油源由罐车供货，卸车后，罐车不在项目停留。</w:t>
            </w:r>
          </w:p>
          <w:p>
            <w:pPr>
              <w:adjustRightInd w:val="0"/>
              <w:snapToGrid w:val="0"/>
              <w:spacing w:line="360" w:lineRule="auto"/>
              <w:ind w:firstLine="480" w:firstLineChars="200"/>
              <w:rPr>
                <w:rFonts w:hint="default" w:ascii="Times New Roman" w:hAnsi="Times New Roman" w:cs="Times New Roman" w:eastAsiaTheme="minorEastAsia"/>
                <w:snapToGrid w:val="0"/>
                <w:kern w:val="0"/>
                <w:sz w:val="24"/>
                <w:highlight w:val="none"/>
              </w:rPr>
            </w:pPr>
            <w:r>
              <w:rPr>
                <w:rFonts w:hint="eastAsia" w:cs="Times New Roman" w:eastAsiaTheme="minorEastAsia"/>
                <w:snapToGrid w:val="0"/>
                <w:kern w:val="0"/>
                <w:sz w:val="24"/>
                <w:highlight w:val="none"/>
                <w:lang w:val="en-US" w:eastAsia="zh-CN"/>
              </w:rPr>
              <w:t>2、</w:t>
            </w:r>
            <w:r>
              <w:rPr>
                <w:rFonts w:hint="default" w:ascii="Times New Roman" w:hAnsi="Times New Roman" w:cs="Times New Roman" w:eastAsiaTheme="minorEastAsia"/>
                <w:snapToGrid w:val="0"/>
                <w:kern w:val="0"/>
                <w:sz w:val="24"/>
                <w:highlight w:val="none"/>
              </w:rPr>
              <w:t>柴油</w:t>
            </w:r>
          </w:p>
          <w:p>
            <w:pPr>
              <w:autoSpaceDE w:val="0"/>
              <w:autoSpaceDN w:val="0"/>
              <w:adjustRightInd w:val="0"/>
              <w:snapToGrid w:val="0"/>
              <w:spacing w:line="360" w:lineRule="auto"/>
              <w:rPr>
                <w:rFonts w:hint="eastAsia" w:cs="Times New Roman" w:eastAsiaTheme="minorEastAsia"/>
                <w:b/>
                <w:snapToGrid w:val="0"/>
                <w:kern w:val="0"/>
                <w:sz w:val="24"/>
                <w:highlight w:val="none"/>
                <w:lang w:val="en-US" w:eastAsia="zh-CN"/>
              </w:rPr>
            </w:pPr>
            <w:r>
              <w:rPr>
                <w:rFonts w:hint="default" w:ascii="Times New Roman" w:hAnsi="Times New Roman" w:cs="Times New Roman" w:eastAsiaTheme="minorEastAsia"/>
                <w:snapToGrid w:val="0"/>
                <w:kern w:val="0"/>
                <w:sz w:val="24"/>
                <w:highlight w:val="none"/>
              </w:rPr>
              <w:t>稍有粘性的棕色液体。闪点不小于55℃，自燃点350℃～380℃，柴油的密度范围为0.820～0.855g/cm</w:t>
            </w:r>
            <w:r>
              <w:rPr>
                <w:rFonts w:hint="default" w:ascii="Times New Roman" w:hAnsi="Times New Roman" w:cs="Times New Roman" w:eastAsiaTheme="minorEastAsia"/>
                <w:snapToGrid w:val="0"/>
                <w:kern w:val="0"/>
                <w:sz w:val="24"/>
                <w:highlight w:val="none"/>
                <w:vertAlign w:val="superscript"/>
              </w:rPr>
              <w:t>3</w:t>
            </w:r>
            <w:r>
              <w:rPr>
                <w:rFonts w:hint="default" w:ascii="Times New Roman" w:hAnsi="Times New Roman" w:cs="Times New Roman" w:eastAsiaTheme="minorEastAsia"/>
                <w:snapToGrid w:val="0"/>
                <w:kern w:val="0"/>
                <w:sz w:val="24"/>
                <w:highlight w:val="none"/>
              </w:rPr>
              <w:t>之间，通常以0.84g/cm</w:t>
            </w:r>
            <w:r>
              <w:rPr>
                <w:rFonts w:hint="default" w:ascii="Times New Roman" w:hAnsi="Times New Roman" w:cs="Times New Roman" w:eastAsiaTheme="minorEastAsia"/>
                <w:snapToGrid w:val="0"/>
                <w:kern w:val="0"/>
                <w:sz w:val="24"/>
                <w:highlight w:val="none"/>
                <w:vertAlign w:val="superscript"/>
              </w:rPr>
              <w:t>3</w:t>
            </w:r>
            <w:r>
              <w:rPr>
                <w:rFonts w:hint="default" w:ascii="Times New Roman" w:hAnsi="Times New Roman" w:cs="Times New Roman" w:eastAsiaTheme="minorEastAsia"/>
                <w:snapToGrid w:val="0"/>
                <w:kern w:val="0"/>
                <w:sz w:val="24"/>
                <w:highlight w:val="none"/>
              </w:rPr>
              <w:t>计算，沸点：轻柴油约180～370℃，重柴油约350～410℃。柴油是应用于压燃式发动机（即柴油发动机）的专用燃料。柴油分为轻柴油与重柴油二种。轻柴油是用于1000r/min以上的高速柴油机中的燃料，重柴油是1000r/min以下的中低速柴油机中的燃料。 一般加油站所销售的柴油均为轻柴油。轻柴油产品目前执行的标准为《轻柴油》（GB 252-2000）标准，项目使用的柴油牌号为0号和负10号，柴油源由罐车供货，卸车后，罐车不在项目停留。</w:t>
            </w:r>
          </w:p>
          <w:p>
            <w:pPr>
              <w:autoSpaceDE w:val="0"/>
              <w:autoSpaceDN w:val="0"/>
              <w:adjustRightInd w:val="0"/>
              <w:snapToGrid w:val="0"/>
              <w:spacing w:line="360" w:lineRule="auto"/>
              <w:rPr>
                <w:rFonts w:hint="eastAsia" w:ascii="Times New Roman" w:hAnsi="Times New Roman" w:cs="Times New Roman" w:eastAsiaTheme="minorEastAsia"/>
                <w:b/>
                <w:snapToGrid w:val="0"/>
                <w:kern w:val="0"/>
                <w:sz w:val="24"/>
                <w:highlight w:val="none"/>
                <w:lang w:val="en-US" w:eastAsia="zh-CN"/>
              </w:rPr>
            </w:pPr>
            <w:r>
              <w:rPr>
                <w:rFonts w:hint="eastAsia" w:cs="Times New Roman" w:eastAsiaTheme="minorEastAsia"/>
                <w:b/>
                <w:snapToGrid w:val="0"/>
                <w:kern w:val="0"/>
                <w:sz w:val="24"/>
                <w:highlight w:val="none"/>
                <w:lang w:val="en-US" w:eastAsia="zh-CN"/>
              </w:rPr>
              <w:t>二、</w:t>
            </w:r>
            <w:r>
              <w:rPr>
                <w:rFonts w:hint="eastAsia" w:ascii="Times New Roman" w:hAnsi="Times New Roman" w:cs="Times New Roman" w:eastAsiaTheme="minorEastAsia"/>
                <w:b/>
                <w:snapToGrid w:val="0"/>
                <w:kern w:val="0"/>
                <w:sz w:val="24"/>
                <w:highlight w:val="none"/>
                <w:lang w:val="en-US" w:eastAsia="zh-CN"/>
              </w:rPr>
              <w:t>水平衡</w:t>
            </w:r>
          </w:p>
          <w:p>
            <w:pPr>
              <w:adjustRightInd w:val="0"/>
              <w:snapToGrid w:val="0"/>
              <w:spacing w:line="360" w:lineRule="auto"/>
              <w:ind w:firstLine="480" w:firstLineChars="200"/>
              <w:rPr>
                <w:rFonts w:hint="eastAsia" w:ascii="Times New Roman" w:hAnsi="Times New Roman" w:cs="Times New Roman"/>
                <w:snapToGrid w:val="0"/>
                <w:kern w:val="0"/>
                <w:sz w:val="24"/>
                <w:szCs w:val="24"/>
                <w:highlight w:val="none"/>
                <w:lang w:eastAsia="zh-CN"/>
              </w:rPr>
            </w:pPr>
            <w:r>
              <w:rPr>
                <w:rFonts w:hint="eastAsia"/>
                <w:snapToGrid w:val="0"/>
                <w:kern w:val="0"/>
                <w:sz w:val="24"/>
                <w:szCs w:val="24"/>
                <w:highlight w:val="none"/>
              </w:rPr>
              <w:t>本</w:t>
            </w:r>
            <w:r>
              <w:rPr>
                <w:rFonts w:hint="eastAsia" w:ascii="Times New Roman" w:hAnsi="Times New Roman" w:cs="Times New Roman"/>
                <w:snapToGrid w:val="0"/>
                <w:kern w:val="0"/>
                <w:sz w:val="24"/>
                <w:szCs w:val="24"/>
                <w:highlight w:val="none"/>
              </w:rPr>
              <w:t>项目排水采用雨污分流，加油岛四周设雨水收集沟槽，雨水经隔油池处理后排入场外排水渠，最终进入赤水河</w:t>
            </w:r>
            <w:r>
              <w:rPr>
                <w:rFonts w:hint="eastAsia" w:ascii="Times New Roman" w:hAnsi="Times New Roman" w:cs="Times New Roman"/>
                <w:snapToGrid w:val="0"/>
                <w:kern w:val="0"/>
                <w:sz w:val="24"/>
                <w:szCs w:val="24"/>
                <w:highlight w:val="none"/>
                <w:lang w:eastAsia="zh-CN"/>
              </w:rPr>
              <w:t>。</w:t>
            </w:r>
          </w:p>
          <w:p>
            <w:pPr>
              <w:snapToGrid w:val="0"/>
              <w:spacing w:line="360" w:lineRule="auto"/>
              <w:ind w:firstLine="480" w:firstLineChars="200"/>
              <w:rPr>
                <w:rFonts w:hint="eastAsia"/>
                <w:sz w:val="24"/>
                <w:szCs w:val="24"/>
                <w:highlight w:val="none"/>
              </w:rPr>
            </w:pPr>
            <w:r>
              <w:rPr>
                <w:rFonts w:hint="eastAsia"/>
                <w:sz w:val="24"/>
                <w:szCs w:val="24"/>
                <w:highlight w:val="none"/>
              </w:rPr>
              <w:t>本项目废水主要为</w:t>
            </w:r>
            <w:r>
              <w:rPr>
                <w:sz w:val="24"/>
                <w:szCs w:val="24"/>
                <w:highlight w:val="none"/>
              </w:rPr>
              <w:t>职工及顾客产生的生活污水</w:t>
            </w:r>
            <w:r>
              <w:rPr>
                <w:rFonts w:hint="eastAsia"/>
                <w:sz w:val="24"/>
                <w:szCs w:val="24"/>
                <w:highlight w:val="none"/>
              </w:rPr>
              <w:t>及</w:t>
            </w:r>
            <w:r>
              <w:rPr>
                <w:sz w:val="24"/>
                <w:szCs w:val="24"/>
                <w:highlight w:val="none"/>
              </w:rPr>
              <w:t>油污场地</w:t>
            </w:r>
            <w:r>
              <w:rPr>
                <w:rFonts w:hint="eastAsia"/>
                <w:sz w:val="24"/>
                <w:szCs w:val="24"/>
                <w:highlight w:val="none"/>
              </w:rPr>
              <w:t>冲洗废水</w:t>
            </w:r>
            <w:r>
              <w:rPr>
                <w:sz w:val="24"/>
                <w:szCs w:val="24"/>
                <w:highlight w:val="none"/>
              </w:rPr>
              <w:t>。</w:t>
            </w:r>
          </w:p>
          <w:p>
            <w:pPr>
              <w:autoSpaceDE w:val="0"/>
              <w:autoSpaceDN w:val="0"/>
              <w:adjustRightInd w:val="0"/>
              <w:snapToGrid w:val="0"/>
              <w:spacing w:line="360" w:lineRule="auto"/>
              <w:ind w:firstLine="480" w:firstLineChars="200"/>
              <w:rPr>
                <w:rFonts w:hint="eastAsia"/>
                <w:sz w:val="24"/>
                <w:szCs w:val="24"/>
                <w:highlight w:val="none"/>
              </w:rPr>
            </w:pPr>
            <w:r>
              <w:rPr>
                <w:rFonts w:hint="eastAsia"/>
                <w:sz w:val="24"/>
                <w:szCs w:val="24"/>
                <w:highlight w:val="none"/>
              </w:rPr>
              <w:t>依据陕西省《行业用水定额》（DB61/T943-2014），居民生活用水量约70</w:t>
            </w:r>
            <w:r>
              <w:rPr>
                <w:sz w:val="24"/>
                <w:szCs w:val="24"/>
                <w:highlight w:val="none"/>
              </w:rPr>
              <w:t>L/(人•d)</w:t>
            </w:r>
            <w:r>
              <w:rPr>
                <w:rFonts w:hint="eastAsia"/>
                <w:sz w:val="24"/>
                <w:szCs w:val="24"/>
                <w:highlight w:val="none"/>
              </w:rPr>
              <w:t>，</w:t>
            </w:r>
            <w:r>
              <w:rPr>
                <w:sz w:val="24"/>
                <w:szCs w:val="24"/>
                <w:highlight w:val="none"/>
              </w:rPr>
              <w:t>加油站劳动定员</w:t>
            </w:r>
            <w:r>
              <w:rPr>
                <w:rFonts w:hint="eastAsia"/>
                <w:sz w:val="24"/>
                <w:szCs w:val="24"/>
                <w:highlight w:val="none"/>
              </w:rPr>
              <w:t>6</w:t>
            </w:r>
            <w:r>
              <w:rPr>
                <w:sz w:val="24"/>
                <w:szCs w:val="24"/>
                <w:highlight w:val="none"/>
              </w:rPr>
              <w:t>人，则用水量为</w:t>
            </w:r>
            <w:r>
              <w:rPr>
                <w:rFonts w:hint="eastAsia"/>
                <w:sz w:val="24"/>
                <w:szCs w:val="24"/>
                <w:highlight w:val="none"/>
              </w:rPr>
              <w:t>0.42</w:t>
            </w:r>
            <w:r>
              <w:rPr>
                <w:sz w:val="24"/>
                <w:szCs w:val="24"/>
                <w:highlight w:val="none"/>
              </w:rPr>
              <w:t>m</w:t>
            </w:r>
            <w:r>
              <w:rPr>
                <w:sz w:val="24"/>
                <w:szCs w:val="24"/>
                <w:highlight w:val="none"/>
                <w:vertAlign w:val="superscript"/>
              </w:rPr>
              <w:t>3</w:t>
            </w:r>
            <w:r>
              <w:rPr>
                <w:sz w:val="24"/>
                <w:szCs w:val="24"/>
                <w:highlight w:val="none"/>
              </w:rPr>
              <w:t>/d、</w:t>
            </w:r>
            <w:r>
              <w:rPr>
                <w:rFonts w:hint="eastAsia"/>
                <w:sz w:val="24"/>
                <w:szCs w:val="24"/>
                <w:highlight w:val="none"/>
              </w:rPr>
              <w:t>153.3</w:t>
            </w:r>
            <w:r>
              <w:rPr>
                <w:sz w:val="24"/>
                <w:szCs w:val="24"/>
                <w:highlight w:val="none"/>
              </w:rPr>
              <w:t>m</w:t>
            </w:r>
            <w:r>
              <w:rPr>
                <w:sz w:val="24"/>
                <w:szCs w:val="24"/>
                <w:highlight w:val="none"/>
                <w:vertAlign w:val="superscript"/>
              </w:rPr>
              <w:t>3</w:t>
            </w:r>
            <w:r>
              <w:rPr>
                <w:sz w:val="24"/>
                <w:szCs w:val="24"/>
                <w:highlight w:val="none"/>
              </w:rPr>
              <w:t>/a，排污系数按0.8计，生活污水产生量为</w:t>
            </w:r>
            <w:r>
              <w:rPr>
                <w:rFonts w:hint="eastAsia"/>
                <w:sz w:val="24"/>
                <w:szCs w:val="24"/>
                <w:highlight w:val="none"/>
              </w:rPr>
              <w:t>0.336</w:t>
            </w:r>
            <w:r>
              <w:rPr>
                <w:sz w:val="24"/>
                <w:szCs w:val="24"/>
                <w:highlight w:val="none"/>
              </w:rPr>
              <w:t>m</w:t>
            </w:r>
            <w:r>
              <w:rPr>
                <w:sz w:val="24"/>
                <w:szCs w:val="24"/>
                <w:highlight w:val="none"/>
                <w:vertAlign w:val="superscript"/>
              </w:rPr>
              <w:t>3</w:t>
            </w:r>
            <w:r>
              <w:rPr>
                <w:sz w:val="24"/>
                <w:szCs w:val="24"/>
                <w:highlight w:val="none"/>
              </w:rPr>
              <w:t>/d、</w:t>
            </w:r>
            <w:r>
              <w:rPr>
                <w:rFonts w:hint="eastAsia"/>
                <w:sz w:val="24"/>
                <w:szCs w:val="24"/>
                <w:highlight w:val="none"/>
              </w:rPr>
              <w:t>122.6</w:t>
            </w:r>
            <w:r>
              <w:rPr>
                <w:sz w:val="24"/>
                <w:szCs w:val="24"/>
                <w:highlight w:val="none"/>
              </w:rPr>
              <w:t>m</w:t>
            </w:r>
            <w:r>
              <w:rPr>
                <w:sz w:val="24"/>
                <w:szCs w:val="24"/>
                <w:highlight w:val="none"/>
                <w:vertAlign w:val="superscript"/>
              </w:rPr>
              <w:t>3</w:t>
            </w:r>
            <w:r>
              <w:rPr>
                <w:sz w:val="24"/>
                <w:szCs w:val="24"/>
                <w:highlight w:val="none"/>
              </w:rPr>
              <w:t>/a</w:t>
            </w:r>
            <w:r>
              <w:rPr>
                <w:rFonts w:hint="eastAsia"/>
                <w:sz w:val="24"/>
                <w:szCs w:val="24"/>
                <w:highlight w:val="none"/>
              </w:rPr>
              <w:t>。</w:t>
            </w:r>
          </w:p>
          <w:p>
            <w:pPr>
              <w:autoSpaceDE w:val="0"/>
              <w:autoSpaceDN w:val="0"/>
              <w:adjustRightInd w:val="0"/>
              <w:snapToGrid w:val="0"/>
              <w:spacing w:line="360" w:lineRule="auto"/>
              <w:ind w:firstLine="480" w:firstLineChars="200"/>
              <w:rPr>
                <w:rFonts w:hint="eastAsia"/>
                <w:sz w:val="24"/>
                <w:szCs w:val="24"/>
                <w:highlight w:val="none"/>
              </w:rPr>
            </w:pPr>
            <w:r>
              <w:rPr>
                <w:sz w:val="24"/>
                <w:szCs w:val="24"/>
                <w:highlight w:val="none"/>
              </w:rPr>
              <w:t>顾客盥洗用水量按5L/人·次计算，客流量约50人/d，则用水量为0.25m</w:t>
            </w:r>
            <w:r>
              <w:rPr>
                <w:sz w:val="24"/>
                <w:szCs w:val="24"/>
                <w:highlight w:val="none"/>
                <w:vertAlign w:val="superscript"/>
              </w:rPr>
              <w:t>3</w:t>
            </w:r>
            <w:r>
              <w:rPr>
                <w:sz w:val="24"/>
                <w:szCs w:val="24"/>
                <w:highlight w:val="none"/>
              </w:rPr>
              <w:t>/d、91</w:t>
            </w:r>
            <w:r>
              <w:rPr>
                <w:rFonts w:hint="eastAsia"/>
                <w:sz w:val="24"/>
                <w:szCs w:val="24"/>
                <w:highlight w:val="none"/>
              </w:rPr>
              <w:t>.</w:t>
            </w:r>
            <w:r>
              <w:rPr>
                <w:sz w:val="24"/>
                <w:szCs w:val="24"/>
                <w:highlight w:val="none"/>
              </w:rPr>
              <w:t>3m</w:t>
            </w:r>
            <w:r>
              <w:rPr>
                <w:sz w:val="24"/>
                <w:szCs w:val="24"/>
                <w:highlight w:val="none"/>
                <w:vertAlign w:val="superscript"/>
              </w:rPr>
              <w:t>3</w:t>
            </w:r>
            <w:r>
              <w:rPr>
                <w:sz w:val="24"/>
                <w:szCs w:val="24"/>
                <w:highlight w:val="none"/>
              </w:rPr>
              <w:t>/a，污水产生量为0.2m</w:t>
            </w:r>
            <w:r>
              <w:rPr>
                <w:sz w:val="24"/>
                <w:szCs w:val="24"/>
                <w:highlight w:val="none"/>
                <w:vertAlign w:val="superscript"/>
              </w:rPr>
              <w:t>3</w:t>
            </w:r>
            <w:r>
              <w:rPr>
                <w:sz w:val="24"/>
                <w:szCs w:val="24"/>
                <w:highlight w:val="none"/>
              </w:rPr>
              <w:t>/d、73.0m</w:t>
            </w:r>
            <w:r>
              <w:rPr>
                <w:sz w:val="24"/>
                <w:szCs w:val="24"/>
                <w:highlight w:val="none"/>
                <w:vertAlign w:val="superscript"/>
              </w:rPr>
              <w:t>3</w:t>
            </w:r>
            <w:r>
              <w:rPr>
                <w:sz w:val="24"/>
                <w:szCs w:val="24"/>
                <w:highlight w:val="none"/>
              </w:rPr>
              <w:t>/a</w:t>
            </w:r>
            <w:r>
              <w:rPr>
                <w:rFonts w:hint="eastAsia"/>
                <w:sz w:val="24"/>
                <w:szCs w:val="24"/>
                <w:highlight w:val="none"/>
              </w:rPr>
              <w:t>。</w:t>
            </w:r>
          </w:p>
          <w:p>
            <w:pPr>
              <w:autoSpaceDE w:val="0"/>
              <w:autoSpaceDN w:val="0"/>
              <w:adjustRightInd w:val="0"/>
              <w:snapToGrid w:val="0"/>
              <w:spacing w:line="360" w:lineRule="auto"/>
              <w:ind w:firstLine="480" w:firstLineChars="200"/>
              <w:rPr>
                <w:rFonts w:hint="eastAsia"/>
                <w:sz w:val="24"/>
                <w:szCs w:val="24"/>
                <w:highlight w:val="none"/>
              </w:rPr>
            </w:pPr>
            <w:r>
              <w:rPr>
                <w:sz w:val="24"/>
                <w:szCs w:val="24"/>
                <w:highlight w:val="none"/>
              </w:rPr>
              <w:t>场地冲洗水量按2.5L/m</w:t>
            </w:r>
            <w:r>
              <w:rPr>
                <w:sz w:val="24"/>
                <w:szCs w:val="24"/>
                <w:highlight w:val="none"/>
                <w:vertAlign w:val="superscript"/>
              </w:rPr>
              <w:t>2</w:t>
            </w:r>
            <w:r>
              <w:rPr>
                <w:sz w:val="24"/>
                <w:szCs w:val="24"/>
                <w:highlight w:val="none"/>
              </w:rPr>
              <w:t>·次计算，一周一次，</w:t>
            </w:r>
            <w:r>
              <w:rPr>
                <w:rFonts w:hint="eastAsia"/>
                <w:sz w:val="24"/>
                <w:szCs w:val="24"/>
                <w:highlight w:val="none"/>
              </w:rPr>
              <w:t>加油区面积960m</w:t>
            </w:r>
            <w:r>
              <w:rPr>
                <w:rFonts w:hint="eastAsia"/>
                <w:sz w:val="24"/>
                <w:szCs w:val="24"/>
                <w:highlight w:val="none"/>
                <w:vertAlign w:val="superscript"/>
              </w:rPr>
              <w:t>2</w:t>
            </w:r>
            <w:r>
              <w:rPr>
                <w:rFonts w:hint="eastAsia"/>
                <w:sz w:val="24"/>
                <w:szCs w:val="24"/>
                <w:highlight w:val="none"/>
              </w:rPr>
              <w:t>，</w:t>
            </w:r>
            <w:r>
              <w:rPr>
                <w:sz w:val="24"/>
                <w:szCs w:val="24"/>
                <w:highlight w:val="none"/>
              </w:rPr>
              <w:t>则用水量为</w:t>
            </w:r>
            <w:r>
              <w:rPr>
                <w:rFonts w:hint="eastAsia"/>
                <w:sz w:val="24"/>
                <w:szCs w:val="24"/>
                <w:highlight w:val="none"/>
              </w:rPr>
              <w:t>2.4</w:t>
            </w:r>
            <w:r>
              <w:rPr>
                <w:sz w:val="24"/>
                <w:szCs w:val="24"/>
                <w:highlight w:val="none"/>
              </w:rPr>
              <w:t>m</w:t>
            </w:r>
            <w:r>
              <w:rPr>
                <w:sz w:val="24"/>
                <w:szCs w:val="24"/>
                <w:highlight w:val="none"/>
                <w:vertAlign w:val="superscript"/>
              </w:rPr>
              <w:t>3</w:t>
            </w:r>
            <w:r>
              <w:rPr>
                <w:sz w:val="24"/>
                <w:szCs w:val="24"/>
                <w:highlight w:val="none"/>
              </w:rPr>
              <w:t>/次、</w:t>
            </w:r>
            <w:r>
              <w:rPr>
                <w:rFonts w:hint="eastAsia"/>
                <w:sz w:val="24"/>
                <w:szCs w:val="24"/>
                <w:highlight w:val="none"/>
              </w:rPr>
              <w:t>124.8</w:t>
            </w:r>
            <w:r>
              <w:rPr>
                <w:sz w:val="24"/>
                <w:szCs w:val="24"/>
                <w:highlight w:val="none"/>
              </w:rPr>
              <w:t>m</w:t>
            </w:r>
            <w:r>
              <w:rPr>
                <w:sz w:val="24"/>
                <w:szCs w:val="24"/>
                <w:highlight w:val="none"/>
                <w:vertAlign w:val="superscript"/>
              </w:rPr>
              <w:t>3</w:t>
            </w:r>
            <w:r>
              <w:rPr>
                <w:sz w:val="24"/>
                <w:szCs w:val="24"/>
                <w:highlight w:val="none"/>
              </w:rPr>
              <w:t>/a</w:t>
            </w:r>
            <w:r>
              <w:rPr>
                <w:rFonts w:hint="eastAsia"/>
                <w:sz w:val="24"/>
                <w:szCs w:val="24"/>
                <w:highlight w:val="none"/>
              </w:rPr>
              <w:t>，排水量按用水量的90%计算，则冲洗废水产生量为2.16</w:t>
            </w:r>
            <w:r>
              <w:rPr>
                <w:sz w:val="24"/>
                <w:szCs w:val="24"/>
                <w:highlight w:val="none"/>
              </w:rPr>
              <w:t>m</w:t>
            </w:r>
            <w:r>
              <w:rPr>
                <w:sz w:val="24"/>
                <w:szCs w:val="24"/>
                <w:highlight w:val="none"/>
                <w:vertAlign w:val="superscript"/>
              </w:rPr>
              <w:t>3</w:t>
            </w:r>
            <w:r>
              <w:rPr>
                <w:sz w:val="24"/>
                <w:szCs w:val="24"/>
                <w:highlight w:val="none"/>
              </w:rPr>
              <w:t>/次</w:t>
            </w:r>
            <w:r>
              <w:rPr>
                <w:rFonts w:hint="eastAsia"/>
                <w:sz w:val="24"/>
                <w:szCs w:val="24"/>
                <w:highlight w:val="none"/>
              </w:rPr>
              <w:t>，112.3</w:t>
            </w:r>
            <w:r>
              <w:rPr>
                <w:sz w:val="24"/>
                <w:szCs w:val="24"/>
                <w:highlight w:val="none"/>
              </w:rPr>
              <w:t xml:space="preserve"> m</w:t>
            </w:r>
            <w:r>
              <w:rPr>
                <w:sz w:val="24"/>
                <w:szCs w:val="24"/>
                <w:highlight w:val="none"/>
                <w:vertAlign w:val="superscript"/>
              </w:rPr>
              <w:t>3</w:t>
            </w:r>
            <w:r>
              <w:rPr>
                <w:sz w:val="24"/>
                <w:szCs w:val="24"/>
                <w:highlight w:val="none"/>
              </w:rPr>
              <w:t>/a</w:t>
            </w:r>
            <w:r>
              <w:rPr>
                <w:rFonts w:hint="eastAsia"/>
                <w:sz w:val="24"/>
                <w:szCs w:val="24"/>
                <w:highlight w:val="none"/>
              </w:rPr>
              <w:t>。</w:t>
            </w:r>
          </w:p>
          <w:p>
            <w:pPr>
              <w:autoSpaceDE w:val="0"/>
              <w:autoSpaceDN w:val="0"/>
              <w:adjustRightInd w:val="0"/>
              <w:snapToGrid w:val="0"/>
              <w:spacing w:line="360" w:lineRule="auto"/>
              <w:ind w:firstLine="480" w:firstLineChars="200"/>
              <w:rPr>
                <w:rFonts w:hint="eastAsia"/>
                <w:sz w:val="24"/>
                <w:szCs w:val="24"/>
                <w:highlight w:val="none"/>
              </w:rPr>
            </w:pPr>
            <w:r>
              <w:rPr>
                <w:sz w:val="24"/>
                <w:szCs w:val="24"/>
                <w:highlight w:val="none"/>
              </w:rPr>
              <w:t>绿化用水按2.0L/m</w:t>
            </w:r>
            <w:r>
              <w:rPr>
                <w:sz w:val="24"/>
                <w:szCs w:val="24"/>
                <w:highlight w:val="none"/>
                <w:vertAlign w:val="superscript"/>
              </w:rPr>
              <w:t>2</w:t>
            </w:r>
            <w:r>
              <w:rPr>
                <w:sz w:val="24"/>
                <w:szCs w:val="24"/>
                <w:highlight w:val="none"/>
              </w:rPr>
              <w:t>·</w:t>
            </w:r>
            <w:r>
              <w:rPr>
                <w:rFonts w:hint="eastAsia"/>
                <w:sz w:val="24"/>
                <w:szCs w:val="24"/>
                <w:highlight w:val="none"/>
              </w:rPr>
              <w:t>次</w:t>
            </w:r>
            <w:r>
              <w:rPr>
                <w:sz w:val="24"/>
                <w:szCs w:val="24"/>
                <w:highlight w:val="none"/>
              </w:rPr>
              <w:t>计算，每周一次，绿化面积</w:t>
            </w:r>
            <w:r>
              <w:rPr>
                <w:rFonts w:hint="eastAsia"/>
                <w:sz w:val="24"/>
                <w:szCs w:val="24"/>
                <w:highlight w:val="none"/>
                <w:lang w:val="en-US" w:eastAsia="zh-CN"/>
              </w:rPr>
              <w:t>200</w:t>
            </w:r>
            <w:r>
              <w:rPr>
                <w:sz w:val="24"/>
                <w:szCs w:val="24"/>
                <w:highlight w:val="none"/>
              </w:rPr>
              <w:t>m</w:t>
            </w:r>
            <w:r>
              <w:rPr>
                <w:sz w:val="24"/>
                <w:szCs w:val="24"/>
                <w:highlight w:val="none"/>
                <w:vertAlign w:val="superscript"/>
              </w:rPr>
              <w:t>2</w:t>
            </w:r>
            <w:r>
              <w:rPr>
                <w:sz w:val="24"/>
                <w:szCs w:val="24"/>
                <w:highlight w:val="none"/>
              </w:rPr>
              <w:t>，则用水量为</w:t>
            </w:r>
            <w:r>
              <w:rPr>
                <w:rFonts w:hint="eastAsia"/>
                <w:sz w:val="24"/>
                <w:szCs w:val="24"/>
                <w:highlight w:val="none"/>
              </w:rPr>
              <w:t>0.</w:t>
            </w:r>
            <w:r>
              <w:rPr>
                <w:rFonts w:hint="eastAsia"/>
                <w:sz w:val="24"/>
                <w:szCs w:val="24"/>
                <w:highlight w:val="none"/>
                <w:lang w:val="en-US" w:eastAsia="zh-CN"/>
              </w:rPr>
              <w:t>4</w:t>
            </w:r>
            <w:r>
              <w:rPr>
                <w:sz w:val="24"/>
                <w:szCs w:val="24"/>
                <w:highlight w:val="none"/>
              </w:rPr>
              <w:t>m</w:t>
            </w:r>
            <w:r>
              <w:rPr>
                <w:sz w:val="24"/>
                <w:szCs w:val="24"/>
                <w:highlight w:val="none"/>
                <w:vertAlign w:val="superscript"/>
              </w:rPr>
              <w:t>3</w:t>
            </w:r>
            <w:r>
              <w:rPr>
                <w:sz w:val="24"/>
                <w:szCs w:val="24"/>
                <w:highlight w:val="none"/>
              </w:rPr>
              <w:t>/</w:t>
            </w:r>
            <w:r>
              <w:rPr>
                <w:rFonts w:hint="eastAsia"/>
                <w:sz w:val="24"/>
                <w:szCs w:val="24"/>
                <w:highlight w:val="none"/>
              </w:rPr>
              <w:t>次</w:t>
            </w:r>
            <w:r>
              <w:rPr>
                <w:sz w:val="24"/>
                <w:szCs w:val="24"/>
                <w:highlight w:val="none"/>
              </w:rPr>
              <w:t>、</w:t>
            </w:r>
            <w:r>
              <w:rPr>
                <w:rFonts w:hint="eastAsia"/>
                <w:sz w:val="24"/>
                <w:szCs w:val="24"/>
                <w:highlight w:val="none"/>
                <w:lang w:val="en-US" w:eastAsia="zh-CN"/>
              </w:rPr>
              <w:t>20.8</w:t>
            </w:r>
            <w:r>
              <w:rPr>
                <w:sz w:val="24"/>
                <w:szCs w:val="24"/>
                <w:highlight w:val="none"/>
              </w:rPr>
              <w:t>m</w:t>
            </w:r>
            <w:r>
              <w:rPr>
                <w:sz w:val="24"/>
                <w:szCs w:val="24"/>
                <w:highlight w:val="none"/>
                <w:vertAlign w:val="superscript"/>
              </w:rPr>
              <w:t>3</w:t>
            </w:r>
            <w:r>
              <w:rPr>
                <w:sz w:val="24"/>
                <w:szCs w:val="24"/>
                <w:highlight w:val="none"/>
              </w:rPr>
              <w:t>/a，全部由植物吸收及蒸发损耗。</w:t>
            </w:r>
          </w:p>
          <w:p>
            <w:pPr>
              <w:autoSpaceDE w:val="0"/>
              <w:autoSpaceDN w:val="0"/>
              <w:adjustRightInd w:val="0"/>
              <w:snapToGrid w:val="0"/>
              <w:spacing w:line="360" w:lineRule="auto"/>
              <w:ind w:firstLine="480" w:firstLineChars="200"/>
              <w:rPr>
                <w:sz w:val="24"/>
                <w:szCs w:val="24"/>
                <w:highlight w:val="none"/>
              </w:rPr>
            </w:pPr>
            <w:r>
              <w:rPr>
                <w:sz w:val="24"/>
                <w:szCs w:val="24"/>
                <w:highlight w:val="none"/>
              </w:rPr>
              <w:t>因此，项目总用水量为</w:t>
            </w:r>
            <w:r>
              <w:rPr>
                <w:rFonts w:hint="eastAsia"/>
                <w:sz w:val="24"/>
                <w:szCs w:val="24"/>
                <w:highlight w:val="none"/>
                <w:lang w:val="en-US" w:eastAsia="zh-CN"/>
              </w:rPr>
              <w:t>390.2</w:t>
            </w:r>
            <w:r>
              <w:rPr>
                <w:sz w:val="24"/>
                <w:szCs w:val="24"/>
                <w:highlight w:val="none"/>
              </w:rPr>
              <w:t>m</w:t>
            </w:r>
            <w:r>
              <w:rPr>
                <w:sz w:val="24"/>
                <w:szCs w:val="24"/>
                <w:highlight w:val="none"/>
                <w:vertAlign w:val="superscript"/>
              </w:rPr>
              <w:t>3</w:t>
            </w:r>
            <w:r>
              <w:rPr>
                <w:sz w:val="24"/>
                <w:szCs w:val="24"/>
                <w:highlight w:val="none"/>
              </w:rPr>
              <w:t>/a，污水产生总量为</w:t>
            </w:r>
            <w:r>
              <w:rPr>
                <w:rFonts w:hint="eastAsia"/>
                <w:sz w:val="24"/>
                <w:szCs w:val="24"/>
                <w:highlight w:val="none"/>
              </w:rPr>
              <w:t>307.9</w:t>
            </w:r>
            <w:r>
              <w:rPr>
                <w:sz w:val="24"/>
                <w:szCs w:val="24"/>
                <w:highlight w:val="none"/>
              </w:rPr>
              <w:t>m</w:t>
            </w:r>
            <w:r>
              <w:rPr>
                <w:sz w:val="24"/>
                <w:szCs w:val="24"/>
                <w:highlight w:val="none"/>
                <w:vertAlign w:val="superscript"/>
              </w:rPr>
              <w:t>3</w:t>
            </w:r>
            <w:r>
              <w:rPr>
                <w:sz w:val="24"/>
                <w:szCs w:val="24"/>
                <w:highlight w:val="none"/>
              </w:rPr>
              <w:t>/a。</w:t>
            </w:r>
          </w:p>
          <w:p>
            <w:pPr>
              <w:autoSpaceDE w:val="0"/>
              <w:autoSpaceDN w:val="0"/>
              <w:adjustRightInd w:val="0"/>
              <w:snapToGrid w:val="0"/>
              <w:spacing w:line="360" w:lineRule="auto"/>
              <w:ind w:firstLine="480" w:firstLineChars="200"/>
              <w:rPr>
                <w:rFonts w:hint="eastAsia"/>
                <w:b/>
                <w:bCs/>
                <w:sz w:val="21"/>
                <w:szCs w:val="21"/>
                <w:highlight w:val="none"/>
              </w:rPr>
            </w:pPr>
            <w:r>
              <w:rPr>
                <w:sz w:val="24"/>
                <w:szCs w:val="24"/>
                <w:highlight w:val="none"/>
              </w:rPr>
              <w:t>项目用、排水量见表</w:t>
            </w:r>
            <w:r>
              <w:rPr>
                <w:rFonts w:hint="eastAsia"/>
                <w:sz w:val="24"/>
                <w:szCs w:val="24"/>
                <w:highlight w:val="none"/>
                <w:lang w:val="en-US" w:eastAsia="zh-CN"/>
              </w:rPr>
              <w:t>2-7</w:t>
            </w:r>
            <w:r>
              <w:rPr>
                <w:sz w:val="24"/>
                <w:szCs w:val="24"/>
                <w:highlight w:val="none"/>
              </w:rPr>
              <w:t>，水平衡图见图</w:t>
            </w:r>
            <w:r>
              <w:rPr>
                <w:rFonts w:hint="eastAsia"/>
                <w:sz w:val="24"/>
                <w:szCs w:val="24"/>
                <w:highlight w:val="none"/>
                <w:lang w:val="en-US" w:eastAsia="zh-CN"/>
              </w:rPr>
              <w:t>2-1</w:t>
            </w:r>
            <w:r>
              <w:rPr>
                <w:sz w:val="24"/>
                <w:szCs w:val="24"/>
                <w:highlight w:val="none"/>
              </w:rPr>
              <w:t>。</w:t>
            </w:r>
          </w:p>
          <w:p>
            <w:pPr>
              <w:tabs>
                <w:tab w:val="left" w:pos="2130"/>
              </w:tabs>
              <w:snapToGrid w:val="0"/>
              <w:jc w:val="center"/>
              <w:rPr>
                <w:b/>
                <w:bCs/>
                <w:sz w:val="21"/>
                <w:szCs w:val="21"/>
                <w:highlight w:val="none"/>
              </w:rPr>
            </w:pPr>
          </w:p>
          <w:p>
            <w:pPr>
              <w:tabs>
                <w:tab w:val="left" w:pos="2130"/>
              </w:tabs>
              <w:snapToGrid w:val="0"/>
              <w:jc w:val="center"/>
              <w:rPr>
                <w:b/>
                <w:bCs/>
                <w:sz w:val="21"/>
                <w:szCs w:val="21"/>
                <w:highlight w:val="none"/>
              </w:rPr>
            </w:pPr>
          </w:p>
          <w:p>
            <w:pPr>
              <w:tabs>
                <w:tab w:val="left" w:pos="2130"/>
              </w:tabs>
              <w:snapToGrid w:val="0"/>
              <w:jc w:val="center"/>
              <w:rPr>
                <w:b/>
                <w:bCs/>
                <w:sz w:val="21"/>
                <w:szCs w:val="21"/>
                <w:highlight w:val="none"/>
              </w:rPr>
            </w:pPr>
            <w:r>
              <w:rPr>
                <w:b/>
                <w:bCs/>
                <w:sz w:val="21"/>
                <w:szCs w:val="21"/>
                <w:highlight w:val="none"/>
              </w:rPr>
              <w:t>表</w:t>
            </w:r>
            <w:r>
              <w:rPr>
                <w:rFonts w:hint="eastAsia"/>
                <w:b/>
                <w:bCs/>
                <w:sz w:val="21"/>
                <w:szCs w:val="21"/>
                <w:highlight w:val="none"/>
                <w:lang w:val="en-US" w:eastAsia="zh-CN"/>
              </w:rPr>
              <w:t>2-7</w:t>
            </w:r>
            <w:r>
              <w:rPr>
                <w:b/>
                <w:bCs/>
                <w:sz w:val="21"/>
                <w:szCs w:val="21"/>
                <w:highlight w:val="none"/>
              </w:rPr>
              <w:t xml:space="preserve">  项目用、排水量估算表</w:t>
            </w:r>
          </w:p>
          <w:tbl>
            <w:tblPr>
              <w:tblStyle w:val="11"/>
              <w:tblW w:w="885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31"/>
              <w:gridCol w:w="764"/>
              <w:gridCol w:w="1353"/>
              <w:gridCol w:w="1011"/>
              <w:gridCol w:w="1250"/>
              <w:gridCol w:w="1251"/>
              <w:gridCol w:w="149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40" w:hRule="atLeast"/>
                <w:jc w:val="center"/>
              </w:trPr>
              <w:tc>
                <w:tcPr>
                  <w:tcW w:w="1731" w:type="dxa"/>
                  <w:vMerge w:val="restart"/>
                  <w:noWrap w:val="0"/>
                  <w:vAlign w:val="center"/>
                </w:tcPr>
                <w:p>
                  <w:pPr>
                    <w:autoSpaceDE w:val="0"/>
                    <w:autoSpaceDN w:val="0"/>
                    <w:adjustRightInd w:val="0"/>
                    <w:snapToGrid w:val="0"/>
                    <w:jc w:val="center"/>
                    <w:rPr>
                      <w:rFonts w:hint="eastAsia" w:eastAsia="黑体"/>
                      <w:highlight w:val="none"/>
                      <w:lang w:eastAsia="zh-CN"/>
                    </w:rPr>
                  </w:pPr>
                  <w:r>
                    <w:rPr>
                      <w:rFonts w:hint="eastAsia" w:ascii="Times New Roman" w:hAnsi="Times New Roman" w:cs="Times New Roman"/>
                      <w:b/>
                      <w:bCs/>
                      <w:sz w:val="21"/>
                      <w:szCs w:val="21"/>
                      <w:highlight w:val="none"/>
                      <w:lang w:eastAsia="zh-CN"/>
                    </w:rPr>
                    <w:t>类型</w:t>
                  </w:r>
                </w:p>
              </w:tc>
              <w:tc>
                <w:tcPr>
                  <w:tcW w:w="2117" w:type="dxa"/>
                  <w:gridSpan w:val="2"/>
                  <w:noWrap w:val="0"/>
                  <w:vAlign w:val="center"/>
                </w:tcPr>
                <w:p>
                  <w:pPr>
                    <w:autoSpaceDE w:val="0"/>
                    <w:autoSpaceDN w:val="0"/>
                    <w:adjustRightInd w:val="0"/>
                    <w:snapToGrid w:val="0"/>
                    <w:jc w:val="center"/>
                    <w:rPr>
                      <w:b/>
                      <w:bCs/>
                      <w:sz w:val="21"/>
                      <w:szCs w:val="21"/>
                      <w:highlight w:val="none"/>
                    </w:rPr>
                  </w:pPr>
                  <w:r>
                    <w:rPr>
                      <w:b/>
                      <w:bCs/>
                      <w:sz w:val="21"/>
                      <w:szCs w:val="21"/>
                      <w:highlight w:val="none"/>
                    </w:rPr>
                    <w:t>用水标准</w:t>
                  </w:r>
                </w:p>
              </w:tc>
              <w:tc>
                <w:tcPr>
                  <w:tcW w:w="1011" w:type="dxa"/>
                  <w:vMerge w:val="restart"/>
                  <w:noWrap w:val="0"/>
                  <w:vAlign w:val="center"/>
                </w:tcPr>
                <w:p>
                  <w:pPr>
                    <w:autoSpaceDE w:val="0"/>
                    <w:autoSpaceDN w:val="0"/>
                    <w:adjustRightInd w:val="0"/>
                    <w:snapToGrid w:val="0"/>
                    <w:jc w:val="center"/>
                    <w:rPr>
                      <w:b/>
                      <w:bCs/>
                      <w:sz w:val="21"/>
                      <w:szCs w:val="21"/>
                      <w:highlight w:val="none"/>
                    </w:rPr>
                  </w:pPr>
                  <w:r>
                    <w:rPr>
                      <w:b/>
                      <w:bCs/>
                      <w:sz w:val="21"/>
                      <w:szCs w:val="21"/>
                      <w:highlight w:val="none"/>
                    </w:rPr>
                    <w:t>设计规模</w:t>
                  </w:r>
                </w:p>
              </w:tc>
              <w:tc>
                <w:tcPr>
                  <w:tcW w:w="1250" w:type="dxa"/>
                  <w:vMerge w:val="restart"/>
                  <w:noWrap w:val="0"/>
                  <w:vAlign w:val="center"/>
                </w:tcPr>
                <w:p>
                  <w:pPr>
                    <w:autoSpaceDE w:val="0"/>
                    <w:autoSpaceDN w:val="0"/>
                    <w:adjustRightInd w:val="0"/>
                    <w:snapToGrid w:val="0"/>
                    <w:jc w:val="center"/>
                    <w:rPr>
                      <w:b/>
                      <w:bCs/>
                      <w:sz w:val="21"/>
                      <w:szCs w:val="21"/>
                      <w:highlight w:val="none"/>
                    </w:rPr>
                  </w:pPr>
                  <w:r>
                    <w:rPr>
                      <w:b/>
                      <w:bCs/>
                      <w:sz w:val="21"/>
                      <w:szCs w:val="21"/>
                      <w:highlight w:val="none"/>
                    </w:rPr>
                    <w:t>需水量</w:t>
                  </w:r>
                </w:p>
                <w:p>
                  <w:pPr>
                    <w:autoSpaceDE w:val="0"/>
                    <w:autoSpaceDN w:val="0"/>
                    <w:adjustRightInd w:val="0"/>
                    <w:snapToGrid w:val="0"/>
                    <w:jc w:val="center"/>
                    <w:rPr>
                      <w:b/>
                      <w:bCs/>
                      <w:sz w:val="21"/>
                      <w:szCs w:val="21"/>
                      <w:highlight w:val="none"/>
                    </w:rPr>
                  </w:pPr>
                  <w:r>
                    <w:rPr>
                      <w:b/>
                      <w:bCs/>
                      <w:sz w:val="21"/>
                      <w:szCs w:val="21"/>
                      <w:highlight w:val="none"/>
                    </w:rPr>
                    <w:t>（m</w:t>
                  </w:r>
                  <w:r>
                    <w:rPr>
                      <w:b/>
                      <w:bCs/>
                      <w:sz w:val="21"/>
                      <w:szCs w:val="21"/>
                      <w:highlight w:val="none"/>
                      <w:vertAlign w:val="superscript"/>
                    </w:rPr>
                    <w:t>3</w:t>
                  </w:r>
                  <w:r>
                    <w:rPr>
                      <w:rFonts w:hint="eastAsia"/>
                      <w:b/>
                      <w:bCs/>
                      <w:sz w:val="21"/>
                      <w:szCs w:val="21"/>
                      <w:highlight w:val="none"/>
                    </w:rPr>
                    <w:t>/a</w:t>
                  </w:r>
                  <w:r>
                    <w:rPr>
                      <w:b/>
                      <w:bCs/>
                      <w:sz w:val="21"/>
                      <w:szCs w:val="21"/>
                      <w:highlight w:val="none"/>
                    </w:rPr>
                    <w:t>）</w:t>
                  </w:r>
                </w:p>
              </w:tc>
              <w:tc>
                <w:tcPr>
                  <w:tcW w:w="1251" w:type="dxa"/>
                  <w:vMerge w:val="restart"/>
                  <w:noWrap w:val="0"/>
                  <w:vAlign w:val="center"/>
                </w:tcPr>
                <w:p>
                  <w:pPr>
                    <w:autoSpaceDE w:val="0"/>
                    <w:autoSpaceDN w:val="0"/>
                    <w:adjustRightInd w:val="0"/>
                    <w:snapToGrid w:val="0"/>
                    <w:jc w:val="center"/>
                    <w:rPr>
                      <w:b/>
                      <w:bCs/>
                      <w:sz w:val="21"/>
                      <w:szCs w:val="21"/>
                      <w:highlight w:val="none"/>
                    </w:rPr>
                  </w:pPr>
                  <w:r>
                    <w:rPr>
                      <w:rFonts w:hint="eastAsia"/>
                      <w:b/>
                      <w:bCs/>
                      <w:sz w:val="21"/>
                      <w:szCs w:val="21"/>
                      <w:highlight w:val="none"/>
                    </w:rPr>
                    <w:t>损耗量</w:t>
                  </w:r>
                  <w:r>
                    <w:rPr>
                      <w:b/>
                      <w:bCs/>
                      <w:sz w:val="21"/>
                      <w:szCs w:val="21"/>
                      <w:highlight w:val="none"/>
                    </w:rPr>
                    <w:t>（m</w:t>
                  </w:r>
                  <w:r>
                    <w:rPr>
                      <w:b/>
                      <w:bCs/>
                      <w:sz w:val="21"/>
                      <w:szCs w:val="21"/>
                      <w:highlight w:val="none"/>
                      <w:vertAlign w:val="superscript"/>
                    </w:rPr>
                    <w:t>3</w:t>
                  </w:r>
                  <w:r>
                    <w:rPr>
                      <w:rFonts w:hint="eastAsia"/>
                      <w:b/>
                      <w:bCs/>
                      <w:sz w:val="21"/>
                      <w:szCs w:val="21"/>
                      <w:highlight w:val="none"/>
                    </w:rPr>
                    <w:t>/a</w:t>
                  </w:r>
                  <w:r>
                    <w:rPr>
                      <w:b/>
                      <w:bCs/>
                      <w:sz w:val="21"/>
                      <w:szCs w:val="21"/>
                      <w:highlight w:val="none"/>
                    </w:rPr>
                    <w:t>）</w:t>
                  </w:r>
                </w:p>
              </w:tc>
              <w:tc>
                <w:tcPr>
                  <w:tcW w:w="1490" w:type="dxa"/>
                  <w:vMerge w:val="restart"/>
                  <w:noWrap w:val="0"/>
                  <w:vAlign w:val="center"/>
                </w:tcPr>
                <w:p>
                  <w:pPr>
                    <w:autoSpaceDE w:val="0"/>
                    <w:autoSpaceDN w:val="0"/>
                    <w:adjustRightInd w:val="0"/>
                    <w:snapToGrid w:val="0"/>
                    <w:jc w:val="center"/>
                    <w:rPr>
                      <w:b/>
                      <w:bCs/>
                      <w:sz w:val="21"/>
                      <w:szCs w:val="21"/>
                      <w:highlight w:val="none"/>
                    </w:rPr>
                  </w:pPr>
                  <w:r>
                    <w:rPr>
                      <w:b/>
                      <w:bCs/>
                      <w:sz w:val="21"/>
                      <w:szCs w:val="21"/>
                      <w:highlight w:val="none"/>
                    </w:rPr>
                    <w:t>污水量</w:t>
                  </w:r>
                </w:p>
                <w:p>
                  <w:pPr>
                    <w:autoSpaceDE w:val="0"/>
                    <w:autoSpaceDN w:val="0"/>
                    <w:adjustRightInd w:val="0"/>
                    <w:snapToGrid w:val="0"/>
                    <w:jc w:val="center"/>
                    <w:rPr>
                      <w:b/>
                      <w:bCs/>
                      <w:sz w:val="21"/>
                      <w:szCs w:val="21"/>
                      <w:highlight w:val="none"/>
                    </w:rPr>
                  </w:pPr>
                  <w:r>
                    <w:rPr>
                      <w:b/>
                      <w:bCs/>
                      <w:sz w:val="21"/>
                      <w:szCs w:val="21"/>
                      <w:highlight w:val="none"/>
                    </w:rPr>
                    <w:t>（m</w:t>
                  </w:r>
                  <w:r>
                    <w:rPr>
                      <w:b/>
                      <w:bCs/>
                      <w:sz w:val="21"/>
                      <w:szCs w:val="21"/>
                      <w:highlight w:val="none"/>
                      <w:vertAlign w:val="superscript"/>
                    </w:rPr>
                    <w:t>3</w:t>
                  </w:r>
                  <w:r>
                    <w:rPr>
                      <w:rFonts w:hint="eastAsia"/>
                      <w:b/>
                      <w:bCs/>
                      <w:sz w:val="21"/>
                      <w:szCs w:val="21"/>
                      <w:highlight w:val="none"/>
                    </w:rPr>
                    <w:t>/a</w:t>
                  </w:r>
                  <w:r>
                    <w:rPr>
                      <w:b/>
                      <w:bCs/>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40" w:hRule="atLeast"/>
                <w:jc w:val="center"/>
              </w:trPr>
              <w:tc>
                <w:tcPr>
                  <w:tcW w:w="1731" w:type="dxa"/>
                  <w:vMerge w:val="continue"/>
                  <w:noWrap w:val="0"/>
                  <w:vAlign w:val="center"/>
                </w:tcPr>
                <w:p>
                  <w:pPr>
                    <w:autoSpaceDE w:val="0"/>
                    <w:autoSpaceDN w:val="0"/>
                    <w:adjustRightInd w:val="0"/>
                    <w:snapToGrid w:val="0"/>
                    <w:ind w:firstLine="420" w:firstLineChars="200"/>
                    <w:jc w:val="center"/>
                    <w:rPr>
                      <w:sz w:val="21"/>
                      <w:szCs w:val="21"/>
                      <w:highlight w:val="none"/>
                    </w:rPr>
                  </w:pPr>
                </w:p>
              </w:tc>
              <w:tc>
                <w:tcPr>
                  <w:tcW w:w="764" w:type="dxa"/>
                  <w:noWrap w:val="0"/>
                  <w:vAlign w:val="center"/>
                </w:tcPr>
                <w:p>
                  <w:pPr>
                    <w:autoSpaceDE w:val="0"/>
                    <w:autoSpaceDN w:val="0"/>
                    <w:adjustRightInd w:val="0"/>
                    <w:snapToGrid w:val="0"/>
                    <w:jc w:val="center"/>
                    <w:rPr>
                      <w:b/>
                      <w:bCs/>
                      <w:sz w:val="21"/>
                      <w:szCs w:val="21"/>
                      <w:highlight w:val="none"/>
                    </w:rPr>
                  </w:pPr>
                  <w:r>
                    <w:rPr>
                      <w:b/>
                      <w:bCs/>
                      <w:sz w:val="21"/>
                      <w:szCs w:val="21"/>
                      <w:highlight w:val="none"/>
                    </w:rPr>
                    <w:t>定额</w:t>
                  </w:r>
                </w:p>
              </w:tc>
              <w:tc>
                <w:tcPr>
                  <w:tcW w:w="1353" w:type="dxa"/>
                  <w:noWrap w:val="0"/>
                  <w:vAlign w:val="center"/>
                </w:tcPr>
                <w:p>
                  <w:pPr>
                    <w:autoSpaceDE w:val="0"/>
                    <w:autoSpaceDN w:val="0"/>
                    <w:adjustRightInd w:val="0"/>
                    <w:snapToGrid w:val="0"/>
                    <w:jc w:val="center"/>
                    <w:rPr>
                      <w:b/>
                      <w:bCs/>
                      <w:sz w:val="21"/>
                      <w:szCs w:val="21"/>
                      <w:highlight w:val="none"/>
                    </w:rPr>
                  </w:pPr>
                  <w:r>
                    <w:rPr>
                      <w:b/>
                      <w:bCs/>
                      <w:sz w:val="21"/>
                      <w:szCs w:val="21"/>
                      <w:highlight w:val="none"/>
                    </w:rPr>
                    <w:t>单位</w:t>
                  </w:r>
                </w:p>
              </w:tc>
              <w:tc>
                <w:tcPr>
                  <w:tcW w:w="1011" w:type="dxa"/>
                  <w:vMerge w:val="continue"/>
                  <w:noWrap w:val="0"/>
                  <w:vAlign w:val="center"/>
                </w:tcPr>
                <w:p>
                  <w:pPr>
                    <w:autoSpaceDE w:val="0"/>
                    <w:autoSpaceDN w:val="0"/>
                    <w:adjustRightInd w:val="0"/>
                    <w:snapToGrid w:val="0"/>
                    <w:ind w:firstLine="420" w:firstLineChars="200"/>
                    <w:jc w:val="center"/>
                    <w:rPr>
                      <w:sz w:val="21"/>
                      <w:szCs w:val="21"/>
                      <w:highlight w:val="none"/>
                    </w:rPr>
                  </w:pPr>
                </w:p>
              </w:tc>
              <w:tc>
                <w:tcPr>
                  <w:tcW w:w="1250" w:type="dxa"/>
                  <w:vMerge w:val="continue"/>
                  <w:noWrap w:val="0"/>
                  <w:vAlign w:val="center"/>
                </w:tcPr>
                <w:p>
                  <w:pPr>
                    <w:autoSpaceDE w:val="0"/>
                    <w:autoSpaceDN w:val="0"/>
                    <w:adjustRightInd w:val="0"/>
                    <w:snapToGrid w:val="0"/>
                    <w:ind w:firstLine="420" w:firstLineChars="200"/>
                    <w:jc w:val="center"/>
                    <w:rPr>
                      <w:sz w:val="21"/>
                      <w:szCs w:val="21"/>
                      <w:highlight w:val="none"/>
                    </w:rPr>
                  </w:pPr>
                </w:p>
              </w:tc>
              <w:tc>
                <w:tcPr>
                  <w:tcW w:w="1251" w:type="dxa"/>
                  <w:vMerge w:val="continue"/>
                  <w:noWrap w:val="0"/>
                  <w:vAlign w:val="center"/>
                </w:tcPr>
                <w:p>
                  <w:pPr>
                    <w:autoSpaceDE w:val="0"/>
                    <w:autoSpaceDN w:val="0"/>
                    <w:adjustRightInd w:val="0"/>
                    <w:snapToGrid w:val="0"/>
                    <w:ind w:firstLine="420" w:firstLineChars="200"/>
                    <w:jc w:val="center"/>
                    <w:rPr>
                      <w:sz w:val="21"/>
                      <w:szCs w:val="21"/>
                      <w:highlight w:val="none"/>
                    </w:rPr>
                  </w:pPr>
                </w:p>
              </w:tc>
              <w:tc>
                <w:tcPr>
                  <w:tcW w:w="1490" w:type="dxa"/>
                  <w:vMerge w:val="continue"/>
                  <w:noWrap w:val="0"/>
                  <w:vAlign w:val="center"/>
                </w:tcPr>
                <w:p>
                  <w:pPr>
                    <w:autoSpaceDE w:val="0"/>
                    <w:autoSpaceDN w:val="0"/>
                    <w:adjustRightInd w:val="0"/>
                    <w:snapToGrid w:val="0"/>
                    <w:ind w:firstLine="420" w:firstLineChars="200"/>
                    <w:jc w:val="center"/>
                    <w:rPr>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40" w:hRule="atLeast"/>
                <w:jc w:val="center"/>
              </w:trPr>
              <w:tc>
                <w:tcPr>
                  <w:tcW w:w="1731" w:type="dxa"/>
                  <w:noWrap w:val="0"/>
                  <w:vAlign w:val="center"/>
                </w:tcPr>
                <w:p>
                  <w:pPr>
                    <w:autoSpaceDE w:val="0"/>
                    <w:autoSpaceDN w:val="0"/>
                    <w:adjustRightInd w:val="0"/>
                    <w:snapToGrid w:val="0"/>
                    <w:jc w:val="center"/>
                    <w:rPr>
                      <w:sz w:val="21"/>
                      <w:szCs w:val="21"/>
                      <w:highlight w:val="none"/>
                    </w:rPr>
                  </w:pPr>
                  <w:r>
                    <w:rPr>
                      <w:sz w:val="21"/>
                      <w:szCs w:val="21"/>
                      <w:highlight w:val="none"/>
                    </w:rPr>
                    <w:t>员工生活用水</w:t>
                  </w:r>
                </w:p>
              </w:tc>
              <w:tc>
                <w:tcPr>
                  <w:tcW w:w="764"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70</w:t>
                  </w:r>
                </w:p>
              </w:tc>
              <w:tc>
                <w:tcPr>
                  <w:tcW w:w="1353" w:type="dxa"/>
                  <w:noWrap w:val="0"/>
                  <w:vAlign w:val="center"/>
                </w:tcPr>
                <w:p>
                  <w:pPr>
                    <w:autoSpaceDE w:val="0"/>
                    <w:autoSpaceDN w:val="0"/>
                    <w:adjustRightInd w:val="0"/>
                    <w:snapToGrid w:val="0"/>
                    <w:jc w:val="center"/>
                    <w:rPr>
                      <w:sz w:val="21"/>
                      <w:szCs w:val="21"/>
                      <w:highlight w:val="none"/>
                    </w:rPr>
                  </w:pPr>
                  <w:r>
                    <w:rPr>
                      <w:sz w:val="21"/>
                      <w:szCs w:val="21"/>
                      <w:highlight w:val="none"/>
                    </w:rPr>
                    <w:t>L/人·d</w:t>
                  </w:r>
                </w:p>
              </w:tc>
              <w:tc>
                <w:tcPr>
                  <w:tcW w:w="1011"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6</w:t>
                  </w:r>
                  <w:r>
                    <w:rPr>
                      <w:sz w:val="21"/>
                      <w:szCs w:val="21"/>
                      <w:highlight w:val="none"/>
                    </w:rPr>
                    <w:t>人</w:t>
                  </w:r>
                </w:p>
              </w:tc>
              <w:tc>
                <w:tcPr>
                  <w:tcW w:w="1250"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153.3</w:t>
                  </w:r>
                </w:p>
              </w:tc>
              <w:tc>
                <w:tcPr>
                  <w:tcW w:w="1251"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30.7</w:t>
                  </w:r>
                </w:p>
              </w:tc>
              <w:tc>
                <w:tcPr>
                  <w:tcW w:w="1490"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122.6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40" w:hRule="atLeast"/>
                <w:jc w:val="center"/>
              </w:trPr>
              <w:tc>
                <w:tcPr>
                  <w:tcW w:w="1731" w:type="dxa"/>
                  <w:noWrap w:val="0"/>
                  <w:vAlign w:val="center"/>
                </w:tcPr>
                <w:p>
                  <w:pPr>
                    <w:autoSpaceDE w:val="0"/>
                    <w:autoSpaceDN w:val="0"/>
                    <w:adjustRightInd w:val="0"/>
                    <w:snapToGrid w:val="0"/>
                    <w:jc w:val="center"/>
                    <w:rPr>
                      <w:sz w:val="21"/>
                      <w:szCs w:val="21"/>
                      <w:highlight w:val="none"/>
                    </w:rPr>
                  </w:pPr>
                  <w:r>
                    <w:rPr>
                      <w:sz w:val="21"/>
                      <w:szCs w:val="21"/>
                      <w:highlight w:val="none"/>
                    </w:rPr>
                    <w:t>顾客盥洗用水</w:t>
                  </w:r>
                </w:p>
              </w:tc>
              <w:tc>
                <w:tcPr>
                  <w:tcW w:w="764" w:type="dxa"/>
                  <w:noWrap w:val="0"/>
                  <w:vAlign w:val="center"/>
                </w:tcPr>
                <w:p>
                  <w:pPr>
                    <w:autoSpaceDE w:val="0"/>
                    <w:autoSpaceDN w:val="0"/>
                    <w:adjustRightInd w:val="0"/>
                    <w:snapToGrid w:val="0"/>
                    <w:jc w:val="center"/>
                    <w:rPr>
                      <w:sz w:val="21"/>
                      <w:szCs w:val="21"/>
                      <w:highlight w:val="none"/>
                    </w:rPr>
                  </w:pPr>
                  <w:r>
                    <w:rPr>
                      <w:sz w:val="21"/>
                      <w:szCs w:val="21"/>
                      <w:highlight w:val="none"/>
                    </w:rPr>
                    <w:t>5</w:t>
                  </w:r>
                  <w:r>
                    <w:rPr>
                      <w:rFonts w:hint="eastAsia"/>
                      <w:sz w:val="21"/>
                      <w:szCs w:val="21"/>
                      <w:highlight w:val="none"/>
                    </w:rPr>
                    <w:t>.0</w:t>
                  </w:r>
                </w:p>
              </w:tc>
              <w:tc>
                <w:tcPr>
                  <w:tcW w:w="1353" w:type="dxa"/>
                  <w:noWrap w:val="0"/>
                  <w:vAlign w:val="center"/>
                </w:tcPr>
                <w:p>
                  <w:pPr>
                    <w:autoSpaceDE w:val="0"/>
                    <w:autoSpaceDN w:val="0"/>
                    <w:adjustRightInd w:val="0"/>
                    <w:snapToGrid w:val="0"/>
                    <w:jc w:val="center"/>
                    <w:rPr>
                      <w:sz w:val="21"/>
                      <w:szCs w:val="21"/>
                      <w:highlight w:val="none"/>
                    </w:rPr>
                  </w:pPr>
                  <w:r>
                    <w:rPr>
                      <w:sz w:val="21"/>
                      <w:szCs w:val="21"/>
                      <w:highlight w:val="none"/>
                    </w:rPr>
                    <w:t>L/人.次</w:t>
                  </w:r>
                </w:p>
              </w:tc>
              <w:tc>
                <w:tcPr>
                  <w:tcW w:w="1011" w:type="dxa"/>
                  <w:noWrap w:val="0"/>
                  <w:vAlign w:val="center"/>
                </w:tcPr>
                <w:p>
                  <w:pPr>
                    <w:autoSpaceDE w:val="0"/>
                    <w:autoSpaceDN w:val="0"/>
                    <w:adjustRightInd w:val="0"/>
                    <w:snapToGrid w:val="0"/>
                    <w:jc w:val="center"/>
                    <w:rPr>
                      <w:sz w:val="21"/>
                      <w:szCs w:val="21"/>
                      <w:highlight w:val="none"/>
                    </w:rPr>
                  </w:pPr>
                  <w:r>
                    <w:rPr>
                      <w:sz w:val="21"/>
                      <w:szCs w:val="21"/>
                      <w:highlight w:val="none"/>
                    </w:rPr>
                    <w:t>50人</w:t>
                  </w:r>
                </w:p>
              </w:tc>
              <w:tc>
                <w:tcPr>
                  <w:tcW w:w="1250"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91.3</w:t>
                  </w:r>
                </w:p>
              </w:tc>
              <w:tc>
                <w:tcPr>
                  <w:tcW w:w="1251"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18.3</w:t>
                  </w:r>
                </w:p>
              </w:tc>
              <w:tc>
                <w:tcPr>
                  <w:tcW w:w="1490"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73.0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40" w:hRule="atLeast"/>
                <w:jc w:val="center"/>
              </w:trPr>
              <w:tc>
                <w:tcPr>
                  <w:tcW w:w="1731" w:type="dxa"/>
                  <w:noWrap w:val="0"/>
                  <w:vAlign w:val="center"/>
                </w:tcPr>
                <w:p>
                  <w:pPr>
                    <w:autoSpaceDE w:val="0"/>
                    <w:autoSpaceDN w:val="0"/>
                    <w:adjustRightInd w:val="0"/>
                    <w:snapToGrid w:val="0"/>
                    <w:jc w:val="center"/>
                    <w:rPr>
                      <w:sz w:val="21"/>
                      <w:szCs w:val="21"/>
                      <w:highlight w:val="none"/>
                    </w:rPr>
                  </w:pPr>
                  <w:r>
                    <w:rPr>
                      <w:sz w:val="21"/>
                      <w:szCs w:val="21"/>
                      <w:highlight w:val="none"/>
                    </w:rPr>
                    <w:t>场地冲洗</w:t>
                  </w:r>
                </w:p>
              </w:tc>
              <w:tc>
                <w:tcPr>
                  <w:tcW w:w="764" w:type="dxa"/>
                  <w:noWrap w:val="0"/>
                  <w:vAlign w:val="center"/>
                </w:tcPr>
                <w:p>
                  <w:pPr>
                    <w:autoSpaceDE w:val="0"/>
                    <w:autoSpaceDN w:val="0"/>
                    <w:adjustRightInd w:val="0"/>
                    <w:snapToGrid w:val="0"/>
                    <w:jc w:val="center"/>
                    <w:rPr>
                      <w:sz w:val="21"/>
                      <w:szCs w:val="21"/>
                      <w:highlight w:val="none"/>
                    </w:rPr>
                  </w:pPr>
                  <w:r>
                    <w:rPr>
                      <w:sz w:val="21"/>
                      <w:szCs w:val="21"/>
                      <w:highlight w:val="none"/>
                    </w:rPr>
                    <w:t>2.5</w:t>
                  </w:r>
                </w:p>
              </w:tc>
              <w:tc>
                <w:tcPr>
                  <w:tcW w:w="1353" w:type="dxa"/>
                  <w:noWrap w:val="0"/>
                  <w:vAlign w:val="center"/>
                </w:tcPr>
                <w:p>
                  <w:pPr>
                    <w:autoSpaceDE w:val="0"/>
                    <w:autoSpaceDN w:val="0"/>
                    <w:adjustRightInd w:val="0"/>
                    <w:snapToGrid w:val="0"/>
                    <w:jc w:val="center"/>
                    <w:rPr>
                      <w:rFonts w:ascii="Times New Roman" w:hAnsi="Times New Roman" w:cs="Times New Roman"/>
                      <w:sz w:val="21"/>
                      <w:szCs w:val="21"/>
                      <w:highlight w:val="none"/>
                    </w:rPr>
                  </w:pPr>
                  <w:r>
                    <w:rPr>
                      <w:rFonts w:ascii="Times New Roman" w:hAnsi="Times New Roman" w:cs="Times New Roman"/>
                      <w:sz w:val="21"/>
                      <w:szCs w:val="21"/>
                      <w:highlight w:val="none"/>
                    </w:rPr>
                    <w:t>2.5L/m</w:t>
                  </w:r>
                  <w:r>
                    <w:rPr>
                      <w:rFonts w:ascii="Times New Roman" w:hAnsi="Times New Roman" w:cs="Times New Roman"/>
                      <w:sz w:val="21"/>
                      <w:szCs w:val="21"/>
                      <w:highlight w:val="none"/>
                      <w:vertAlign w:val="superscript"/>
                    </w:rPr>
                    <w:t>2</w:t>
                  </w:r>
                  <w:r>
                    <w:rPr>
                      <w:rFonts w:hint="eastAsia" w:ascii="Times New Roman" w:hAnsi="Times New Roman" w:cs="Times New Roman"/>
                      <w:sz w:val="21"/>
                      <w:szCs w:val="21"/>
                      <w:highlight w:val="none"/>
                    </w:rPr>
                    <w:t>·</w:t>
                  </w:r>
                  <w:r>
                    <w:rPr>
                      <w:rFonts w:ascii="Times New Roman" w:hAnsi="Times New Roman" w:cs="Times New Roman"/>
                      <w:sz w:val="21"/>
                      <w:szCs w:val="21"/>
                      <w:highlight w:val="none"/>
                    </w:rPr>
                    <w:t>次</w:t>
                  </w:r>
                </w:p>
              </w:tc>
              <w:tc>
                <w:tcPr>
                  <w:tcW w:w="1011" w:type="dxa"/>
                  <w:noWrap w:val="0"/>
                  <w:vAlign w:val="center"/>
                </w:tcPr>
                <w:p>
                  <w:pPr>
                    <w:autoSpaceDE w:val="0"/>
                    <w:autoSpaceDN w:val="0"/>
                    <w:adjustRightInd w:val="0"/>
                    <w:snapToGrid w:val="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rPr>
                    <w:t>960m</w:t>
                  </w:r>
                  <w:r>
                    <w:rPr>
                      <w:rFonts w:hint="eastAsia" w:ascii="Times New Roman" w:hAnsi="Times New Roman" w:cs="Times New Roman"/>
                      <w:sz w:val="21"/>
                      <w:szCs w:val="21"/>
                      <w:highlight w:val="none"/>
                      <w:vertAlign w:val="superscript"/>
                    </w:rPr>
                    <w:t>2</w:t>
                  </w:r>
                </w:p>
              </w:tc>
              <w:tc>
                <w:tcPr>
                  <w:tcW w:w="1250"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124.8</w:t>
                  </w:r>
                </w:p>
              </w:tc>
              <w:tc>
                <w:tcPr>
                  <w:tcW w:w="1251"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12.5</w:t>
                  </w:r>
                </w:p>
              </w:tc>
              <w:tc>
                <w:tcPr>
                  <w:tcW w:w="1490"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112.3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40" w:hRule="atLeast"/>
                <w:jc w:val="center"/>
              </w:trPr>
              <w:tc>
                <w:tcPr>
                  <w:tcW w:w="1731" w:type="dxa"/>
                  <w:noWrap w:val="0"/>
                  <w:vAlign w:val="center"/>
                </w:tcPr>
                <w:p>
                  <w:pPr>
                    <w:autoSpaceDE w:val="0"/>
                    <w:autoSpaceDN w:val="0"/>
                    <w:adjustRightInd w:val="0"/>
                    <w:snapToGrid w:val="0"/>
                    <w:jc w:val="center"/>
                    <w:rPr>
                      <w:sz w:val="21"/>
                      <w:szCs w:val="21"/>
                      <w:highlight w:val="none"/>
                    </w:rPr>
                  </w:pPr>
                  <w:r>
                    <w:rPr>
                      <w:sz w:val="21"/>
                      <w:szCs w:val="21"/>
                      <w:highlight w:val="none"/>
                    </w:rPr>
                    <w:t>绿化用水</w:t>
                  </w:r>
                </w:p>
              </w:tc>
              <w:tc>
                <w:tcPr>
                  <w:tcW w:w="764" w:type="dxa"/>
                  <w:noWrap w:val="0"/>
                  <w:vAlign w:val="center"/>
                </w:tcPr>
                <w:p>
                  <w:pPr>
                    <w:autoSpaceDE w:val="0"/>
                    <w:autoSpaceDN w:val="0"/>
                    <w:adjustRightInd w:val="0"/>
                    <w:snapToGrid w:val="0"/>
                    <w:jc w:val="center"/>
                    <w:rPr>
                      <w:sz w:val="21"/>
                      <w:szCs w:val="21"/>
                      <w:highlight w:val="none"/>
                    </w:rPr>
                  </w:pPr>
                  <w:r>
                    <w:rPr>
                      <w:sz w:val="21"/>
                      <w:szCs w:val="21"/>
                      <w:highlight w:val="none"/>
                    </w:rPr>
                    <w:t>2</w:t>
                  </w:r>
                </w:p>
              </w:tc>
              <w:tc>
                <w:tcPr>
                  <w:tcW w:w="1353" w:type="dxa"/>
                  <w:noWrap w:val="0"/>
                  <w:vAlign w:val="center"/>
                </w:tcPr>
                <w:p>
                  <w:pPr>
                    <w:autoSpaceDE w:val="0"/>
                    <w:autoSpaceDN w:val="0"/>
                    <w:adjustRightInd w:val="0"/>
                    <w:snapToGrid w:val="0"/>
                    <w:jc w:val="center"/>
                    <w:rPr>
                      <w:sz w:val="21"/>
                      <w:szCs w:val="21"/>
                      <w:highlight w:val="none"/>
                    </w:rPr>
                  </w:pPr>
                  <w:r>
                    <w:rPr>
                      <w:sz w:val="21"/>
                      <w:szCs w:val="21"/>
                      <w:highlight w:val="none"/>
                    </w:rPr>
                    <w:t>L/ m</w:t>
                  </w:r>
                  <w:r>
                    <w:rPr>
                      <w:sz w:val="21"/>
                      <w:szCs w:val="21"/>
                      <w:highlight w:val="none"/>
                      <w:vertAlign w:val="superscript"/>
                    </w:rPr>
                    <w:t>2</w:t>
                  </w:r>
                  <w:r>
                    <w:rPr>
                      <w:rFonts w:hint="eastAsia"/>
                      <w:sz w:val="21"/>
                      <w:szCs w:val="21"/>
                      <w:highlight w:val="none"/>
                      <w:vertAlign w:val="baseline"/>
                    </w:rPr>
                    <w:t>·</w:t>
                  </w:r>
                  <w:r>
                    <w:rPr>
                      <w:sz w:val="21"/>
                      <w:szCs w:val="21"/>
                      <w:highlight w:val="none"/>
                    </w:rPr>
                    <w:t>d</w:t>
                  </w:r>
                </w:p>
              </w:tc>
              <w:tc>
                <w:tcPr>
                  <w:tcW w:w="1011"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185</w:t>
                  </w:r>
                  <w:r>
                    <w:rPr>
                      <w:sz w:val="21"/>
                      <w:szCs w:val="21"/>
                      <w:highlight w:val="none"/>
                    </w:rPr>
                    <w:t>m</w:t>
                  </w:r>
                  <w:r>
                    <w:rPr>
                      <w:sz w:val="21"/>
                      <w:szCs w:val="21"/>
                      <w:highlight w:val="none"/>
                      <w:vertAlign w:val="superscript"/>
                    </w:rPr>
                    <w:t>2</w:t>
                  </w:r>
                </w:p>
              </w:tc>
              <w:tc>
                <w:tcPr>
                  <w:tcW w:w="1250"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19.2</w:t>
                  </w:r>
                </w:p>
              </w:tc>
              <w:tc>
                <w:tcPr>
                  <w:tcW w:w="1251"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19.2</w:t>
                  </w:r>
                </w:p>
              </w:tc>
              <w:tc>
                <w:tcPr>
                  <w:tcW w:w="1490" w:type="dxa"/>
                  <w:noWrap w:val="0"/>
                  <w:vAlign w:val="center"/>
                </w:tcPr>
                <w:p>
                  <w:pPr>
                    <w:autoSpaceDE w:val="0"/>
                    <w:autoSpaceDN w:val="0"/>
                    <w:adjustRightInd w:val="0"/>
                    <w:snapToGrid w:val="0"/>
                    <w:jc w:val="center"/>
                    <w:rPr>
                      <w:sz w:val="21"/>
                      <w:szCs w:val="21"/>
                      <w:highlight w:val="none"/>
                    </w:rPr>
                  </w:pPr>
                  <w:r>
                    <w:rPr>
                      <w:sz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40" w:hRule="atLeast"/>
                <w:jc w:val="center"/>
              </w:trPr>
              <w:tc>
                <w:tcPr>
                  <w:tcW w:w="4859" w:type="dxa"/>
                  <w:gridSpan w:val="4"/>
                  <w:noWrap w:val="0"/>
                  <w:vAlign w:val="center"/>
                </w:tcPr>
                <w:p>
                  <w:pPr>
                    <w:autoSpaceDE w:val="0"/>
                    <w:autoSpaceDN w:val="0"/>
                    <w:adjustRightInd w:val="0"/>
                    <w:snapToGrid w:val="0"/>
                    <w:jc w:val="center"/>
                    <w:rPr>
                      <w:sz w:val="21"/>
                      <w:szCs w:val="21"/>
                      <w:highlight w:val="none"/>
                    </w:rPr>
                  </w:pPr>
                  <w:r>
                    <w:rPr>
                      <w:sz w:val="21"/>
                      <w:szCs w:val="21"/>
                      <w:highlight w:val="none"/>
                    </w:rPr>
                    <w:t>合计</w:t>
                  </w:r>
                </w:p>
              </w:tc>
              <w:tc>
                <w:tcPr>
                  <w:tcW w:w="1250"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388.6</w:t>
                  </w:r>
                </w:p>
              </w:tc>
              <w:tc>
                <w:tcPr>
                  <w:tcW w:w="1251"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80.7</w:t>
                  </w:r>
                </w:p>
              </w:tc>
              <w:tc>
                <w:tcPr>
                  <w:tcW w:w="1490" w:type="dxa"/>
                  <w:noWrap w:val="0"/>
                  <w:vAlign w:val="center"/>
                </w:tcPr>
                <w:p>
                  <w:pPr>
                    <w:autoSpaceDE w:val="0"/>
                    <w:autoSpaceDN w:val="0"/>
                    <w:adjustRightInd w:val="0"/>
                    <w:snapToGrid w:val="0"/>
                    <w:jc w:val="center"/>
                    <w:rPr>
                      <w:sz w:val="21"/>
                      <w:szCs w:val="21"/>
                      <w:highlight w:val="none"/>
                    </w:rPr>
                  </w:pPr>
                  <w:r>
                    <w:rPr>
                      <w:rFonts w:hint="eastAsia"/>
                      <w:sz w:val="21"/>
                      <w:szCs w:val="21"/>
                      <w:highlight w:val="none"/>
                    </w:rPr>
                    <w:t>307.9</w:t>
                  </w:r>
                </w:p>
              </w:tc>
            </w:tr>
          </w:tbl>
          <w:p>
            <w:pPr>
              <w:keepNext w:val="0"/>
              <w:keepLines w:val="0"/>
              <w:widowControl/>
              <w:suppressLineNumbers w:val="0"/>
              <w:jc w:val="both"/>
              <w:rPr>
                <w:b/>
                <w:snapToGrid w:val="0"/>
                <w:kern w:val="0"/>
                <w:sz w:val="21"/>
                <w:szCs w:val="24"/>
                <w:highlight w:val="none"/>
              </w:rPr>
            </w:pPr>
          </w:p>
          <w:p>
            <w:pPr>
              <w:pStyle w:val="10"/>
              <w:ind w:left="0" w:leftChars="0" w:firstLine="0" w:firstLineChars="0"/>
              <w:jc w:val="both"/>
              <w:rPr>
                <w:b/>
                <w:snapToGrid w:val="0"/>
                <w:kern w:val="0"/>
                <w:sz w:val="21"/>
                <w:szCs w:val="24"/>
                <w:highlight w:val="none"/>
              </w:rPr>
            </w:pPr>
            <w:r>
              <w:rPr>
                <w:rFonts w:hint="eastAsia"/>
                <w:highlight w:val="none"/>
                <w:lang w:val="en-US" w:eastAsia="zh-CN"/>
              </w:rPr>
              <w:t xml:space="preserve">    </w:t>
            </w:r>
            <w:r>
              <w:rPr>
                <w:highlight w:val="none"/>
              </w:rPr>
              <w:drawing>
                <wp:inline distT="0" distB="0" distL="114300" distR="114300">
                  <wp:extent cx="5172075" cy="2914650"/>
                  <wp:effectExtent l="0" t="0" r="9525" b="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9"/>
                          <a:stretch>
                            <a:fillRect/>
                          </a:stretch>
                        </pic:blipFill>
                        <pic:spPr>
                          <a:xfrm>
                            <a:off x="0" y="0"/>
                            <a:ext cx="5172075" cy="2914650"/>
                          </a:xfrm>
                          <a:prstGeom prst="rect">
                            <a:avLst/>
                          </a:prstGeom>
                          <a:noFill/>
                          <a:ln>
                            <a:noFill/>
                          </a:ln>
                        </pic:spPr>
                      </pic:pic>
                    </a:graphicData>
                  </a:graphic>
                </wp:inline>
              </w:drawing>
            </w:r>
          </w:p>
          <w:p>
            <w:pPr>
              <w:tabs>
                <w:tab w:val="left" w:pos="924"/>
                <w:tab w:val="left" w:pos="3458"/>
              </w:tabs>
              <w:autoSpaceDE w:val="0"/>
              <w:autoSpaceDN w:val="0"/>
              <w:jc w:val="center"/>
              <w:rPr>
                <w:rFonts w:hint="eastAsia" w:ascii="宋体" w:hAnsi="宋体" w:cs="宋体"/>
                <w:spacing w:val="-4"/>
                <w:sz w:val="24"/>
                <w:highlight w:val="none"/>
                <w:lang w:eastAsia="zh-CN"/>
              </w:rPr>
            </w:pPr>
            <w:r>
              <w:rPr>
                <w:b/>
                <w:snapToGrid w:val="0"/>
                <w:kern w:val="0"/>
                <w:sz w:val="21"/>
                <w:szCs w:val="24"/>
                <w:highlight w:val="none"/>
              </w:rPr>
              <w:t>图</w:t>
            </w:r>
            <w:r>
              <w:rPr>
                <w:rFonts w:hint="eastAsia"/>
                <w:b/>
                <w:snapToGrid w:val="0"/>
                <w:kern w:val="0"/>
                <w:sz w:val="21"/>
                <w:szCs w:val="24"/>
                <w:highlight w:val="none"/>
                <w:lang w:val="en-US" w:eastAsia="zh-CN"/>
              </w:rPr>
              <w:t>2-1</w:t>
            </w:r>
            <w:r>
              <w:rPr>
                <w:b/>
                <w:snapToGrid w:val="0"/>
                <w:kern w:val="0"/>
                <w:sz w:val="21"/>
                <w:szCs w:val="24"/>
                <w:highlight w:val="none"/>
              </w:rPr>
              <w:t xml:space="preserve">    项目水平衡图    单位：m</w:t>
            </w:r>
            <w:r>
              <w:rPr>
                <w:b/>
                <w:snapToGrid w:val="0"/>
                <w:kern w:val="0"/>
                <w:sz w:val="21"/>
                <w:szCs w:val="24"/>
                <w:highlight w:val="none"/>
                <w:vertAlign w:val="superscript"/>
              </w:rPr>
              <w:t>3</w:t>
            </w:r>
            <w:r>
              <w:rPr>
                <w:b/>
                <w:snapToGrid w:val="0"/>
                <w:kern w:val="0"/>
                <w:sz w:val="21"/>
                <w:szCs w:val="24"/>
                <w:highlight w:val="none"/>
              </w:rPr>
              <w:t>/</w:t>
            </w:r>
            <w:r>
              <w:rPr>
                <w:rFonts w:hint="eastAsia"/>
                <w:b/>
                <w:snapToGrid w:val="0"/>
                <w:kern w:val="0"/>
                <w:sz w:val="21"/>
                <w:szCs w:val="24"/>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1" w:hRule="atLeast"/>
        </w:trPr>
        <w:tc>
          <w:tcPr>
            <w:tcW w:w="9086" w:type="dxa"/>
            <w:tcBorders>
              <w:top w:val="single" w:color="auto" w:sz="4" w:space="0"/>
              <w:left w:val="single" w:color="auto" w:sz="4" w:space="0"/>
              <w:bottom w:val="single" w:color="auto" w:sz="4" w:space="0"/>
              <w:right w:val="single" w:color="auto" w:sz="4" w:space="0"/>
            </w:tcBorders>
            <w:noWrap w:val="0"/>
            <w:vAlign w:val="center"/>
          </w:tcPr>
          <w:p>
            <w:pPr>
              <w:pStyle w:val="4"/>
              <w:keepNext w:val="0"/>
              <w:keepLines w:val="0"/>
              <w:pageBreakBefore w:val="0"/>
              <w:widowControl w:val="0"/>
              <w:kinsoku/>
              <w:wordWrap/>
              <w:overflowPunct/>
              <w:topLinePunct w:val="0"/>
              <w:autoSpaceDE w:val="0"/>
              <w:autoSpaceDN w:val="0"/>
              <w:bidi w:val="0"/>
              <w:adjustRightInd/>
              <w:snapToGrid/>
              <w:spacing w:before="0" w:line="360" w:lineRule="auto"/>
              <w:textAlignment w:val="auto"/>
              <w:rPr>
                <w:rFonts w:hint="eastAsia" w:hAnsi="宋体"/>
                <w:b/>
                <w:sz w:val="28"/>
                <w:szCs w:val="28"/>
                <w:highlight w:val="none"/>
                <w:u w:val="none"/>
                <w:lang w:val="zh-CN" w:eastAsia="zh-CN"/>
              </w:rPr>
            </w:pPr>
            <w:r>
              <w:rPr>
                <w:rFonts w:hint="eastAsia" w:hAnsi="宋体"/>
                <w:b/>
                <w:sz w:val="28"/>
                <w:szCs w:val="28"/>
                <w:highlight w:val="none"/>
                <w:u w:val="none"/>
                <w:lang w:val="zh-CN" w:eastAsia="zh-CN"/>
              </w:rPr>
              <w:t>主要工艺流程及产物环节（附处理工艺流程图，标出产污节点）</w:t>
            </w:r>
          </w:p>
          <w:p>
            <w:pPr>
              <w:keepNext w:val="0"/>
              <w:keepLines w:val="0"/>
              <w:pageBreakBefore w:val="0"/>
              <w:widowControl w:val="0"/>
              <w:tabs>
                <w:tab w:val="left" w:pos="924"/>
              </w:tabs>
              <w:kinsoku/>
              <w:wordWrap/>
              <w:overflowPunct/>
              <w:topLinePunct w:val="0"/>
              <w:autoSpaceDE w:val="0"/>
              <w:autoSpaceDN w:val="0"/>
              <w:bidi w:val="0"/>
              <w:adjustRightInd w:val="0"/>
              <w:snapToGrid w:val="0"/>
              <w:spacing w:line="360" w:lineRule="auto"/>
              <w:ind w:firstLine="480" w:firstLineChars="200"/>
              <w:textAlignment w:val="auto"/>
              <w:outlineLvl w:val="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加油站工艺流程主要包括油品卸车工艺流程和加油工艺流程。</w:t>
            </w:r>
          </w:p>
          <w:p>
            <w:pPr>
              <w:autoSpaceDE w:val="0"/>
              <w:autoSpaceDN w:val="0"/>
              <w:adjustRightInd w:val="0"/>
              <w:snapToGrid w:val="0"/>
              <w:spacing w:line="360" w:lineRule="auto"/>
              <w:rPr>
                <w:rFonts w:hint="default" w:ascii="Times New Roman" w:hAnsi="Times New Roman" w:cs="Times New Roman" w:eastAsiaTheme="minorEastAsia"/>
                <w:b/>
                <w:snapToGrid w:val="0"/>
                <w:kern w:val="0"/>
                <w:sz w:val="24"/>
                <w:highlight w:val="none"/>
                <w:lang w:val="en-US" w:eastAsia="zh-CN"/>
              </w:rPr>
            </w:pPr>
            <w:r>
              <w:rPr>
                <w:rFonts w:hint="eastAsia" w:ascii="Times New Roman" w:hAnsi="Times New Roman" w:cs="Times New Roman" w:eastAsiaTheme="minorEastAsia"/>
                <w:b/>
                <w:snapToGrid w:val="0"/>
                <w:kern w:val="0"/>
                <w:sz w:val="24"/>
                <w:highlight w:val="none"/>
                <w:lang w:val="en-US" w:eastAsia="zh-CN"/>
              </w:rPr>
              <w:t>一、</w:t>
            </w:r>
            <w:r>
              <w:rPr>
                <w:rFonts w:hint="default" w:ascii="Times New Roman" w:hAnsi="Times New Roman" w:cs="Times New Roman" w:eastAsiaTheme="minorEastAsia"/>
                <w:b/>
                <w:snapToGrid w:val="0"/>
                <w:kern w:val="0"/>
                <w:sz w:val="24"/>
                <w:highlight w:val="none"/>
                <w:lang w:val="en-US" w:eastAsia="zh-CN"/>
              </w:rPr>
              <w:t>卸车工艺流程</w:t>
            </w:r>
          </w:p>
          <w:p>
            <w:pPr>
              <w:keepNext w:val="0"/>
              <w:keepLines w:val="0"/>
              <w:pageBreakBefore w:val="0"/>
              <w:widowControl w:val="0"/>
              <w:tabs>
                <w:tab w:val="left" w:pos="924"/>
              </w:tabs>
              <w:kinsoku/>
              <w:wordWrap/>
              <w:overflowPunct/>
              <w:topLinePunct w:val="0"/>
              <w:autoSpaceDE w:val="0"/>
              <w:autoSpaceDN w:val="0"/>
              <w:bidi w:val="0"/>
              <w:adjustRightInd w:val="0"/>
              <w:snapToGrid w:val="0"/>
              <w:spacing w:line="360" w:lineRule="auto"/>
              <w:ind w:firstLine="480" w:firstLineChars="200"/>
              <w:textAlignment w:val="auto"/>
              <w:outlineLvl w:val="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装载油品的槽车进入油罐区前，汽车尾气管戴上防护罩，在收油员的指挥下稳定停靠在埋地油罐区密闭卸油口旁，与卸油口保持3-5米的距离，卸油作业前，卸油人员先用量油杆（铝材）检查待收油的油罐，确定其有效容积，是否可接受油品，确认无误后，并记下初始值，司机稳定油车后，油罐车熄火静置15min，卸油人员将防静电接地检测仪上的防静电夹夹在油车的裸露的车体上，开启防静电接地检测仪，观察防静电接地检测报警仪是否发出“笛、笛”的报警声，若没有听到或防静电接地监测仪面板上的红色指示灯未亮，说明该油车已进行良好的接地。用公称直径为50-100mm的防静电软管与相应的油罐卸油口相连接，并接好油气回收管道。再打开油车上的出口阀门，开始卸油，与卸出的油等体积的油气通过油气回收管道被置换到油罐车，完成油气回收。收油员与油车司机在卸油时观察卸油情况。经过一段后若已经卸完，卸油员或司机先关闭油车上出口阀，把软管抬高，把软管中的油品赶入埋地油罐中，直到软管无液状油品时，拆下卸油管和油气回收管道。洒落在地上的油品用站内准备的吸收剂进行吸收处理。最后在加油站安全员的带领下驶出加油站。油品卸车工艺流程见图</w:t>
            </w:r>
            <w:r>
              <w:rPr>
                <w:rFonts w:hint="eastAsia" w:ascii="Times New Roman" w:hAnsi="Times New Roman" w:cs="Times New Roman"/>
                <w:snapToGrid w:val="0"/>
                <w:kern w:val="0"/>
                <w:sz w:val="24"/>
                <w:szCs w:val="24"/>
                <w:highlight w:val="none"/>
                <w:lang w:val="en-US" w:eastAsia="zh-CN"/>
              </w:rPr>
              <w:t>2</w:t>
            </w:r>
            <w:r>
              <w:rPr>
                <w:rFonts w:hint="default" w:ascii="Times New Roman" w:hAnsi="Times New Roman" w:cs="Times New Roman"/>
                <w:snapToGrid w:val="0"/>
                <w:kern w:val="0"/>
                <w:sz w:val="24"/>
                <w:szCs w:val="24"/>
                <w:highlight w:val="none"/>
              </w:rPr>
              <w:t>-</w:t>
            </w:r>
            <w:r>
              <w:rPr>
                <w:rFonts w:hint="eastAsia" w:cs="Times New Roman"/>
                <w:snapToGrid w:val="0"/>
                <w:kern w:val="0"/>
                <w:sz w:val="24"/>
                <w:szCs w:val="24"/>
                <w:highlight w:val="none"/>
                <w:lang w:val="en-US" w:eastAsia="zh-CN"/>
              </w:rPr>
              <w:t>2</w:t>
            </w:r>
            <w:r>
              <w:rPr>
                <w:rFonts w:hint="default" w:ascii="Times New Roman" w:hAnsi="Times New Roman" w:cs="Times New Roman"/>
                <w:snapToGrid w:val="0"/>
                <w:kern w:val="0"/>
                <w:sz w:val="24"/>
                <w:szCs w:val="24"/>
                <w:highlight w:val="none"/>
              </w:rPr>
              <w:t>。</w:t>
            </w:r>
          </w:p>
          <w:p>
            <w:pPr>
              <w:tabs>
                <w:tab w:val="left" w:pos="924"/>
              </w:tabs>
              <w:ind w:firstLine="480" w:firstLineChars="200"/>
              <w:jc w:val="center"/>
              <w:outlineLvl w:val="0"/>
              <w:rPr>
                <w:snapToGrid w:val="0"/>
                <w:kern w:val="0"/>
                <w:sz w:val="24"/>
                <w:szCs w:val="24"/>
                <w:highlight w:val="none"/>
              </w:rPr>
            </w:pPr>
            <w:r>
              <w:rPr>
                <w:snapToGrid w:val="0"/>
                <w:kern w:val="0"/>
                <w:sz w:val="24"/>
                <w:szCs w:val="24"/>
                <w:highlight w:val="none"/>
              </w:rPr>
              <w:drawing>
                <wp:inline distT="0" distB="0" distL="114300" distR="114300">
                  <wp:extent cx="2871470" cy="1692910"/>
                  <wp:effectExtent l="0" t="0" r="5080" b="254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0"/>
                          <a:srcRect l="13838" t="6561" r="24164" b="13106"/>
                          <a:stretch>
                            <a:fillRect/>
                          </a:stretch>
                        </pic:blipFill>
                        <pic:spPr>
                          <a:xfrm>
                            <a:off x="0" y="0"/>
                            <a:ext cx="2871470" cy="1692910"/>
                          </a:xfrm>
                          <a:prstGeom prst="rect">
                            <a:avLst/>
                          </a:prstGeom>
                          <a:noFill/>
                          <a:ln>
                            <a:noFill/>
                          </a:ln>
                        </pic:spPr>
                      </pic:pic>
                    </a:graphicData>
                  </a:graphic>
                </wp:inline>
              </w:drawing>
            </w:r>
          </w:p>
          <w:p>
            <w:pPr>
              <w:tabs>
                <w:tab w:val="left" w:pos="924"/>
                <w:tab w:val="left" w:pos="3458"/>
              </w:tabs>
              <w:autoSpaceDE w:val="0"/>
              <w:autoSpaceDN w:val="0"/>
              <w:jc w:val="center"/>
              <w:rPr>
                <w:b/>
                <w:snapToGrid w:val="0"/>
                <w:kern w:val="0"/>
                <w:sz w:val="21"/>
                <w:szCs w:val="24"/>
                <w:highlight w:val="none"/>
              </w:rPr>
            </w:pPr>
            <w:r>
              <w:rPr>
                <w:b/>
                <w:snapToGrid w:val="0"/>
                <w:kern w:val="0"/>
                <w:sz w:val="21"/>
                <w:szCs w:val="24"/>
                <w:highlight w:val="none"/>
              </w:rPr>
              <w:t>图</w:t>
            </w:r>
            <w:r>
              <w:rPr>
                <w:rFonts w:hint="eastAsia"/>
                <w:b/>
                <w:snapToGrid w:val="0"/>
                <w:kern w:val="0"/>
                <w:sz w:val="21"/>
                <w:szCs w:val="24"/>
                <w:highlight w:val="none"/>
                <w:lang w:val="en-US" w:eastAsia="zh-CN"/>
              </w:rPr>
              <w:t>2</w:t>
            </w:r>
            <w:r>
              <w:rPr>
                <w:b/>
                <w:snapToGrid w:val="0"/>
                <w:kern w:val="0"/>
                <w:sz w:val="21"/>
                <w:szCs w:val="24"/>
                <w:highlight w:val="none"/>
              </w:rPr>
              <w:t>-</w:t>
            </w:r>
            <w:r>
              <w:rPr>
                <w:rFonts w:hint="eastAsia"/>
                <w:b/>
                <w:snapToGrid w:val="0"/>
                <w:kern w:val="0"/>
                <w:sz w:val="21"/>
                <w:szCs w:val="24"/>
                <w:highlight w:val="none"/>
                <w:lang w:val="en-US" w:eastAsia="zh-CN"/>
              </w:rPr>
              <w:t>2</w:t>
            </w:r>
            <w:r>
              <w:rPr>
                <w:b/>
                <w:snapToGrid w:val="0"/>
                <w:kern w:val="0"/>
                <w:sz w:val="21"/>
                <w:szCs w:val="24"/>
                <w:highlight w:val="none"/>
              </w:rPr>
              <w:t xml:space="preserve">  油品卸车工艺流程图</w:t>
            </w:r>
          </w:p>
          <w:p>
            <w:pPr>
              <w:autoSpaceDE w:val="0"/>
              <w:autoSpaceDN w:val="0"/>
              <w:adjustRightInd w:val="0"/>
              <w:snapToGrid w:val="0"/>
              <w:spacing w:line="360" w:lineRule="auto"/>
              <w:rPr>
                <w:rFonts w:hint="default" w:ascii="Times New Roman" w:hAnsi="Times New Roman" w:cs="Times New Roman" w:eastAsiaTheme="minorEastAsia"/>
                <w:b/>
                <w:snapToGrid w:val="0"/>
                <w:kern w:val="0"/>
                <w:sz w:val="24"/>
                <w:highlight w:val="none"/>
                <w:lang w:val="en-US" w:eastAsia="zh-CN"/>
              </w:rPr>
            </w:pPr>
            <w:r>
              <w:rPr>
                <w:rFonts w:hint="eastAsia" w:cs="Times New Roman" w:eastAsiaTheme="minorEastAsia"/>
                <w:b/>
                <w:snapToGrid w:val="0"/>
                <w:kern w:val="0"/>
                <w:sz w:val="24"/>
                <w:highlight w:val="none"/>
                <w:lang w:val="en-US" w:eastAsia="zh-CN"/>
              </w:rPr>
              <w:t>二</w:t>
            </w:r>
            <w:r>
              <w:rPr>
                <w:rFonts w:hint="eastAsia" w:ascii="Times New Roman" w:hAnsi="Times New Roman" w:cs="Times New Roman" w:eastAsiaTheme="minorEastAsia"/>
                <w:b/>
                <w:snapToGrid w:val="0"/>
                <w:kern w:val="0"/>
                <w:sz w:val="24"/>
                <w:highlight w:val="none"/>
                <w:lang w:val="en-US" w:eastAsia="zh-CN"/>
              </w:rPr>
              <w:t>、</w:t>
            </w:r>
            <w:r>
              <w:rPr>
                <w:rFonts w:hint="default" w:ascii="Times New Roman" w:hAnsi="Times New Roman" w:cs="Times New Roman" w:eastAsiaTheme="minorEastAsia"/>
                <w:b/>
                <w:snapToGrid w:val="0"/>
                <w:kern w:val="0"/>
                <w:sz w:val="24"/>
                <w:highlight w:val="none"/>
                <w:lang w:val="en-US" w:eastAsia="zh-CN"/>
              </w:rPr>
              <w:t>加油工艺流程</w:t>
            </w:r>
          </w:p>
          <w:p>
            <w:pPr>
              <w:adjustRightInd w:val="0"/>
              <w:snapToGrid w:val="0"/>
              <w:spacing w:line="360" w:lineRule="auto"/>
              <w:ind w:firstLine="480" w:firstLineChars="200"/>
              <w:jc w:val="left"/>
              <w:outlineLvl w:val="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油品卸入储油罐中后，由油罐内置的潜油泵将储油罐内的油品输送至流量剂，经流量剂计量后的油品通过加油枪加至汽车内。</w:t>
            </w:r>
          </w:p>
          <w:p>
            <w:pPr>
              <w:tabs>
                <w:tab w:val="left" w:pos="924"/>
              </w:tabs>
              <w:adjustRightInd w:val="0"/>
              <w:snapToGrid w:val="0"/>
              <w:spacing w:line="360" w:lineRule="auto"/>
              <w:ind w:firstLine="480" w:firstLineChars="200"/>
              <w:outlineLvl w:val="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在</w:t>
            </w:r>
            <w:r>
              <w:rPr>
                <w:rFonts w:hint="default" w:ascii="Times New Roman" w:hAnsi="Times New Roman" w:cs="Times New Roman"/>
                <w:snapToGrid w:val="0"/>
                <w:kern w:val="0"/>
                <w:sz w:val="24"/>
                <w:szCs w:val="24"/>
                <w:highlight w:val="none"/>
              </w:rPr>
              <w:fldChar w:fldCharType="begin"/>
            </w:r>
            <w:r>
              <w:rPr>
                <w:rFonts w:hint="default" w:ascii="Times New Roman" w:hAnsi="Times New Roman" w:cs="Times New Roman"/>
                <w:snapToGrid w:val="0"/>
                <w:kern w:val="0"/>
                <w:sz w:val="24"/>
                <w:szCs w:val="24"/>
                <w:highlight w:val="none"/>
              </w:rPr>
              <w:instrText xml:space="preserve"> HYPERLINK "http://www.lyprm.com/" \o "油气回收" \t "_blank" </w:instrText>
            </w:r>
            <w:r>
              <w:rPr>
                <w:rFonts w:hint="default" w:ascii="Times New Roman" w:hAnsi="Times New Roman" w:cs="Times New Roman"/>
                <w:snapToGrid w:val="0"/>
                <w:kern w:val="0"/>
                <w:sz w:val="24"/>
                <w:szCs w:val="24"/>
                <w:highlight w:val="none"/>
              </w:rPr>
              <w:fldChar w:fldCharType="separate"/>
            </w:r>
            <w:r>
              <w:rPr>
                <w:rFonts w:hint="default" w:ascii="Times New Roman" w:hAnsi="Times New Roman" w:cs="Times New Roman"/>
                <w:snapToGrid w:val="0"/>
                <w:kern w:val="0"/>
                <w:sz w:val="24"/>
                <w:szCs w:val="24"/>
                <w:highlight w:val="none"/>
              </w:rPr>
              <w:t>油气回收</w:t>
            </w:r>
            <w:r>
              <w:rPr>
                <w:rFonts w:hint="default" w:ascii="Times New Roman" w:hAnsi="Times New Roman" w:cs="Times New Roman"/>
                <w:snapToGrid w:val="0"/>
                <w:kern w:val="0"/>
                <w:sz w:val="24"/>
                <w:szCs w:val="24"/>
                <w:highlight w:val="none"/>
              </w:rPr>
              <w:fldChar w:fldCharType="end"/>
            </w:r>
            <w:r>
              <w:rPr>
                <w:rFonts w:hint="default" w:ascii="Times New Roman" w:hAnsi="Times New Roman" w:cs="Times New Roman"/>
                <w:snapToGrid w:val="0"/>
                <w:kern w:val="0"/>
                <w:sz w:val="24"/>
                <w:szCs w:val="24"/>
                <w:highlight w:val="none"/>
              </w:rPr>
              <w:t>环节，加油枪与同轴软管与油枪调节阀体相连接，当加油时，将油枪扳手提起，顶杆将主阀门打开，压力油通过铜阀门流进枪体下腔。在压力油作用下，将铜阀门打开，使油通过出油管流进汽车受油容器。在油流动过程中，铜阀门后面空腔中的空气被带走。当受油容器没有加满油时，被带走的空气通过气管、气管嘴得到补偿，油枪不自封。当受油容器加满油时，气孔被油液堵死，空气无法补偿，空腔中空气被带走后形成负压，此时自封阀盖下面的膜片向上变形，膜片轴随膜片向上移动。起阻止作用的钢珠滑向中心，轴便下落，失去固定支点的作用，主阀在弹簧的作用下，自动关闭，起自封作用。</w:t>
            </w:r>
          </w:p>
          <w:p>
            <w:pPr>
              <w:tabs>
                <w:tab w:val="left" w:pos="924"/>
              </w:tabs>
              <w:adjustRightInd w:val="0"/>
              <w:snapToGrid w:val="0"/>
              <w:spacing w:line="360" w:lineRule="auto"/>
              <w:ind w:firstLine="480" w:firstLineChars="200"/>
              <w:outlineLvl w:val="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油枪在加油时扳手可在挂档销上面固定，固定的位置分为两档，可根据加油时的需要来确定挂档的位置。回收罩在加油时将容器口的进口密封，容器内的油气通过</w:t>
            </w:r>
            <w:r>
              <w:rPr>
                <w:rFonts w:hint="default" w:ascii="Times New Roman" w:hAnsi="Times New Roman" w:cs="Times New Roman"/>
                <w:snapToGrid w:val="0"/>
                <w:kern w:val="0"/>
                <w:sz w:val="24"/>
                <w:szCs w:val="24"/>
                <w:highlight w:val="none"/>
              </w:rPr>
              <w:fldChar w:fldCharType="begin"/>
            </w:r>
            <w:r>
              <w:rPr>
                <w:rFonts w:hint="default" w:ascii="Times New Roman" w:hAnsi="Times New Roman" w:cs="Times New Roman"/>
                <w:snapToGrid w:val="0"/>
                <w:kern w:val="0"/>
                <w:sz w:val="24"/>
                <w:szCs w:val="24"/>
                <w:highlight w:val="none"/>
              </w:rPr>
              <w:instrText xml:space="preserve"> HYPERLINK "http://www.lyprm.com/" \o "油气回收泵" \t "_blank" </w:instrText>
            </w:r>
            <w:r>
              <w:rPr>
                <w:rFonts w:hint="default" w:ascii="Times New Roman" w:hAnsi="Times New Roman" w:cs="Times New Roman"/>
                <w:snapToGrid w:val="0"/>
                <w:kern w:val="0"/>
                <w:sz w:val="24"/>
                <w:szCs w:val="24"/>
                <w:highlight w:val="none"/>
              </w:rPr>
              <w:fldChar w:fldCharType="separate"/>
            </w:r>
            <w:r>
              <w:rPr>
                <w:rFonts w:hint="default" w:ascii="Times New Roman" w:hAnsi="Times New Roman" w:cs="Times New Roman"/>
                <w:snapToGrid w:val="0"/>
                <w:kern w:val="0"/>
                <w:sz w:val="24"/>
                <w:szCs w:val="24"/>
                <w:highlight w:val="none"/>
              </w:rPr>
              <w:t>油气回收泵</w:t>
            </w:r>
            <w:r>
              <w:rPr>
                <w:rFonts w:hint="default" w:ascii="Times New Roman" w:hAnsi="Times New Roman" w:cs="Times New Roman"/>
                <w:snapToGrid w:val="0"/>
                <w:kern w:val="0"/>
                <w:sz w:val="24"/>
                <w:szCs w:val="24"/>
                <w:highlight w:val="none"/>
              </w:rPr>
              <w:fldChar w:fldCharType="end"/>
            </w:r>
            <w:r>
              <w:rPr>
                <w:rFonts w:hint="default" w:ascii="Times New Roman" w:hAnsi="Times New Roman" w:cs="Times New Roman"/>
                <w:snapToGrid w:val="0"/>
                <w:kern w:val="0"/>
                <w:sz w:val="24"/>
                <w:szCs w:val="24"/>
                <w:highlight w:val="none"/>
              </w:rPr>
              <w:t>进入加油机，在加油机内，设置油气分离阀，实现油气分离，油品加入汽车中。经分离后的油气通过回气管道输入储油罐中，减少油品因挥发而逸入大气的量，完成油气回收过程。</w:t>
            </w:r>
          </w:p>
          <w:p>
            <w:pPr>
              <w:tabs>
                <w:tab w:val="left" w:pos="924"/>
              </w:tabs>
              <w:adjustRightInd w:val="0"/>
              <w:snapToGrid w:val="0"/>
              <w:spacing w:line="360" w:lineRule="auto"/>
              <w:ind w:firstLine="480" w:firstLineChars="200"/>
              <w:outlineLvl w:val="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加油工艺流程见图</w:t>
            </w:r>
            <w:r>
              <w:rPr>
                <w:rFonts w:hint="eastAsia" w:ascii="Times New Roman" w:hAnsi="Times New Roman" w:cs="Times New Roman"/>
                <w:snapToGrid w:val="0"/>
                <w:kern w:val="0"/>
                <w:sz w:val="24"/>
                <w:szCs w:val="24"/>
                <w:highlight w:val="none"/>
                <w:lang w:val="en-US" w:eastAsia="zh-CN"/>
              </w:rPr>
              <w:t>2</w:t>
            </w:r>
            <w:r>
              <w:rPr>
                <w:rFonts w:hint="default" w:ascii="Times New Roman" w:hAnsi="Times New Roman" w:cs="Times New Roman"/>
                <w:snapToGrid w:val="0"/>
                <w:kern w:val="0"/>
                <w:sz w:val="24"/>
                <w:szCs w:val="24"/>
                <w:highlight w:val="none"/>
              </w:rPr>
              <w:t>-</w:t>
            </w:r>
            <w:r>
              <w:rPr>
                <w:rFonts w:hint="eastAsia" w:cs="Times New Roman"/>
                <w:snapToGrid w:val="0"/>
                <w:kern w:val="0"/>
                <w:sz w:val="24"/>
                <w:szCs w:val="24"/>
                <w:highlight w:val="none"/>
                <w:lang w:val="en-US" w:eastAsia="zh-CN"/>
              </w:rPr>
              <w:t>3</w:t>
            </w:r>
            <w:r>
              <w:rPr>
                <w:rFonts w:hint="default" w:ascii="Times New Roman" w:hAnsi="Times New Roman" w:cs="Times New Roman"/>
                <w:snapToGrid w:val="0"/>
                <w:kern w:val="0"/>
                <w:sz w:val="24"/>
                <w:szCs w:val="24"/>
                <w:highlight w:val="none"/>
              </w:rPr>
              <w:t>。</w:t>
            </w:r>
          </w:p>
          <w:p>
            <w:pPr>
              <w:widowControl/>
              <w:jc w:val="center"/>
              <w:rPr>
                <w:snapToGrid w:val="0"/>
                <w:kern w:val="0"/>
                <w:sz w:val="24"/>
                <w:szCs w:val="24"/>
                <w:highlight w:val="none"/>
              </w:rPr>
            </w:pPr>
            <w:r>
              <w:rPr>
                <w:snapToGrid w:val="0"/>
                <w:kern w:val="0"/>
                <w:sz w:val="24"/>
                <w:szCs w:val="24"/>
                <w:highlight w:val="none"/>
              </w:rPr>
              <w:fldChar w:fldCharType="begin"/>
            </w:r>
            <w:r>
              <w:rPr>
                <w:snapToGrid w:val="0"/>
                <w:kern w:val="0"/>
                <w:sz w:val="24"/>
                <w:szCs w:val="24"/>
                <w:highlight w:val="none"/>
              </w:rPr>
              <w:instrText xml:space="preserve"> INCLUDEPICTURE "C:\\Users\\Administrator\\AppData\\Roaming\\Microsoft\\my documents\\tencent files\\2213804163\\Application Data\\Tencent\\Users\\1045034283\\QQ\\WinTemp\\RichOle\\@I}YTIOCIU2SUF6WXO84N32.jpg" \* MERGEFORMAT </w:instrText>
            </w:r>
            <w:r>
              <w:rPr>
                <w:snapToGrid w:val="0"/>
                <w:kern w:val="0"/>
                <w:sz w:val="24"/>
                <w:szCs w:val="24"/>
                <w:highlight w:val="none"/>
              </w:rPr>
              <w:fldChar w:fldCharType="separate"/>
            </w:r>
            <w:r>
              <w:rPr>
                <w:snapToGrid w:val="0"/>
                <w:kern w:val="0"/>
                <w:sz w:val="24"/>
                <w:szCs w:val="24"/>
                <w:highlight w:val="none"/>
              </w:rPr>
              <w:drawing>
                <wp:inline distT="0" distB="0" distL="114300" distR="114300">
                  <wp:extent cx="3641725" cy="1586865"/>
                  <wp:effectExtent l="0" t="0" r="15875" b="13335"/>
                  <wp:docPr id="14" name="图片 2" descr="@I}YTIOCIU2SUF6WXO84N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YTIOCIU2SUF6WXO84N32"/>
                          <pic:cNvPicPr>
                            <a:picLocks noChangeAspect="1"/>
                          </pic:cNvPicPr>
                        </pic:nvPicPr>
                        <pic:blipFill>
                          <a:blip r:embed="rId11"/>
                          <a:stretch>
                            <a:fillRect/>
                          </a:stretch>
                        </pic:blipFill>
                        <pic:spPr>
                          <a:xfrm>
                            <a:off x="0" y="0"/>
                            <a:ext cx="3641725" cy="1586865"/>
                          </a:xfrm>
                          <a:prstGeom prst="rect">
                            <a:avLst/>
                          </a:prstGeom>
                          <a:noFill/>
                          <a:ln>
                            <a:noFill/>
                          </a:ln>
                        </pic:spPr>
                      </pic:pic>
                    </a:graphicData>
                  </a:graphic>
                </wp:inline>
              </w:drawing>
            </w:r>
            <w:r>
              <w:rPr>
                <w:snapToGrid w:val="0"/>
                <w:kern w:val="0"/>
                <w:sz w:val="24"/>
                <w:szCs w:val="24"/>
                <w:highlight w:val="none"/>
              </w:rPr>
              <w:fldChar w:fldCharType="end"/>
            </w:r>
          </w:p>
          <w:p>
            <w:pPr>
              <w:tabs>
                <w:tab w:val="left" w:pos="924"/>
                <w:tab w:val="left" w:pos="3458"/>
              </w:tabs>
              <w:autoSpaceDE w:val="0"/>
              <w:autoSpaceDN w:val="0"/>
              <w:jc w:val="center"/>
              <w:rPr>
                <w:rFonts w:hint="default" w:ascii="Times New Roman" w:hAnsi="Times New Roman" w:cs="Times New Roman"/>
                <w:b/>
                <w:snapToGrid w:val="0"/>
                <w:kern w:val="0"/>
                <w:sz w:val="21"/>
                <w:szCs w:val="24"/>
                <w:highlight w:val="none"/>
              </w:rPr>
            </w:pPr>
            <w:r>
              <w:rPr>
                <w:rFonts w:hint="default" w:ascii="Times New Roman" w:hAnsi="Times New Roman" w:cs="Times New Roman"/>
                <w:b/>
                <w:snapToGrid w:val="0"/>
                <w:kern w:val="0"/>
                <w:sz w:val="21"/>
                <w:szCs w:val="24"/>
                <w:highlight w:val="none"/>
              </w:rPr>
              <w:t>图</w:t>
            </w:r>
            <w:r>
              <w:rPr>
                <w:rFonts w:hint="eastAsia" w:ascii="Times New Roman" w:hAnsi="Times New Roman" w:cs="Times New Roman"/>
                <w:b/>
                <w:snapToGrid w:val="0"/>
                <w:kern w:val="0"/>
                <w:sz w:val="21"/>
                <w:szCs w:val="24"/>
                <w:highlight w:val="none"/>
                <w:lang w:val="en-US" w:eastAsia="zh-CN"/>
              </w:rPr>
              <w:t>2</w:t>
            </w:r>
            <w:r>
              <w:rPr>
                <w:rFonts w:hint="default" w:ascii="Times New Roman" w:hAnsi="Times New Roman" w:cs="Times New Roman"/>
                <w:b/>
                <w:snapToGrid w:val="0"/>
                <w:kern w:val="0"/>
                <w:sz w:val="21"/>
                <w:szCs w:val="24"/>
                <w:highlight w:val="none"/>
              </w:rPr>
              <w:t>-</w:t>
            </w:r>
            <w:r>
              <w:rPr>
                <w:rFonts w:hint="eastAsia" w:cs="Times New Roman"/>
                <w:b/>
                <w:snapToGrid w:val="0"/>
                <w:kern w:val="0"/>
                <w:sz w:val="21"/>
                <w:szCs w:val="24"/>
                <w:highlight w:val="none"/>
                <w:lang w:val="en-US" w:eastAsia="zh-CN"/>
              </w:rPr>
              <w:t>3</w:t>
            </w:r>
            <w:r>
              <w:rPr>
                <w:rFonts w:hint="default" w:ascii="Times New Roman" w:hAnsi="Times New Roman" w:cs="Times New Roman"/>
                <w:b/>
                <w:snapToGrid w:val="0"/>
                <w:kern w:val="0"/>
                <w:sz w:val="21"/>
                <w:szCs w:val="24"/>
                <w:highlight w:val="none"/>
              </w:rPr>
              <w:t xml:space="preserve">  加油工艺流程图</w:t>
            </w:r>
          </w:p>
          <w:p>
            <w:pPr>
              <w:autoSpaceDE w:val="0"/>
              <w:autoSpaceDN w:val="0"/>
              <w:adjustRightInd w:val="0"/>
              <w:snapToGrid w:val="0"/>
              <w:spacing w:line="360" w:lineRule="auto"/>
              <w:rPr>
                <w:rFonts w:hint="default" w:cs="Times New Roman" w:eastAsiaTheme="minorEastAsia"/>
                <w:b/>
                <w:snapToGrid w:val="0"/>
                <w:kern w:val="0"/>
                <w:sz w:val="24"/>
                <w:highlight w:val="none"/>
                <w:lang w:val="en-US" w:eastAsia="zh-CN"/>
              </w:rPr>
            </w:pPr>
            <w:r>
              <w:rPr>
                <w:rFonts w:hint="eastAsia" w:cs="Times New Roman" w:eastAsiaTheme="minorEastAsia"/>
                <w:b/>
                <w:snapToGrid w:val="0"/>
                <w:kern w:val="0"/>
                <w:sz w:val="24"/>
                <w:highlight w:val="none"/>
                <w:lang w:val="en-US" w:eastAsia="zh-CN"/>
              </w:rPr>
              <w:t>三、</w:t>
            </w:r>
            <w:r>
              <w:rPr>
                <w:rFonts w:hint="default" w:cs="Times New Roman" w:eastAsiaTheme="minorEastAsia"/>
                <w:b/>
                <w:snapToGrid w:val="0"/>
                <w:kern w:val="0"/>
                <w:sz w:val="24"/>
                <w:highlight w:val="none"/>
                <w:lang w:val="en-US" w:eastAsia="zh-CN"/>
              </w:rPr>
              <w:t>油气回收工艺流程</w:t>
            </w:r>
          </w:p>
          <w:p>
            <w:pPr>
              <w:tabs>
                <w:tab w:val="left" w:pos="924"/>
              </w:tabs>
              <w:adjustRightInd w:val="0"/>
              <w:snapToGrid w:val="0"/>
              <w:spacing w:line="360" w:lineRule="auto"/>
              <w:ind w:firstLine="480" w:firstLineChars="20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油气回收系统的作用是将加油站在卸油、储油和加油过程中产生的油气，通过密闭收集、储存和送入油罐汽车的罐内，运送到储油库集中回收变成汽油。因此加油站的油气回收系统主要分为以下三个部分：卸油油气回收系统、加油油气回收系统和油罐呼吸口油气回收系统。</w:t>
            </w:r>
          </w:p>
          <w:p>
            <w:pPr>
              <w:tabs>
                <w:tab w:val="left" w:pos="924"/>
              </w:tabs>
              <w:adjustRightInd w:val="0"/>
              <w:snapToGrid w:val="0"/>
              <w:spacing w:line="360" w:lineRule="auto"/>
              <w:ind w:firstLine="480" w:firstLineChars="200"/>
              <w:rPr>
                <w:rFonts w:hint="default" w:ascii="Times New Roman" w:hAnsi="Times New Roman" w:cs="Times New Roman"/>
                <w:b w:val="0"/>
                <w:bCs w:val="0"/>
                <w:snapToGrid w:val="0"/>
                <w:kern w:val="0"/>
                <w:sz w:val="24"/>
                <w:szCs w:val="24"/>
                <w:highlight w:val="none"/>
              </w:rPr>
            </w:pPr>
            <w:r>
              <w:rPr>
                <w:rFonts w:hint="eastAsia" w:cs="Times New Roman"/>
                <w:b w:val="0"/>
                <w:bCs w:val="0"/>
                <w:snapToGrid w:val="0"/>
                <w:kern w:val="0"/>
                <w:sz w:val="24"/>
                <w:szCs w:val="24"/>
                <w:highlight w:val="none"/>
                <w:lang w:val="en-US" w:eastAsia="zh-CN"/>
              </w:rPr>
              <w:t>1、</w:t>
            </w:r>
            <w:r>
              <w:rPr>
                <w:rFonts w:hint="default" w:ascii="Times New Roman" w:hAnsi="Times New Roman" w:cs="Times New Roman"/>
                <w:b w:val="0"/>
                <w:bCs w:val="0"/>
                <w:snapToGrid w:val="0"/>
                <w:kern w:val="0"/>
                <w:sz w:val="24"/>
                <w:szCs w:val="24"/>
                <w:highlight w:val="none"/>
              </w:rPr>
              <w:t>一次油气回收系统——卸油油气回收系</w:t>
            </w:r>
          </w:p>
          <w:p>
            <w:pPr>
              <w:tabs>
                <w:tab w:val="left" w:pos="924"/>
              </w:tabs>
              <w:adjustRightInd w:val="0"/>
              <w:snapToGrid w:val="0"/>
              <w:spacing w:line="360" w:lineRule="auto"/>
              <w:ind w:firstLine="480" w:firstLineChars="20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油品由油罐车运至加油站，通过罐车与储油罐之间的管道依靠重力自流的方式卸入储油罐中，项目采用浸没式密闭卸油的方式，卸油管出油口距罐底高度小于200mm。卸油和油气回收接口安装DN100mm截流阀，连接软管采用DN100mm密封式快接接头与卸油车连接，卸油后连接软管不能残存残油。在卸油时通过胶管与油罐车油气回收口连接，保证在卸油的同时将油气回收到罐车内。连接排气管的地下管线应坡向油罐，坡度不应小于1%，管线直接不小于DN50mm。卸油时，油品通过重力作用进入储油罐，储油罐中的油气压力增大，油气通过密闭回收管路回收进入油罐车，由油罐车运送至油库进行处理。</w:t>
            </w:r>
          </w:p>
          <w:p>
            <w:pPr>
              <w:tabs>
                <w:tab w:val="left" w:pos="924"/>
              </w:tabs>
              <w:adjustRightInd w:val="0"/>
              <w:snapToGrid w:val="0"/>
              <w:spacing w:line="360" w:lineRule="auto"/>
              <w:ind w:firstLine="480" w:firstLineChars="200"/>
              <w:rPr>
                <w:rFonts w:hint="default" w:ascii="Times New Roman" w:hAnsi="Times New Roman" w:cs="Times New Roman"/>
                <w:snapToGrid w:val="0"/>
                <w:kern w:val="0"/>
                <w:sz w:val="24"/>
                <w:szCs w:val="24"/>
                <w:highlight w:val="none"/>
              </w:rPr>
            </w:pPr>
            <w:r>
              <w:rPr>
                <w:rFonts w:hint="eastAsia" w:cs="Times New Roman"/>
                <w:snapToGrid w:val="0"/>
                <w:kern w:val="0"/>
                <w:sz w:val="24"/>
                <w:szCs w:val="24"/>
                <w:highlight w:val="none"/>
                <w:lang w:val="en-US" w:eastAsia="zh-CN"/>
              </w:rPr>
              <w:t>2、</w:t>
            </w:r>
            <w:r>
              <w:rPr>
                <w:rFonts w:hint="default" w:ascii="Times New Roman" w:hAnsi="Times New Roman" w:cs="Times New Roman"/>
                <w:snapToGrid w:val="0"/>
                <w:kern w:val="0"/>
                <w:sz w:val="24"/>
                <w:szCs w:val="24"/>
                <w:highlight w:val="none"/>
              </w:rPr>
              <w:t>二次油气回收系统——加油油气回收系统</w:t>
            </w:r>
          </w:p>
          <w:p>
            <w:pPr>
              <w:tabs>
                <w:tab w:val="left" w:pos="924"/>
              </w:tabs>
              <w:adjustRightInd w:val="0"/>
              <w:snapToGrid w:val="0"/>
              <w:spacing w:line="360" w:lineRule="auto"/>
              <w:ind w:firstLine="480" w:firstLineChars="20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项目采取分散式加油油气回收，在最低标号汽油油罐和加油机之间埋设二次油气回收管线，同时安装油气回收真空泵、油气回收油枪（仅汽油加油枪）、胶管、油气分离接头、拉断阀和其他配套设备。加油时，由加油机内置的油泵将储油罐内的油品输送至流量计，经流量计计量后的油品通过油气回收枪的油品管道加至汽车内；同时，汽车油箱里的油气由加油机内置真空泵抽到回气管后集中到一根回气管回到低标号汽油罐内。项目采用真空辅助方式密闭收集，油气管线应坡向油罐，坡度不应小于1%，加油软管配备拉断截止阀 ，加油防止溢油和滴油。严格按规程操作和管理油气回收设施，定期检查、维护并记录备查。</w:t>
            </w:r>
          </w:p>
          <w:p>
            <w:pPr>
              <w:tabs>
                <w:tab w:val="left" w:pos="924"/>
              </w:tabs>
              <w:adjustRightInd w:val="0"/>
              <w:snapToGrid w:val="0"/>
              <w:spacing w:line="360" w:lineRule="auto"/>
              <w:ind w:firstLine="480" w:firstLineChars="200"/>
              <w:rPr>
                <w:rFonts w:hint="default" w:ascii="Times New Roman" w:hAnsi="Times New Roman" w:cs="Times New Roman"/>
                <w:snapToGrid w:val="0"/>
                <w:kern w:val="0"/>
                <w:sz w:val="24"/>
                <w:szCs w:val="24"/>
                <w:highlight w:val="none"/>
              </w:rPr>
            </w:pPr>
            <w:r>
              <w:rPr>
                <w:rFonts w:hint="eastAsia" w:cs="Times New Roman"/>
                <w:snapToGrid w:val="0"/>
                <w:kern w:val="0"/>
                <w:sz w:val="24"/>
                <w:szCs w:val="24"/>
                <w:highlight w:val="none"/>
                <w:lang w:val="en-US" w:eastAsia="zh-CN"/>
              </w:rPr>
              <w:t>3、</w:t>
            </w:r>
            <w:r>
              <w:rPr>
                <w:rFonts w:hint="default" w:ascii="Times New Roman" w:hAnsi="Times New Roman" w:cs="Times New Roman"/>
                <w:snapToGrid w:val="0"/>
                <w:kern w:val="0"/>
                <w:sz w:val="24"/>
                <w:szCs w:val="24"/>
                <w:highlight w:val="none"/>
              </w:rPr>
              <w:t>三次油气回收系统——油罐呼吸口油气回收系统</w:t>
            </w:r>
          </w:p>
          <w:p>
            <w:pPr>
              <w:tabs>
                <w:tab w:val="left" w:pos="924"/>
              </w:tabs>
              <w:adjustRightInd w:val="0"/>
              <w:snapToGrid w:val="0"/>
              <w:spacing w:line="360" w:lineRule="auto"/>
              <w:ind w:firstLine="480" w:firstLineChars="20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由于汽油非常容易挥发，当油罐系统温度升高时，汽油蒸发加剧，会引起呼吸阀排放油气；由于热胀冷缩现象，当油罐系统温度降低时，呼吸阀会吸入空气，当油罐系统温度再次升高时，也会引起呼吸阀排放油气。</w:t>
            </w:r>
          </w:p>
          <w:p>
            <w:pPr>
              <w:tabs>
                <w:tab w:val="left" w:pos="924"/>
              </w:tabs>
              <w:adjustRightInd w:val="0"/>
              <w:snapToGrid w:val="0"/>
              <w:spacing w:line="360" w:lineRule="auto"/>
              <w:ind w:firstLine="480" w:firstLineChars="20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目前国内外对加油站三次油气回收的治理主要有冷凝法、吸收法、吸附法、膜分离法几种方法，以及它们的组合工艺。本次建议设置使用冷凝+吸附的方法进行第三次油气回收。</w:t>
            </w:r>
          </w:p>
          <w:p>
            <w:pPr>
              <w:tabs>
                <w:tab w:val="left" w:pos="924"/>
              </w:tabs>
              <w:adjustRightInd w:val="0"/>
              <w:snapToGrid w:val="0"/>
              <w:spacing w:line="360" w:lineRule="auto"/>
              <w:ind w:firstLine="480" w:firstLineChars="20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冷凝法：是利用油气在不同温度和压力下具有不同的饱和蒸气压，通过降低温度或增加压力，使油气首先凝结出来。</w:t>
            </w:r>
          </w:p>
          <w:p>
            <w:pPr>
              <w:tabs>
                <w:tab w:val="left" w:pos="924"/>
              </w:tabs>
              <w:adjustRightInd w:val="0"/>
              <w:snapToGrid w:val="0"/>
              <w:spacing w:line="360" w:lineRule="auto"/>
              <w:ind w:firstLine="480" w:firstLineChars="20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吸附法：是利用油气中各组分与吸附剂(活性炭、活性炭纤维、硅胶、分子筛等)间结合力不同，实现难吸附组分与易吸附组分的分离。因为所用吸附剂价廉易得，处理效果好，所以应用最为广泛。</w:t>
            </w:r>
          </w:p>
          <w:p>
            <w:pPr>
              <w:tabs>
                <w:tab w:val="left" w:pos="924"/>
              </w:tabs>
              <w:adjustRightInd w:val="0"/>
              <w:snapToGrid w:val="0"/>
              <w:spacing w:line="360" w:lineRule="auto"/>
              <w:ind w:firstLine="480" w:firstLineChars="200"/>
              <w:jc w:val="left"/>
              <w:rPr>
                <w:rFonts w:hint="default" w:ascii="Times New Roman" w:hAnsi="Times New Roman" w:cs="Times New Roman"/>
                <w:bCs/>
                <w:snapToGrid w:val="0"/>
                <w:color w:val="0000FF"/>
                <w:kern w:val="0"/>
                <w:sz w:val="24"/>
                <w:szCs w:val="24"/>
                <w:highlight w:val="none"/>
              </w:rPr>
            </w:pPr>
            <w:r>
              <w:rPr>
                <w:rFonts w:hint="default" w:ascii="Times New Roman" w:hAnsi="Times New Roman" w:cs="Times New Roman"/>
                <w:bCs/>
                <w:snapToGrid w:val="0"/>
                <w:kern w:val="0"/>
                <w:sz w:val="24"/>
                <w:szCs w:val="24"/>
                <w:highlight w:val="none"/>
              </w:rPr>
              <w:t>先采用二级冷凝将油气冷凝到-40度至-50度，通过二级冷凝后85%以上的油气都液化了，未冷凝为液态的浓度较低的油气再通过一个吸附系统，对油气进行富集，使油气浓度大大提高，同时体积大大减小了，这时富集的油气再进入三级冷凝系统深度冷凝，此时三级冷凝器的功率就大大的减小了。</w:t>
            </w:r>
          </w:p>
          <w:p>
            <w:pPr>
              <w:tabs>
                <w:tab w:val="left" w:pos="924"/>
              </w:tabs>
              <w:adjustRightInd w:val="0"/>
              <w:snapToGrid w:val="0"/>
              <w:spacing w:line="360" w:lineRule="auto"/>
              <w:ind w:firstLine="480" w:firstLineChars="200"/>
              <w:jc w:val="left"/>
              <w:rPr>
                <w:rFonts w:hint="default" w:ascii="Times New Roman" w:hAnsi="Times New Roman" w:cs="Times New Roman"/>
                <w:bCs/>
                <w:snapToGrid w:val="0"/>
                <w:kern w:val="0"/>
                <w:sz w:val="24"/>
                <w:szCs w:val="24"/>
                <w:highlight w:val="none"/>
              </w:rPr>
            </w:pP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67808" behindDoc="0" locked="0" layoutInCell="1" allowOverlap="1">
                      <wp:simplePos x="0" y="0"/>
                      <wp:positionH relativeFrom="column">
                        <wp:posOffset>4518025</wp:posOffset>
                      </wp:positionH>
                      <wp:positionV relativeFrom="paragraph">
                        <wp:posOffset>255270</wp:posOffset>
                      </wp:positionV>
                      <wp:extent cx="1198880" cy="187833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198880" cy="1878330"/>
                              </a:xfrm>
                              <a:prstGeom prst="rect">
                                <a:avLst/>
                              </a:prstGeom>
                              <a:noFill/>
                              <a:ln w="12700">
                                <a:noFill/>
                              </a:ln>
                            </wps:spPr>
                            <wps:txbx>
                              <w:txbxContent>
                                <w:p>
                                  <w:pPr>
                                    <w:adjustRightInd w:val="0"/>
                                    <w:snapToGrid w:val="0"/>
                                    <w:ind w:firstLine="420" w:firstLineChars="200"/>
                                    <w:rPr>
                                      <w:sz w:val="21"/>
                                      <w:szCs w:val="21"/>
                                    </w:rPr>
                                  </w:pPr>
                                  <w:r>
                                    <w:rPr>
                                      <w:rFonts w:hint="eastAsia"/>
                                      <w:sz w:val="21"/>
                                      <w:szCs w:val="21"/>
                                    </w:rPr>
                                    <w:t>N</w:t>
                                  </w:r>
                                  <w:r>
                                    <w:rPr>
                                      <w:sz w:val="21"/>
                                      <w:szCs w:val="21"/>
                                    </w:rPr>
                                    <w:t>--</w:t>
                                  </w:r>
                                  <w:r>
                                    <w:rPr>
                                      <w:rFonts w:hint="eastAsia"/>
                                      <w:sz w:val="21"/>
                                      <w:szCs w:val="21"/>
                                    </w:rPr>
                                    <w:t>噪声</w:t>
                                  </w:r>
                                </w:p>
                                <w:p>
                                  <w:pPr>
                                    <w:pStyle w:val="10"/>
                                    <w:adjustRightInd w:val="0"/>
                                    <w:snapToGrid w:val="0"/>
                                    <w:spacing w:after="0"/>
                                    <w:ind w:left="0" w:leftChars="0" w:firstLine="375"/>
                                    <w:rPr>
                                      <w:szCs w:val="21"/>
                                    </w:rPr>
                                  </w:pPr>
                                  <w:r>
                                    <w:rPr>
                                      <w:rFonts w:hint="eastAsia"/>
                                      <w:szCs w:val="21"/>
                                    </w:rPr>
                                    <w:t>G</w:t>
                                  </w:r>
                                  <w:r>
                                    <w:rPr>
                                      <w:szCs w:val="21"/>
                                    </w:rPr>
                                    <w:t>--废气</w:t>
                                  </w:r>
                                </w:p>
                                <w:p>
                                  <w:pPr>
                                    <w:pStyle w:val="10"/>
                                    <w:adjustRightInd w:val="0"/>
                                    <w:snapToGrid w:val="0"/>
                                    <w:spacing w:after="0"/>
                                    <w:ind w:left="0" w:leftChars="0" w:firstLine="375"/>
                                  </w:pPr>
                                  <w:r>
                                    <w:rPr>
                                      <w:rFonts w:hint="eastAsia"/>
                                    </w:rPr>
                                    <w:t>S</w:t>
                                  </w:r>
                                  <w:r>
                                    <w:t>--</w:t>
                                  </w:r>
                                  <w:r>
                                    <w:rPr>
                                      <w:rFonts w:hint="eastAsia"/>
                                    </w:rPr>
                                    <w:t>固废</w:t>
                                  </w:r>
                                </w:p>
                                <w:p>
                                  <w:pPr>
                                    <w:pStyle w:val="10"/>
                                    <w:adjustRightInd w:val="0"/>
                                    <w:snapToGrid w:val="0"/>
                                    <w:spacing w:after="0"/>
                                    <w:ind w:left="0" w:leftChars="0" w:firstLine="375"/>
                                    <w:rPr>
                                      <w:rFonts w:hint="eastAsia"/>
                                    </w:rPr>
                                  </w:pPr>
                                  <w:r>
                                    <w:rPr>
                                      <w:rFonts w:hint="eastAsia"/>
                                    </w:rPr>
                                    <w:t>C</w:t>
                                  </w:r>
                                  <w:r>
                                    <w:t>--废活性</w:t>
                                  </w:r>
                                  <w:r>
                                    <w:rPr>
                                      <w:rFonts w:hint="eastAsia"/>
                                    </w:rPr>
                                    <w:t>碳</w:t>
                                  </w:r>
                                </w:p>
                              </w:txbxContent>
                            </wps:txbx>
                            <wps:bodyPr upright="1"/>
                          </wps:wsp>
                        </a:graphicData>
                      </a:graphic>
                    </wp:anchor>
                  </w:drawing>
                </mc:Choice>
                <mc:Fallback>
                  <w:pict>
                    <v:shape id="_x0000_s1026" o:spid="_x0000_s1026" o:spt="202" type="#_x0000_t202" style="position:absolute;left:0pt;margin-left:355.75pt;margin-top:20.1pt;height:147.9pt;width:94.4pt;z-index:251767808;mso-width-relative:page;mso-height-relative:page;" filled="f" stroked="f" coordsize="21600,21600" o:gfxdata="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aL59gAAAAKAQAADwAAAAAAAAABACAA&#10;AAAiAAAAZHJzL2Rvd25yZXYueG1sUEsBAhQAFAAAAAgAh07iQJARR5KbAQAADQMAAA4AAAAAAAAA&#10;AQAgAAAAJwEAAGRycy9lMm9Eb2MueG1sUEsFBgAAAAAGAAYAWQEAADQFAAAAAA==&#10;">
                      <v:fill on="f" focussize="0,0"/>
                      <v:stroke on="f" weight="1pt"/>
                      <v:imagedata o:title=""/>
                      <o:lock v:ext="edit" aspectratio="f"/>
                      <v:textbox>
                        <w:txbxContent>
                          <w:p>
                            <w:pPr>
                              <w:adjustRightInd w:val="0"/>
                              <w:snapToGrid w:val="0"/>
                              <w:ind w:firstLine="420" w:firstLineChars="200"/>
                              <w:rPr>
                                <w:sz w:val="21"/>
                                <w:szCs w:val="21"/>
                              </w:rPr>
                            </w:pPr>
                            <w:r>
                              <w:rPr>
                                <w:rFonts w:hint="eastAsia"/>
                                <w:sz w:val="21"/>
                                <w:szCs w:val="21"/>
                              </w:rPr>
                              <w:t>N</w:t>
                            </w:r>
                            <w:r>
                              <w:rPr>
                                <w:sz w:val="21"/>
                                <w:szCs w:val="21"/>
                              </w:rPr>
                              <w:t>--</w:t>
                            </w:r>
                            <w:r>
                              <w:rPr>
                                <w:rFonts w:hint="eastAsia"/>
                                <w:sz w:val="21"/>
                                <w:szCs w:val="21"/>
                              </w:rPr>
                              <w:t>噪声</w:t>
                            </w:r>
                          </w:p>
                          <w:p>
                            <w:pPr>
                              <w:pStyle w:val="10"/>
                              <w:adjustRightInd w:val="0"/>
                              <w:snapToGrid w:val="0"/>
                              <w:spacing w:after="0"/>
                              <w:ind w:left="0" w:leftChars="0" w:firstLine="375"/>
                              <w:rPr>
                                <w:szCs w:val="21"/>
                              </w:rPr>
                            </w:pPr>
                            <w:r>
                              <w:rPr>
                                <w:rFonts w:hint="eastAsia"/>
                                <w:szCs w:val="21"/>
                              </w:rPr>
                              <w:t>G</w:t>
                            </w:r>
                            <w:r>
                              <w:rPr>
                                <w:szCs w:val="21"/>
                              </w:rPr>
                              <w:t>--废气</w:t>
                            </w:r>
                          </w:p>
                          <w:p>
                            <w:pPr>
                              <w:pStyle w:val="10"/>
                              <w:adjustRightInd w:val="0"/>
                              <w:snapToGrid w:val="0"/>
                              <w:spacing w:after="0"/>
                              <w:ind w:left="0" w:leftChars="0" w:firstLine="375"/>
                            </w:pPr>
                            <w:r>
                              <w:rPr>
                                <w:rFonts w:hint="eastAsia"/>
                              </w:rPr>
                              <w:t>S</w:t>
                            </w:r>
                            <w:r>
                              <w:t>--</w:t>
                            </w:r>
                            <w:r>
                              <w:rPr>
                                <w:rFonts w:hint="eastAsia"/>
                              </w:rPr>
                              <w:t>固废</w:t>
                            </w:r>
                          </w:p>
                          <w:p>
                            <w:pPr>
                              <w:pStyle w:val="10"/>
                              <w:adjustRightInd w:val="0"/>
                              <w:snapToGrid w:val="0"/>
                              <w:spacing w:after="0"/>
                              <w:ind w:left="0" w:leftChars="0" w:firstLine="375"/>
                              <w:rPr>
                                <w:rFonts w:hint="eastAsia"/>
                              </w:rPr>
                            </w:pPr>
                            <w:r>
                              <w:rPr>
                                <w:rFonts w:hint="eastAsia"/>
                              </w:rPr>
                              <w:t>C</w:t>
                            </w:r>
                            <w:r>
                              <w:t>--废活性</w:t>
                            </w:r>
                            <w:r>
                              <w:rPr>
                                <w:rFonts w:hint="eastAsia"/>
                              </w:rPr>
                              <w:t>碳</w:t>
                            </w:r>
                          </w:p>
                        </w:txbxContent>
                      </v:textbox>
                    </v:shape>
                  </w:pict>
                </mc:Fallback>
              </mc:AlternateContent>
            </w:r>
            <w:r>
              <w:rPr>
                <w:rFonts w:hint="default" w:ascii="Times New Roman" w:hAnsi="Times New Roman" w:cs="Times New Roman"/>
                <w:bCs/>
                <w:snapToGrid w:val="0"/>
                <w:kern w:val="0"/>
                <w:sz w:val="24"/>
                <w:szCs w:val="24"/>
                <w:highlight w:val="none"/>
              </w:rPr>
              <w:t>运营期加油站总工艺流程见图</w:t>
            </w:r>
            <w:r>
              <w:rPr>
                <w:rFonts w:hint="eastAsia" w:ascii="Times New Roman" w:hAnsi="Times New Roman" w:cs="Times New Roman"/>
                <w:bCs/>
                <w:snapToGrid w:val="0"/>
                <w:kern w:val="0"/>
                <w:sz w:val="24"/>
                <w:szCs w:val="24"/>
                <w:highlight w:val="none"/>
                <w:lang w:val="en-US" w:eastAsia="zh-CN"/>
              </w:rPr>
              <w:t>2</w:t>
            </w:r>
            <w:r>
              <w:rPr>
                <w:rFonts w:hint="default" w:ascii="Times New Roman" w:hAnsi="Times New Roman" w:cs="Times New Roman"/>
                <w:bCs/>
                <w:snapToGrid w:val="0"/>
                <w:kern w:val="0"/>
                <w:sz w:val="24"/>
                <w:szCs w:val="24"/>
                <w:highlight w:val="none"/>
              </w:rPr>
              <w:t>-</w:t>
            </w:r>
            <w:r>
              <w:rPr>
                <w:rFonts w:hint="eastAsia" w:cs="Times New Roman"/>
                <w:bCs/>
                <w:snapToGrid w:val="0"/>
                <w:kern w:val="0"/>
                <w:sz w:val="24"/>
                <w:szCs w:val="24"/>
                <w:highlight w:val="none"/>
                <w:lang w:val="en-US" w:eastAsia="zh-CN"/>
              </w:rPr>
              <w:t>4</w:t>
            </w:r>
            <w:r>
              <w:rPr>
                <w:rFonts w:hint="default" w:ascii="Times New Roman" w:hAnsi="Times New Roman" w:cs="Times New Roman"/>
                <w:bCs/>
                <w:snapToGrid w:val="0"/>
                <w:kern w:val="0"/>
                <w:sz w:val="24"/>
                <w:szCs w:val="24"/>
                <w:highlight w:val="none"/>
              </w:rPr>
              <w:t>。</w:t>
            </w:r>
          </w:p>
          <w:p>
            <w:pPr>
              <w:widowControl/>
              <w:spacing w:line="276" w:lineRule="auto"/>
              <w:jc w:val="center"/>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65760" behindDoc="0" locked="0" layoutInCell="1" allowOverlap="1">
                      <wp:simplePos x="0" y="0"/>
                      <wp:positionH relativeFrom="column">
                        <wp:posOffset>2872740</wp:posOffset>
                      </wp:positionH>
                      <wp:positionV relativeFrom="paragraph">
                        <wp:posOffset>372745</wp:posOffset>
                      </wp:positionV>
                      <wp:extent cx="9525" cy="266700"/>
                      <wp:effectExtent l="35560" t="0" r="31115" b="0"/>
                      <wp:wrapNone/>
                      <wp:docPr id="42" name="直接箭头连接符 42"/>
                      <wp:cNvGraphicFramePr/>
                      <a:graphic xmlns:a="http://schemas.openxmlformats.org/drawingml/2006/main">
                        <a:graphicData uri="http://schemas.microsoft.com/office/word/2010/wordprocessingShape">
                          <wps:wsp>
                            <wps:cNvCnPr/>
                            <wps:spPr>
                              <a:xfrm flipH="1" flipV="1">
                                <a:off x="0" y="0"/>
                                <a:ext cx="9525" cy="266700"/>
                              </a:xfrm>
                              <a:prstGeom prst="straightConnector1">
                                <a:avLst/>
                              </a:prstGeom>
                              <a:ln w="12700" cap="flat" cmpd="sng">
                                <a:solidFill>
                                  <a:srgbClr val="000000"/>
                                </a:solidFill>
                                <a:prstDash val="dashDot"/>
                                <a:headEnd type="none" w="med" len="med"/>
                                <a:tailEnd type="triangle" w="med" len="med"/>
                              </a:ln>
                            </wps:spPr>
                            <wps:bodyPr/>
                          </wps:wsp>
                        </a:graphicData>
                      </a:graphic>
                    </wp:anchor>
                  </w:drawing>
                </mc:Choice>
                <mc:Fallback>
                  <w:pict>
                    <v:shape id="_x0000_s1026" o:spid="_x0000_s1026" o:spt="32" type="#_x0000_t32" style="position:absolute;left:0pt;flip:x y;margin-left:226.2pt;margin-top:29.35pt;height:21pt;width:0.75pt;z-index:251765760;mso-width-relative:page;mso-height-relative:page;" filled="f" stroked="t" coordsize="21600,21600" o:gfxdata="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9t6c2gAAAAoBAAAPAAAAAAAAAAEAIAAAACIAAABkcnMvZG93bnJl&#10;di54bWxQSwECFAAUAAAACACHTuJA7Japa/sBAAC9AwAADgAAAAAAAAABACAAAAApAQAAZHJzL2Uy&#10;b0RvYy54bWxQSwUGAAAAAAYABgBZAQAAlgUAAAAA&#10;">
                      <v:fill on="f" focussize="0,0"/>
                      <v:stroke weight="1pt" color="#000000" joinstyle="round" dashstyle="dashDot" endarrow="block"/>
                      <v:imagedata o:title=""/>
                      <o:lock v:ext="edit" aspectratio="f"/>
                    </v:shape>
                  </w:pict>
                </mc:Fallback>
              </mc:AlternateContent>
            </w: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66784" behindDoc="0" locked="0" layoutInCell="1" allowOverlap="1">
                      <wp:simplePos x="0" y="0"/>
                      <wp:positionH relativeFrom="column">
                        <wp:posOffset>2567940</wp:posOffset>
                      </wp:positionH>
                      <wp:positionV relativeFrom="paragraph">
                        <wp:posOffset>172720</wp:posOffset>
                      </wp:positionV>
                      <wp:extent cx="647700" cy="28575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12700">
                                <a:noFill/>
                              </a:ln>
                            </wps:spPr>
                            <wps:txbx>
                              <w:txbxContent>
                                <w:p>
                                  <w:pPr>
                                    <w:adjustRightInd w:val="0"/>
                                    <w:snapToGrid w:val="0"/>
                                  </w:pPr>
                                  <w:r>
                                    <w:rPr>
                                      <w:rFonts w:hint="eastAsia"/>
                                    </w:rPr>
                                    <w:t>C、N</w:t>
                                  </w:r>
                                </w:p>
                              </w:txbxContent>
                            </wps:txbx>
                            <wps:bodyPr upright="1"/>
                          </wps:wsp>
                        </a:graphicData>
                      </a:graphic>
                    </wp:anchor>
                  </w:drawing>
                </mc:Choice>
                <mc:Fallback>
                  <w:pict>
                    <v:shape id="_x0000_s1026" o:spid="_x0000_s1026" o:spt="202" type="#_x0000_t202" style="position:absolute;left:0pt;margin-left:202.2pt;margin-top:13.6pt;height:22.5pt;width:51pt;z-index:251766784;mso-width-relative:page;mso-height-relative:page;" filled="f" stroked="f" coordsize="21600,21600" o:gfxdata="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7XBWtcAAAAJAQAADwAAAAAAAAABACAAAAAiAAAAZHJz&#10;L2Rvd25yZXYueG1sUEsBAhQAFAAAAAgAh07iQE3FlKOTAQAACwMAAA4AAAAAAAAAAQAgAAAAJgEA&#10;AGRycy9lMm9Eb2MueG1sUEsFBgAAAAAGAAYAWQEAACsFAAAAAA==&#10;">
                      <v:fill on="f" focussize="0,0"/>
                      <v:stroke on="f" weight="1pt"/>
                      <v:imagedata o:title=""/>
                      <o:lock v:ext="edit" aspectratio="f"/>
                      <v:textbox>
                        <w:txbxContent>
                          <w:p>
                            <w:pPr>
                              <w:adjustRightInd w:val="0"/>
                              <w:snapToGrid w:val="0"/>
                            </w:pPr>
                            <w:r>
                              <w:rPr>
                                <w:rFonts w:hint="eastAsia"/>
                              </w:rPr>
                              <w:t>C、N</w:t>
                            </w:r>
                          </w:p>
                        </w:txbxContent>
                      </v:textbox>
                    </v:shape>
                  </w:pict>
                </mc:Fallback>
              </mc:AlternateContent>
            </w: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53472" behindDoc="0" locked="0" layoutInCell="1" allowOverlap="1">
                      <wp:simplePos x="0" y="0"/>
                      <wp:positionH relativeFrom="column">
                        <wp:posOffset>929640</wp:posOffset>
                      </wp:positionH>
                      <wp:positionV relativeFrom="paragraph">
                        <wp:posOffset>315595</wp:posOffset>
                      </wp:positionV>
                      <wp:extent cx="9525" cy="342900"/>
                      <wp:effectExtent l="30480" t="0" r="36195" b="0"/>
                      <wp:wrapNone/>
                      <wp:docPr id="28" name="直接箭头连接符 28"/>
                      <wp:cNvGraphicFramePr/>
                      <a:graphic xmlns:a="http://schemas.openxmlformats.org/drawingml/2006/main">
                        <a:graphicData uri="http://schemas.microsoft.com/office/word/2010/wordprocessingShape">
                          <wps:wsp>
                            <wps:cNvCnPr/>
                            <wps:spPr>
                              <a:xfrm flipV="1">
                                <a:off x="0" y="0"/>
                                <a:ext cx="9525" cy="342900"/>
                              </a:xfrm>
                              <a:prstGeom prst="straightConnector1">
                                <a:avLst/>
                              </a:prstGeom>
                              <a:ln w="12700" cap="flat" cmpd="sng">
                                <a:solidFill>
                                  <a:srgbClr val="000000"/>
                                </a:solidFill>
                                <a:prstDash val="dashDot"/>
                                <a:headEnd type="none" w="med" len="med"/>
                                <a:tailEnd type="triangle" w="med" len="med"/>
                              </a:ln>
                            </wps:spPr>
                            <wps:bodyPr/>
                          </wps:wsp>
                        </a:graphicData>
                      </a:graphic>
                    </wp:anchor>
                  </w:drawing>
                </mc:Choice>
                <mc:Fallback>
                  <w:pict>
                    <v:shape id="_x0000_s1026" o:spid="_x0000_s1026" o:spt="32" type="#_x0000_t32" style="position:absolute;left:0pt;flip:y;margin-left:73.2pt;margin-top:24.85pt;height:27pt;width:0.75pt;z-index:251753472;mso-width-relative:page;mso-height-relative:page;" filled="f" stroked="t" coordsize="21600,21600" o:gfxdata="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2beszYAAAACgEAAA8AAAAAAAAAAQAgAAAAIgAAAGRycy9kb3ducmV2LnhtbFBL&#10;AQIUABQAAAAIAIdO4kBj18T69gEAALMDAAAOAAAAAAAAAAEAIAAAACcBAABkcnMvZTJvRG9jLnht&#10;bFBLBQYAAAAABgAGAFkBAACPBQAAAAA=&#10;">
                      <v:fill on="f" focussize="0,0"/>
                      <v:stroke weight="1pt" color="#000000" joinstyle="round" dashstyle="dashDot" endarrow="block"/>
                      <v:imagedata o:title=""/>
                      <o:lock v:ext="edit" aspectratio="f"/>
                    </v:shape>
                  </w:pict>
                </mc:Fallback>
              </mc:AlternateContent>
            </w: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64736" behindDoc="0" locked="0" layoutInCell="1" allowOverlap="1">
                      <wp:simplePos x="0" y="0"/>
                      <wp:positionH relativeFrom="column">
                        <wp:posOffset>4711065</wp:posOffset>
                      </wp:positionH>
                      <wp:positionV relativeFrom="paragraph">
                        <wp:posOffset>1172845</wp:posOffset>
                      </wp:positionV>
                      <wp:extent cx="619125" cy="28575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619125" cy="285750"/>
                              </a:xfrm>
                              <a:prstGeom prst="rect">
                                <a:avLst/>
                              </a:prstGeom>
                              <a:noFill/>
                              <a:ln w="12700">
                                <a:noFill/>
                              </a:ln>
                            </wps:spPr>
                            <wps:txbx>
                              <w:txbxContent>
                                <w:p>
                                  <w:pPr>
                                    <w:adjustRightInd w:val="0"/>
                                    <w:snapToGrid w:val="0"/>
                                  </w:pPr>
                                  <w:r>
                                    <w:rPr>
                                      <w:rFonts w:hint="eastAsia"/>
                                    </w:rPr>
                                    <w:t>G、N</w:t>
                                  </w:r>
                                </w:p>
                              </w:txbxContent>
                            </wps:txbx>
                            <wps:bodyPr upright="1"/>
                          </wps:wsp>
                        </a:graphicData>
                      </a:graphic>
                    </wp:anchor>
                  </w:drawing>
                </mc:Choice>
                <mc:Fallback>
                  <w:pict>
                    <v:shape id="_x0000_s1026" o:spid="_x0000_s1026" o:spt="202" type="#_x0000_t202" style="position:absolute;left:0pt;margin-left:370.95pt;margin-top:92.35pt;height:22.5pt;width:48.75pt;z-index:251764736;mso-width-relative:page;mso-height-relative:page;" filled="f" stroked="f" coordsize="21600,21600" o:gfxdata="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UptIl9kAAAALAQAADwAAAAAAAAABACAAAAAi&#10;AAAAZHJzL2Rvd25yZXYueG1sUEsBAhQAFAAAAAgAh07iQA+MFKOXAQAACwMAAA4AAAAAAAAAAQAg&#10;AAAAKAEAAGRycy9lMm9Eb2MueG1sUEsFBgAAAAAGAAYAWQEAADEFAAAAAA==&#10;">
                      <v:fill on="f" focussize="0,0"/>
                      <v:stroke on="f" weight="1pt"/>
                      <v:imagedata o:title=""/>
                      <o:lock v:ext="edit" aspectratio="f"/>
                      <v:textbox>
                        <w:txbxContent>
                          <w:p>
                            <w:pPr>
                              <w:adjustRightInd w:val="0"/>
                              <w:snapToGrid w:val="0"/>
                            </w:pPr>
                            <w:r>
                              <w:rPr>
                                <w:rFonts w:hint="eastAsia"/>
                              </w:rPr>
                              <w:t>G、N</w:t>
                            </w:r>
                          </w:p>
                        </w:txbxContent>
                      </v:textbox>
                    </v:shape>
                  </w:pict>
                </mc:Fallback>
              </mc:AlternateContent>
            </w: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63712" behindDoc="0" locked="0" layoutInCell="1" allowOverlap="1">
                      <wp:simplePos x="0" y="0"/>
                      <wp:positionH relativeFrom="column">
                        <wp:posOffset>5015865</wp:posOffset>
                      </wp:positionH>
                      <wp:positionV relativeFrom="paragraph">
                        <wp:posOffset>1382395</wp:posOffset>
                      </wp:positionV>
                      <wp:extent cx="9525" cy="209550"/>
                      <wp:effectExtent l="31750" t="0" r="34925" b="0"/>
                      <wp:wrapNone/>
                      <wp:docPr id="37" name="直接箭头连接符 37"/>
                      <wp:cNvGraphicFramePr/>
                      <a:graphic xmlns:a="http://schemas.openxmlformats.org/drawingml/2006/main">
                        <a:graphicData uri="http://schemas.microsoft.com/office/word/2010/wordprocessingShape">
                          <wps:wsp>
                            <wps:cNvCnPr/>
                            <wps:spPr>
                              <a:xfrm flipV="1">
                                <a:off x="0" y="0"/>
                                <a:ext cx="9525" cy="209550"/>
                              </a:xfrm>
                              <a:prstGeom prst="straightConnector1">
                                <a:avLst/>
                              </a:prstGeom>
                              <a:ln w="12700" cap="flat" cmpd="sng">
                                <a:solidFill>
                                  <a:srgbClr val="000000"/>
                                </a:solidFill>
                                <a:prstDash val="dashDot"/>
                                <a:headEnd type="none" w="med" len="med"/>
                                <a:tailEnd type="triangle" w="med" len="med"/>
                              </a:ln>
                            </wps:spPr>
                            <wps:bodyPr/>
                          </wps:wsp>
                        </a:graphicData>
                      </a:graphic>
                    </wp:anchor>
                  </w:drawing>
                </mc:Choice>
                <mc:Fallback>
                  <w:pict>
                    <v:shape id="_x0000_s1026" o:spid="_x0000_s1026" o:spt="32" type="#_x0000_t32" style="position:absolute;left:0pt;flip:y;margin-left:394.95pt;margin-top:108.85pt;height:16.5pt;width:0.75pt;z-index:251763712;mso-width-relative:page;mso-height-relative:page;" filled="f" stroked="t" coordsize="21600,21600" o:gfxdata="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qRo22gAAAAsBAAAPAAAAAAAAAAEAIAAAACIAAABkcnMvZG93bnJldi54&#10;bWxQSwECFAAUAAAACACHTuJAN91rjPgBAACzAwAADgAAAAAAAAABACAAAAApAQAAZHJzL2Uyb0Rv&#10;Yy54bWxQSwUGAAAAAAYABgBZAQAAkwUAAAAA&#10;">
                      <v:fill on="f" focussize="0,0"/>
                      <v:stroke weight="1pt" color="#000000" joinstyle="round" dashstyle="dashDot" endarrow="block"/>
                      <v:imagedata o:title=""/>
                      <o:lock v:ext="edit" aspectratio="f"/>
                    </v:shape>
                  </w:pict>
                </mc:Fallback>
              </mc:AlternateContent>
            </w: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62688" behindDoc="0" locked="0" layoutInCell="1" allowOverlap="1">
                      <wp:simplePos x="0" y="0"/>
                      <wp:positionH relativeFrom="column">
                        <wp:posOffset>4044315</wp:posOffset>
                      </wp:positionH>
                      <wp:positionV relativeFrom="paragraph">
                        <wp:posOffset>1963420</wp:posOffset>
                      </wp:positionV>
                      <wp:extent cx="542925" cy="32385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542925" cy="323850"/>
                              </a:xfrm>
                              <a:prstGeom prst="rect">
                                <a:avLst/>
                              </a:prstGeom>
                              <a:noFill/>
                              <a:ln w="12700">
                                <a:noFill/>
                              </a:ln>
                            </wps:spPr>
                            <wps:txbx>
                              <w:txbxContent>
                                <w:p>
                                  <w:pPr>
                                    <w:adjustRightInd w:val="0"/>
                                    <w:snapToGrid w:val="0"/>
                                  </w:pPr>
                                  <w:r>
                                    <w:rPr>
                                      <w:rFonts w:hint="eastAsia"/>
                                    </w:rPr>
                                    <w:t>N、S</w:t>
                                  </w:r>
                                </w:p>
                              </w:txbxContent>
                            </wps:txbx>
                            <wps:bodyPr upright="1"/>
                          </wps:wsp>
                        </a:graphicData>
                      </a:graphic>
                    </wp:anchor>
                  </w:drawing>
                </mc:Choice>
                <mc:Fallback>
                  <w:pict>
                    <v:shape id="_x0000_s1026" o:spid="_x0000_s1026" o:spt="202" type="#_x0000_t202" style="position:absolute;left:0pt;margin-left:318.45pt;margin-top:154.6pt;height:25.5pt;width:42.75pt;z-index:251762688;mso-width-relative:page;mso-height-relative:page;" filled="f" stroked="f" coordsize="21600,21600" o:gfxdata="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uFsZ1dgAAAALAQAADwAAAAAAAAABACAAAAAi&#10;AAAAZHJzL2Rvd25yZXYueG1sUEsBAhQAFAAAAAgAh07iQN+auxKYAQAACwMAAA4AAAAAAAAAAQAg&#10;AAAAJwEAAGRycy9lMm9Eb2MueG1sUEsFBgAAAAAGAAYAWQEAADEFAAAAAA==&#10;">
                      <v:fill on="f" focussize="0,0"/>
                      <v:stroke on="f" weight="1pt"/>
                      <v:imagedata o:title=""/>
                      <o:lock v:ext="edit" aspectratio="f"/>
                      <v:textbox>
                        <w:txbxContent>
                          <w:p>
                            <w:pPr>
                              <w:adjustRightInd w:val="0"/>
                              <w:snapToGrid w:val="0"/>
                            </w:pPr>
                            <w:r>
                              <w:rPr>
                                <w:rFonts w:hint="eastAsia"/>
                              </w:rPr>
                              <w:t>N、S</w:t>
                            </w:r>
                          </w:p>
                        </w:txbxContent>
                      </v:textbox>
                    </v:shape>
                  </w:pict>
                </mc:Fallback>
              </mc:AlternateContent>
            </w: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61664" behindDoc="0" locked="0" layoutInCell="1" allowOverlap="1">
                      <wp:simplePos x="0" y="0"/>
                      <wp:positionH relativeFrom="column">
                        <wp:posOffset>3729990</wp:posOffset>
                      </wp:positionH>
                      <wp:positionV relativeFrom="paragraph">
                        <wp:posOffset>2106295</wp:posOffset>
                      </wp:positionV>
                      <wp:extent cx="285750" cy="0"/>
                      <wp:effectExtent l="0" t="38100" r="0" b="38100"/>
                      <wp:wrapNone/>
                      <wp:docPr id="43" name="直接箭头连接符 43"/>
                      <wp:cNvGraphicFramePr/>
                      <a:graphic xmlns:a="http://schemas.openxmlformats.org/drawingml/2006/main">
                        <a:graphicData uri="http://schemas.microsoft.com/office/word/2010/wordprocessingShape">
                          <wps:wsp>
                            <wps:cNvCnPr/>
                            <wps:spPr>
                              <a:xfrm>
                                <a:off x="0" y="0"/>
                                <a:ext cx="285750" cy="0"/>
                              </a:xfrm>
                              <a:prstGeom prst="straightConnector1">
                                <a:avLst/>
                              </a:prstGeom>
                              <a:ln w="12700" cap="flat" cmpd="sng">
                                <a:solidFill>
                                  <a:srgbClr val="000000"/>
                                </a:solidFill>
                                <a:prstDash val="dashDot"/>
                                <a:headEnd type="none" w="med" len="med"/>
                                <a:tailEnd type="triangle" w="med" len="med"/>
                              </a:ln>
                            </wps:spPr>
                            <wps:bodyPr/>
                          </wps:wsp>
                        </a:graphicData>
                      </a:graphic>
                    </wp:anchor>
                  </w:drawing>
                </mc:Choice>
                <mc:Fallback>
                  <w:pict>
                    <v:shape id="_x0000_s1026" o:spid="_x0000_s1026" o:spt="32" type="#_x0000_t32" style="position:absolute;left:0pt;margin-left:293.7pt;margin-top:165.85pt;height:0pt;width:22.5pt;z-index:251761664;mso-width-relative:page;mso-height-relative:page;" filled="f" stroked="t" coordsize="21600,21600" o:gfxdata="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Ejo9/ZAAAACwEAAA8AAAAAAAAAAQAgAAAAIgAAAGRycy9kb3ducmV2LnhtbFBLAQIUABQAAAAI&#10;AIdO4kDUls8O7AEAAKYDAAAOAAAAAAAAAAEAIAAAACgBAABkcnMvZTJvRG9jLnhtbFBLBQYAAAAA&#10;BgAGAFkBAACGBQAAAAA=&#10;">
                      <v:fill on="f" focussize="0,0"/>
                      <v:stroke weight="1pt" color="#000000" joinstyle="round" dashstyle="dashDot" endarrow="block"/>
                      <v:imagedata o:title=""/>
                      <o:lock v:ext="edit" aspectratio="f"/>
                    </v:shape>
                  </w:pict>
                </mc:Fallback>
              </mc:AlternateContent>
            </w: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60640" behindDoc="0" locked="0" layoutInCell="1" allowOverlap="1">
                      <wp:simplePos x="0" y="0"/>
                      <wp:positionH relativeFrom="column">
                        <wp:posOffset>3634740</wp:posOffset>
                      </wp:positionH>
                      <wp:positionV relativeFrom="paragraph">
                        <wp:posOffset>1496695</wp:posOffset>
                      </wp:positionV>
                      <wp:extent cx="323850" cy="4286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323850" cy="428625"/>
                              </a:xfrm>
                              <a:prstGeom prst="rect">
                                <a:avLst/>
                              </a:prstGeom>
                              <a:noFill/>
                              <a:ln w="12700">
                                <a:noFill/>
                              </a:ln>
                            </wps:spPr>
                            <wps:txbx>
                              <w:txbxContent>
                                <w:p>
                                  <w:pPr>
                                    <w:adjustRightInd w:val="0"/>
                                    <w:snapToGrid w:val="0"/>
                                  </w:pPr>
                                  <w:r>
                                    <w:rPr>
                                      <w:rFonts w:hint="eastAsia"/>
                                    </w:rPr>
                                    <w:t>G</w:t>
                                  </w:r>
                                </w:p>
                              </w:txbxContent>
                            </wps:txbx>
                            <wps:bodyPr upright="1"/>
                          </wps:wsp>
                        </a:graphicData>
                      </a:graphic>
                    </wp:anchor>
                  </w:drawing>
                </mc:Choice>
                <mc:Fallback>
                  <w:pict>
                    <v:shape id="_x0000_s1026" o:spid="_x0000_s1026" o:spt="202" type="#_x0000_t202" style="position:absolute;left:0pt;margin-left:286.2pt;margin-top:117.85pt;height:33.75pt;width:25.5pt;z-index:251760640;mso-width-relative:page;mso-height-relative:page;" filled="f" stroked="f" coordsize="21600,21600" o:gfxdata="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1SY7TtkAAAALAQAADwAAAAAAAAABACAA&#10;AAAiAAAAZHJzL2Rvd25yZXYueG1sUEsBAhQAFAAAAAgAh07iQCmGeX6aAQAACwMAAA4AAAAAAAAA&#10;AQAgAAAAKAEAAGRycy9lMm9Eb2MueG1sUEsFBgAAAAAGAAYAWQEAADQFAAAAAA==&#10;">
                      <v:fill on="f" focussize="0,0"/>
                      <v:stroke on="f" weight="1pt"/>
                      <v:imagedata o:title=""/>
                      <o:lock v:ext="edit" aspectratio="f"/>
                      <v:textbox>
                        <w:txbxContent>
                          <w:p>
                            <w:pPr>
                              <w:adjustRightInd w:val="0"/>
                              <w:snapToGrid w:val="0"/>
                            </w:pPr>
                            <w:r>
                              <w:rPr>
                                <w:rFonts w:hint="eastAsia"/>
                              </w:rPr>
                              <w:t>G</w:t>
                            </w:r>
                          </w:p>
                        </w:txbxContent>
                      </v:textbox>
                    </v:shape>
                  </w:pict>
                </mc:Fallback>
              </mc:AlternateContent>
            </w: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59616" behindDoc="0" locked="0" layoutInCell="1" allowOverlap="1">
                      <wp:simplePos x="0" y="0"/>
                      <wp:positionH relativeFrom="column">
                        <wp:posOffset>3453765</wp:posOffset>
                      </wp:positionH>
                      <wp:positionV relativeFrom="paragraph">
                        <wp:posOffset>1696720</wp:posOffset>
                      </wp:positionV>
                      <wp:extent cx="219075" cy="0"/>
                      <wp:effectExtent l="0" t="38100" r="9525" b="38100"/>
                      <wp:wrapNone/>
                      <wp:docPr id="30" name="直接箭头连接符 30"/>
                      <wp:cNvGraphicFramePr/>
                      <a:graphic xmlns:a="http://schemas.openxmlformats.org/drawingml/2006/main">
                        <a:graphicData uri="http://schemas.microsoft.com/office/word/2010/wordprocessingShape">
                          <wps:wsp>
                            <wps:cNvCnPr/>
                            <wps:spPr>
                              <a:xfrm>
                                <a:off x="0" y="0"/>
                                <a:ext cx="219075" cy="0"/>
                              </a:xfrm>
                              <a:prstGeom prst="straightConnector1">
                                <a:avLst/>
                              </a:prstGeom>
                              <a:ln w="12700" cap="flat" cmpd="sng">
                                <a:solidFill>
                                  <a:srgbClr val="000000"/>
                                </a:solidFill>
                                <a:prstDash val="dashDot"/>
                                <a:headEnd type="none" w="med" len="med"/>
                                <a:tailEnd type="triangle" w="med" len="med"/>
                              </a:ln>
                            </wps:spPr>
                            <wps:bodyPr/>
                          </wps:wsp>
                        </a:graphicData>
                      </a:graphic>
                    </wp:anchor>
                  </w:drawing>
                </mc:Choice>
                <mc:Fallback>
                  <w:pict>
                    <v:shape id="_x0000_s1026" o:spid="_x0000_s1026" o:spt="32" type="#_x0000_t32" style="position:absolute;left:0pt;margin-left:271.95pt;margin-top:133.6pt;height:0pt;width:17.25pt;z-index:251759616;mso-width-relative:page;mso-height-relative:page;" filled="f" stroked="t" coordsize="21600,21600" o:gfxdata="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zkOrdoAAAALAQAADwAAAAAAAAABACAAAAAiAAAAZHJzL2Rvd25yZXYueG1sUEsBAhQAFAAAAAgA&#10;h07iQHfJA0zqAQAApgMAAA4AAAAAAAAAAQAgAAAAKQEAAGRycy9lMm9Eb2MueG1sUEsFBgAAAAAG&#10;AAYAWQEAAIUFAAAAAA==&#10;">
                      <v:fill on="f" focussize="0,0"/>
                      <v:stroke weight="1pt" color="#000000" joinstyle="round" dashstyle="dashDot" endarrow="block"/>
                      <v:imagedata o:title=""/>
                      <o:lock v:ext="edit" aspectratio="f"/>
                    </v:shape>
                  </w:pict>
                </mc:Fallback>
              </mc:AlternateContent>
            </w: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58592" behindDoc="0" locked="0" layoutInCell="1" allowOverlap="1">
                      <wp:simplePos x="0" y="0"/>
                      <wp:positionH relativeFrom="column">
                        <wp:posOffset>177165</wp:posOffset>
                      </wp:positionH>
                      <wp:positionV relativeFrom="paragraph">
                        <wp:posOffset>1344295</wp:posOffset>
                      </wp:positionV>
                      <wp:extent cx="381000" cy="35242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381000" cy="352425"/>
                              </a:xfrm>
                              <a:prstGeom prst="rect">
                                <a:avLst/>
                              </a:prstGeom>
                              <a:noFill/>
                              <a:ln w="12700">
                                <a:noFill/>
                              </a:ln>
                            </wps:spPr>
                            <wps:txbx>
                              <w:txbxContent>
                                <w:p>
                                  <w:pPr>
                                    <w:adjustRightInd w:val="0"/>
                                    <w:snapToGrid w:val="0"/>
                                  </w:pPr>
                                  <w:r>
                                    <w:rPr>
                                      <w:rFonts w:hint="eastAsia"/>
                                    </w:rPr>
                                    <w:t>G</w:t>
                                  </w:r>
                                </w:p>
                              </w:txbxContent>
                            </wps:txbx>
                            <wps:bodyPr upright="1"/>
                          </wps:wsp>
                        </a:graphicData>
                      </a:graphic>
                    </wp:anchor>
                  </w:drawing>
                </mc:Choice>
                <mc:Fallback>
                  <w:pict>
                    <v:shape id="_x0000_s1026" o:spid="_x0000_s1026" o:spt="202" type="#_x0000_t202" style="position:absolute;left:0pt;margin-left:13.95pt;margin-top:105.85pt;height:27.75pt;width:30pt;z-index:251758592;mso-width-relative:page;mso-height-relative:page;" filled="f" stroked="f" coordsize="21600,21600" o:gfxdata="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O1Ixh1gAAAAkBAAAPAAAAAAAAAAEAIAAAACIA&#10;AABkcnMvZG93bnJldi54bWxQSwECFAAUAAAACACHTuJAKsaz4pkBAAALAwAADgAAAAAAAAABACAA&#10;AAAlAQAAZHJzL2Uyb0RvYy54bWxQSwUGAAAAAAYABgBZAQAAMAUAAAAA&#10;">
                      <v:fill on="f" focussize="0,0"/>
                      <v:stroke on="f" weight="1pt"/>
                      <v:imagedata o:title=""/>
                      <o:lock v:ext="edit" aspectratio="f"/>
                      <v:textbox>
                        <w:txbxContent>
                          <w:p>
                            <w:pPr>
                              <w:adjustRightInd w:val="0"/>
                              <w:snapToGrid w:val="0"/>
                            </w:pPr>
                            <w:r>
                              <w:rPr>
                                <w:rFonts w:hint="eastAsia"/>
                              </w:rPr>
                              <w:t>G</w:t>
                            </w:r>
                          </w:p>
                        </w:txbxContent>
                      </v:textbox>
                    </v:shape>
                  </w:pict>
                </mc:Fallback>
              </mc:AlternateContent>
            </w: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57568" behindDoc="0" locked="0" layoutInCell="1" allowOverlap="1">
                      <wp:simplePos x="0" y="0"/>
                      <wp:positionH relativeFrom="column">
                        <wp:posOffset>539115</wp:posOffset>
                      </wp:positionH>
                      <wp:positionV relativeFrom="paragraph">
                        <wp:posOffset>1525270</wp:posOffset>
                      </wp:positionV>
                      <wp:extent cx="285750" cy="0"/>
                      <wp:effectExtent l="0" t="38100" r="0" b="38100"/>
                      <wp:wrapNone/>
                      <wp:docPr id="38" name="直接箭头连接符 38"/>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w="12700" cap="flat" cmpd="sng">
                                <a:solidFill>
                                  <a:srgbClr val="000000"/>
                                </a:solidFill>
                                <a:prstDash val="dashDot"/>
                                <a:headEnd type="none" w="med" len="med"/>
                                <a:tailEnd type="triangle" w="med" len="med"/>
                              </a:ln>
                            </wps:spPr>
                            <wps:bodyPr/>
                          </wps:wsp>
                        </a:graphicData>
                      </a:graphic>
                    </wp:anchor>
                  </w:drawing>
                </mc:Choice>
                <mc:Fallback>
                  <w:pict>
                    <v:shape id="_x0000_s1026" o:spid="_x0000_s1026" o:spt="32" type="#_x0000_t32" style="position:absolute;left:0pt;flip:x;margin-left:42.45pt;margin-top:120.1pt;height:0pt;width:22.5pt;z-index:251757568;mso-width-relative:page;mso-height-relative:page;" filled="f" stroked="t" coordsize="21600,21600" o:gfxdata="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lTutvWAAAACgEAAA8AAAAAAAAAAQAgAAAAIgAAAGRycy9kb3ducmV2LnhtbFBLAQIUABQA&#10;AAAIAIdO4kDxIBrX8gEAALADAAAOAAAAAAAAAAEAIAAAACUBAABkcnMvZTJvRG9jLnhtbFBLBQYA&#10;AAAABgAGAFkBAACJBQAAAAA=&#10;">
                      <v:fill on="f" focussize="0,0"/>
                      <v:stroke weight="1pt" color="#000000" joinstyle="round" dashstyle="dashDot" endarrow="block"/>
                      <v:imagedata o:title=""/>
                      <o:lock v:ext="edit" aspectratio="f"/>
                    </v:shape>
                  </w:pict>
                </mc:Fallback>
              </mc:AlternateContent>
            </w: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56544" behindDoc="0" locked="0" layoutInCell="1" allowOverlap="1">
                      <wp:simplePos x="0" y="0"/>
                      <wp:positionH relativeFrom="column">
                        <wp:posOffset>3568065</wp:posOffset>
                      </wp:positionH>
                      <wp:positionV relativeFrom="paragraph">
                        <wp:posOffset>220345</wp:posOffset>
                      </wp:positionV>
                      <wp:extent cx="609600" cy="31432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609600" cy="314325"/>
                              </a:xfrm>
                              <a:prstGeom prst="rect">
                                <a:avLst/>
                              </a:prstGeom>
                              <a:noFill/>
                              <a:ln w="12700">
                                <a:noFill/>
                              </a:ln>
                            </wps:spPr>
                            <wps:txbx>
                              <w:txbxContent>
                                <w:p>
                                  <w:pPr>
                                    <w:adjustRightInd w:val="0"/>
                                    <w:snapToGrid w:val="0"/>
                                  </w:pPr>
                                  <w:r>
                                    <w:rPr>
                                      <w:rFonts w:hint="eastAsia"/>
                                    </w:rPr>
                                    <w:t>N、S</w:t>
                                  </w:r>
                                </w:p>
                              </w:txbxContent>
                            </wps:txbx>
                            <wps:bodyPr upright="1"/>
                          </wps:wsp>
                        </a:graphicData>
                      </a:graphic>
                    </wp:anchor>
                  </w:drawing>
                </mc:Choice>
                <mc:Fallback>
                  <w:pict>
                    <v:shape id="_x0000_s1026" o:spid="_x0000_s1026" o:spt="202" type="#_x0000_t202" style="position:absolute;left:0pt;margin-left:280.95pt;margin-top:17.35pt;height:24.75pt;width:48pt;z-index:251756544;mso-width-relative:page;mso-height-relative:page;" filled="f" stroked="f" coordsize="21600,21600" o:gfxdata="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Q51Su2AAAAAkBAAAPAAAAAAAAAAEAIAAAACIA&#10;AABkcnMvZG93bnJldi54bWxQSwECFAAUAAAACACHTuJAIiAl65cBAAALAwAADgAAAAAAAAABACAA&#10;AAAnAQAAZHJzL2Uyb0RvYy54bWxQSwUGAAAAAAYABgBZAQAAMAUAAAAA&#10;">
                      <v:fill on="f" focussize="0,0"/>
                      <v:stroke on="f" weight="1pt"/>
                      <v:imagedata o:title=""/>
                      <o:lock v:ext="edit" aspectratio="f"/>
                      <v:textbox>
                        <w:txbxContent>
                          <w:p>
                            <w:pPr>
                              <w:adjustRightInd w:val="0"/>
                              <w:snapToGrid w:val="0"/>
                            </w:pPr>
                            <w:r>
                              <w:rPr>
                                <w:rFonts w:hint="eastAsia"/>
                              </w:rPr>
                              <w:t>N、S</w:t>
                            </w:r>
                          </w:p>
                        </w:txbxContent>
                      </v:textbox>
                    </v:shape>
                  </w:pict>
                </mc:Fallback>
              </mc:AlternateContent>
            </w: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55520" behindDoc="0" locked="0" layoutInCell="1" allowOverlap="1">
                      <wp:simplePos x="0" y="0"/>
                      <wp:positionH relativeFrom="column">
                        <wp:posOffset>3863340</wp:posOffset>
                      </wp:positionH>
                      <wp:positionV relativeFrom="paragraph">
                        <wp:posOffset>525145</wp:posOffset>
                      </wp:positionV>
                      <wp:extent cx="0" cy="333375"/>
                      <wp:effectExtent l="38100" t="0" r="38100" b="9525"/>
                      <wp:wrapNone/>
                      <wp:docPr id="32" name="直接箭头连接符 32"/>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w="12700" cap="flat" cmpd="sng">
                                <a:solidFill>
                                  <a:srgbClr val="000000"/>
                                </a:solidFill>
                                <a:prstDash val="dashDot"/>
                                <a:headEnd type="none" w="med" len="med"/>
                                <a:tailEnd type="triangle" w="med" len="med"/>
                              </a:ln>
                            </wps:spPr>
                            <wps:bodyPr/>
                          </wps:wsp>
                        </a:graphicData>
                      </a:graphic>
                    </wp:anchor>
                  </w:drawing>
                </mc:Choice>
                <mc:Fallback>
                  <w:pict>
                    <v:shape id="_x0000_s1026" o:spid="_x0000_s1026" o:spt="32" type="#_x0000_t32" style="position:absolute;left:0pt;flip:y;margin-left:304.2pt;margin-top:41.35pt;height:26.25pt;width:0pt;z-index:251755520;mso-width-relative:page;mso-height-relative:page;" filled="f" stroked="t" coordsize="21600,21600" o:gfxdata="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nlWPd1wAAAAoBAAAPAAAAAAAAAAEAIAAAACIAAABkcnMvZG93bnJldi54bWxQSwECFAAUAAAA&#10;CACHTuJAIX9xqu8BAACwAwAADgAAAAAAAAABACAAAAAmAQAAZHJzL2Uyb0RvYy54bWxQSwUGAAAA&#10;AAYABgBZAQAAhwUAAAAA&#10;">
                      <v:fill on="f" focussize="0,0"/>
                      <v:stroke weight="1pt" color="#000000" joinstyle="round" dashstyle="dashDot" endarrow="block"/>
                      <v:imagedata o:title=""/>
                      <o:lock v:ext="edit" aspectratio="f"/>
                    </v:shape>
                  </w:pict>
                </mc:Fallback>
              </mc:AlternateContent>
            </w:r>
            <w:r>
              <w:rPr>
                <w:rFonts w:hint="default" w:ascii="Times New Roman" w:hAnsi="Times New Roman" w:cs="Times New Roman"/>
                <w:snapToGrid w:val="0"/>
                <w:kern w:val="0"/>
                <w:sz w:val="24"/>
                <w:szCs w:val="24"/>
                <w:highlight w:val="none"/>
              </w:rPr>
              <mc:AlternateContent>
                <mc:Choice Requires="wps">
                  <w:drawing>
                    <wp:anchor distT="0" distB="0" distL="114300" distR="114300" simplePos="0" relativeHeight="251754496" behindDoc="0" locked="0" layoutInCell="1" allowOverlap="1">
                      <wp:simplePos x="0" y="0"/>
                      <wp:positionH relativeFrom="column">
                        <wp:posOffset>681990</wp:posOffset>
                      </wp:positionH>
                      <wp:positionV relativeFrom="paragraph">
                        <wp:posOffset>96520</wp:posOffset>
                      </wp:positionV>
                      <wp:extent cx="609600" cy="304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609600" cy="304800"/>
                              </a:xfrm>
                              <a:prstGeom prst="rect">
                                <a:avLst/>
                              </a:prstGeom>
                              <a:noFill/>
                              <a:ln w="12700">
                                <a:noFill/>
                              </a:ln>
                            </wps:spPr>
                            <wps:txbx>
                              <w:txbxContent>
                                <w:p>
                                  <w:pPr>
                                    <w:adjustRightInd w:val="0"/>
                                    <w:snapToGrid w:val="0"/>
                                    <w:rPr>
                                      <w:rFonts w:hint="eastAsia"/>
                                    </w:rPr>
                                  </w:pPr>
                                  <w:r>
                                    <w:rPr>
                                      <w:rFonts w:hint="eastAsia"/>
                                    </w:rPr>
                                    <w:t>G、N</w:t>
                                  </w:r>
                                </w:p>
                              </w:txbxContent>
                            </wps:txbx>
                            <wps:bodyPr upright="1"/>
                          </wps:wsp>
                        </a:graphicData>
                      </a:graphic>
                    </wp:anchor>
                  </w:drawing>
                </mc:Choice>
                <mc:Fallback>
                  <w:pict>
                    <v:shape id="_x0000_s1026" o:spid="_x0000_s1026" o:spt="202" type="#_x0000_t202" style="position:absolute;left:0pt;margin-left:53.7pt;margin-top:7.6pt;height:24pt;width:48pt;z-index:251754496;mso-width-relative:page;mso-height-relative:page;" filled="f" stroked="f" coordsize="21600,21600" o:gfxdata="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a9tirdYAAAAJAQAADwAAAAAAAAABACAAAAAiAAAA&#10;ZHJzL2Rvd25yZXYueG1sUEsBAhQAFAAAAAgAh07iQHkb8QKXAQAACwMAAA4AAAAAAAAAAQAgAAAA&#10;JQEAAGRycy9lMm9Eb2MueG1sUEsFBgAAAAAGAAYAWQEAAC4FAAAAAA==&#10;">
                      <v:fill on="f" focussize="0,0"/>
                      <v:stroke on="f" weight="1pt"/>
                      <v:imagedata o:title=""/>
                      <o:lock v:ext="edit" aspectratio="f"/>
                      <v:textbox>
                        <w:txbxContent>
                          <w:p>
                            <w:pPr>
                              <w:adjustRightInd w:val="0"/>
                              <w:snapToGrid w:val="0"/>
                              <w:rPr>
                                <w:rFonts w:hint="eastAsia"/>
                              </w:rPr>
                            </w:pPr>
                            <w:r>
                              <w:rPr>
                                <w:rFonts w:hint="eastAsia"/>
                              </w:rPr>
                              <w:t>G、N</w:t>
                            </w:r>
                          </w:p>
                        </w:txbxContent>
                      </v:textbox>
                    </v:shape>
                  </w:pict>
                </mc:Fallback>
              </mc:AlternateContent>
            </w:r>
            <w:r>
              <w:rPr>
                <w:rFonts w:hint="default" w:ascii="Times New Roman" w:hAnsi="Times New Roman" w:cs="Times New Roman"/>
                <w:snapToGrid w:val="0"/>
                <w:kern w:val="0"/>
                <w:sz w:val="24"/>
                <w:szCs w:val="24"/>
                <w:highlight w:val="none"/>
              </w:rPr>
              <w:drawing>
                <wp:inline distT="0" distB="0" distL="114300" distR="114300">
                  <wp:extent cx="5572125" cy="2447925"/>
                  <wp:effectExtent l="0" t="0" r="9525" b="9525"/>
                  <wp:docPr id="18" name="图片 3" descr="三次油气回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三次油气回收"/>
                          <pic:cNvPicPr>
                            <a:picLocks noChangeAspect="1"/>
                          </pic:cNvPicPr>
                        </pic:nvPicPr>
                        <pic:blipFill>
                          <a:blip r:embed="rId12"/>
                          <a:stretch>
                            <a:fillRect/>
                          </a:stretch>
                        </pic:blipFill>
                        <pic:spPr>
                          <a:xfrm>
                            <a:off x="0" y="0"/>
                            <a:ext cx="5572125" cy="2447925"/>
                          </a:xfrm>
                          <a:prstGeom prst="rect">
                            <a:avLst/>
                          </a:prstGeom>
                          <a:noFill/>
                          <a:ln>
                            <a:noFill/>
                          </a:ln>
                        </pic:spPr>
                      </pic:pic>
                    </a:graphicData>
                  </a:graphic>
                </wp:inline>
              </w:drawing>
            </w:r>
          </w:p>
          <w:p>
            <w:pPr>
              <w:numPr>
                <w:ilvl w:val="0"/>
                <w:numId w:val="0"/>
              </w:numPr>
              <w:spacing w:line="360" w:lineRule="auto"/>
              <w:ind w:firstLine="422" w:firstLineChars="200"/>
              <w:jc w:val="center"/>
              <w:rPr>
                <w:rFonts w:hint="default" w:eastAsia="宋体"/>
                <w:spacing w:val="-6"/>
                <w:sz w:val="24"/>
                <w:highlight w:val="none"/>
                <w:lang w:val="en-US" w:eastAsia="zh-CN"/>
              </w:rPr>
            </w:pPr>
            <w:r>
              <w:rPr>
                <w:rFonts w:hint="default" w:ascii="Times New Roman" w:hAnsi="Times New Roman" w:cs="Times New Roman"/>
                <w:b/>
                <w:snapToGrid w:val="0"/>
                <w:kern w:val="0"/>
                <w:sz w:val="21"/>
                <w:szCs w:val="24"/>
                <w:highlight w:val="none"/>
              </w:rPr>
              <w:t>图</w:t>
            </w:r>
            <w:r>
              <w:rPr>
                <w:rFonts w:hint="eastAsia" w:ascii="Times New Roman" w:hAnsi="Times New Roman" w:cs="Times New Roman"/>
                <w:b/>
                <w:snapToGrid w:val="0"/>
                <w:kern w:val="0"/>
                <w:sz w:val="21"/>
                <w:szCs w:val="24"/>
                <w:highlight w:val="none"/>
                <w:lang w:val="en-US" w:eastAsia="zh-CN"/>
              </w:rPr>
              <w:t>2</w:t>
            </w:r>
            <w:r>
              <w:rPr>
                <w:rFonts w:hint="default" w:ascii="Times New Roman" w:hAnsi="Times New Roman" w:cs="Times New Roman"/>
                <w:b/>
                <w:snapToGrid w:val="0"/>
                <w:kern w:val="0"/>
                <w:sz w:val="21"/>
                <w:szCs w:val="24"/>
                <w:highlight w:val="none"/>
              </w:rPr>
              <w:t>-</w:t>
            </w:r>
            <w:r>
              <w:rPr>
                <w:rFonts w:hint="eastAsia" w:cs="Times New Roman"/>
                <w:b/>
                <w:snapToGrid w:val="0"/>
                <w:kern w:val="0"/>
                <w:sz w:val="21"/>
                <w:szCs w:val="24"/>
                <w:highlight w:val="none"/>
                <w:lang w:val="en-US" w:eastAsia="zh-CN"/>
              </w:rPr>
              <w:t>4</w:t>
            </w:r>
            <w:r>
              <w:rPr>
                <w:rFonts w:hint="default" w:ascii="Times New Roman" w:hAnsi="Times New Roman" w:cs="Times New Roman"/>
                <w:b/>
                <w:snapToGrid w:val="0"/>
                <w:kern w:val="0"/>
                <w:sz w:val="21"/>
                <w:szCs w:val="24"/>
                <w:highlight w:val="none"/>
              </w:rPr>
              <w:t xml:space="preserve">  加油站总工艺流程及产污环节图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1" w:hRule="atLeast"/>
        </w:trPr>
        <w:tc>
          <w:tcPr>
            <w:tcW w:w="9086" w:type="dxa"/>
            <w:tcBorders>
              <w:top w:val="single" w:color="auto" w:sz="4" w:space="0"/>
              <w:left w:val="single" w:color="auto" w:sz="4" w:space="0"/>
              <w:bottom w:val="single" w:color="auto" w:sz="4" w:space="0"/>
              <w:right w:val="single" w:color="auto" w:sz="4" w:space="0"/>
            </w:tcBorders>
            <w:noWrap w:val="0"/>
            <w:vAlign w:val="top"/>
          </w:tcPr>
          <w:p>
            <w:pPr>
              <w:pStyle w:val="4"/>
              <w:keepNext w:val="0"/>
              <w:keepLines w:val="0"/>
              <w:pageBreakBefore w:val="0"/>
              <w:widowControl w:val="0"/>
              <w:kinsoku/>
              <w:wordWrap/>
              <w:overflowPunct/>
              <w:topLinePunct w:val="0"/>
              <w:autoSpaceDE w:val="0"/>
              <w:autoSpaceDN w:val="0"/>
              <w:bidi w:val="0"/>
              <w:adjustRightInd/>
              <w:snapToGrid/>
              <w:spacing w:before="0" w:line="360" w:lineRule="auto"/>
              <w:textAlignment w:val="auto"/>
              <w:rPr>
                <w:rFonts w:hint="eastAsia" w:hAnsi="宋体"/>
                <w:b/>
                <w:sz w:val="28"/>
                <w:szCs w:val="28"/>
                <w:highlight w:val="none"/>
                <w:u w:val="none"/>
                <w:lang w:val="zh-CN" w:eastAsia="zh-CN"/>
              </w:rPr>
            </w:pPr>
            <w:r>
              <w:rPr>
                <w:rFonts w:hint="eastAsia" w:hAnsi="宋体"/>
                <w:b/>
                <w:sz w:val="28"/>
                <w:szCs w:val="28"/>
                <w:highlight w:val="none"/>
                <w:u w:val="none"/>
                <w:lang w:val="zh-CN" w:eastAsia="zh-CN"/>
              </w:rPr>
              <w:t>项目变动情况</w:t>
            </w:r>
          </w:p>
          <w:p>
            <w:pPr>
              <w:tabs>
                <w:tab w:val="left" w:pos="924"/>
              </w:tabs>
              <w:adjustRightInd w:val="0"/>
              <w:snapToGrid w:val="0"/>
              <w:spacing w:line="360" w:lineRule="auto"/>
              <w:ind w:firstLine="480" w:firstLineChars="200"/>
              <w:rPr>
                <w:rFonts w:hint="default" w:ascii="Times New Roman" w:hAnsi="Times New Roman" w:cs="Times New Roman"/>
                <w:snapToGrid w:val="0"/>
                <w:kern w:val="0"/>
                <w:sz w:val="24"/>
                <w:szCs w:val="24"/>
                <w:highlight w:val="none"/>
              </w:rPr>
            </w:pPr>
            <w:r>
              <w:rPr>
                <w:rFonts w:hint="default" w:ascii="Times New Roman" w:hAnsi="Times New Roman" w:cs="Times New Roman"/>
                <w:snapToGrid w:val="0"/>
                <w:kern w:val="0"/>
                <w:sz w:val="24"/>
                <w:szCs w:val="24"/>
                <w:highlight w:val="none"/>
              </w:rPr>
              <w:t>根据现场调查，本项目实际建设情况及原环评内容变化情况见表</w:t>
            </w:r>
            <w:r>
              <w:rPr>
                <w:rFonts w:hint="eastAsia" w:ascii="Times New Roman" w:hAnsi="Times New Roman" w:cs="Times New Roman"/>
                <w:snapToGrid w:val="0"/>
                <w:kern w:val="0"/>
                <w:sz w:val="24"/>
                <w:szCs w:val="24"/>
                <w:highlight w:val="none"/>
                <w:lang w:val="en-US" w:eastAsia="zh-CN"/>
              </w:rPr>
              <w:t>2-8</w:t>
            </w:r>
            <w:r>
              <w:rPr>
                <w:rFonts w:hint="default" w:ascii="Times New Roman" w:hAnsi="Times New Roman" w:cs="Times New Roman"/>
                <w:snapToGrid w:val="0"/>
                <w:kern w:val="0"/>
                <w:sz w:val="24"/>
                <w:szCs w:val="24"/>
                <w:highlight w:val="none"/>
              </w:rPr>
              <w:t>。</w:t>
            </w:r>
          </w:p>
          <w:p>
            <w:pPr>
              <w:tabs>
                <w:tab w:val="left" w:pos="2130"/>
              </w:tabs>
              <w:snapToGrid w:val="0"/>
              <w:jc w:val="center"/>
              <w:rPr>
                <w:rFonts w:hint="default" w:ascii="Times New Roman" w:hAnsi="Times New Roman" w:cs="Times New Roman"/>
                <w:b/>
                <w:bCs/>
                <w:sz w:val="21"/>
                <w:szCs w:val="21"/>
                <w:highlight w:val="none"/>
                <w:lang w:val="en-US" w:eastAsia="zh-CN"/>
              </w:rPr>
            </w:pPr>
          </w:p>
          <w:p>
            <w:pPr>
              <w:tabs>
                <w:tab w:val="left" w:pos="2130"/>
              </w:tabs>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lang w:val="en-US" w:eastAsia="zh-CN"/>
              </w:rPr>
              <w:t>表</w:t>
            </w:r>
            <w:r>
              <w:rPr>
                <w:rFonts w:hint="eastAsia" w:ascii="Times New Roman" w:hAnsi="Times New Roman" w:cs="Times New Roman"/>
                <w:b/>
                <w:bCs/>
                <w:sz w:val="21"/>
                <w:szCs w:val="21"/>
                <w:highlight w:val="none"/>
                <w:lang w:val="en-US" w:eastAsia="zh-CN"/>
              </w:rPr>
              <w:t>2-8</w:t>
            </w:r>
            <w:r>
              <w:rPr>
                <w:rFonts w:hint="default" w:ascii="Times New Roman" w:hAnsi="Times New Roman" w:cs="Times New Roman"/>
                <w:b/>
                <w:bCs/>
                <w:sz w:val="21"/>
                <w:szCs w:val="21"/>
                <w:highlight w:val="none"/>
                <w:lang w:val="en-US" w:eastAsia="zh-CN"/>
              </w:rPr>
              <w:t xml:space="preserve">  </w:t>
            </w:r>
            <w:r>
              <w:rPr>
                <w:rFonts w:hint="default" w:ascii="Times New Roman" w:hAnsi="Times New Roman" w:cs="Times New Roman"/>
                <w:b/>
                <w:bCs/>
                <w:sz w:val="21"/>
                <w:szCs w:val="21"/>
                <w:highlight w:val="none"/>
              </w:rPr>
              <w:t>项目变动情况一览表</w:t>
            </w:r>
          </w:p>
          <w:tbl>
            <w:tblPr>
              <w:tblStyle w:val="11"/>
              <w:tblW w:w="8860"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390"/>
              <w:gridCol w:w="593"/>
              <w:gridCol w:w="2989"/>
              <w:gridCol w:w="2929"/>
              <w:gridCol w:w="662"/>
              <w:gridCol w:w="649"/>
              <w:gridCol w:w="64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404" w:hRule="atLeast"/>
                <w:jc w:val="center"/>
              </w:trPr>
              <w:tc>
                <w:tcPr>
                  <w:tcW w:w="983" w:type="dxa"/>
                  <w:gridSpan w:val="2"/>
                  <w:vMerge w:val="restart"/>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hint="eastAsia" w:ascii="Times New Roman" w:hAnsi="Times New Roman" w:eastAsia="宋体" w:cs="Times New Roman"/>
                      <w:b/>
                      <w:bCs/>
                      <w:sz w:val="21"/>
                      <w:highlight w:val="none"/>
                      <w:lang w:eastAsia="zh-CN"/>
                    </w:rPr>
                  </w:pPr>
                  <w:r>
                    <w:rPr>
                      <w:rFonts w:hint="eastAsia" w:ascii="Times New Roman" w:hAnsi="Times New Roman" w:cs="Times New Roman"/>
                      <w:b/>
                      <w:bCs/>
                      <w:sz w:val="21"/>
                      <w:highlight w:val="none"/>
                      <w:lang w:eastAsia="zh-CN"/>
                    </w:rPr>
                    <w:t>分类</w:t>
                  </w:r>
                </w:p>
              </w:tc>
              <w:tc>
                <w:tcPr>
                  <w:tcW w:w="5918" w:type="dxa"/>
                  <w:gridSpan w:val="2"/>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b/>
                      <w:bCs/>
                      <w:sz w:val="21"/>
                      <w:highlight w:val="none"/>
                    </w:rPr>
                  </w:pPr>
                  <w:r>
                    <w:rPr>
                      <w:rFonts w:hint="default" w:ascii="Times New Roman" w:hAnsi="Times New Roman" w:cs="Times New Roman" w:eastAsiaTheme="minorEastAsia"/>
                      <w:b/>
                      <w:bCs/>
                      <w:sz w:val="21"/>
                      <w:szCs w:val="21"/>
                      <w:highlight w:val="none"/>
                    </w:rPr>
                    <w:t>内容及规模</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变动</w:t>
                  </w:r>
                </w:p>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hint="eastAsia" w:ascii="Times New Roman" w:hAnsi="Times New Roman" w:eastAsia="宋体" w:cs="Times New Roman"/>
                      <w:b/>
                      <w:bCs/>
                      <w:sz w:val="21"/>
                      <w:highlight w:val="none"/>
                      <w:lang w:eastAsia="zh-CN"/>
                    </w:rPr>
                  </w:pPr>
                  <w:r>
                    <w:rPr>
                      <w:rFonts w:hint="default" w:ascii="Times New Roman" w:hAnsi="Times New Roman" w:cs="Times New Roman" w:eastAsiaTheme="minorEastAsia"/>
                      <w:b/>
                      <w:bCs/>
                      <w:sz w:val="21"/>
                      <w:szCs w:val="21"/>
                      <w:highlight w:val="none"/>
                    </w:rPr>
                    <w:t>情况</w:t>
                  </w:r>
                </w:p>
              </w:tc>
              <w:tc>
                <w:tcPr>
                  <w:tcW w:w="64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变动</w:t>
                  </w:r>
                </w:p>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hint="eastAsia" w:ascii="Times New Roman" w:hAnsi="Times New Roman" w:cs="Times New Roman"/>
                      <w:b/>
                      <w:bCs/>
                      <w:sz w:val="21"/>
                      <w:highlight w:val="none"/>
                      <w:lang w:eastAsia="zh-CN"/>
                    </w:rPr>
                  </w:pPr>
                  <w:r>
                    <w:rPr>
                      <w:rFonts w:hint="default" w:ascii="Times New Roman" w:hAnsi="Times New Roman" w:cs="Times New Roman" w:eastAsiaTheme="minorEastAsia"/>
                      <w:b/>
                      <w:bCs/>
                      <w:sz w:val="21"/>
                      <w:szCs w:val="21"/>
                      <w:highlight w:val="none"/>
                    </w:rPr>
                    <w:t>原因</w:t>
                  </w:r>
                </w:p>
              </w:tc>
              <w:tc>
                <w:tcPr>
                  <w:tcW w:w="64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是否属于重大</w:t>
                  </w:r>
                </w:p>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hint="eastAsia" w:ascii="Times New Roman" w:hAnsi="Times New Roman" w:cs="Times New Roman"/>
                      <w:b/>
                      <w:bCs/>
                      <w:sz w:val="21"/>
                      <w:highlight w:val="none"/>
                      <w:lang w:eastAsia="zh-CN"/>
                    </w:rPr>
                  </w:pPr>
                  <w:r>
                    <w:rPr>
                      <w:rFonts w:hint="default" w:ascii="Times New Roman" w:hAnsi="Times New Roman" w:cs="Times New Roman" w:eastAsiaTheme="minorEastAsia"/>
                      <w:b/>
                      <w:bCs/>
                      <w:sz w:val="21"/>
                      <w:szCs w:val="21"/>
                      <w:highlight w:val="none"/>
                    </w:rPr>
                    <w:t>变动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404" w:hRule="atLeast"/>
                <w:jc w:val="center"/>
              </w:trPr>
              <w:tc>
                <w:tcPr>
                  <w:tcW w:w="983" w:type="dxa"/>
                  <w:gridSpan w:val="2"/>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highlight w:val="none"/>
                    </w:rPr>
                  </w:pPr>
                </w:p>
              </w:tc>
              <w:tc>
                <w:tcPr>
                  <w:tcW w:w="2989" w:type="dxa"/>
                  <w:tcBorders>
                    <w:tl2br w:val="nil"/>
                    <w:tr2bl w:val="nil"/>
                  </w:tcBorders>
                  <w:vAlign w:val="center"/>
                </w:tcPr>
                <w:p>
                  <w:pPr>
                    <w:pStyle w:val="15"/>
                    <w:widowControl w:val="0"/>
                    <w:autoSpaceDE w:val="0"/>
                    <w:autoSpaceDN w:val="0"/>
                    <w:adjustRightInd/>
                    <w:snapToGrid/>
                    <w:spacing w:before="1" w:after="0" w:afterLines="-2147483648"/>
                    <w:ind w:left="11" w:leftChars="0" w:right="2" w:rightChars="0"/>
                    <w:jc w:val="center"/>
                    <w:rPr>
                      <w:rFonts w:ascii="Times New Roman" w:hAnsi="Times New Roman" w:cs="Times New Roman"/>
                      <w:b/>
                      <w:bCs/>
                      <w:sz w:val="21"/>
                      <w:highlight w:val="none"/>
                    </w:rPr>
                  </w:pPr>
                  <w:r>
                    <w:rPr>
                      <w:rFonts w:ascii="Times New Roman" w:hAnsi="Times New Roman" w:cs="Times New Roman"/>
                      <w:b/>
                      <w:bCs/>
                      <w:sz w:val="21"/>
                      <w:highlight w:val="none"/>
                    </w:rPr>
                    <w:t>环评及批复建设内容</w:t>
                  </w:r>
                </w:p>
              </w:tc>
              <w:tc>
                <w:tcPr>
                  <w:tcW w:w="2929" w:type="dxa"/>
                  <w:tcBorders>
                    <w:tl2br w:val="nil"/>
                    <w:tr2bl w:val="nil"/>
                  </w:tcBorders>
                  <w:vAlign w:val="center"/>
                </w:tcPr>
                <w:p>
                  <w:pPr>
                    <w:pStyle w:val="15"/>
                    <w:widowControl w:val="0"/>
                    <w:autoSpaceDE w:val="0"/>
                    <w:autoSpaceDN w:val="0"/>
                    <w:adjustRightInd/>
                    <w:snapToGrid/>
                    <w:spacing w:before="1" w:after="0" w:afterLines="-2147483648"/>
                    <w:ind w:left="11" w:leftChars="0" w:right="2" w:rightChars="0"/>
                    <w:jc w:val="center"/>
                    <w:rPr>
                      <w:rFonts w:ascii="Times New Roman" w:hAnsi="Times New Roman" w:cs="Times New Roman"/>
                      <w:b/>
                      <w:bCs/>
                      <w:sz w:val="21"/>
                      <w:highlight w:val="none"/>
                    </w:rPr>
                  </w:pPr>
                  <w:r>
                    <w:rPr>
                      <w:rFonts w:ascii="Times New Roman" w:hAnsi="Times New Roman" w:cs="Times New Roman"/>
                      <w:b/>
                      <w:bCs/>
                      <w:sz w:val="21"/>
                      <w:highlight w:val="none"/>
                    </w:rPr>
                    <w:t>实际建设内容</w:t>
                  </w:r>
                </w:p>
              </w:tc>
              <w:tc>
                <w:tcPr>
                  <w:tcW w:w="662"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b/>
                      <w:bCs/>
                      <w:sz w:val="21"/>
                      <w:highlight w:val="none"/>
                    </w:rPr>
                  </w:pPr>
                </w:p>
              </w:tc>
              <w:tc>
                <w:tcPr>
                  <w:tcW w:w="649"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b/>
                      <w:bCs/>
                      <w:sz w:val="21"/>
                      <w:highlight w:val="none"/>
                    </w:rPr>
                  </w:pPr>
                </w:p>
              </w:tc>
              <w:tc>
                <w:tcPr>
                  <w:tcW w:w="648"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b/>
                      <w:bCs/>
                      <w:sz w:val="21"/>
                      <w:highlight w:val="none"/>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983"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建设地点</w:t>
                  </w:r>
                </w:p>
              </w:tc>
              <w:tc>
                <w:tcPr>
                  <w:tcW w:w="2989" w:type="dxa"/>
                  <w:tcBorders>
                    <w:tl2br w:val="nil"/>
                    <w:tr2bl w:val="nil"/>
                  </w:tcBorders>
                  <w:vAlign w:val="center"/>
                </w:tcPr>
                <w:p>
                  <w:pPr>
                    <w:pStyle w:val="15"/>
                    <w:widowControl w:val="0"/>
                    <w:autoSpaceDE w:val="0"/>
                    <w:autoSpaceDN w:val="0"/>
                    <w:adjustRightInd/>
                    <w:snapToGrid/>
                    <w:spacing w:before="1" w:after="0" w:afterLines="-2147483648"/>
                    <w:ind w:left="11" w:leftChars="0" w:right="2" w:rightChars="0"/>
                    <w:jc w:val="center"/>
                    <w:rPr>
                      <w:rFonts w:hint="eastAsia" w:ascii="Times New Roman" w:hAnsi="Times New Roman" w:eastAsia="宋体" w:cs="Times New Roman"/>
                      <w:sz w:val="21"/>
                      <w:highlight w:val="none"/>
                      <w:lang w:eastAsia="zh-CN"/>
                    </w:rPr>
                  </w:pPr>
                  <w:r>
                    <w:rPr>
                      <w:rFonts w:hint="eastAsia" w:ascii="Times New Roman" w:hAnsi="Times New Roman" w:cs="Times New Roman" w:eastAsiaTheme="minorEastAsia"/>
                      <w:sz w:val="21"/>
                      <w:szCs w:val="21"/>
                      <w:highlight w:val="none"/>
                      <w:lang w:val="zh-CN"/>
                    </w:rPr>
                    <w:t>渭南至玉山高速公路华州服务区西区</w:t>
                  </w:r>
                </w:p>
              </w:tc>
              <w:tc>
                <w:tcPr>
                  <w:tcW w:w="2929" w:type="dxa"/>
                  <w:tcBorders>
                    <w:tl2br w:val="nil"/>
                    <w:tr2bl w:val="nil"/>
                  </w:tcBorders>
                  <w:vAlign w:val="center"/>
                </w:tcPr>
                <w:p>
                  <w:pPr>
                    <w:pStyle w:val="15"/>
                    <w:widowControl w:val="0"/>
                    <w:autoSpaceDE w:val="0"/>
                    <w:autoSpaceDN w:val="0"/>
                    <w:adjustRightInd/>
                    <w:snapToGrid/>
                    <w:spacing w:before="1" w:after="0" w:afterLines="-2147483648"/>
                    <w:ind w:left="11" w:leftChars="0" w:right="2" w:rightChars="0"/>
                    <w:jc w:val="center"/>
                    <w:rPr>
                      <w:rFonts w:ascii="Times New Roman" w:hAnsi="Times New Roman" w:cs="Times New Roman"/>
                      <w:sz w:val="21"/>
                      <w:highlight w:val="none"/>
                    </w:rPr>
                  </w:pPr>
                  <w:r>
                    <w:rPr>
                      <w:rFonts w:hint="eastAsia" w:ascii="Times New Roman" w:hAnsi="Times New Roman" w:cs="Times New Roman" w:eastAsiaTheme="minorEastAsia"/>
                      <w:sz w:val="21"/>
                      <w:szCs w:val="21"/>
                      <w:highlight w:val="none"/>
                      <w:lang w:val="zh-CN"/>
                    </w:rPr>
                    <w:t>渭南至玉山高速公路华州服务区西区</w:t>
                  </w:r>
                </w:p>
              </w:tc>
              <w:tc>
                <w:tcPr>
                  <w:tcW w:w="6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未变化</w:t>
                  </w:r>
                </w:p>
              </w:tc>
              <w:tc>
                <w:tcPr>
                  <w:tcW w:w="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w:t>
                  </w:r>
                </w:p>
              </w:tc>
              <w:tc>
                <w:tcPr>
                  <w:tcW w:w="6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983"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平面布置</w:t>
                  </w:r>
                </w:p>
              </w:tc>
              <w:tc>
                <w:tcPr>
                  <w:tcW w:w="298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ind w:left="0" w:leftChars="0" w:right="0" w:rightChars="0"/>
                    <w:jc w:val="center"/>
                    <w:textAlignment w:val="auto"/>
                    <w:rPr>
                      <w:rFonts w:ascii="Times New Roman" w:hAnsi="Times New Roman" w:cs="Times New Roman"/>
                      <w:sz w:val="21"/>
                      <w:highlight w:val="none"/>
                    </w:rPr>
                  </w:pPr>
                  <w:r>
                    <w:rPr>
                      <w:rFonts w:hint="default" w:ascii="Times New Roman" w:hAnsi="Times New Roman" w:eastAsia="宋体" w:cs="Times New Roman"/>
                      <w:kern w:val="0"/>
                      <w:sz w:val="21"/>
                      <w:szCs w:val="22"/>
                      <w:highlight w:val="none"/>
                      <w:lang w:val="en-US" w:eastAsia="en-US" w:bidi="ar-SA"/>
                    </w:rPr>
                    <w:t>加油区在站区</w:t>
                  </w:r>
                  <w:r>
                    <w:rPr>
                      <w:rFonts w:hint="eastAsia" w:cs="Times New Roman"/>
                      <w:kern w:val="0"/>
                      <w:sz w:val="21"/>
                      <w:szCs w:val="22"/>
                      <w:highlight w:val="none"/>
                      <w:lang w:val="en-US" w:eastAsia="zh-CN" w:bidi="ar-SA"/>
                    </w:rPr>
                    <w:t>东</w:t>
                  </w:r>
                  <w:r>
                    <w:rPr>
                      <w:rFonts w:hint="eastAsia" w:ascii="Times New Roman" w:hAnsi="Times New Roman" w:eastAsia="宋体" w:cs="Times New Roman"/>
                      <w:kern w:val="0"/>
                      <w:sz w:val="21"/>
                      <w:szCs w:val="22"/>
                      <w:highlight w:val="none"/>
                      <w:lang w:val="en-US" w:eastAsia="en-US" w:bidi="ar-SA"/>
                    </w:rPr>
                    <w:t>侧；</w:t>
                  </w:r>
                  <w:r>
                    <w:rPr>
                      <w:rFonts w:hint="default" w:ascii="Times New Roman" w:hAnsi="Times New Roman" w:eastAsia="宋体" w:cs="Times New Roman"/>
                      <w:kern w:val="0"/>
                      <w:sz w:val="21"/>
                      <w:szCs w:val="22"/>
                      <w:highlight w:val="none"/>
                      <w:lang w:val="en-US" w:eastAsia="en-US" w:bidi="ar-SA"/>
                    </w:rPr>
                    <w:t>站房在</w:t>
                  </w:r>
                  <w:r>
                    <w:rPr>
                      <w:rFonts w:hint="eastAsia" w:ascii="Times New Roman" w:hAnsi="Times New Roman" w:eastAsia="宋体" w:cs="Times New Roman"/>
                      <w:kern w:val="0"/>
                      <w:sz w:val="21"/>
                      <w:szCs w:val="22"/>
                      <w:highlight w:val="none"/>
                      <w:lang w:val="en-US" w:eastAsia="en-US" w:bidi="ar-SA"/>
                    </w:rPr>
                    <w:t>罩棚</w:t>
                  </w:r>
                  <w:r>
                    <w:rPr>
                      <w:rFonts w:hint="eastAsia" w:cs="Times New Roman"/>
                      <w:kern w:val="0"/>
                      <w:sz w:val="21"/>
                      <w:szCs w:val="22"/>
                      <w:highlight w:val="none"/>
                      <w:lang w:val="en-US" w:eastAsia="zh-CN" w:bidi="ar-SA"/>
                    </w:rPr>
                    <w:t>西</w:t>
                  </w:r>
                  <w:r>
                    <w:rPr>
                      <w:rFonts w:hint="eastAsia" w:ascii="Times New Roman" w:hAnsi="Times New Roman" w:eastAsia="宋体" w:cs="Times New Roman"/>
                      <w:kern w:val="0"/>
                      <w:sz w:val="21"/>
                      <w:szCs w:val="22"/>
                      <w:highlight w:val="none"/>
                      <w:lang w:val="en-US" w:eastAsia="en-US" w:bidi="ar-SA"/>
                    </w:rPr>
                    <w:t>侧；</w:t>
                  </w:r>
                  <w:r>
                    <w:rPr>
                      <w:rFonts w:hint="default" w:ascii="Times New Roman" w:hAnsi="Times New Roman" w:eastAsia="宋体" w:cs="Times New Roman"/>
                      <w:kern w:val="0"/>
                      <w:sz w:val="21"/>
                      <w:szCs w:val="22"/>
                      <w:highlight w:val="none"/>
                      <w:lang w:val="en-US" w:eastAsia="en-US" w:bidi="ar-SA"/>
                    </w:rPr>
                    <w:t>储油区在站区</w:t>
                  </w:r>
                  <w:r>
                    <w:rPr>
                      <w:rFonts w:hint="eastAsia" w:cs="Times New Roman"/>
                      <w:kern w:val="0"/>
                      <w:sz w:val="21"/>
                      <w:szCs w:val="22"/>
                      <w:highlight w:val="none"/>
                      <w:lang w:val="en-US" w:eastAsia="zh-CN" w:bidi="ar-SA"/>
                    </w:rPr>
                    <w:t>西侧</w:t>
                  </w:r>
                  <w:r>
                    <w:rPr>
                      <w:rFonts w:hint="eastAsia" w:ascii="Times New Roman" w:hAnsi="Times New Roman" w:eastAsia="宋体" w:cs="Times New Roman"/>
                      <w:kern w:val="0"/>
                      <w:sz w:val="21"/>
                      <w:szCs w:val="22"/>
                      <w:highlight w:val="none"/>
                      <w:lang w:val="en-US" w:eastAsia="zh-CN" w:bidi="ar-SA"/>
                    </w:rPr>
                    <w:t>；</w:t>
                  </w:r>
                  <w:r>
                    <w:rPr>
                      <w:rFonts w:hint="default" w:ascii="Times New Roman" w:hAnsi="Times New Roman" w:eastAsia="宋体" w:cs="Times New Roman"/>
                      <w:kern w:val="0"/>
                      <w:sz w:val="21"/>
                      <w:szCs w:val="22"/>
                      <w:highlight w:val="none"/>
                      <w:lang w:val="en-US" w:eastAsia="en-US" w:bidi="ar-SA"/>
                    </w:rPr>
                    <w:t>密闭卸油口在油罐区</w:t>
                  </w:r>
                  <w:r>
                    <w:rPr>
                      <w:rFonts w:hint="eastAsia" w:ascii="Times New Roman" w:hAnsi="Times New Roman" w:eastAsia="宋体" w:cs="Times New Roman"/>
                      <w:kern w:val="0"/>
                      <w:sz w:val="21"/>
                      <w:szCs w:val="22"/>
                      <w:highlight w:val="none"/>
                      <w:lang w:val="en-US" w:eastAsia="en-US" w:bidi="ar-SA"/>
                    </w:rPr>
                    <w:t>南侧</w:t>
                  </w:r>
                  <w:r>
                    <w:rPr>
                      <w:rFonts w:hint="default" w:ascii="Times New Roman" w:hAnsi="Times New Roman" w:eastAsia="宋体" w:cs="Times New Roman"/>
                      <w:kern w:val="0"/>
                      <w:sz w:val="21"/>
                      <w:szCs w:val="22"/>
                      <w:highlight w:val="none"/>
                      <w:lang w:val="en-US" w:eastAsia="en-US" w:bidi="ar-SA"/>
                    </w:rPr>
                    <w:t>。</w:t>
                  </w:r>
                </w:p>
              </w:tc>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ind w:left="0" w:leftChars="0" w:right="0" w:rightChars="0"/>
                    <w:jc w:val="center"/>
                    <w:textAlignment w:val="auto"/>
                    <w:rPr>
                      <w:rFonts w:ascii="Times New Roman" w:hAnsi="Times New Roman" w:cs="Times New Roman"/>
                      <w:sz w:val="21"/>
                      <w:highlight w:val="none"/>
                    </w:rPr>
                  </w:pPr>
                  <w:r>
                    <w:rPr>
                      <w:rFonts w:hint="default" w:ascii="Times New Roman" w:hAnsi="Times New Roman" w:eastAsia="宋体" w:cs="Times New Roman"/>
                      <w:kern w:val="0"/>
                      <w:sz w:val="21"/>
                      <w:szCs w:val="22"/>
                      <w:highlight w:val="none"/>
                      <w:lang w:val="en-US" w:eastAsia="en-US" w:bidi="ar-SA"/>
                    </w:rPr>
                    <w:t>加油区在站区</w:t>
                  </w:r>
                  <w:r>
                    <w:rPr>
                      <w:rFonts w:hint="eastAsia" w:cs="Times New Roman"/>
                      <w:kern w:val="0"/>
                      <w:sz w:val="21"/>
                      <w:szCs w:val="22"/>
                      <w:highlight w:val="none"/>
                      <w:lang w:val="en-US" w:eastAsia="zh-CN" w:bidi="ar-SA"/>
                    </w:rPr>
                    <w:t>东</w:t>
                  </w:r>
                  <w:r>
                    <w:rPr>
                      <w:rFonts w:hint="eastAsia" w:ascii="Times New Roman" w:hAnsi="Times New Roman" w:eastAsia="宋体" w:cs="Times New Roman"/>
                      <w:kern w:val="0"/>
                      <w:sz w:val="21"/>
                      <w:szCs w:val="22"/>
                      <w:highlight w:val="none"/>
                      <w:lang w:val="en-US" w:eastAsia="en-US" w:bidi="ar-SA"/>
                    </w:rPr>
                    <w:t>侧；</w:t>
                  </w:r>
                  <w:r>
                    <w:rPr>
                      <w:rFonts w:hint="default" w:ascii="Times New Roman" w:hAnsi="Times New Roman" w:eastAsia="宋体" w:cs="Times New Roman"/>
                      <w:kern w:val="0"/>
                      <w:sz w:val="21"/>
                      <w:szCs w:val="22"/>
                      <w:highlight w:val="none"/>
                      <w:lang w:val="en-US" w:eastAsia="en-US" w:bidi="ar-SA"/>
                    </w:rPr>
                    <w:t>站房在</w:t>
                  </w:r>
                  <w:r>
                    <w:rPr>
                      <w:rFonts w:hint="eastAsia" w:ascii="Times New Roman" w:hAnsi="Times New Roman" w:eastAsia="宋体" w:cs="Times New Roman"/>
                      <w:kern w:val="0"/>
                      <w:sz w:val="21"/>
                      <w:szCs w:val="22"/>
                      <w:highlight w:val="none"/>
                      <w:lang w:val="en-US" w:eastAsia="en-US" w:bidi="ar-SA"/>
                    </w:rPr>
                    <w:t>罩棚</w:t>
                  </w:r>
                  <w:r>
                    <w:rPr>
                      <w:rFonts w:hint="eastAsia" w:cs="Times New Roman"/>
                      <w:kern w:val="0"/>
                      <w:sz w:val="21"/>
                      <w:szCs w:val="22"/>
                      <w:highlight w:val="none"/>
                      <w:lang w:val="en-US" w:eastAsia="zh-CN" w:bidi="ar-SA"/>
                    </w:rPr>
                    <w:t>西</w:t>
                  </w:r>
                  <w:r>
                    <w:rPr>
                      <w:rFonts w:hint="eastAsia" w:ascii="Times New Roman" w:hAnsi="Times New Roman" w:eastAsia="宋体" w:cs="Times New Roman"/>
                      <w:kern w:val="0"/>
                      <w:sz w:val="21"/>
                      <w:szCs w:val="22"/>
                      <w:highlight w:val="none"/>
                      <w:lang w:val="en-US" w:eastAsia="en-US" w:bidi="ar-SA"/>
                    </w:rPr>
                    <w:t>侧；</w:t>
                  </w:r>
                  <w:r>
                    <w:rPr>
                      <w:rFonts w:hint="default" w:ascii="Times New Roman" w:hAnsi="Times New Roman" w:eastAsia="宋体" w:cs="Times New Roman"/>
                      <w:kern w:val="0"/>
                      <w:sz w:val="21"/>
                      <w:szCs w:val="22"/>
                      <w:highlight w:val="none"/>
                      <w:lang w:val="en-US" w:eastAsia="en-US" w:bidi="ar-SA"/>
                    </w:rPr>
                    <w:t>储油区在站区</w:t>
                  </w:r>
                  <w:r>
                    <w:rPr>
                      <w:rFonts w:hint="eastAsia" w:cs="Times New Roman"/>
                      <w:kern w:val="0"/>
                      <w:sz w:val="21"/>
                      <w:szCs w:val="22"/>
                      <w:highlight w:val="none"/>
                      <w:lang w:val="en-US" w:eastAsia="zh-CN" w:bidi="ar-SA"/>
                    </w:rPr>
                    <w:t>西侧</w:t>
                  </w:r>
                  <w:r>
                    <w:rPr>
                      <w:rFonts w:hint="eastAsia" w:ascii="Times New Roman" w:hAnsi="Times New Roman" w:eastAsia="宋体" w:cs="Times New Roman"/>
                      <w:kern w:val="0"/>
                      <w:sz w:val="21"/>
                      <w:szCs w:val="22"/>
                      <w:highlight w:val="none"/>
                      <w:lang w:val="en-US" w:eastAsia="zh-CN" w:bidi="ar-SA"/>
                    </w:rPr>
                    <w:t>；</w:t>
                  </w:r>
                  <w:r>
                    <w:rPr>
                      <w:rFonts w:hint="default" w:ascii="Times New Roman" w:hAnsi="Times New Roman" w:eastAsia="宋体" w:cs="Times New Roman"/>
                      <w:kern w:val="0"/>
                      <w:sz w:val="21"/>
                      <w:szCs w:val="22"/>
                      <w:highlight w:val="none"/>
                      <w:lang w:val="en-US" w:eastAsia="en-US" w:bidi="ar-SA"/>
                    </w:rPr>
                    <w:t>密闭卸油口在油罐区</w:t>
                  </w:r>
                  <w:r>
                    <w:rPr>
                      <w:rFonts w:hint="eastAsia" w:ascii="Times New Roman" w:hAnsi="Times New Roman" w:eastAsia="宋体" w:cs="Times New Roman"/>
                      <w:kern w:val="0"/>
                      <w:sz w:val="21"/>
                      <w:szCs w:val="22"/>
                      <w:highlight w:val="none"/>
                      <w:lang w:val="en-US" w:eastAsia="en-US" w:bidi="ar-SA"/>
                    </w:rPr>
                    <w:t>南侧</w:t>
                  </w:r>
                  <w:r>
                    <w:rPr>
                      <w:rFonts w:hint="default" w:ascii="Times New Roman" w:hAnsi="Times New Roman" w:eastAsia="宋体" w:cs="Times New Roman"/>
                      <w:kern w:val="0"/>
                      <w:sz w:val="21"/>
                      <w:szCs w:val="22"/>
                      <w:highlight w:val="none"/>
                      <w:lang w:val="en-US" w:eastAsia="en-US" w:bidi="ar-SA"/>
                    </w:rPr>
                    <w:t>。</w:t>
                  </w:r>
                </w:p>
              </w:tc>
              <w:tc>
                <w:tcPr>
                  <w:tcW w:w="6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未变化</w:t>
                  </w:r>
                </w:p>
              </w:tc>
              <w:tc>
                <w:tcPr>
                  <w:tcW w:w="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w:t>
                  </w:r>
                </w:p>
              </w:tc>
              <w:tc>
                <w:tcPr>
                  <w:tcW w:w="6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restart"/>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主体工程</w:t>
                  </w:r>
                </w:p>
              </w:tc>
              <w:tc>
                <w:tcPr>
                  <w:tcW w:w="593"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加</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油</w:t>
                  </w:r>
                </w:p>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区</w:t>
                  </w:r>
                </w:p>
              </w:tc>
              <w:tc>
                <w:tcPr>
                  <w:tcW w:w="2989"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含防撞柱的加油岛6座；加油机6台，其中，双枪柴油加油机4 台，四枪汽油加油机2 台；采用潜油泵式加油方式。设加油油气回收系统、卸油油气回收系统和油气排放处理装置</w:t>
                  </w:r>
                  <w:r>
                    <w:rPr>
                      <w:rFonts w:hint="eastAsia" w:ascii="Times New Roman" w:hAnsi="Times New Roman" w:eastAsia="宋体" w:cs="Times New Roman"/>
                      <w:sz w:val="21"/>
                      <w:szCs w:val="21"/>
                      <w:highlight w:val="none"/>
                      <w:lang w:eastAsia="zh-CN"/>
                    </w:rPr>
                    <w:t>。</w:t>
                  </w:r>
                </w:p>
              </w:tc>
              <w:tc>
                <w:tcPr>
                  <w:tcW w:w="2929"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leftChars="0" w:right="2" w:rightChars="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含防撞柱的加油岛6座；加油机6台，其中，双枪柴油加油机4 台，四枪汽油加油机2 台；采用潜油泵式加油方式。设加油油气回收系统、卸油油气回收系统和油气排放处理装置</w:t>
                  </w:r>
                  <w:r>
                    <w:rPr>
                      <w:rFonts w:hint="eastAsia" w:ascii="Times New Roman" w:hAnsi="Times New Roman" w:eastAsia="宋体" w:cs="Times New Roman"/>
                      <w:sz w:val="21"/>
                      <w:szCs w:val="21"/>
                      <w:highlight w:val="none"/>
                      <w:lang w:eastAsia="zh-CN"/>
                    </w:rPr>
                    <w:t>。</w:t>
                  </w:r>
                </w:p>
              </w:tc>
              <w:tc>
                <w:tcPr>
                  <w:tcW w:w="6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lang w:eastAsia="zh-CN"/>
                    </w:rPr>
                    <w:t>未变化</w:t>
                  </w:r>
                </w:p>
              </w:tc>
              <w:tc>
                <w:tcPr>
                  <w:tcW w:w="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w:t>
                  </w:r>
                </w:p>
              </w:tc>
              <w:tc>
                <w:tcPr>
                  <w:tcW w:w="6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szCs w:val="22"/>
                      <w:highlight w:val="none"/>
                    </w:rPr>
                  </w:pPr>
                </w:p>
              </w:tc>
              <w:tc>
                <w:tcPr>
                  <w:tcW w:w="593"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储</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罐</w:t>
                  </w:r>
                </w:p>
                <w:p>
                  <w:pPr>
                    <w:adjustRightInd w:val="0"/>
                    <w:snapToGrid w:val="0"/>
                    <w:jc w:val="center"/>
                    <w:rPr>
                      <w:rFonts w:ascii="Times New Roman" w:hAnsi="Times New Roman" w:cs="Times New Roman"/>
                      <w:sz w:val="21"/>
                      <w:szCs w:val="22"/>
                      <w:highlight w:val="none"/>
                    </w:rPr>
                  </w:pPr>
                  <w:r>
                    <w:rPr>
                      <w:rFonts w:hint="default" w:ascii="Times New Roman" w:hAnsi="Times New Roman" w:eastAsia="宋体" w:cs="Times New Roman"/>
                      <w:sz w:val="21"/>
                      <w:szCs w:val="21"/>
                      <w:highlight w:val="none"/>
                    </w:rPr>
                    <w:t>区</w:t>
                  </w:r>
                </w:p>
              </w:tc>
              <w:tc>
                <w:tcPr>
                  <w:tcW w:w="2989"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设卧式50m3SF双层油罐5个（2汽油3柴油）；油罐底部防渗措施为100厚C15混凝土垫层+400厚钢筋混凝土，罐之间用干净细砂分层填实，最上层地面为150厚C15素混凝土，另在罐区四周建有20cm的围堰。</w:t>
                  </w:r>
                </w:p>
              </w:tc>
              <w:tc>
                <w:tcPr>
                  <w:tcW w:w="2929"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leftChars="0" w:right="2" w:rightChars="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设卧式50m3SF双层油罐5个（2汽油3柴油）；油罐底部防渗措施为100厚C15混凝土垫层+400厚钢筋混凝土，罐之间用干净细砂分层填实，最上层地面为150厚C15素混凝土，另在罐区四周建有20cm的围堰。</w:t>
                  </w:r>
                </w:p>
              </w:tc>
              <w:tc>
                <w:tcPr>
                  <w:tcW w:w="6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未变化</w:t>
                  </w:r>
                </w:p>
              </w:tc>
              <w:tc>
                <w:tcPr>
                  <w:tcW w:w="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w:t>
                  </w:r>
                </w:p>
              </w:tc>
              <w:tc>
                <w:tcPr>
                  <w:tcW w:w="6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restart"/>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ascii="Times New Roman" w:hAnsi="Times New Roman" w:cs="Times New Roman"/>
                      <w:sz w:val="21"/>
                      <w:highlight w:val="none"/>
                    </w:rPr>
                    <w:t>辅助工程</w:t>
                  </w:r>
                </w:p>
              </w:tc>
              <w:tc>
                <w:tcPr>
                  <w:tcW w:w="593" w:type="dxa"/>
                  <w:tcBorders>
                    <w:tl2br w:val="nil"/>
                    <w:tr2bl w:val="nil"/>
                  </w:tcBorders>
                  <w:vAlign w:val="center"/>
                </w:tcPr>
                <w:p>
                  <w:pPr>
                    <w:adjustRightInd w:val="0"/>
                    <w:snapToGrid w:val="0"/>
                    <w:ind w:left="59" w:leftChars="28"/>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站房</w:t>
                  </w:r>
                </w:p>
              </w:tc>
              <w:tc>
                <w:tcPr>
                  <w:tcW w:w="2989" w:type="dxa"/>
                  <w:tcBorders>
                    <w:tl2br w:val="nil"/>
                    <w:tr2bl w:val="nil"/>
                  </w:tcBorders>
                  <w:vAlign w:val="center"/>
                </w:tcPr>
                <w:p>
                  <w:pPr>
                    <w:adjustRightInd w:val="0"/>
                    <w:snapToGrid w:val="0"/>
                    <w:jc w:val="center"/>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szCs w:val="21"/>
                      <w:highlight w:val="none"/>
                    </w:rPr>
                    <w:t>建筑面积117.64m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，1F，砖混结构。主要包含办公室、营业厅、配电间、卫生间、库房等。</w:t>
                  </w:r>
                </w:p>
              </w:tc>
              <w:tc>
                <w:tcPr>
                  <w:tcW w:w="2929" w:type="dxa"/>
                  <w:tcBorders>
                    <w:tl2br w:val="nil"/>
                    <w:tr2bl w:val="nil"/>
                  </w:tcBorders>
                  <w:vAlign w:val="center"/>
                </w:tcPr>
                <w:p>
                  <w:pPr>
                    <w:adjustRightInd w:val="0"/>
                    <w:snapToGrid w:val="0"/>
                    <w:jc w:val="center"/>
                    <w:rPr>
                      <w:rFonts w:ascii="Times New Roman" w:hAnsi="Times New Roman" w:eastAsia="宋体" w:cs="Times New Roman"/>
                      <w:sz w:val="21"/>
                      <w:highlight w:val="none"/>
                    </w:rPr>
                  </w:pPr>
                  <w:r>
                    <w:rPr>
                      <w:rFonts w:hint="default" w:ascii="Times New Roman" w:hAnsi="Times New Roman" w:eastAsia="宋体" w:cs="Times New Roman"/>
                      <w:sz w:val="21"/>
                      <w:szCs w:val="21"/>
                      <w:highlight w:val="none"/>
                    </w:rPr>
                    <w:t>建筑面积117.64m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，1F，砖混结构。主要包含办公室、营业厅、配电间、卫生间、库房等。</w:t>
                  </w:r>
                </w:p>
              </w:tc>
              <w:tc>
                <w:tcPr>
                  <w:tcW w:w="662"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未变化</w:t>
                  </w:r>
                </w:p>
              </w:tc>
              <w:tc>
                <w:tcPr>
                  <w:tcW w:w="649"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w:t>
                  </w:r>
                </w:p>
              </w:tc>
              <w:tc>
                <w:tcPr>
                  <w:tcW w:w="648"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p>
              </w:tc>
              <w:tc>
                <w:tcPr>
                  <w:tcW w:w="593" w:type="dxa"/>
                  <w:tcBorders>
                    <w:tl2br w:val="nil"/>
                    <w:tr2bl w:val="nil"/>
                  </w:tcBorders>
                  <w:vAlign w:val="center"/>
                </w:tcPr>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罩棚</w:t>
                  </w:r>
                </w:p>
              </w:tc>
              <w:tc>
                <w:tcPr>
                  <w:tcW w:w="2989" w:type="dxa"/>
                  <w:tcBorders>
                    <w:tl2br w:val="nil"/>
                    <w:tr2bl w:val="nil"/>
                  </w:tcBorders>
                  <w:vAlign w:val="center"/>
                </w:tcPr>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型钢罩棚1座，净高5.5m，面积956.80m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w:t>
                  </w:r>
                </w:p>
              </w:tc>
              <w:tc>
                <w:tcPr>
                  <w:tcW w:w="2929" w:type="dxa"/>
                  <w:tcBorders>
                    <w:tl2br w:val="nil"/>
                    <w:tr2bl w:val="nil"/>
                  </w:tcBorders>
                  <w:vAlign w:val="center"/>
                </w:tcPr>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型钢罩棚1座，净高5.5m，面积956.80m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w:t>
                  </w:r>
                </w:p>
              </w:tc>
              <w:tc>
                <w:tcPr>
                  <w:tcW w:w="662"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未变化</w:t>
                  </w:r>
                </w:p>
              </w:tc>
              <w:tc>
                <w:tcPr>
                  <w:tcW w:w="649"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w:t>
                  </w:r>
                </w:p>
              </w:tc>
              <w:tc>
                <w:tcPr>
                  <w:tcW w:w="648"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restart"/>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公用</w:t>
                  </w:r>
                </w:p>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工程</w:t>
                  </w:r>
                </w:p>
              </w:tc>
              <w:tc>
                <w:tcPr>
                  <w:tcW w:w="593"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给水</w:t>
                  </w:r>
                </w:p>
              </w:tc>
              <w:tc>
                <w:tcPr>
                  <w:tcW w:w="2989"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由华州服务区供给。</w:t>
                  </w:r>
                </w:p>
              </w:tc>
              <w:tc>
                <w:tcPr>
                  <w:tcW w:w="2929"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由华州服务区供给。</w:t>
                  </w:r>
                </w:p>
              </w:tc>
              <w:tc>
                <w:tcPr>
                  <w:tcW w:w="6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lang w:val="en-US" w:eastAsia="zh-CN"/>
                    </w:rPr>
                    <w:t>未变化</w:t>
                  </w:r>
                </w:p>
              </w:tc>
              <w:tc>
                <w:tcPr>
                  <w:tcW w:w="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lang w:val="en-US" w:eastAsia="zh-CN"/>
                    </w:rPr>
                    <w:t>/</w:t>
                  </w:r>
                </w:p>
              </w:tc>
              <w:tc>
                <w:tcPr>
                  <w:tcW w:w="6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p>
              </w:tc>
              <w:tc>
                <w:tcPr>
                  <w:tcW w:w="593"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排水</w:t>
                  </w:r>
                </w:p>
              </w:tc>
              <w:tc>
                <w:tcPr>
                  <w:tcW w:w="2989"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采用雨污分流，加油岛四周设雨水收集沟槽，雨水经隔油池处理后排入场外排水渠，最终进入赤水河；项目场地冲洗废水经隔油池处理后和生活污</w:t>
                  </w:r>
                  <w:r>
                    <w:rPr>
                      <w:rFonts w:hint="eastAsia" w:ascii="Times New Roman" w:hAnsi="Times New Roman" w:eastAsia="宋体" w:cs="Times New Roman"/>
                      <w:sz w:val="21"/>
                      <w:szCs w:val="21"/>
                      <w:highlight w:val="none"/>
                      <w:lang w:eastAsia="zh-CN"/>
                    </w:rPr>
                    <w:t>水</w:t>
                  </w:r>
                  <w:r>
                    <w:rPr>
                      <w:rFonts w:hint="default" w:ascii="Times New Roman" w:hAnsi="Times New Roman" w:eastAsia="宋体" w:cs="Times New Roman"/>
                      <w:sz w:val="21"/>
                      <w:szCs w:val="21"/>
                      <w:highlight w:val="none"/>
                    </w:rPr>
                    <w:t>一并进入华州服务区一体化埋地式中水回用膜处理系统</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处理后回用于服务区厕所用水和服务区绿化用水。</w:t>
                  </w:r>
                </w:p>
              </w:tc>
              <w:tc>
                <w:tcPr>
                  <w:tcW w:w="2929"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采用雨污分流，加油岛四周设雨水收集沟槽，雨水经隔油池处理后排入场外排水渠，最终进入赤水河；项目场地冲洗废水经隔油池处理后和生活污</w:t>
                  </w:r>
                  <w:r>
                    <w:rPr>
                      <w:rFonts w:hint="eastAsia" w:ascii="Times New Roman" w:hAnsi="Times New Roman" w:eastAsia="宋体" w:cs="Times New Roman"/>
                      <w:sz w:val="21"/>
                      <w:szCs w:val="21"/>
                      <w:highlight w:val="none"/>
                      <w:lang w:eastAsia="zh-CN"/>
                    </w:rPr>
                    <w:t>水</w:t>
                  </w:r>
                  <w:r>
                    <w:rPr>
                      <w:rFonts w:hint="default" w:ascii="Times New Roman" w:hAnsi="Times New Roman" w:eastAsia="宋体" w:cs="Times New Roman"/>
                      <w:sz w:val="21"/>
                      <w:szCs w:val="21"/>
                      <w:highlight w:val="none"/>
                    </w:rPr>
                    <w:t>一并进入华州服务区一体化埋地式中水回用膜处理系统</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处理后回用于服务区厕所用水和服务区绿化用水。</w:t>
                  </w:r>
                </w:p>
              </w:tc>
              <w:tc>
                <w:tcPr>
                  <w:tcW w:w="662"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未变化</w:t>
                  </w:r>
                </w:p>
              </w:tc>
              <w:tc>
                <w:tcPr>
                  <w:tcW w:w="649" w:type="dxa"/>
                  <w:tcBorders>
                    <w:tl2br w:val="nil"/>
                    <w:tr2bl w:val="nil"/>
                  </w:tcBorders>
                  <w:vAlign w:val="center"/>
                </w:tcPr>
                <w:p>
                  <w:pPr>
                    <w:pStyle w:val="15"/>
                    <w:keepNext w:val="0"/>
                    <w:keepLines w:val="0"/>
                    <w:pageBreakBefore w:val="0"/>
                    <w:widowControl w:val="0"/>
                    <w:kinsoku/>
                    <w:wordWrap/>
                    <w:overflowPunct/>
                    <w:topLinePunct w:val="0"/>
                    <w:bidi w:val="0"/>
                    <w:adjustRightInd/>
                    <w:snapToGrid/>
                    <w:ind w:left="0" w:lef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w:t>
                  </w:r>
                </w:p>
              </w:tc>
              <w:tc>
                <w:tcPr>
                  <w:tcW w:w="648" w:type="dxa"/>
                  <w:tcBorders>
                    <w:tl2br w:val="nil"/>
                    <w:tr2bl w:val="nil"/>
                  </w:tcBorders>
                  <w:vAlign w:val="center"/>
                </w:tcPr>
                <w:p>
                  <w:pPr>
                    <w:pStyle w:val="15"/>
                    <w:keepNext w:val="0"/>
                    <w:keepLines w:val="0"/>
                    <w:pageBreakBefore w:val="0"/>
                    <w:widowControl w:val="0"/>
                    <w:kinsoku/>
                    <w:wordWrap/>
                    <w:overflowPunct/>
                    <w:topLinePunct w:val="0"/>
                    <w:bidi w:val="0"/>
                    <w:adjustRightInd/>
                    <w:snapToGrid/>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p>
              </w:tc>
              <w:tc>
                <w:tcPr>
                  <w:tcW w:w="593"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供电</w:t>
                  </w:r>
                </w:p>
              </w:tc>
              <w:tc>
                <w:tcPr>
                  <w:tcW w:w="2989"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由华州服务区变电站供给。</w:t>
                  </w:r>
                </w:p>
              </w:tc>
              <w:tc>
                <w:tcPr>
                  <w:tcW w:w="2929"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由华州服务区变电站供给。</w:t>
                  </w:r>
                </w:p>
              </w:tc>
              <w:tc>
                <w:tcPr>
                  <w:tcW w:w="662"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未变化</w:t>
                  </w:r>
                </w:p>
              </w:tc>
              <w:tc>
                <w:tcPr>
                  <w:tcW w:w="649"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w:t>
                  </w:r>
                </w:p>
              </w:tc>
              <w:tc>
                <w:tcPr>
                  <w:tcW w:w="648"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p>
              </w:tc>
              <w:tc>
                <w:tcPr>
                  <w:tcW w:w="593"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供暖、制冷</w:t>
                  </w:r>
                </w:p>
              </w:tc>
              <w:tc>
                <w:tcPr>
                  <w:tcW w:w="2989"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冬季供暖、夏制冷采用分体式空调。</w:t>
                  </w:r>
                </w:p>
              </w:tc>
              <w:tc>
                <w:tcPr>
                  <w:tcW w:w="2929"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冬季供暖、夏制冷采用分体式空调。</w:t>
                  </w:r>
                </w:p>
              </w:tc>
              <w:tc>
                <w:tcPr>
                  <w:tcW w:w="662"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未变化</w:t>
                  </w:r>
                </w:p>
              </w:tc>
              <w:tc>
                <w:tcPr>
                  <w:tcW w:w="649"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w:t>
                  </w:r>
                </w:p>
              </w:tc>
              <w:tc>
                <w:tcPr>
                  <w:tcW w:w="648"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highlight w:val="none"/>
                    </w:rPr>
                  </w:pPr>
                </w:p>
              </w:tc>
              <w:tc>
                <w:tcPr>
                  <w:tcW w:w="593"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消防</w:t>
                  </w:r>
                </w:p>
              </w:tc>
              <w:tc>
                <w:tcPr>
                  <w:tcW w:w="2989"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配置35kg 推车式ABC 类干粉灭火器1 具，4kg 手提式ABC类干粉灭火器22 具，灭火毯5 块，消防沙2m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w:t>
                  </w:r>
                </w:p>
              </w:tc>
              <w:tc>
                <w:tcPr>
                  <w:tcW w:w="2929"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配置35kg 推车式ABC 类干粉灭火器1 具，4kg 手提式ABC类干粉灭火器22 具，灭火毯5 块，消防沙2m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w:t>
                  </w:r>
                </w:p>
              </w:tc>
              <w:tc>
                <w:tcPr>
                  <w:tcW w:w="662" w:type="dxa"/>
                  <w:tcBorders>
                    <w:tl2br w:val="nil"/>
                    <w:tr2bl w:val="nil"/>
                  </w:tcBorders>
                  <w:vAlign w:val="center"/>
                </w:tcPr>
                <w:p>
                  <w:pPr>
                    <w:keepNext w:val="0"/>
                    <w:keepLines w:val="0"/>
                    <w:pageBreakBefore w:val="0"/>
                    <w:widowControl w:val="0"/>
                    <w:kinsoku/>
                    <w:wordWrap/>
                    <w:overflowPunct/>
                    <w:topLinePunct w:val="0"/>
                    <w:bidi w:val="0"/>
                    <w:adjustRightInd/>
                    <w:snapToGrid/>
                    <w:spacing w:after="0"/>
                    <w:ind w:left="0" w:leftChars="0" w:right="0" w:rightChars="0"/>
                    <w:jc w:val="center"/>
                    <w:textAlignment w:val="auto"/>
                    <w:outlineLvl w:val="9"/>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lang w:val="en-US" w:eastAsia="zh-CN"/>
                    </w:rPr>
                    <w:t>未变化</w:t>
                  </w:r>
                </w:p>
              </w:tc>
              <w:tc>
                <w:tcPr>
                  <w:tcW w:w="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lang w:val="en-US" w:eastAsia="zh-CN"/>
                    </w:rPr>
                    <w:t>/</w:t>
                  </w:r>
                </w:p>
              </w:tc>
              <w:tc>
                <w:tcPr>
                  <w:tcW w:w="6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restart"/>
                  <w:tcBorders>
                    <w:tl2br w:val="nil"/>
                    <w:tr2bl w:val="nil"/>
                  </w:tcBorders>
                  <w:vAlign w:val="center"/>
                </w:tcPr>
                <w:p>
                  <w:pPr>
                    <w:pStyle w:val="15"/>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highlight w:val="none"/>
                    </w:rPr>
                  </w:pPr>
                  <w:r>
                    <w:rPr>
                      <w:rFonts w:ascii="Times New Roman" w:hAnsi="Times New Roman" w:cs="Times New Roman"/>
                      <w:sz w:val="21"/>
                      <w:highlight w:val="none"/>
                    </w:rPr>
                    <w:t>环保工程</w:t>
                  </w:r>
                </w:p>
              </w:tc>
              <w:tc>
                <w:tcPr>
                  <w:tcW w:w="593"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废气</w:t>
                  </w:r>
                </w:p>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处理</w:t>
                  </w:r>
                </w:p>
              </w:tc>
              <w:tc>
                <w:tcPr>
                  <w:tcW w:w="2989" w:type="dxa"/>
                  <w:tcBorders>
                    <w:tl2br w:val="nil"/>
                    <w:tr2bl w:val="nil"/>
                  </w:tcBorders>
                  <w:vAlign w:val="center"/>
                </w:tcPr>
                <w:p>
                  <w:pPr>
                    <w:adjustRightInd w:val="0"/>
                    <w:snapToGrid w:val="0"/>
                    <w:jc w:val="center"/>
                    <w:rPr>
                      <w:rFonts w:hint="default" w:ascii="Times New Roman" w:hAnsi="Times New Roman" w:cs="Times New Roman"/>
                      <w:sz w:val="21"/>
                      <w:highlight w:val="none"/>
                      <w:lang w:val="en-US"/>
                    </w:rPr>
                  </w:pPr>
                  <w:r>
                    <w:rPr>
                      <w:rFonts w:hint="default" w:ascii="Times New Roman" w:hAnsi="Times New Roman" w:eastAsia="宋体" w:cs="Times New Roman"/>
                      <w:snapToGrid w:val="0"/>
                      <w:kern w:val="0"/>
                      <w:sz w:val="21"/>
                      <w:szCs w:val="21"/>
                      <w:highlight w:val="none"/>
                    </w:rPr>
                    <w:t>站区加强通风，储罐设有阻火器、呼吸阀，加油、卸油设三级油气回收装置</w:t>
                  </w:r>
                  <w:r>
                    <w:rPr>
                      <w:rFonts w:hint="default" w:ascii="Times New Roman" w:hAnsi="Times New Roman" w:eastAsia="宋体" w:cs="Times New Roman"/>
                      <w:snapToGrid w:val="0"/>
                      <w:kern w:val="0"/>
                      <w:sz w:val="21"/>
                      <w:szCs w:val="21"/>
                      <w:highlight w:val="none"/>
                      <w:lang w:eastAsia="zh-CN"/>
                    </w:rPr>
                    <w:t>。</w:t>
                  </w:r>
                </w:p>
              </w:tc>
              <w:tc>
                <w:tcPr>
                  <w:tcW w:w="2929" w:type="dxa"/>
                  <w:tcBorders>
                    <w:tl2br w:val="nil"/>
                    <w:tr2bl w:val="nil"/>
                  </w:tcBorders>
                  <w:vAlign w:val="center"/>
                </w:tcPr>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napToGrid w:val="0"/>
                      <w:kern w:val="0"/>
                      <w:sz w:val="21"/>
                      <w:szCs w:val="21"/>
                      <w:highlight w:val="none"/>
                    </w:rPr>
                    <w:t>站区加强通风，储罐设有阻火器、呼吸阀，加油、卸油设三级油气回收装置</w:t>
                  </w:r>
                  <w:r>
                    <w:rPr>
                      <w:rFonts w:hint="default" w:ascii="Times New Roman" w:hAnsi="Times New Roman" w:eastAsia="宋体" w:cs="Times New Roman"/>
                      <w:snapToGrid w:val="0"/>
                      <w:kern w:val="0"/>
                      <w:sz w:val="21"/>
                      <w:szCs w:val="21"/>
                      <w:highlight w:val="none"/>
                      <w:lang w:eastAsia="zh-CN"/>
                    </w:rPr>
                    <w:t>。</w:t>
                  </w:r>
                </w:p>
              </w:tc>
              <w:tc>
                <w:tcPr>
                  <w:tcW w:w="6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未变化</w:t>
                  </w:r>
                </w:p>
              </w:tc>
              <w:tc>
                <w:tcPr>
                  <w:tcW w:w="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p>
              </w:tc>
              <w:tc>
                <w:tcPr>
                  <w:tcW w:w="6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szCs w:val="22"/>
                      <w:highlight w:val="none"/>
                    </w:rPr>
                  </w:pPr>
                </w:p>
              </w:tc>
              <w:tc>
                <w:tcPr>
                  <w:tcW w:w="593"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w:t>
                  </w:r>
                </w:p>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处理</w:t>
                  </w:r>
                </w:p>
              </w:tc>
              <w:tc>
                <w:tcPr>
                  <w:tcW w:w="2989" w:type="dxa"/>
                  <w:tcBorders>
                    <w:tl2br w:val="nil"/>
                    <w:tr2bl w:val="nil"/>
                  </w:tcBorders>
                  <w:vAlign w:val="center"/>
                </w:tcPr>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项目场地冲洗废水经隔油池处理后和生活污水一并进入渭南至玉山高速公路华州服务区一体化埋地式中水回用膜处理系统</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处理后回用于服务区厕所用水和服务区绿化用水。</w:t>
                  </w:r>
                </w:p>
              </w:tc>
              <w:tc>
                <w:tcPr>
                  <w:tcW w:w="2929"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right="2"/>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项目场地冲洗废水经隔油池处理后和生活污水一并进入渭南至玉山高速公路华州服务区一体化埋地式中水回用膜处理系统</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处理后回用于服务区厕所用水和服务区绿化用水。</w:t>
                  </w:r>
                </w:p>
              </w:tc>
              <w:tc>
                <w:tcPr>
                  <w:tcW w:w="662"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hint="default" w:ascii="Times New Roman" w:hAnsi="Times New Roman" w:cs="Times New Roman"/>
                      <w:sz w:val="21"/>
                      <w:highlight w:val="none"/>
                    </w:rPr>
                  </w:pPr>
                  <w:r>
                    <w:rPr>
                      <w:rFonts w:hint="default" w:ascii="Times New Roman" w:hAnsi="Times New Roman" w:cs="Times New Roman" w:eastAsiaTheme="minorEastAsia"/>
                      <w:sz w:val="21"/>
                      <w:szCs w:val="21"/>
                      <w:highlight w:val="none"/>
                    </w:rPr>
                    <w:t>未变化</w:t>
                  </w:r>
                </w:p>
              </w:tc>
              <w:tc>
                <w:tcPr>
                  <w:tcW w:w="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hint="eastAsia" w:ascii="Times New Roman" w:hAnsi="Times New Roman" w:cs="Times New Roman"/>
                      <w:sz w:val="21"/>
                      <w:highlight w:val="none"/>
                      <w:lang w:eastAsia="zh-CN"/>
                    </w:rPr>
                  </w:pPr>
                  <w:r>
                    <w:rPr>
                      <w:rFonts w:hint="default" w:ascii="Times New Roman" w:hAnsi="Times New Roman" w:cs="Times New Roman" w:eastAsiaTheme="minorEastAsia"/>
                      <w:sz w:val="21"/>
                      <w:szCs w:val="21"/>
                      <w:highlight w:val="none"/>
                    </w:rPr>
                    <w:t>/</w:t>
                  </w:r>
                </w:p>
              </w:tc>
              <w:tc>
                <w:tcPr>
                  <w:tcW w:w="648"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hint="eastAsia" w:ascii="Times New Roman" w:hAnsi="Times New Roman" w:cs="Times New Roman"/>
                      <w:sz w:val="21"/>
                      <w:highlight w:val="none"/>
                      <w:lang w:eastAsia="zh-CN"/>
                    </w:rPr>
                  </w:pPr>
                  <w:r>
                    <w:rPr>
                      <w:rFonts w:hint="default" w:ascii="Times New Roman" w:hAnsi="Times New Roman" w:cs="Times New Roman" w:eastAsiaTheme="minorEastAsia"/>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szCs w:val="22"/>
                      <w:highlight w:val="none"/>
                    </w:rPr>
                  </w:pPr>
                </w:p>
              </w:tc>
              <w:tc>
                <w:tcPr>
                  <w:tcW w:w="593" w:type="dxa"/>
                  <w:tcBorders>
                    <w:tl2br w:val="nil"/>
                    <w:tr2bl w:val="nil"/>
                  </w:tcBorders>
                  <w:vAlign w:val="center"/>
                </w:tcPr>
                <w:p>
                  <w:pPr>
                    <w:adjustRightInd w:val="0"/>
                    <w:snapToGrid w:val="0"/>
                    <w:jc w:val="center"/>
                    <w:rPr>
                      <w:rFonts w:hint="eastAsia" w:ascii="Times New Roman" w:hAnsi="Times New Roman" w:eastAsia="宋体" w:cs="Times New Roman"/>
                      <w:sz w:val="21"/>
                      <w:highlight w:val="none"/>
                      <w:lang w:eastAsia="zh-CN"/>
                    </w:rPr>
                  </w:pPr>
                  <w:r>
                    <w:rPr>
                      <w:rFonts w:hint="default" w:ascii="Times New Roman" w:hAnsi="Times New Roman" w:eastAsia="宋体" w:cs="Times New Roman"/>
                      <w:sz w:val="21"/>
                      <w:szCs w:val="21"/>
                      <w:highlight w:val="none"/>
                    </w:rPr>
                    <w:t>噪声</w:t>
                  </w:r>
                </w:p>
              </w:tc>
              <w:tc>
                <w:tcPr>
                  <w:tcW w:w="2989" w:type="dxa"/>
                  <w:tcBorders>
                    <w:tl2br w:val="nil"/>
                    <w:tr2bl w:val="nil"/>
                  </w:tcBorders>
                  <w:vAlign w:val="center"/>
                </w:tcPr>
                <w:p>
                  <w:pPr>
                    <w:adjustRightInd w:val="0"/>
                    <w:snapToGrid w:val="0"/>
                    <w:jc w:val="center"/>
                    <w:rPr>
                      <w:rFonts w:ascii="Times New Roman" w:hAnsi="Times New Roman" w:cs="Times New Roman"/>
                      <w:snapToGrid w:val="0"/>
                      <w:kern w:val="0"/>
                      <w:sz w:val="21"/>
                      <w:szCs w:val="21"/>
                      <w:highlight w:val="none"/>
                    </w:rPr>
                  </w:pPr>
                  <w:r>
                    <w:rPr>
                      <w:rFonts w:hint="default" w:ascii="Times New Roman" w:hAnsi="Times New Roman" w:eastAsia="宋体" w:cs="Times New Roman"/>
                      <w:snapToGrid w:val="0"/>
                      <w:color w:val="000000"/>
                      <w:kern w:val="0"/>
                      <w:sz w:val="21"/>
                      <w:szCs w:val="21"/>
                      <w:highlight w:val="none"/>
                    </w:rPr>
                    <w:t>高噪声设备采取</w:t>
                  </w:r>
                  <w:r>
                    <w:rPr>
                      <w:rFonts w:hint="eastAsia" w:ascii="Times New Roman" w:hAnsi="Times New Roman" w:eastAsia="宋体" w:cs="Times New Roman"/>
                      <w:snapToGrid w:val="0"/>
                      <w:color w:val="000000"/>
                      <w:kern w:val="0"/>
                      <w:sz w:val="21"/>
                      <w:szCs w:val="21"/>
                      <w:highlight w:val="none"/>
                      <w:lang w:eastAsia="zh-CN"/>
                    </w:rPr>
                    <w:t>减振</w:t>
                  </w:r>
                  <w:r>
                    <w:rPr>
                      <w:rFonts w:hint="default" w:ascii="Times New Roman" w:hAnsi="Times New Roman" w:eastAsia="宋体" w:cs="Times New Roman"/>
                      <w:snapToGrid w:val="0"/>
                      <w:color w:val="000000"/>
                      <w:kern w:val="0"/>
                      <w:sz w:val="21"/>
                      <w:szCs w:val="21"/>
                      <w:highlight w:val="none"/>
                    </w:rPr>
                    <w:t>和隔声处理，出入区域内来往的机动车辆进站时减速、禁止鸣笛</w:t>
                  </w:r>
                  <w:r>
                    <w:rPr>
                      <w:rFonts w:hint="default" w:ascii="Times New Roman" w:hAnsi="Times New Roman" w:eastAsia="宋体" w:cs="Times New Roman"/>
                      <w:snapToGrid w:val="0"/>
                      <w:color w:val="000000"/>
                      <w:kern w:val="0"/>
                      <w:sz w:val="21"/>
                      <w:szCs w:val="21"/>
                      <w:highlight w:val="none"/>
                      <w:lang w:eastAsia="zh-CN"/>
                    </w:rPr>
                    <w:t>。</w:t>
                  </w:r>
                </w:p>
              </w:tc>
              <w:tc>
                <w:tcPr>
                  <w:tcW w:w="2929" w:type="dxa"/>
                  <w:tcBorders>
                    <w:tl2br w:val="nil"/>
                    <w:tr2bl w:val="nil"/>
                  </w:tcBorders>
                  <w:vAlign w:val="center"/>
                </w:tcPr>
                <w:p>
                  <w:pPr>
                    <w:adjustRightInd w:val="0"/>
                    <w:snapToGrid w:val="0"/>
                    <w:jc w:val="center"/>
                    <w:rPr>
                      <w:rFonts w:ascii="Times New Roman" w:hAnsi="Times New Roman" w:cs="Times New Roman"/>
                      <w:snapToGrid w:val="0"/>
                      <w:kern w:val="0"/>
                      <w:sz w:val="21"/>
                      <w:szCs w:val="21"/>
                      <w:highlight w:val="none"/>
                    </w:rPr>
                  </w:pPr>
                  <w:r>
                    <w:rPr>
                      <w:rFonts w:hint="default" w:ascii="Times New Roman" w:hAnsi="Times New Roman" w:eastAsia="宋体" w:cs="Times New Roman"/>
                      <w:snapToGrid w:val="0"/>
                      <w:color w:val="000000"/>
                      <w:kern w:val="0"/>
                      <w:sz w:val="21"/>
                      <w:szCs w:val="21"/>
                      <w:highlight w:val="none"/>
                    </w:rPr>
                    <w:t>高噪声设备采取</w:t>
                  </w:r>
                  <w:r>
                    <w:rPr>
                      <w:rFonts w:hint="eastAsia" w:ascii="Times New Roman" w:hAnsi="Times New Roman" w:eastAsia="宋体" w:cs="Times New Roman"/>
                      <w:snapToGrid w:val="0"/>
                      <w:color w:val="000000"/>
                      <w:kern w:val="0"/>
                      <w:sz w:val="21"/>
                      <w:szCs w:val="21"/>
                      <w:highlight w:val="none"/>
                      <w:lang w:eastAsia="zh-CN"/>
                    </w:rPr>
                    <w:t>减振</w:t>
                  </w:r>
                  <w:r>
                    <w:rPr>
                      <w:rFonts w:hint="default" w:ascii="Times New Roman" w:hAnsi="Times New Roman" w:eastAsia="宋体" w:cs="Times New Roman"/>
                      <w:snapToGrid w:val="0"/>
                      <w:color w:val="000000"/>
                      <w:kern w:val="0"/>
                      <w:sz w:val="21"/>
                      <w:szCs w:val="21"/>
                      <w:highlight w:val="none"/>
                    </w:rPr>
                    <w:t>和隔声处理，出入区域内来往的机动车辆进站时减速、禁止鸣笛</w:t>
                  </w:r>
                  <w:r>
                    <w:rPr>
                      <w:rFonts w:hint="default" w:ascii="Times New Roman" w:hAnsi="Times New Roman" w:eastAsia="宋体" w:cs="Times New Roman"/>
                      <w:snapToGrid w:val="0"/>
                      <w:color w:val="000000"/>
                      <w:kern w:val="0"/>
                      <w:sz w:val="21"/>
                      <w:szCs w:val="21"/>
                      <w:highlight w:val="none"/>
                      <w:lang w:eastAsia="zh-CN"/>
                    </w:rPr>
                    <w:t>。</w:t>
                  </w:r>
                </w:p>
              </w:tc>
              <w:tc>
                <w:tcPr>
                  <w:tcW w:w="6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hint="default" w:ascii="Times New Roman" w:hAnsi="Times New Roman" w:cs="Times New Roman"/>
                      <w:sz w:val="21"/>
                      <w:highlight w:val="none"/>
                      <w:lang w:val="en-US" w:eastAsia="zh-CN"/>
                    </w:rPr>
                  </w:pPr>
                  <w:r>
                    <w:rPr>
                      <w:rFonts w:hint="default" w:ascii="Times New Roman" w:hAnsi="Times New Roman" w:cs="Times New Roman" w:eastAsiaTheme="minorEastAsia"/>
                      <w:sz w:val="21"/>
                      <w:szCs w:val="21"/>
                      <w:highlight w:val="none"/>
                    </w:rPr>
                    <w:t>未变化</w:t>
                  </w:r>
                </w:p>
              </w:tc>
              <w:tc>
                <w:tcPr>
                  <w:tcW w:w="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w:t>
                  </w:r>
                </w:p>
              </w:tc>
              <w:tc>
                <w:tcPr>
                  <w:tcW w:w="6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szCs w:val="22"/>
                      <w:highlight w:val="none"/>
                    </w:rPr>
                  </w:pPr>
                </w:p>
              </w:tc>
              <w:tc>
                <w:tcPr>
                  <w:tcW w:w="593"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固体</w:t>
                  </w:r>
                </w:p>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sz w:val="21"/>
                      <w:szCs w:val="21"/>
                      <w:highlight w:val="none"/>
                    </w:rPr>
                    <w:t>废物</w:t>
                  </w:r>
                </w:p>
              </w:tc>
              <w:tc>
                <w:tcPr>
                  <w:tcW w:w="2989" w:type="dxa"/>
                  <w:tcBorders>
                    <w:tl2br w:val="nil"/>
                    <w:tr2bl w:val="nil"/>
                  </w:tcBorders>
                  <w:vAlign w:val="center"/>
                </w:tcPr>
                <w:p>
                  <w:pPr>
                    <w:adjustRightInd w:val="0"/>
                    <w:snapToGrid w:val="0"/>
                    <w:jc w:val="center"/>
                    <w:rPr>
                      <w:rFonts w:ascii="Times New Roman" w:hAnsi="Times New Roman" w:cs="Times New Roman"/>
                      <w:sz w:val="21"/>
                      <w:highlight w:val="none"/>
                    </w:rPr>
                  </w:pPr>
                  <w:r>
                    <w:rPr>
                      <w:rFonts w:hint="default" w:ascii="Times New Roman" w:hAnsi="Times New Roman" w:eastAsia="宋体" w:cs="Times New Roman"/>
                      <w:color w:val="auto"/>
                      <w:sz w:val="21"/>
                      <w:szCs w:val="21"/>
                      <w:highlight w:val="none"/>
                    </w:rPr>
                    <w:t>办公及生活垃圾，设垃圾桶，</w:t>
                  </w:r>
                  <w:r>
                    <w:rPr>
                      <w:rFonts w:hint="eastAsia" w:ascii="Times New Roman" w:hAnsi="Times New Roman" w:eastAsia="宋体" w:cs="Times New Roman"/>
                      <w:color w:val="auto"/>
                      <w:sz w:val="21"/>
                      <w:szCs w:val="21"/>
                      <w:highlight w:val="none"/>
                      <w:lang w:eastAsia="zh-CN"/>
                    </w:rPr>
                    <w:t>收集</w:t>
                  </w:r>
                  <w:r>
                    <w:rPr>
                      <w:rFonts w:hint="default" w:ascii="Times New Roman" w:hAnsi="Times New Roman" w:eastAsia="宋体" w:cs="Times New Roman"/>
                      <w:color w:val="auto"/>
                      <w:sz w:val="21"/>
                      <w:szCs w:val="21"/>
                      <w:highlight w:val="none"/>
                    </w:rPr>
                    <w:t>后交由华州服务区统一处置</w:t>
                  </w:r>
                  <w:r>
                    <w:rPr>
                      <w:rFonts w:hint="eastAsia" w:ascii="Times New Roman" w:hAnsi="Times New Roman" w:eastAsia="宋体" w:cs="Times New Roman"/>
                      <w:color w:val="auto"/>
                      <w:sz w:val="21"/>
                      <w:szCs w:val="21"/>
                      <w:highlight w:val="none"/>
                      <w:lang w:eastAsia="zh-CN"/>
                    </w:rPr>
                    <w:t>；</w:t>
                  </w:r>
                  <w:r>
                    <w:rPr>
                      <w:rFonts w:ascii="Times New Roman" w:hAnsi="Times New Roman" w:cs="Times New Roman"/>
                      <w:sz w:val="21"/>
                      <w:szCs w:val="21"/>
                      <w:highlight w:val="none"/>
                    </w:rPr>
                    <w:t>设置</w:t>
                  </w:r>
                  <w:r>
                    <w:rPr>
                      <w:rFonts w:ascii="Times New Roman" w:hAnsi="Times New Roman" w:eastAsia="宋体" w:cs="Times New Roman"/>
                      <w:sz w:val="21"/>
                      <w:szCs w:val="21"/>
                      <w:highlight w:val="none"/>
                    </w:rPr>
                    <w:t>1</w:t>
                  </w:r>
                  <w:r>
                    <w:rPr>
                      <w:rFonts w:ascii="Times New Roman" w:hAnsi="Times New Roman" w:cs="Times New Roman"/>
                      <w:sz w:val="21"/>
                      <w:szCs w:val="21"/>
                      <w:highlight w:val="none"/>
                    </w:rPr>
                    <w:t>座</w:t>
                  </w:r>
                  <w:r>
                    <w:rPr>
                      <w:rFonts w:hint="eastAsia" w:ascii="Times New Roman" w:hAnsi="Times New Roman" w:cs="Times New Roman"/>
                      <w:sz w:val="21"/>
                      <w:szCs w:val="21"/>
                      <w:highlight w:val="none"/>
                      <w:lang w:val="en-US" w:eastAsia="zh-CN"/>
                    </w:rPr>
                    <w:t>5</w:t>
                  </w:r>
                  <w:r>
                    <w:rPr>
                      <w:rFonts w:ascii="Times New Roman" w:hAnsi="Times New Roman" w:eastAsia="宋体" w:cs="Times New Roman"/>
                      <w:sz w:val="21"/>
                      <w:szCs w:val="21"/>
                      <w:highlight w:val="none"/>
                    </w:rPr>
                    <w:t>m</w:t>
                  </w:r>
                  <w:r>
                    <w:rPr>
                      <w:rFonts w:ascii="Times New Roman" w:hAnsi="Times New Roman" w:eastAsia="宋体" w:cs="Times New Roman"/>
                      <w:position w:val="0"/>
                      <w:sz w:val="21"/>
                      <w:szCs w:val="21"/>
                      <w:highlight w:val="none"/>
                      <w:vertAlign w:val="superscript"/>
                    </w:rPr>
                    <w:t>2</w:t>
                  </w:r>
                  <w:r>
                    <w:rPr>
                      <w:rFonts w:ascii="Times New Roman" w:hAnsi="Times New Roman" w:cs="Times New Roman"/>
                      <w:sz w:val="21"/>
                      <w:szCs w:val="21"/>
                      <w:highlight w:val="none"/>
                    </w:rPr>
                    <w:t>危险废物暂</w:t>
                  </w:r>
                  <w:r>
                    <w:rPr>
                      <w:rFonts w:hint="default" w:ascii="Times New Roman" w:hAnsi="Times New Roman" w:eastAsia="宋体" w:cs="Times New Roman"/>
                      <w:sz w:val="21"/>
                      <w:szCs w:val="21"/>
                      <w:highlight w:val="none"/>
                      <w:lang w:val="en-US" w:eastAsia="zh-CN"/>
                    </w:rPr>
                    <w:t>存</w:t>
                  </w:r>
                  <w:r>
                    <w:rPr>
                      <w:rFonts w:ascii="Times New Roman" w:hAnsi="Times New Roman" w:cs="Times New Roman"/>
                      <w:sz w:val="21"/>
                      <w:szCs w:val="21"/>
                      <w:highlight w:val="none"/>
                    </w:rPr>
                    <w:t>间，</w:t>
                  </w:r>
                  <w:r>
                    <w:rPr>
                      <w:rFonts w:hint="default" w:ascii="Times New Roman" w:hAnsi="Times New Roman" w:eastAsia="宋体" w:cs="Times New Roman"/>
                      <w:color w:val="auto"/>
                      <w:sz w:val="21"/>
                      <w:szCs w:val="21"/>
                      <w:highlight w:val="none"/>
                    </w:rPr>
                    <w:t>废润滑油及清罐油泥，分别采用专用容器暂存于危废暂存间，统一</w:t>
                  </w:r>
                  <w:r>
                    <w:rPr>
                      <w:rFonts w:hint="default" w:ascii="Times New Roman" w:hAnsi="Times New Roman" w:eastAsia="宋体" w:cs="Times New Roman"/>
                      <w:color w:val="auto"/>
                      <w:sz w:val="21"/>
                      <w:szCs w:val="21"/>
                      <w:highlight w:val="none"/>
                      <w:lang w:eastAsia="zh-CN"/>
                    </w:rPr>
                    <w:t>由</w:t>
                  </w:r>
                  <w:r>
                    <w:rPr>
                      <w:rFonts w:hint="default" w:ascii="Times New Roman" w:hAnsi="Times New Roman" w:eastAsia="宋体" w:cs="Times New Roman"/>
                      <w:color w:val="auto"/>
                      <w:sz w:val="21"/>
                      <w:szCs w:val="21"/>
                      <w:highlight w:val="none"/>
                    </w:rPr>
                    <w:t>陕西明瑞资源再生有限公司</w:t>
                  </w:r>
                  <w:r>
                    <w:rPr>
                      <w:rFonts w:hint="default" w:ascii="Times New Roman" w:hAnsi="Times New Roman" w:eastAsia="宋体" w:cs="Times New Roman"/>
                      <w:color w:val="auto"/>
                      <w:sz w:val="21"/>
                      <w:szCs w:val="21"/>
                      <w:highlight w:val="none"/>
                      <w:lang w:eastAsia="zh-CN"/>
                    </w:rPr>
                    <w:t>回收</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eastAsia="zh-CN"/>
                    </w:rPr>
                    <w:t>。</w:t>
                  </w:r>
                </w:p>
              </w:tc>
              <w:tc>
                <w:tcPr>
                  <w:tcW w:w="2929"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leftChars="0" w:right="2" w:rightChars="0" w:firstLine="0" w:firstLineChars="0"/>
                    <w:jc w:val="center"/>
                    <w:rPr>
                      <w:rFonts w:ascii="Times New Roman" w:hAnsi="Times New Roman" w:cs="Times New Roman"/>
                      <w:sz w:val="21"/>
                      <w:highlight w:val="none"/>
                    </w:rPr>
                  </w:pPr>
                  <w:r>
                    <w:rPr>
                      <w:rFonts w:hint="default" w:ascii="Times New Roman" w:hAnsi="Times New Roman" w:eastAsia="宋体" w:cs="Times New Roman"/>
                      <w:color w:val="auto"/>
                      <w:sz w:val="21"/>
                      <w:szCs w:val="21"/>
                      <w:highlight w:val="none"/>
                    </w:rPr>
                    <w:t>办公及生活垃圾，设垃圾桶，</w:t>
                  </w:r>
                  <w:r>
                    <w:rPr>
                      <w:rFonts w:hint="eastAsia" w:ascii="Times New Roman" w:hAnsi="Times New Roman" w:eastAsia="宋体" w:cs="Times New Roman"/>
                      <w:color w:val="auto"/>
                      <w:sz w:val="21"/>
                      <w:szCs w:val="21"/>
                      <w:highlight w:val="none"/>
                      <w:lang w:eastAsia="zh-CN"/>
                    </w:rPr>
                    <w:t>收集</w:t>
                  </w:r>
                  <w:r>
                    <w:rPr>
                      <w:rFonts w:hint="default" w:ascii="Times New Roman" w:hAnsi="Times New Roman" w:eastAsia="宋体" w:cs="Times New Roman"/>
                      <w:color w:val="auto"/>
                      <w:sz w:val="21"/>
                      <w:szCs w:val="21"/>
                      <w:highlight w:val="none"/>
                    </w:rPr>
                    <w:t>后交由华州服务区统一处置</w:t>
                  </w:r>
                  <w:r>
                    <w:rPr>
                      <w:rFonts w:hint="eastAsia" w:ascii="Times New Roman" w:hAnsi="Times New Roman" w:eastAsia="宋体" w:cs="Times New Roman"/>
                      <w:color w:val="auto"/>
                      <w:sz w:val="21"/>
                      <w:szCs w:val="21"/>
                      <w:highlight w:val="none"/>
                      <w:lang w:eastAsia="zh-CN"/>
                    </w:rPr>
                    <w:t>；</w:t>
                  </w:r>
                  <w:r>
                    <w:rPr>
                      <w:rFonts w:ascii="Times New Roman" w:hAnsi="Times New Roman" w:cs="Times New Roman"/>
                      <w:sz w:val="21"/>
                      <w:szCs w:val="21"/>
                      <w:highlight w:val="none"/>
                    </w:rPr>
                    <w:t>设置</w:t>
                  </w:r>
                  <w:r>
                    <w:rPr>
                      <w:rFonts w:ascii="Times New Roman" w:hAnsi="Times New Roman" w:eastAsia="宋体" w:cs="Times New Roman"/>
                      <w:sz w:val="21"/>
                      <w:szCs w:val="21"/>
                      <w:highlight w:val="none"/>
                    </w:rPr>
                    <w:t>1</w:t>
                  </w:r>
                  <w:r>
                    <w:rPr>
                      <w:rFonts w:ascii="Times New Roman" w:hAnsi="Times New Roman" w:cs="Times New Roman"/>
                      <w:sz w:val="21"/>
                      <w:szCs w:val="21"/>
                      <w:highlight w:val="none"/>
                    </w:rPr>
                    <w:t>座</w:t>
                  </w:r>
                  <w:r>
                    <w:rPr>
                      <w:rFonts w:hint="eastAsia" w:ascii="Times New Roman" w:hAnsi="Times New Roman" w:cs="Times New Roman"/>
                      <w:sz w:val="21"/>
                      <w:szCs w:val="21"/>
                      <w:highlight w:val="none"/>
                      <w:lang w:val="en-US" w:eastAsia="zh-CN"/>
                    </w:rPr>
                    <w:t>5</w:t>
                  </w:r>
                  <w:r>
                    <w:rPr>
                      <w:rFonts w:ascii="Times New Roman" w:hAnsi="Times New Roman" w:eastAsia="宋体" w:cs="Times New Roman"/>
                      <w:sz w:val="21"/>
                      <w:szCs w:val="21"/>
                      <w:highlight w:val="none"/>
                    </w:rPr>
                    <w:t>m</w:t>
                  </w:r>
                  <w:r>
                    <w:rPr>
                      <w:rFonts w:ascii="Times New Roman" w:hAnsi="Times New Roman" w:eastAsia="宋体" w:cs="Times New Roman"/>
                      <w:position w:val="0"/>
                      <w:sz w:val="21"/>
                      <w:szCs w:val="21"/>
                      <w:highlight w:val="none"/>
                      <w:vertAlign w:val="superscript"/>
                    </w:rPr>
                    <w:t>2</w:t>
                  </w:r>
                  <w:r>
                    <w:rPr>
                      <w:rFonts w:ascii="Times New Roman" w:hAnsi="Times New Roman" w:cs="Times New Roman"/>
                      <w:sz w:val="21"/>
                      <w:szCs w:val="21"/>
                      <w:highlight w:val="none"/>
                    </w:rPr>
                    <w:t>危险废物暂</w:t>
                  </w:r>
                  <w:r>
                    <w:rPr>
                      <w:rFonts w:hint="default" w:ascii="Times New Roman" w:hAnsi="Times New Roman" w:eastAsia="宋体" w:cs="Times New Roman"/>
                      <w:sz w:val="21"/>
                      <w:szCs w:val="21"/>
                      <w:highlight w:val="none"/>
                      <w:lang w:val="en-US" w:eastAsia="zh-CN"/>
                    </w:rPr>
                    <w:t>存</w:t>
                  </w:r>
                  <w:r>
                    <w:rPr>
                      <w:rFonts w:ascii="Times New Roman" w:hAnsi="Times New Roman" w:cs="Times New Roman"/>
                      <w:sz w:val="21"/>
                      <w:szCs w:val="21"/>
                      <w:highlight w:val="none"/>
                    </w:rPr>
                    <w:t>间，</w:t>
                  </w:r>
                  <w:r>
                    <w:rPr>
                      <w:rFonts w:hint="default" w:ascii="Times New Roman" w:hAnsi="Times New Roman" w:eastAsia="宋体" w:cs="Times New Roman"/>
                      <w:color w:val="auto"/>
                      <w:sz w:val="21"/>
                      <w:szCs w:val="21"/>
                      <w:highlight w:val="none"/>
                    </w:rPr>
                    <w:t>废润滑油及清罐油泥，分别采用专用容器暂存于危废暂存间，统一</w:t>
                  </w:r>
                  <w:r>
                    <w:rPr>
                      <w:rFonts w:hint="default" w:ascii="Times New Roman" w:hAnsi="Times New Roman" w:eastAsia="宋体" w:cs="Times New Roman"/>
                      <w:color w:val="auto"/>
                      <w:sz w:val="21"/>
                      <w:szCs w:val="21"/>
                      <w:highlight w:val="none"/>
                      <w:lang w:eastAsia="zh-CN"/>
                    </w:rPr>
                    <w:t>由</w:t>
                  </w:r>
                  <w:r>
                    <w:rPr>
                      <w:rFonts w:hint="default" w:ascii="Times New Roman" w:hAnsi="Times New Roman" w:eastAsia="宋体" w:cs="Times New Roman"/>
                      <w:color w:val="auto"/>
                      <w:sz w:val="21"/>
                      <w:szCs w:val="21"/>
                      <w:highlight w:val="none"/>
                    </w:rPr>
                    <w:t>陕西明瑞资源再生有限公司</w:t>
                  </w:r>
                  <w:r>
                    <w:rPr>
                      <w:rFonts w:hint="default" w:ascii="Times New Roman" w:hAnsi="Times New Roman" w:eastAsia="宋体" w:cs="Times New Roman"/>
                      <w:color w:val="auto"/>
                      <w:sz w:val="21"/>
                      <w:szCs w:val="21"/>
                      <w:highlight w:val="none"/>
                      <w:lang w:eastAsia="zh-CN"/>
                    </w:rPr>
                    <w:t>回收</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eastAsia="zh-CN"/>
                    </w:rPr>
                    <w:t>。</w:t>
                  </w:r>
                </w:p>
              </w:tc>
              <w:tc>
                <w:tcPr>
                  <w:tcW w:w="66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未变化</w:t>
                  </w:r>
                </w:p>
              </w:tc>
              <w:tc>
                <w:tcPr>
                  <w:tcW w:w="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w:t>
                  </w:r>
                </w:p>
              </w:tc>
              <w:tc>
                <w:tcPr>
                  <w:tcW w:w="6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0"/>
                    <w:jc w:val="center"/>
                    <w:textAlignment w:val="auto"/>
                    <w:rPr>
                      <w:rFonts w:ascii="Times New Roman" w:hAnsi="Times New Roman" w:cs="Times New Roman"/>
                      <w:sz w:val="21"/>
                      <w:highlight w:val="none"/>
                    </w:rPr>
                  </w:pPr>
                  <w:r>
                    <w:rPr>
                      <w:rFonts w:hint="default" w:ascii="Times New Roman" w:hAnsi="Times New Roman" w:cs="Times New Roman" w:eastAsiaTheme="minorEastAsia"/>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90" w:type="dxa"/>
                  <w:vMerge w:val="continue"/>
                  <w:tcBorders>
                    <w:tl2br w:val="nil"/>
                    <w:tr2bl w:val="nil"/>
                  </w:tcBorders>
                  <w:vAlign w:val="center"/>
                </w:tcPr>
                <w:p>
                  <w:pPr>
                    <w:pStyle w:val="15"/>
                    <w:widowControl w:val="0"/>
                    <w:autoSpaceDE w:val="0"/>
                    <w:autoSpaceDN w:val="0"/>
                    <w:adjustRightInd/>
                    <w:snapToGrid/>
                    <w:spacing w:before="1" w:after="0" w:afterLines="-2147483648"/>
                    <w:ind w:left="11" w:right="2"/>
                    <w:jc w:val="center"/>
                    <w:rPr>
                      <w:rFonts w:ascii="Times New Roman" w:hAnsi="Times New Roman" w:cs="Times New Roman"/>
                      <w:sz w:val="21"/>
                      <w:szCs w:val="22"/>
                      <w:highlight w:val="none"/>
                    </w:rPr>
                  </w:pPr>
                </w:p>
              </w:tc>
              <w:tc>
                <w:tcPr>
                  <w:tcW w:w="593" w:type="dxa"/>
                  <w:tcBorders>
                    <w:tl2br w:val="nil"/>
                    <w:tr2bl w:val="nil"/>
                  </w:tcBorders>
                  <w:vAlign w:val="center"/>
                </w:tcPr>
                <w:p>
                  <w:pPr>
                    <w:adjustRightInd w:val="0"/>
                    <w:snapToGrid w:val="0"/>
                    <w:jc w:val="center"/>
                    <w:rPr>
                      <w:rFonts w:hint="eastAsia" w:ascii="Times New Roman" w:hAnsi="Times New Roman" w:eastAsia="宋体" w:cs="Times New Roman"/>
                      <w:spacing w:val="0"/>
                      <w:w w:val="100"/>
                      <w:sz w:val="21"/>
                      <w:highlight w:val="none"/>
                      <w:lang w:eastAsia="zh-CN"/>
                    </w:rPr>
                  </w:pPr>
                  <w:r>
                    <w:rPr>
                      <w:rFonts w:hint="default" w:ascii="Times New Roman" w:hAnsi="Times New Roman" w:eastAsia="宋体" w:cs="Times New Roman"/>
                      <w:sz w:val="21"/>
                      <w:szCs w:val="21"/>
                      <w:highlight w:val="none"/>
                    </w:rPr>
                    <w:t>绿化</w:t>
                  </w:r>
                </w:p>
              </w:tc>
              <w:tc>
                <w:tcPr>
                  <w:tcW w:w="2989" w:type="dxa"/>
                  <w:tcBorders>
                    <w:tl2br w:val="nil"/>
                    <w:tr2bl w:val="nil"/>
                  </w:tcBorders>
                  <w:vAlign w:val="center"/>
                </w:tcPr>
                <w:p>
                  <w:pPr>
                    <w:adjustRightInd w:val="0"/>
                    <w:snapToGrid w:val="0"/>
                    <w:jc w:val="center"/>
                    <w:rPr>
                      <w:rFonts w:ascii="Times New Roman" w:hAnsi="Times New Roman" w:cs="Times New Roman"/>
                      <w:w w:val="100"/>
                      <w:sz w:val="21"/>
                      <w:highlight w:val="none"/>
                    </w:rPr>
                  </w:pPr>
                  <w:r>
                    <w:rPr>
                      <w:sz w:val="21"/>
                      <w:szCs w:val="21"/>
                      <w:highlight w:val="none"/>
                    </w:rPr>
                    <w:t>绿化面积200m</w:t>
                  </w:r>
                  <w:r>
                    <w:rPr>
                      <w:sz w:val="21"/>
                      <w:szCs w:val="21"/>
                      <w:highlight w:val="none"/>
                      <w:vertAlign w:val="superscript"/>
                    </w:rPr>
                    <w:t>2</w:t>
                  </w:r>
                  <w:r>
                    <w:rPr>
                      <w:sz w:val="21"/>
                      <w:szCs w:val="21"/>
                      <w:highlight w:val="none"/>
                    </w:rPr>
                    <w:t>，绿化率4.6%</w:t>
                  </w:r>
                  <w:r>
                    <w:rPr>
                      <w:rFonts w:hint="eastAsia"/>
                      <w:sz w:val="21"/>
                      <w:szCs w:val="21"/>
                      <w:highlight w:val="none"/>
                      <w:lang w:eastAsia="zh-CN"/>
                    </w:rPr>
                    <w:t>。</w:t>
                  </w:r>
                </w:p>
              </w:tc>
              <w:tc>
                <w:tcPr>
                  <w:tcW w:w="2929" w:type="dxa"/>
                  <w:tcBorders>
                    <w:tl2br w:val="nil"/>
                    <w:tr2bl w:val="nil"/>
                  </w:tcBorders>
                  <w:vAlign w:val="center"/>
                </w:tcPr>
                <w:p>
                  <w:pPr>
                    <w:pStyle w:val="15"/>
                    <w:widowControl w:val="0"/>
                    <w:autoSpaceDE w:val="0"/>
                    <w:autoSpaceDN w:val="0"/>
                    <w:adjustRightInd/>
                    <w:snapToGrid/>
                    <w:spacing w:before="1" w:after="0" w:afterLines="-2147483648" w:line="240" w:lineRule="auto"/>
                    <w:ind w:left="11" w:right="2" w:firstLine="0"/>
                    <w:jc w:val="center"/>
                    <w:rPr>
                      <w:rFonts w:ascii="Times New Roman" w:hAnsi="Times New Roman" w:cs="Times New Roman"/>
                      <w:spacing w:val="0"/>
                      <w:sz w:val="21"/>
                      <w:highlight w:val="none"/>
                    </w:rPr>
                  </w:pPr>
                  <w:r>
                    <w:rPr>
                      <w:sz w:val="21"/>
                      <w:szCs w:val="21"/>
                      <w:highlight w:val="none"/>
                    </w:rPr>
                    <w:t>绿化面积200m</w:t>
                  </w:r>
                  <w:r>
                    <w:rPr>
                      <w:sz w:val="21"/>
                      <w:szCs w:val="21"/>
                      <w:highlight w:val="none"/>
                      <w:vertAlign w:val="superscript"/>
                    </w:rPr>
                    <w:t>2</w:t>
                  </w:r>
                  <w:r>
                    <w:rPr>
                      <w:sz w:val="21"/>
                      <w:szCs w:val="21"/>
                      <w:highlight w:val="none"/>
                    </w:rPr>
                    <w:t>，绿化率4.6%</w:t>
                  </w:r>
                  <w:r>
                    <w:rPr>
                      <w:rFonts w:hint="eastAsia"/>
                      <w:sz w:val="21"/>
                      <w:szCs w:val="21"/>
                      <w:highlight w:val="none"/>
                      <w:lang w:eastAsia="zh-CN"/>
                    </w:rPr>
                    <w:t>。</w:t>
                  </w:r>
                </w:p>
              </w:tc>
              <w:tc>
                <w:tcPr>
                  <w:tcW w:w="662"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hint="eastAsia" w:ascii="Times New Roman" w:hAnsi="Times New Roman" w:eastAsia="宋体" w:cs="Times New Roman"/>
                      <w:sz w:val="21"/>
                      <w:highlight w:val="none"/>
                      <w:lang w:eastAsia="zh-CN"/>
                    </w:rPr>
                  </w:pPr>
                  <w:r>
                    <w:rPr>
                      <w:rFonts w:hint="default" w:ascii="Times New Roman" w:hAnsi="Times New Roman" w:cs="Times New Roman" w:eastAsiaTheme="minorEastAsia"/>
                      <w:sz w:val="21"/>
                      <w:szCs w:val="21"/>
                      <w:highlight w:val="none"/>
                    </w:rPr>
                    <w:t>未变化</w:t>
                  </w:r>
                </w:p>
              </w:tc>
              <w:tc>
                <w:tcPr>
                  <w:tcW w:w="649"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hint="eastAsia" w:ascii="Times New Roman" w:hAnsi="Times New Roman" w:cs="Times New Roman"/>
                      <w:sz w:val="21"/>
                      <w:highlight w:val="none"/>
                      <w:lang w:eastAsia="zh-CN"/>
                    </w:rPr>
                  </w:pPr>
                  <w:r>
                    <w:rPr>
                      <w:rFonts w:hint="default" w:ascii="Times New Roman" w:hAnsi="Times New Roman" w:cs="Times New Roman" w:eastAsiaTheme="minorEastAsia"/>
                      <w:sz w:val="21"/>
                      <w:szCs w:val="21"/>
                      <w:highlight w:val="none"/>
                    </w:rPr>
                    <w:t>/</w:t>
                  </w:r>
                </w:p>
              </w:tc>
              <w:tc>
                <w:tcPr>
                  <w:tcW w:w="648" w:type="dxa"/>
                  <w:tcBorders>
                    <w:tl2br w:val="nil"/>
                    <w:tr2bl w:val="nil"/>
                  </w:tcBorders>
                  <w:vAlign w:val="center"/>
                </w:tcPr>
                <w:p>
                  <w:pPr>
                    <w:pStyle w:val="15"/>
                    <w:keepNext w:val="0"/>
                    <w:keepLines w:val="0"/>
                    <w:pageBreakBefore w:val="0"/>
                    <w:widowControl w:val="0"/>
                    <w:kinsoku/>
                    <w:wordWrap/>
                    <w:overflowPunct/>
                    <w:topLinePunct w:val="0"/>
                    <w:autoSpaceDE w:val="0"/>
                    <w:autoSpaceDN w:val="0"/>
                    <w:bidi w:val="0"/>
                    <w:adjustRightInd/>
                    <w:snapToGrid/>
                    <w:spacing w:after="0" w:afterLines="-2147483648"/>
                    <w:ind w:left="11" w:leftChars="0" w:right="2" w:rightChars="0"/>
                    <w:jc w:val="center"/>
                    <w:textAlignment w:val="auto"/>
                    <w:rPr>
                      <w:rFonts w:hint="eastAsia" w:ascii="Times New Roman" w:hAnsi="Times New Roman" w:cs="Times New Roman"/>
                      <w:sz w:val="21"/>
                      <w:highlight w:val="none"/>
                      <w:lang w:eastAsia="zh-CN"/>
                    </w:rPr>
                  </w:pPr>
                  <w:r>
                    <w:rPr>
                      <w:rFonts w:hint="default" w:ascii="Times New Roman" w:hAnsi="Times New Roman" w:cs="Times New Roman" w:eastAsiaTheme="minorEastAsia"/>
                      <w:sz w:val="21"/>
                      <w:szCs w:val="21"/>
                      <w:highlight w:val="none"/>
                    </w:rPr>
                    <w:t>否</w:t>
                  </w:r>
                </w:p>
              </w:tc>
            </w:tr>
          </w:tbl>
          <w:p>
            <w:pPr>
              <w:keepNext w:val="0"/>
              <w:keepLines w:val="0"/>
              <w:pageBreakBefore w:val="0"/>
              <w:widowControl w:val="0"/>
              <w:tabs>
                <w:tab w:val="left" w:pos="924"/>
              </w:tabs>
              <w:kinsoku/>
              <w:wordWrap/>
              <w:overflowPunct/>
              <w:topLinePunct w:val="0"/>
              <w:autoSpaceDE/>
              <w:autoSpaceDN/>
              <w:bidi w:val="0"/>
              <w:adjustRightInd w:val="0"/>
              <w:snapToGrid w:val="0"/>
              <w:spacing w:before="469" w:beforeLines="100" w:line="360" w:lineRule="auto"/>
              <w:ind w:firstLine="480" w:firstLineChars="200"/>
              <w:textAlignment w:val="auto"/>
              <w:rPr>
                <w:rFonts w:hint="default" w:ascii="Times New Roman" w:hAnsi="Times New Roman" w:cs="Times New Roman"/>
                <w:snapToGrid w:val="0"/>
                <w:kern w:val="0"/>
                <w:sz w:val="24"/>
                <w:szCs w:val="24"/>
                <w:highlight w:val="none"/>
                <w:lang w:val="en-US" w:eastAsia="zh-CN"/>
              </w:rPr>
            </w:pPr>
            <w:r>
              <w:rPr>
                <w:rFonts w:hint="default" w:ascii="Times New Roman" w:hAnsi="Times New Roman" w:cs="Times New Roman"/>
                <w:snapToGrid w:val="0"/>
                <w:kern w:val="0"/>
                <w:sz w:val="24"/>
                <w:szCs w:val="24"/>
                <w:highlight w:val="none"/>
                <w:lang w:val="en-US" w:eastAsia="zh-CN"/>
              </w:rPr>
              <w:t>综上所述，根据《中华人民共和国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tabs>
                <w:tab w:val="left" w:pos="924"/>
              </w:tabs>
              <w:adjustRightInd w:val="0"/>
              <w:snapToGrid w:val="0"/>
              <w:spacing w:line="360" w:lineRule="auto"/>
              <w:ind w:firstLine="480" w:firstLineChars="200"/>
              <w:rPr>
                <w:rFonts w:hint="default"/>
                <w:highlight w:val="none"/>
                <w:lang w:val="en-US" w:eastAsia="zh-CN"/>
              </w:rPr>
            </w:pPr>
            <w:r>
              <w:rPr>
                <w:rFonts w:hint="eastAsia" w:ascii="Times New Roman" w:hAnsi="Times New Roman" w:cs="Times New Roman"/>
                <w:snapToGrid w:val="0"/>
                <w:kern w:val="0"/>
                <w:sz w:val="24"/>
                <w:szCs w:val="24"/>
                <w:highlight w:val="none"/>
                <w:lang w:val="en-US" w:eastAsia="zh-CN"/>
              </w:rPr>
              <w:t>结合</w:t>
            </w:r>
            <w:r>
              <w:rPr>
                <w:rFonts w:hint="default" w:ascii="Times New Roman" w:hAnsi="Times New Roman" w:cs="Times New Roman"/>
                <w:snapToGrid w:val="0"/>
                <w:kern w:val="0"/>
                <w:sz w:val="24"/>
                <w:szCs w:val="24"/>
                <w:highlight w:val="none"/>
                <w:lang w:val="en-US" w:eastAsia="zh-CN"/>
              </w:rPr>
              <w:t>本项目实际情况，项目建设内容与环评及批复文件总体一致，无变动。</w:t>
            </w:r>
          </w:p>
          <w:p>
            <w:pPr>
              <w:numPr>
                <w:ilvl w:val="0"/>
                <w:numId w:val="0"/>
              </w:numPr>
              <w:spacing w:line="360" w:lineRule="auto"/>
              <w:jc w:val="both"/>
              <w:rPr>
                <w:rFonts w:hint="eastAsia"/>
                <w:highlight w:val="none"/>
                <w:lang w:val="en-US" w:eastAsia="zh-CN"/>
              </w:rPr>
            </w:pPr>
          </w:p>
          <w:p>
            <w:pPr>
              <w:pStyle w:val="2"/>
              <w:rPr>
                <w:rFonts w:hint="eastAsia"/>
                <w:highlight w:val="none"/>
                <w:lang w:val="en-US" w:eastAsia="zh-CN"/>
              </w:rPr>
            </w:pPr>
          </w:p>
          <w:p>
            <w:pPr>
              <w:rPr>
                <w:rFonts w:hint="eastAsia"/>
                <w:highlight w:val="none"/>
                <w:lang w:val="en-US" w:eastAsia="zh-CN"/>
              </w:rPr>
            </w:pPr>
          </w:p>
          <w:p>
            <w:pPr>
              <w:pStyle w:val="2"/>
              <w:rPr>
                <w:rFonts w:hint="eastAsia"/>
                <w:highlight w:val="none"/>
                <w:lang w:val="en-US" w:eastAsia="zh-CN"/>
              </w:rPr>
            </w:pPr>
          </w:p>
          <w:p>
            <w:pPr>
              <w:rPr>
                <w:rFonts w:hint="eastAsia"/>
                <w:highlight w:val="none"/>
                <w:lang w:val="en-US" w:eastAsia="zh-CN"/>
              </w:rPr>
            </w:pPr>
          </w:p>
          <w:p>
            <w:pPr>
              <w:pStyle w:val="2"/>
              <w:rPr>
                <w:rFonts w:hint="eastAsia"/>
                <w:highlight w:val="none"/>
                <w:lang w:val="en-US" w:eastAsia="zh-CN"/>
              </w:rPr>
            </w:pPr>
          </w:p>
          <w:p>
            <w:pPr>
              <w:rPr>
                <w:rFonts w:hint="eastAsia"/>
                <w:highlight w:val="none"/>
                <w:lang w:val="en-US" w:eastAsia="zh-CN"/>
              </w:rPr>
            </w:pPr>
          </w:p>
          <w:p>
            <w:pPr>
              <w:pStyle w:val="2"/>
              <w:rPr>
                <w:rFonts w:hint="eastAsia"/>
                <w:highlight w:val="none"/>
                <w:lang w:val="en-US" w:eastAsia="zh-CN"/>
              </w:rPr>
            </w:pPr>
          </w:p>
        </w:tc>
      </w:tr>
    </w:tbl>
    <w:p>
      <w:pPr>
        <w:pStyle w:val="3"/>
        <w:rPr>
          <w:rFonts w:hint="eastAsia"/>
          <w:highlight w:val="none"/>
          <w:lang w:eastAsia="zh-CN"/>
        </w:rPr>
      </w:pPr>
      <w:r>
        <w:rPr>
          <w:highlight w:val="none"/>
        </w:rPr>
        <w:br w:type="page"/>
      </w:r>
      <w:bookmarkStart w:id="87" w:name="_Toc25689_WPSOffice_Level1"/>
      <w:bookmarkStart w:id="88" w:name="_Toc20995_WPSOffice_Level1"/>
      <w:r>
        <w:rPr>
          <w:rFonts w:hint="eastAsia"/>
          <w:highlight w:val="none"/>
        </w:rPr>
        <w:t>表</w:t>
      </w:r>
      <w:r>
        <w:rPr>
          <w:rFonts w:hint="eastAsia"/>
          <w:highlight w:val="none"/>
          <w:lang w:eastAsia="zh-CN"/>
        </w:rPr>
        <w:t>三</w:t>
      </w:r>
      <w:r>
        <w:rPr>
          <w:rFonts w:hint="eastAsia"/>
          <w:highlight w:val="none"/>
        </w:rPr>
        <w:t xml:space="preserve"> </w:t>
      </w:r>
      <w:bookmarkEnd w:id="87"/>
      <w:r>
        <w:rPr>
          <w:rFonts w:hint="eastAsia" w:ascii="Times New Roman" w:hAnsi="Times New Roman" w:cs="Times New Roman"/>
          <w:highlight w:val="none"/>
          <w:lang w:val="zh-CN" w:eastAsia="zh-CN"/>
        </w:rPr>
        <w:t>主要污染源、污染物处理和排放</w:t>
      </w:r>
      <w:bookmarkEnd w:id="88"/>
    </w:p>
    <w:tbl>
      <w:tblPr>
        <w:tblStyle w:val="11"/>
        <w:tblW w:w="907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077" w:type="dxa"/>
            <w:tcBorders>
              <w:top w:val="single" w:color="auto" w:sz="4" w:space="0"/>
              <w:left w:val="single" w:color="auto" w:sz="4" w:space="0"/>
              <w:bottom w:val="single" w:color="auto" w:sz="4" w:space="0"/>
              <w:right w:val="single" w:color="auto" w:sz="4" w:space="0"/>
            </w:tcBorders>
            <w:noWrap w:val="0"/>
            <w:vAlign w:val="center"/>
          </w:tcPr>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469" w:beforeLines="100" w:line="360" w:lineRule="auto"/>
              <w:textAlignment w:val="auto"/>
              <w:rPr>
                <w:rFonts w:hint="eastAsia"/>
                <w:b/>
                <w:sz w:val="24"/>
                <w:highlight w:val="none"/>
                <w:u w:val="none"/>
                <w:lang w:eastAsia="zh-CN"/>
              </w:rPr>
            </w:pPr>
            <w:r>
              <w:rPr>
                <w:rFonts w:hint="eastAsia"/>
                <w:b/>
                <w:sz w:val="24"/>
                <w:highlight w:val="none"/>
                <w:u w:val="none"/>
                <w:lang w:eastAsia="zh-CN"/>
              </w:rPr>
              <w:t>污染物治理设施</w:t>
            </w:r>
          </w:p>
          <w:p>
            <w:pPr>
              <w:tabs>
                <w:tab w:val="left" w:pos="924"/>
              </w:tabs>
              <w:adjustRightInd w:val="0"/>
              <w:snapToGrid w:val="0"/>
              <w:spacing w:line="360" w:lineRule="auto"/>
              <w:ind w:firstLine="480" w:firstLineChars="200"/>
              <w:rPr>
                <w:rFonts w:hint="eastAsia" w:ascii="Times New Roman" w:hAnsi="Times New Roman" w:cs="Times New Roman"/>
                <w:snapToGrid w:val="0"/>
                <w:kern w:val="0"/>
                <w:sz w:val="24"/>
                <w:szCs w:val="24"/>
                <w:highlight w:val="none"/>
                <w:lang w:val="en-US" w:eastAsia="zh-CN"/>
              </w:rPr>
            </w:pPr>
            <w:r>
              <w:rPr>
                <w:rFonts w:hint="eastAsia" w:ascii="Times New Roman" w:hAnsi="Times New Roman" w:cs="Times New Roman"/>
                <w:snapToGrid w:val="0"/>
                <w:kern w:val="0"/>
                <w:sz w:val="24"/>
                <w:szCs w:val="24"/>
                <w:highlight w:val="none"/>
                <w:lang w:val="en-US" w:eastAsia="zh-CN"/>
              </w:rPr>
              <w:t>1、废气</w:t>
            </w:r>
          </w:p>
          <w:p>
            <w:pPr>
              <w:spacing w:after="0" w:line="360" w:lineRule="auto"/>
              <w:ind w:firstLine="480" w:firstLineChars="200"/>
              <w:outlineLvl w:val="9"/>
              <w:rPr>
                <w:rFonts w:hint="default" w:ascii="Times New Roman" w:hAnsi="Times New Roman" w:cs="Times New Roman"/>
                <w:highlight w:val="none"/>
                <w:lang w:val="en-US" w:eastAsia="zh-CN"/>
              </w:rPr>
            </w:pPr>
            <w:r>
              <w:rPr>
                <w:rFonts w:hint="eastAsia" w:ascii="Times New Roman" w:hAnsi="Times New Roman" w:cs="Times New Roman"/>
                <w:snapToGrid w:val="0"/>
                <w:kern w:val="0"/>
                <w:sz w:val="24"/>
                <w:szCs w:val="24"/>
                <w:highlight w:val="none"/>
                <w:lang w:val="en-US" w:eastAsia="zh-CN"/>
              </w:rPr>
              <w:t>本项目运营期产生的大气污染物主要为在油气灌装（卸油）、储存（静储）、加油等过程中挥发产生的油气（非甲烷总烃）。项目已经配备了三次油气回收装置，对周边环境影响不大。</w:t>
            </w:r>
            <w:r>
              <w:rPr>
                <w:rFonts w:hint="default" w:ascii="Times New Roman" w:hAnsi="Times New Roman" w:cs="Times New Roman" w:eastAsiaTheme="minorEastAsia"/>
                <w:b w:val="0"/>
                <w:color w:val="auto"/>
                <w:kern w:val="24"/>
                <w:sz w:val="24"/>
                <w:szCs w:val="21"/>
                <w:highlight w:val="none"/>
                <w:lang w:val="en-US" w:eastAsia="zh-CN" w:bidi="ar-SA"/>
              </w:rPr>
              <w:t>项目采用三次油气回收方式，三次回收装置见</w:t>
            </w:r>
            <w:r>
              <w:rPr>
                <w:rFonts w:hint="eastAsia" w:cs="Times New Roman" w:eastAsiaTheme="minorEastAsia"/>
                <w:b w:val="0"/>
                <w:color w:val="auto"/>
                <w:kern w:val="24"/>
                <w:sz w:val="24"/>
                <w:szCs w:val="21"/>
                <w:highlight w:val="none"/>
                <w:lang w:val="en-US" w:eastAsia="zh-CN" w:bidi="ar-SA"/>
              </w:rPr>
              <w:t>下</w:t>
            </w:r>
            <w:r>
              <w:rPr>
                <w:rFonts w:hint="default" w:ascii="Times New Roman" w:hAnsi="Times New Roman" w:cs="Times New Roman" w:eastAsiaTheme="minorEastAsia"/>
                <w:b w:val="0"/>
                <w:color w:val="auto"/>
                <w:kern w:val="24"/>
                <w:sz w:val="24"/>
                <w:szCs w:val="21"/>
                <w:highlight w:val="none"/>
                <w:lang w:val="en-US" w:eastAsia="zh-CN" w:bidi="ar-SA"/>
              </w:rPr>
              <w:t>图。</w:t>
            </w:r>
          </w:p>
          <w:tbl>
            <w:tblPr>
              <w:tblStyle w:val="12"/>
              <w:tblW w:w="88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0"/>
              <w:gridCol w:w="4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30" w:type="dxa"/>
                </w:tcPr>
                <w:p>
                  <w:pPr>
                    <w:tabs>
                      <w:tab w:val="left" w:pos="924"/>
                    </w:tabs>
                    <w:adjustRightInd w:val="0"/>
                    <w:snapToGrid w:val="0"/>
                    <w:spacing w:line="360" w:lineRule="auto"/>
                    <w:rPr>
                      <w:rFonts w:hint="eastAsia" w:ascii="Times New Roman" w:hAnsi="Times New Roman" w:cs="Times New Roman"/>
                      <w:snapToGrid w:val="0"/>
                      <w:kern w:val="0"/>
                      <w:sz w:val="24"/>
                      <w:szCs w:val="24"/>
                      <w:highlight w:val="none"/>
                      <w:vertAlign w:val="baseline"/>
                      <w:lang w:val="en-US" w:eastAsia="zh-CN"/>
                    </w:rPr>
                  </w:pPr>
                  <w:r>
                    <w:rPr>
                      <w:rFonts w:hint="eastAsia" w:ascii="Times New Roman" w:hAnsi="Times New Roman" w:cs="Times New Roman"/>
                      <w:snapToGrid w:val="0"/>
                      <w:kern w:val="0"/>
                      <w:sz w:val="24"/>
                      <w:szCs w:val="24"/>
                      <w:highlight w:val="none"/>
                      <w:vertAlign w:val="baseline"/>
                      <w:lang w:val="en-US" w:eastAsia="zh-CN"/>
                    </w:rPr>
                    <w:drawing>
                      <wp:inline distT="0" distB="0" distL="114300" distR="114300">
                        <wp:extent cx="2674620" cy="2194560"/>
                        <wp:effectExtent l="0" t="0" r="11430" b="15240"/>
                        <wp:docPr id="13" name="图片 13" descr="551fca182fc740222c13b9ea63fb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1fca182fc740222c13b9ea63fbf8f"/>
                                <pic:cNvPicPr>
                                  <a:picLocks noChangeAspect="1"/>
                                </pic:cNvPicPr>
                              </pic:nvPicPr>
                              <pic:blipFill>
                                <a:blip r:embed="rId13"/>
                                <a:stretch>
                                  <a:fillRect/>
                                </a:stretch>
                              </pic:blipFill>
                              <pic:spPr>
                                <a:xfrm>
                                  <a:off x="0" y="0"/>
                                  <a:ext cx="2674620" cy="2194560"/>
                                </a:xfrm>
                                <a:prstGeom prst="rect">
                                  <a:avLst/>
                                </a:prstGeom>
                              </pic:spPr>
                            </pic:pic>
                          </a:graphicData>
                        </a:graphic>
                      </wp:inline>
                    </w:drawing>
                  </w:r>
                </w:p>
              </w:tc>
              <w:tc>
                <w:tcPr>
                  <w:tcW w:w="4431" w:type="dxa"/>
                </w:tcPr>
                <w:p>
                  <w:pPr>
                    <w:tabs>
                      <w:tab w:val="left" w:pos="924"/>
                    </w:tabs>
                    <w:adjustRightInd w:val="0"/>
                    <w:snapToGrid w:val="0"/>
                    <w:spacing w:line="360" w:lineRule="auto"/>
                    <w:rPr>
                      <w:rFonts w:hint="eastAsia" w:ascii="Times New Roman" w:hAnsi="Times New Roman" w:cs="Times New Roman"/>
                      <w:snapToGrid w:val="0"/>
                      <w:kern w:val="0"/>
                      <w:sz w:val="24"/>
                      <w:szCs w:val="24"/>
                      <w:highlight w:val="none"/>
                      <w:vertAlign w:val="baseline"/>
                      <w:lang w:val="en-US" w:eastAsia="zh-CN"/>
                    </w:rPr>
                  </w:pPr>
                  <w:r>
                    <w:rPr>
                      <w:rFonts w:hint="eastAsia" w:ascii="Times New Roman" w:hAnsi="Times New Roman" w:cs="Times New Roman"/>
                      <w:snapToGrid w:val="0"/>
                      <w:kern w:val="0"/>
                      <w:sz w:val="24"/>
                      <w:szCs w:val="24"/>
                      <w:highlight w:val="none"/>
                      <w:vertAlign w:val="baseline"/>
                      <w:lang w:val="en-US" w:eastAsia="zh-CN"/>
                    </w:rPr>
                    <w:drawing>
                      <wp:inline distT="0" distB="0" distL="114300" distR="114300">
                        <wp:extent cx="2674620" cy="2160905"/>
                        <wp:effectExtent l="0" t="0" r="11430" b="10795"/>
                        <wp:docPr id="15" name="图片 15" descr="f70df53da0658e75250bb932a57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70df53da0658e75250bb932a572156"/>
                                <pic:cNvPicPr>
                                  <a:picLocks noChangeAspect="1"/>
                                </pic:cNvPicPr>
                              </pic:nvPicPr>
                              <pic:blipFill>
                                <a:blip r:embed="rId14"/>
                                <a:stretch>
                                  <a:fillRect/>
                                </a:stretch>
                              </pic:blipFill>
                              <pic:spPr>
                                <a:xfrm>
                                  <a:off x="0" y="0"/>
                                  <a:ext cx="2674620" cy="21609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30" w:type="dxa"/>
                </w:tcPr>
                <w:p>
                  <w:pPr>
                    <w:tabs>
                      <w:tab w:val="left" w:pos="924"/>
                    </w:tabs>
                    <w:adjustRightInd w:val="0"/>
                    <w:snapToGrid w:val="0"/>
                    <w:spacing w:line="360" w:lineRule="auto"/>
                    <w:jc w:val="center"/>
                    <w:rPr>
                      <w:rFonts w:hint="eastAsia" w:ascii="Times New Roman" w:hAnsi="Times New Roman" w:cs="Times New Roman"/>
                      <w:snapToGrid w:val="0"/>
                      <w:kern w:val="0"/>
                      <w:sz w:val="24"/>
                      <w:szCs w:val="24"/>
                      <w:highlight w:val="none"/>
                      <w:vertAlign w:val="baseline"/>
                      <w:lang w:val="en-US" w:eastAsia="zh-CN"/>
                    </w:rPr>
                  </w:pPr>
                  <w:r>
                    <w:rPr>
                      <w:rFonts w:hint="default" w:ascii="Times New Roman" w:hAnsi="Times New Roman" w:cs="Times New Roman" w:eastAsiaTheme="minorEastAsia"/>
                      <w:b/>
                      <w:bCs/>
                      <w:color w:val="auto"/>
                      <w:kern w:val="24"/>
                      <w:sz w:val="21"/>
                      <w:szCs w:val="21"/>
                      <w:highlight w:val="none"/>
                      <w:lang w:val="en-US" w:eastAsia="zh-CN" w:bidi="ar-SA"/>
                    </w:rPr>
                    <w:t>一次回收装置图</w:t>
                  </w:r>
                </w:p>
              </w:tc>
              <w:tc>
                <w:tcPr>
                  <w:tcW w:w="4431" w:type="dxa"/>
                </w:tcPr>
                <w:p>
                  <w:pPr>
                    <w:tabs>
                      <w:tab w:val="left" w:pos="924"/>
                    </w:tabs>
                    <w:adjustRightInd w:val="0"/>
                    <w:snapToGrid w:val="0"/>
                    <w:spacing w:line="360" w:lineRule="auto"/>
                    <w:jc w:val="center"/>
                    <w:rPr>
                      <w:rFonts w:hint="eastAsia" w:ascii="Times New Roman" w:hAnsi="Times New Roman" w:cs="Times New Roman"/>
                      <w:snapToGrid w:val="0"/>
                      <w:kern w:val="0"/>
                      <w:sz w:val="24"/>
                      <w:szCs w:val="24"/>
                      <w:highlight w:val="none"/>
                      <w:vertAlign w:val="baseline"/>
                      <w:lang w:val="en-US" w:eastAsia="zh-CN"/>
                    </w:rPr>
                  </w:pPr>
                  <w:r>
                    <w:rPr>
                      <w:rFonts w:hint="default" w:ascii="Times New Roman" w:hAnsi="Times New Roman" w:cs="Times New Roman" w:eastAsiaTheme="minorEastAsia"/>
                      <w:b/>
                      <w:bCs/>
                      <w:color w:val="auto"/>
                      <w:kern w:val="24"/>
                      <w:sz w:val="21"/>
                      <w:szCs w:val="21"/>
                      <w:highlight w:val="none"/>
                      <w:lang w:val="en-US" w:eastAsia="zh-CN" w:bidi="ar-SA"/>
                    </w:rPr>
                    <w:t>二次回收装置图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61" w:type="dxa"/>
                  <w:gridSpan w:val="2"/>
                </w:tcPr>
                <w:p>
                  <w:pPr>
                    <w:tabs>
                      <w:tab w:val="left" w:pos="924"/>
                    </w:tabs>
                    <w:adjustRightInd w:val="0"/>
                    <w:snapToGrid w:val="0"/>
                    <w:spacing w:line="360" w:lineRule="auto"/>
                    <w:jc w:val="center"/>
                    <w:rPr>
                      <w:rFonts w:hint="default" w:ascii="Times New Roman" w:hAnsi="Times New Roman" w:cs="Times New Roman" w:eastAsiaTheme="minorEastAsia"/>
                      <w:b/>
                      <w:bCs/>
                      <w:color w:val="auto"/>
                      <w:kern w:val="24"/>
                      <w:sz w:val="21"/>
                      <w:szCs w:val="21"/>
                      <w:highlight w:val="none"/>
                      <w:lang w:val="en-US" w:eastAsia="zh-CN" w:bidi="ar-SA"/>
                    </w:rPr>
                  </w:pPr>
                  <w:r>
                    <w:rPr>
                      <w:rFonts w:hint="default" w:ascii="Times New Roman" w:hAnsi="Times New Roman" w:cs="Times New Roman" w:eastAsiaTheme="minorEastAsia"/>
                      <w:b/>
                      <w:bCs/>
                      <w:color w:val="auto"/>
                      <w:kern w:val="24"/>
                      <w:sz w:val="21"/>
                      <w:szCs w:val="21"/>
                      <w:highlight w:val="none"/>
                      <w:lang w:val="en-US" w:eastAsia="zh-CN" w:bidi="ar-SA"/>
                    </w:rPr>
                    <w:drawing>
                      <wp:inline distT="0" distB="0" distL="114300" distR="114300">
                        <wp:extent cx="5486400" cy="3244850"/>
                        <wp:effectExtent l="0" t="0" r="0" b="12700"/>
                        <wp:docPr id="68" name="图片 68" descr="30fc6dcbf37e9b251d4e7ccce518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30fc6dcbf37e9b251d4e7ccce51870d"/>
                                <pic:cNvPicPr>
                                  <a:picLocks noChangeAspect="1"/>
                                </pic:cNvPicPr>
                              </pic:nvPicPr>
                              <pic:blipFill>
                                <a:blip r:embed="rId15"/>
                                <a:stretch>
                                  <a:fillRect/>
                                </a:stretch>
                              </pic:blipFill>
                              <pic:spPr>
                                <a:xfrm>
                                  <a:off x="0" y="0"/>
                                  <a:ext cx="5486400" cy="3244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61" w:type="dxa"/>
                  <w:gridSpan w:val="2"/>
                </w:tcPr>
                <w:p>
                  <w:pPr>
                    <w:numPr>
                      <w:ilvl w:val="-1"/>
                      <w:numId w:val="0"/>
                    </w:numPr>
                    <w:spacing w:line="360" w:lineRule="auto"/>
                    <w:jc w:val="center"/>
                    <w:rPr>
                      <w:rFonts w:hint="default" w:ascii="Times New Roman" w:hAnsi="Times New Roman" w:cs="Times New Roman" w:eastAsiaTheme="minorEastAsia"/>
                      <w:b/>
                      <w:bCs/>
                      <w:color w:val="auto"/>
                      <w:kern w:val="24"/>
                      <w:sz w:val="21"/>
                      <w:szCs w:val="21"/>
                      <w:highlight w:val="none"/>
                      <w:lang w:val="en-US" w:eastAsia="zh-CN" w:bidi="ar-SA"/>
                    </w:rPr>
                  </w:pPr>
                  <w:r>
                    <w:rPr>
                      <w:rFonts w:hint="default" w:ascii="Times New Roman" w:hAnsi="Times New Roman" w:cs="Times New Roman" w:eastAsiaTheme="minorEastAsia"/>
                      <w:b/>
                      <w:bCs/>
                      <w:color w:val="auto"/>
                      <w:sz w:val="21"/>
                      <w:szCs w:val="21"/>
                      <w:highlight w:val="none"/>
                      <w:lang w:val="en-US" w:eastAsia="zh-CN"/>
                    </w:rPr>
                    <w:t xml:space="preserve">  </w:t>
                  </w:r>
                  <w:r>
                    <w:rPr>
                      <w:rFonts w:hint="default" w:cs="Times New Roman" w:eastAsiaTheme="minorEastAsia"/>
                      <w:b/>
                      <w:bCs/>
                      <w:color w:val="auto"/>
                      <w:sz w:val="21"/>
                      <w:szCs w:val="21"/>
                      <w:highlight w:val="none"/>
                      <w:lang w:val="en-US" w:eastAsia="zh-CN"/>
                    </w:rPr>
                    <w:t>三次</w:t>
                  </w:r>
                  <w:r>
                    <w:rPr>
                      <w:rFonts w:hint="default" w:ascii="Times New Roman" w:hAnsi="Times New Roman" w:cs="Times New Roman" w:eastAsiaTheme="minorEastAsia"/>
                      <w:b/>
                      <w:bCs/>
                      <w:color w:val="auto"/>
                      <w:sz w:val="21"/>
                      <w:szCs w:val="21"/>
                      <w:highlight w:val="none"/>
                      <w:lang w:val="en-US" w:eastAsia="zh-CN"/>
                    </w:rPr>
                    <w:t>回收装置图</w:t>
                  </w:r>
                </w:p>
              </w:tc>
            </w:tr>
          </w:tbl>
          <w:p>
            <w:pPr>
              <w:tabs>
                <w:tab w:val="left" w:pos="924"/>
              </w:tabs>
              <w:adjustRightInd w:val="0"/>
              <w:snapToGrid w:val="0"/>
              <w:spacing w:line="360" w:lineRule="auto"/>
              <w:ind w:firstLine="480" w:firstLineChars="200"/>
              <w:rPr>
                <w:rFonts w:hint="eastAsia" w:ascii="Times New Roman" w:hAnsi="Times New Roman" w:cs="Times New Roman"/>
                <w:snapToGrid w:val="0"/>
                <w:kern w:val="0"/>
                <w:sz w:val="24"/>
                <w:szCs w:val="24"/>
                <w:highlight w:val="none"/>
                <w:lang w:val="en-US" w:eastAsia="zh-CN"/>
              </w:rPr>
            </w:pPr>
          </w:p>
          <w:p>
            <w:pPr>
              <w:tabs>
                <w:tab w:val="left" w:pos="924"/>
              </w:tabs>
              <w:adjustRightInd w:val="0"/>
              <w:snapToGrid w:val="0"/>
              <w:spacing w:line="360" w:lineRule="auto"/>
              <w:ind w:firstLine="420" w:firstLineChars="200"/>
              <w:rPr>
                <w:rFonts w:cs="Times New Roman"/>
                <w:highlight w:val="none"/>
              </w:rPr>
            </w:pPr>
          </w:p>
          <w:p>
            <w:pPr>
              <w:tabs>
                <w:tab w:val="left" w:pos="924"/>
              </w:tabs>
              <w:adjustRightInd w:val="0"/>
              <w:snapToGrid w:val="0"/>
              <w:spacing w:line="360" w:lineRule="auto"/>
              <w:ind w:firstLine="480" w:firstLineChars="200"/>
              <w:rPr>
                <w:rFonts w:hint="eastAsia" w:ascii="Times New Roman" w:hAnsi="Times New Roman" w:cs="Times New Roman"/>
                <w:snapToGrid w:val="0"/>
                <w:kern w:val="0"/>
                <w:sz w:val="24"/>
                <w:szCs w:val="24"/>
                <w:highlight w:val="none"/>
                <w:lang w:val="en-US" w:eastAsia="zh-CN"/>
              </w:rPr>
            </w:pPr>
            <w:r>
              <w:rPr>
                <w:rFonts w:hint="eastAsia" w:ascii="Times New Roman" w:hAnsi="Times New Roman" w:cs="Times New Roman"/>
                <w:snapToGrid w:val="0"/>
                <w:kern w:val="0"/>
                <w:sz w:val="24"/>
                <w:szCs w:val="24"/>
                <w:highlight w:val="none"/>
                <w:lang w:val="en-US" w:eastAsia="zh-CN"/>
              </w:rPr>
              <w:t>2、废水</w:t>
            </w:r>
          </w:p>
          <w:p>
            <w:pPr>
              <w:adjustRightInd w:val="0"/>
              <w:snapToGrid w:val="0"/>
              <w:spacing w:line="360" w:lineRule="auto"/>
              <w:ind w:firstLine="480" w:firstLineChars="200"/>
              <w:rPr>
                <w:rFonts w:hint="eastAsia" w:ascii="Times New Roman" w:hAnsi="Times New Roman" w:cs="Times New Roman"/>
                <w:snapToGrid w:val="0"/>
                <w:kern w:val="0"/>
                <w:sz w:val="24"/>
                <w:szCs w:val="24"/>
                <w:highlight w:val="none"/>
                <w:lang w:eastAsia="zh-CN"/>
              </w:rPr>
            </w:pPr>
            <w:r>
              <w:rPr>
                <w:rFonts w:hint="eastAsia"/>
                <w:snapToGrid w:val="0"/>
                <w:kern w:val="0"/>
                <w:sz w:val="24"/>
                <w:szCs w:val="24"/>
                <w:highlight w:val="none"/>
              </w:rPr>
              <w:t>本</w:t>
            </w:r>
            <w:r>
              <w:rPr>
                <w:rFonts w:hint="eastAsia" w:ascii="Times New Roman" w:hAnsi="Times New Roman" w:cs="Times New Roman"/>
                <w:snapToGrid w:val="0"/>
                <w:kern w:val="0"/>
                <w:sz w:val="24"/>
                <w:szCs w:val="24"/>
                <w:highlight w:val="none"/>
              </w:rPr>
              <w:t>项目排水采用雨污分流，加油岛四周设雨水收集沟槽，雨水经隔油池处理后排入场外排水渠，最终进入赤水河</w:t>
            </w:r>
            <w:r>
              <w:rPr>
                <w:rFonts w:hint="eastAsia" w:ascii="Times New Roman" w:hAnsi="Times New Roman" w:cs="Times New Roman"/>
                <w:snapToGrid w:val="0"/>
                <w:kern w:val="0"/>
                <w:sz w:val="24"/>
                <w:szCs w:val="24"/>
                <w:highlight w:val="none"/>
                <w:lang w:eastAsia="zh-CN"/>
              </w:rPr>
              <w:t>。</w:t>
            </w:r>
          </w:p>
          <w:p>
            <w:pPr>
              <w:adjustRightInd w:val="0"/>
              <w:snapToGrid w:val="0"/>
              <w:spacing w:line="360" w:lineRule="auto"/>
              <w:ind w:firstLine="480" w:firstLineChars="200"/>
              <w:rPr>
                <w:rFonts w:hint="eastAsia" w:ascii="宋体" w:hAnsi="宋体" w:eastAsia="宋体" w:cs="宋体"/>
                <w:b w:val="0"/>
                <w:color w:val="auto"/>
                <w:kern w:val="24"/>
                <w:sz w:val="24"/>
                <w:szCs w:val="21"/>
                <w:highlight w:val="none"/>
                <w:lang w:val="en-US" w:eastAsia="zh-CN" w:bidi="ar-SA"/>
              </w:rPr>
            </w:pPr>
            <w:r>
              <w:rPr>
                <w:rFonts w:hint="eastAsia" w:ascii="Times New Roman" w:hAnsi="Times New Roman" w:cs="Times New Roman"/>
                <w:snapToGrid w:val="0"/>
                <w:kern w:val="0"/>
                <w:sz w:val="24"/>
                <w:szCs w:val="24"/>
                <w:highlight w:val="none"/>
              </w:rPr>
              <w:t>项目场地冲洗废水经隔油池处理后和生活污水一并进入渭南至玉山高速公路华州服务区一体化埋地式中水回用膜处理统</w:t>
            </w:r>
            <w:r>
              <w:rPr>
                <w:rFonts w:hint="eastAsia" w:ascii="Times New Roman" w:hAnsi="Times New Roman" w:cs="Times New Roman"/>
                <w:snapToGrid w:val="0"/>
                <w:kern w:val="0"/>
                <w:sz w:val="24"/>
                <w:szCs w:val="24"/>
                <w:highlight w:val="none"/>
                <w:lang w:eastAsia="zh-CN"/>
              </w:rPr>
              <w:t>一</w:t>
            </w:r>
            <w:r>
              <w:rPr>
                <w:rFonts w:hint="eastAsia" w:ascii="Times New Roman" w:hAnsi="Times New Roman" w:cs="Times New Roman"/>
                <w:snapToGrid w:val="0"/>
                <w:kern w:val="0"/>
                <w:sz w:val="24"/>
                <w:szCs w:val="24"/>
                <w:highlight w:val="none"/>
              </w:rPr>
              <w:t>处理后回用于服务区厕所用水和服务区绿化用水</w:t>
            </w:r>
            <w:r>
              <w:rPr>
                <w:rFonts w:hint="eastAsia" w:ascii="Times New Roman" w:hAnsi="Times New Roman" w:cs="Times New Roman"/>
                <w:snapToGrid w:val="0"/>
                <w:kern w:val="0"/>
                <w:sz w:val="24"/>
                <w:szCs w:val="24"/>
                <w:highlight w:val="none"/>
                <w:lang w:eastAsia="zh-CN"/>
              </w:rPr>
              <w:t>，</w:t>
            </w:r>
            <w:r>
              <w:rPr>
                <w:rFonts w:hint="eastAsia" w:ascii="宋体" w:hAnsi="宋体" w:eastAsia="宋体" w:cs="宋体"/>
                <w:b w:val="0"/>
                <w:color w:val="auto"/>
                <w:kern w:val="24"/>
                <w:sz w:val="24"/>
                <w:szCs w:val="21"/>
                <w:highlight w:val="none"/>
                <w:lang w:val="en-US" w:eastAsia="zh-CN" w:bidi="ar-SA"/>
              </w:rPr>
              <w:t>不外排。</w:t>
            </w:r>
          </w:p>
          <w:p>
            <w:pPr>
              <w:pStyle w:val="2"/>
              <w:keepNext/>
              <w:keepLines/>
              <w:pageBreakBefore w:val="0"/>
              <w:widowControl w:val="0"/>
              <w:kinsoku/>
              <w:wordWrap/>
              <w:overflowPunct/>
              <w:topLinePunct w:val="0"/>
              <w:autoSpaceDE/>
              <w:autoSpaceDN/>
              <w:bidi w:val="0"/>
              <w:adjustRightInd/>
              <w:snapToGrid/>
              <w:spacing w:before="0" w:after="0" w:line="360" w:lineRule="auto"/>
              <w:ind w:left="0" w:firstLine="480" w:firstLineChars="200"/>
              <w:textAlignment w:val="auto"/>
              <w:rPr>
                <w:rFonts w:hint="default" w:ascii="宋体" w:hAnsi="宋体" w:eastAsia="宋体" w:cs="宋体"/>
                <w:b w:val="0"/>
                <w:color w:val="auto"/>
                <w:kern w:val="24"/>
                <w:sz w:val="24"/>
                <w:szCs w:val="21"/>
                <w:highlight w:val="none"/>
                <w:lang w:val="en-US" w:eastAsia="zh-CN" w:bidi="ar-SA"/>
              </w:rPr>
            </w:pPr>
            <w:r>
              <w:rPr>
                <w:rFonts w:hint="default" w:ascii="宋体" w:hAnsi="宋体" w:eastAsia="宋体" w:cs="宋体"/>
                <w:b w:val="0"/>
                <w:color w:val="auto"/>
                <w:kern w:val="24"/>
                <w:sz w:val="24"/>
                <w:szCs w:val="21"/>
                <w:highlight w:val="none"/>
                <w:lang w:val="en-US" w:eastAsia="zh-CN" w:bidi="ar-SA"/>
              </w:rPr>
              <w:t>废水处理工艺流程见图</w:t>
            </w:r>
            <w:r>
              <w:rPr>
                <w:rFonts w:hint="eastAsia" w:ascii="Times New Roman" w:hAnsi="Times New Roman" w:eastAsia="宋体" w:cs="Times New Roman"/>
                <w:b w:val="0"/>
                <w:color w:val="auto"/>
                <w:kern w:val="24"/>
                <w:sz w:val="24"/>
                <w:szCs w:val="21"/>
                <w:highlight w:val="none"/>
                <w:lang w:val="en-US" w:eastAsia="zh-CN" w:bidi="ar-SA"/>
              </w:rPr>
              <w:t>3-1</w:t>
            </w:r>
            <w:r>
              <w:rPr>
                <w:rFonts w:hint="default" w:ascii="宋体" w:hAnsi="宋体" w:eastAsia="宋体" w:cs="宋体"/>
                <w:b w:val="0"/>
                <w:color w:val="auto"/>
                <w:kern w:val="24"/>
                <w:sz w:val="24"/>
                <w:szCs w:val="21"/>
                <w:highlight w:val="none"/>
                <w:lang w:val="en-US" w:eastAsia="zh-CN" w:bidi="ar-SA"/>
              </w:rPr>
              <w:t>。</w:t>
            </w:r>
            <w:r>
              <w:rPr>
                <w:rFonts w:hint="eastAsia" w:ascii="宋体" w:hAnsi="宋体" w:eastAsia="宋体" w:cs="宋体"/>
                <w:b w:val="0"/>
                <w:color w:val="auto"/>
                <w:kern w:val="24"/>
                <w:sz w:val="24"/>
                <w:szCs w:val="21"/>
                <w:highlight w:val="none"/>
                <w:lang w:val="en-US" w:eastAsia="zh-CN" w:bidi="ar-SA"/>
              </w:rPr>
              <w:t>（补充设施图片）</w:t>
            </w: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highlight w:val="none"/>
                <w:lang w:val="en-US" w:eastAsia="zh-CN"/>
              </w:rPr>
            </w:pPr>
            <w:r>
              <w:rPr>
                <w:rFonts w:hint="eastAsia"/>
                <w:highlight w:val="none"/>
                <w:lang w:val="en-US" w:eastAsia="zh-CN"/>
              </w:rPr>
              <w:drawing>
                <wp:anchor distT="0" distB="0" distL="114300" distR="114300" simplePos="0" relativeHeight="309131264" behindDoc="0" locked="0" layoutInCell="1" allowOverlap="1">
                  <wp:simplePos x="0" y="0"/>
                  <wp:positionH relativeFrom="column">
                    <wp:posOffset>355600</wp:posOffset>
                  </wp:positionH>
                  <wp:positionV relativeFrom="paragraph">
                    <wp:posOffset>174625</wp:posOffset>
                  </wp:positionV>
                  <wp:extent cx="4912360" cy="1727200"/>
                  <wp:effectExtent l="9525" t="9525" r="12065" b="15875"/>
                  <wp:wrapSquare wrapText="bothSides"/>
                  <wp:docPr id="69" name="图片 69" descr="6bec60d2fe754dc2236313b4501f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6bec60d2fe754dc2236313b4501f8d0"/>
                          <pic:cNvPicPr>
                            <a:picLocks noChangeAspect="1"/>
                          </pic:cNvPicPr>
                        </pic:nvPicPr>
                        <pic:blipFill>
                          <a:blip r:embed="rId16"/>
                          <a:srcRect l="9178" t="21308" r="3380" b="35214"/>
                          <a:stretch>
                            <a:fillRect/>
                          </a:stretch>
                        </pic:blipFill>
                        <pic:spPr>
                          <a:xfrm>
                            <a:off x="0" y="0"/>
                            <a:ext cx="4912360" cy="1727200"/>
                          </a:xfrm>
                          <a:prstGeom prst="rect">
                            <a:avLst/>
                          </a:prstGeom>
                          <a:ln>
                            <a:solidFill>
                              <a:schemeClr val="tx1"/>
                            </a:solidFill>
                          </a:ln>
                        </pic:spPr>
                      </pic:pic>
                    </a:graphicData>
                  </a:graphic>
                </wp:anchor>
              </w:drawing>
            </w:r>
          </w:p>
          <w:p>
            <w:pPr>
              <w:spacing w:line="360" w:lineRule="auto"/>
              <w:jc w:val="center"/>
              <w:rPr>
                <w:b/>
                <w:sz w:val="21"/>
                <w:szCs w:val="24"/>
                <w:highlight w:val="none"/>
              </w:rPr>
            </w:pPr>
          </w:p>
          <w:p>
            <w:pPr>
              <w:spacing w:line="360" w:lineRule="auto"/>
              <w:jc w:val="center"/>
              <w:rPr>
                <w:b/>
                <w:sz w:val="21"/>
                <w:szCs w:val="24"/>
                <w:highlight w:val="none"/>
              </w:rPr>
            </w:pPr>
          </w:p>
          <w:p>
            <w:pPr>
              <w:spacing w:line="360" w:lineRule="auto"/>
              <w:jc w:val="center"/>
              <w:rPr>
                <w:b/>
                <w:sz w:val="21"/>
                <w:szCs w:val="24"/>
                <w:highlight w:val="none"/>
              </w:rPr>
            </w:pPr>
          </w:p>
          <w:p>
            <w:pPr>
              <w:spacing w:line="360" w:lineRule="auto"/>
              <w:jc w:val="center"/>
              <w:rPr>
                <w:b/>
                <w:sz w:val="21"/>
                <w:szCs w:val="24"/>
                <w:highlight w:val="none"/>
              </w:rPr>
            </w:pPr>
          </w:p>
          <w:p>
            <w:pPr>
              <w:spacing w:line="360" w:lineRule="auto"/>
              <w:jc w:val="center"/>
              <w:rPr>
                <w:b/>
                <w:sz w:val="21"/>
                <w:szCs w:val="24"/>
                <w:highlight w:val="none"/>
              </w:rPr>
            </w:pPr>
          </w:p>
          <w:p>
            <w:pPr>
              <w:spacing w:line="360" w:lineRule="auto"/>
              <w:jc w:val="center"/>
              <w:rPr>
                <w:b/>
                <w:sz w:val="21"/>
                <w:szCs w:val="24"/>
                <w:highlight w:val="none"/>
              </w:rPr>
            </w:pPr>
          </w:p>
          <w:p>
            <w:pPr>
              <w:spacing w:line="360" w:lineRule="auto"/>
              <w:jc w:val="center"/>
              <w:rPr>
                <w:b/>
                <w:sz w:val="21"/>
                <w:szCs w:val="24"/>
                <w:highlight w:val="none"/>
              </w:rPr>
            </w:pPr>
          </w:p>
          <w:p>
            <w:pPr>
              <w:spacing w:line="360" w:lineRule="auto"/>
              <w:jc w:val="center"/>
              <w:rPr>
                <w:b/>
                <w:sz w:val="21"/>
                <w:szCs w:val="24"/>
                <w:highlight w:val="none"/>
              </w:rPr>
            </w:pPr>
            <w:r>
              <w:rPr>
                <w:b/>
                <w:sz w:val="21"/>
                <w:szCs w:val="24"/>
                <w:highlight w:val="none"/>
              </w:rPr>
              <w:t>图</w:t>
            </w:r>
            <w:r>
              <w:rPr>
                <w:rFonts w:hint="eastAsia"/>
                <w:b/>
                <w:sz w:val="21"/>
                <w:szCs w:val="24"/>
                <w:highlight w:val="none"/>
                <w:lang w:val="en-US" w:eastAsia="zh-CN"/>
              </w:rPr>
              <w:t>3</w:t>
            </w:r>
            <w:r>
              <w:rPr>
                <w:b/>
                <w:sz w:val="21"/>
                <w:szCs w:val="24"/>
                <w:highlight w:val="none"/>
              </w:rPr>
              <w:t>-</w:t>
            </w:r>
            <w:r>
              <w:rPr>
                <w:rFonts w:hint="eastAsia"/>
                <w:b/>
                <w:sz w:val="21"/>
                <w:szCs w:val="24"/>
                <w:highlight w:val="none"/>
                <w:lang w:val="en-US" w:eastAsia="zh-CN"/>
              </w:rPr>
              <w:t>1</w:t>
            </w:r>
            <w:r>
              <w:rPr>
                <w:b/>
                <w:sz w:val="21"/>
                <w:szCs w:val="24"/>
                <w:highlight w:val="none"/>
              </w:rPr>
              <w:t xml:space="preserve">  </w:t>
            </w:r>
            <w:r>
              <w:rPr>
                <w:rFonts w:hint="eastAsia"/>
                <w:b/>
                <w:sz w:val="21"/>
                <w:szCs w:val="24"/>
                <w:highlight w:val="none"/>
                <w:lang w:eastAsia="zh-CN"/>
              </w:rPr>
              <w:t>污</w:t>
            </w:r>
            <w:r>
              <w:rPr>
                <w:rFonts w:hint="eastAsia"/>
                <w:b/>
                <w:sz w:val="21"/>
                <w:szCs w:val="24"/>
                <w:highlight w:val="none"/>
              </w:rPr>
              <w:t>水处理工艺流程图</w:t>
            </w:r>
          </w:p>
          <w:p>
            <w:pPr>
              <w:tabs>
                <w:tab w:val="left" w:pos="924"/>
              </w:tabs>
              <w:adjustRightInd w:val="0"/>
              <w:snapToGrid w:val="0"/>
              <w:spacing w:line="360" w:lineRule="auto"/>
              <w:ind w:firstLine="480" w:firstLineChars="200"/>
              <w:rPr>
                <w:rFonts w:hint="eastAsia" w:ascii="Times New Roman" w:hAnsi="Times New Roman" w:cs="Times New Roman"/>
                <w:snapToGrid w:val="0"/>
                <w:kern w:val="0"/>
                <w:sz w:val="24"/>
                <w:szCs w:val="24"/>
                <w:highlight w:val="none"/>
                <w:lang w:val="en-US" w:eastAsia="zh-CN"/>
              </w:rPr>
            </w:pPr>
            <w:r>
              <w:rPr>
                <w:rFonts w:hint="eastAsia" w:ascii="Times New Roman" w:hAnsi="Times New Roman" w:cs="Times New Roman"/>
                <w:snapToGrid w:val="0"/>
                <w:kern w:val="0"/>
                <w:sz w:val="24"/>
                <w:szCs w:val="24"/>
                <w:highlight w:val="none"/>
                <w:lang w:val="en-US" w:eastAsia="zh-CN"/>
              </w:rPr>
              <w:t>3、噪声</w:t>
            </w:r>
          </w:p>
          <w:p>
            <w:pPr>
              <w:tabs>
                <w:tab w:val="left" w:pos="924"/>
              </w:tabs>
              <w:adjustRightInd w:val="0"/>
              <w:snapToGrid w:val="0"/>
              <w:spacing w:line="360" w:lineRule="auto"/>
              <w:ind w:firstLine="480" w:firstLineChars="200"/>
              <w:rPr>
                <w:rFonts w:hint="eastAsia" w:ascii="Times New Roman" w:hAnsi="Times New Roman" w:eastAsia="宋体" w:cs="Times New Roman"/>
                <w:bCs/>
                <w:snapToGrid w:val="0"/>
                <w:kern w:val="0"/>
                <w:sz w:val="24"/>
                <w:szCs w:val="24"/>
                <w:highlight w:val="none"/>
                <w:lang w:val="en-US" w:eastAsia="zh-CN"/>
              </w:rPr>
            </w:pPr>
            <w:r>
              <w:rPr>
                <w:rFonts w:hint="eastAsia" w:ascii="Times New Roman" w:hAnsi="Times New Roman" w:cs="Times New Roman"/>
                <w:snapToGrid w:val="0"/>
                <w:kern w:val="0"/>
                <w:sz w:val="24"/>
                <w:szCs w:val="24"/>
                <w:highlight w:val="none"/>
                <w:lang w:val="en-US" w:eastAsia="zh-CN"/>
              </w:rPr>
              <w:t>本项目运</w:t>
            </w:r>
            <w:r>
              <w:rPr>
                <w:rFonts w:hint="eastAsia" w:ascii="宋体" w:hAnsi="宋体" w:eastAsia="宋体" w:cs="宋体"/>
                <w:b w:val="0"/>
                <w:color w:val="auto"/>
                <w:kern w:val="24"/>
                <w:sz w:val="24"/>
                <w:szCs w:val="21"/>
                <w:highlight w:val="none"/>
                <w:lang w:val="en-US" w:eastAsia="zh-CN" w:bidi="ar-SA"/>
              </w:rPr>
              <w:t>营期噪声主要为潜油泵、加油机及进出车辆产生的噪声。其中潜油泵置于地下，隔声效果良好；加油机的噪声充分利用项目周围建构筑物、绿化带阻隔声波传播，减少对周围声</w:t>
            </w:r>
            <w:r>
              <w:rPr>
                <w:bCs/>
                <w:snapToGrid w:val="0"/>
                <w:kern w:val="0"/>
                <w:sz w:val="24"/>
                <w:szCs w:val="24"/>
                <w:highlight w:val="none"/>
              </w:rPr>
              <w:t>环境的影响</w:t>
            </w:r>
            <w:r>
              <w:rPr>
                <w:rFonts w:hint="eastAsia"/>
                <w:bCs/>
                <w:snapToGrid w:val="0"/>
                <w:kern w:val="0"/>
                <w:sz w:val="24"/>
                <w:szCs w:val="24"/>
                <w:highlight w:val="none"/>
                <w:lang w:eastAsia="zh-CN"/>
              </w:rPr>
              <w:t>；</w:t>
            </w:r>
            <w:r>
              <w:rPr>
                <w:rFonts w:hint="default" w:ascii="Times New Roman" w:hAnsi="Times New Roman" w:eastAsia="宋体" w:cs="Times New Roman"/>
                <w:bCs/>
                <w:snapToGrid w:val="0"/>
                <w:kern w:val="0"/>
                <w:sz w:val="24"/>
                <w:szCs w:val="24"/>
                <w:highlight w:val="none"/>
                <w:lang w:val="en-US" w:eastAsia="zh-CN"/>
              </w:rPr>
              <w:t>出入区域内来往的机动车严格管理，采取车辆进站时减速、禁止鸣笛、加油时车辆熄火和平稳启动等措施</w:t>
            </w:r>
            <w:r>
              <w:rPr>
                <w:rFonts w:hint="eastAsia" w:ascii="Times New Roman" w:hAnsi="Times New Roman" w:eastAsia="宋体" w:cs="Times New Roman"/>
                <w:bCs/>
                <w:snapToGrid w:val="0"/>
                <w:kern w:val="0"/>
                <w:sz w:val="24"/>
                <w:szCs w:val="24"/>
                <w:highlight w:val="none"/>
                <w:lang w:val="en-US" w:eastAsia="zh-CN"/>
              </w:rPr>
              <w:t>。</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textAlignment w:val="auto"/>
              <w:rPr>
                <w:rFonts w:hint="default"/>
                <w:b/>
                <w:sz w:val="24"/>
                <w:highlight w:val="none"/>
                <w:u w:val="none"/>
                <w:lang w:val="en-US" w:eastAsia="zh-CN"/>
              </w:rPr>
            </w:pPr>
            <w:r>
              <w:rPr>
                <w:rFonts w:hint="eastAsia"/>
                <w:b/>
                <w:sz w:val="24"/>
                <w:highlight w:val="none"/>
                <w:u w:val="none"/>
                <w:lang w:val="en-US" w:eastAsia="zh-CN"/>
              </w:rPr>
              <w:t>其他环境保护设施</w:t>
            </w:r>
          </w:p>
          <w:p>
            <w:pPr>
              <w:pStyle w:val="4"/>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textAlignment w:val="auto"/>
              <w:rPr>
                <w:rFonts w:hint="eastAsia"/>
                <w:b/>
                <w:sz w:val="24"/>
                <w:highlight w:val="none"/>
                <w:u w:val="none"/>
                <w:lang w:val="en-US" w:eastAsia="zh-CN"/>
              </w:rPr>
            </w:pPr>
            <w:r>
              <w:rPr>
                <w:rFonts w:hint="eastAsia"/>
                <w:b/>
                <w:sz w:val="24"/>
                <w:highlight w:val="none"/>
                <w:u w:val="none"/>
                <w:lang w:val="en-US" w:eastAsia="zh-CN"/>
              </w:rPr>
              <w:t>环境风险防范措施</w:t>
            </w:r>
          </w:p>
          <w:p>
            <w:pPr>
              <w:tabs>
                <w:tab w:val="left" w:pos="924"/>
              </w:tabs>
              <w:adjustRightInd w:val="0"/>
              <w:snapToGrid w:val="0"/>
              <w:spacing w:line="360" w:lineRule="auto"/>
              <w:ind w:firstLine="480" w:firstLineChars="200"/>
              <w:rPr>
                <w:rFonts w:hint="default" w:ascii="Times New Roman" w:hAnsi="Times New Roman" w:eastAsia="宋体" w:cs="Times New Roman"/>
                <w:b w:val="0"/>
                <w:color w:val="auto"/>
                <w:kern w:val="24"/>
                <w:sz w:val="24"/>
                <w:szCs w:val="21"/>
                <w:highlight w:val="none"/>
                <w:lang w:val="en-US" w:eastAsia="zh-CN" w:bidi="ar-SA"/>
              </w:rPr>
            </w:pPr>
            <w:r>
              <w:rPr>
                <w:rFonts w:hint="default" w:ascii="Times New Roman" w:hAnsi="Times New Roman" w:eastAsia="宋体" w:cs="Times New Roman"/>
                <w:b w:val="0"/>
                <w:color w:val="auto"/>
                <w:kern w:val="24"/>
                <w:sz w:val="24"/>
                <w:szCs w:val="21"/>
                <w:highlight w:val="none"/>
                <w:lang w:val="en-US" w:eastAsia="zh-CN" w:bidi="ar-SA"/>
              </w:rPr>
              <w:t>在验收监测期间，通过对该企业应急预案等相关文件的检查：</w:t>
            </w:r>
          </w:p>
          <w:p>
            <w:pPr>
              <w:tabs>
                <w:tab w:val="left" w:pos="924"/>
              </w:tabs>
              <w:adjustRightInd w:val="0"/>
              <w:snapToGrid w:val="0"/>
              <w:spacing w:line="360" w:lineRule="auto"/>
              <w:ind w:firstLine="480" w:firstLineChars="200"/>
              <w:rPr>
                <w:rFonts w:hint="default" w:ascii="Times New Roman" w:hAnsi="Times New Roman" w:eastAsia="宋体" w:cs="Times New Roman"/>
                <w:b w:val="0"/>
                <w:color w:val="auto"/>
                <w:kern w:val="24"/>
                <w:sz w:val="24"/>
                <w:szCs w:val="21"/>
                <w:highlight w:val="none"/>
                <w:lang w:val="en-US" w:eastAsia="zh-CN" w:bidi="ar-SA"/>
              </w:rPr>
            </w:pPr>
            <w:r>
              <w:rPr>
                <w:rFonts w:hint="default" w:ascii="Times New Roman" w:hAnsi="Times New Roman" w:cs="Times New Roman"/>
                <w:b w:val="0"/>
                <w:color w:val="auto"/>
                <w:kern w:val="24"/>
                <w:sz w:val="24"/>
                <w:szCs w:val="21"/>
                <w:highlight w:val="none"/>
                <w:lang w:val="en-US" w:eastAsia="zh-CN" w:bidi="ar-SA"/>
              </w:rPr>
              <w:t>（1）</w:t>
            </w:r>
            <w:r>
              <w:rPr>
                <w:rFonts w:hint="default" w:ascii="Times New Roman" w:hAnsi="Times New Roman" w:eastAsia="宋体" w:cs="Times New Roman"/>
                <w:b w:val="0"/>
                <w:color w:val="auto"/>
                <w:kern w:val="24"/>
                <w:sz w:val="24"/>
                <w:szCs w:val="21"/>
                <w:highlight w:val="none"/>
                <w:lang w:val="en-US" w:eastAsia="zh-CN" w:bidi="ar-SA"/>
              </w:rPr>
              <w:t>企业始终把安全管理工作作为头等大事来抓，坚持“生产、环境、职业安全健康”的方针，严格安全生产责任制，建立了较为完善的安全管理制度，从工艺安全、设备安全等方面确保站区的安全生产。</w:t>
            </w:r>
          </w:p>
          <w:p>
            <w:pPr>
              <w:pStyle w:val="2"/>
              <w:keepNext/>
              <w:keepLines/>
              <w:pageBreakBefore w:val="0"/>
              <w:widowControl w:val="0"/>
              <w:numPr>
                <w:ilvl w:val="-1"/>
                <w:numId w:val="0"/>
              </w:numPr>
              <w:kinsoku/>
              <w:wordWrap/>
              <w:overflowPunct/>
              <w:topLinePunct w:val="0"/>
              <w:autoSpaceDE/>
              <w:autoSpaceDN/>
              <w:bidi w:val="0"/>
              <w:adjustRightInd/>
              <w:snapToGrid/>
              <w:spacing w:before="0" w:after="0" w:line="360" w:lineRule="auto"/>
              <w:ind w:left="0" w:firstLine="480" w:firstLineChars="200"/>
              <w:textAlignment w:val="auto"/>
              <w:rPr>
                <w:rFonts w:hint="eastAsia" w:ascii="Times New Roman" w:hAnsi="Times New Roman" w:eastAsia="宋体" w:cs="Times New Roman"/>
                <w:b w:val="0"/>
                <w:color w:val="auto"/>
                <w:kern w:val="24"/>
                <w:sz w:val="24"/>
                <w:szCs w:val="21"/>
                <w:highlight w:val="none"/>
                <w:lang w:val="en-US" w:eastAsia="zh-CN" w:bidi="ar-SA"/>
              </w:rPr>
            </w:pPr>
            <w:r>
              <w:rPr>
                <w:rFonts w:hint="default" w:ascii="Times New Roman" w:hAnsi="Times New Roman" w:cs="Times New Roman"/>
                <w:b w:val="0"/>
                <w:color w:val="auto"/>
                <w:kern w:val="24"/>
                <w:sz w:val="24"/>
                <w:szCs w:val="21"/>
                <w:highlight w:val="none"/>
                <w:lang w:val="en-US" w:eastAsia="zh-CN" w:bidi="ar-SA"/>
              </w:rPr>
              <w:t>（2）</w:t>
            </w:r>
            <w:r>
              <w:rPr>
                <w:rFonts w:hint="default" w:ascii="Times New Roman" w:hAnsi="Times New Roman" w:eastAsia="宋体" w:cs="Times New Roman"/>
                <w:b w:val="0"/>
                <w:color w:val="auto"/>
                <w:kern w:val="24"/>
                <w:sz w:val="24"/>
                <w:szCs w:val="21"/>
                <w:highlight w:val="none"/>
                <w:lang w:val="zh-CN" w:eastAsia="zh-CN" w:bidi="ar-SA"/>
              </w:rPr>
              <w:t>陕西省石油化工工业贸易有限公司华州服务区</w:t>
            </w:r>
            <w:r>
              <w:rPr>
                <w:rFonts w:hint="eastAsia" w:ascii="Times New Roman" w:hAnsi="Times New Roman" w:eastAsia="宋体" w:cs="Times New Roman"/>
                <w:b w:val="0"/>
                <w:color w:val="auto"/>
                <w:kern w:val="24"/>
                <w:sz w:val="24"/>
                <w:szCs w:val="21"/>
                <w:highlight w:val="none"/>
                <w:lang w:val="zh-CN" w:eastAsia="zh-CN" w:bidi="ar-SA"/>
              </w:rPr>
              <w:t>西</w:t>
            </w:r>
            <w:r>
              <w:rPr>
                <w:rFonts w:hint="default" w:ascii="Times New Roman" w:hAnsi="Times New Roman" w:eastAsia="宋体" w:cs="Times New Roman"/>
                <w:b w:val="0"/>
                <w:color w:val="auto"/>
                <w:kern w:val="24"/>
                <w:sz w:val="24"/>
                <w:szCs w:val="21"/>
                <w:highlight w:val="none"/>
                <w:lang w:val="zh-CN" w:eastAsia="zh-CN" w:bidi="ar-SA"/>
              </w:rPr>
              <w:t>加油站</w:t>
            </w:r>
            <w:r>
              <w:rPr>
                <w:rFonts w:hint="default" w:ascii="Times New Roman" w:hAnsi="Times New Roman" w:eastAsia="宋体" w:cs="Times New Roman"/>
                <w:b w:val="0"/>
                <w:color w:val="auto"/>
                <w:kern w:val="24"/>
                <w:sz w:val="24"/>
                <w:szCs w:val="21"/>
                <w:highlight w:val="none"/>
                <w:lang w:val="en-US" w:eastAsia="zh-CN" w:bidi="ar-SA"/>
              </w:rPr>
              <w:t>制定了《</w:t>
            </w:r>
            <w:r>
              <w:rPr>
                <w:rFonts w:hint="default" w:ascii="Times New Roman" w:hAnsi="Times New Roman" w:eastAsia="宋体" w:cs="Times New Roman"/>
                <w:b w:val="0"/>
                <w:color w:val="auto"/>
                <w:kern w:val="24"/>
                <w:sz w:val="24"/>
                <w:szCs w:val="21"/>
                <w:highlight w:val="none"/>
                <w:lang w:val="zh-CN" w:eastAsia="zh-CN" w:bidi="ar-SA"/>
              </w:rPr>
              <w:t>陕西省石油化工工业贸易有限公司华州服务区</w:t>
            </w:r>
            <w:r>
              <w:rPr>
                <w:rFonts w:hint="eastAsia" w:ascii="Times New Roman" w:hAnsi="Times New Roman" w:eastAsia="宋体" w:cs="Times New Roman"/>
                <w:b w:val="0"/>
                <w:color w:val="auto"/>
                <w:kern w:val="24"/>
                <w:sz w:val="24"/>
                <w:szCs w:val="21"/>
                <w:highlight w:val="none"/>
                <w:lang w:val="zh-CN" w:eastAsia="zh-CN" w:bidi="ar-SA"/>
              </w:rPr>
              <w:t>西</w:t>
            </w:r>
            <w:r>
              <w:rPr>
                <w:rFonts w:hint="default" w:ascii="Times New Roman" w:hAnsi="Times New Roman" w:eastAsia="宋体" w:cs="Times New Roman"/>
                <w:b w:val="0"/>
                <w:color w:val="auto"/>
                <w:kern w:val="24"/>
                <w:sz w:val="24"/>
                <w:szCs w:val="21"/>
                <w:highlight w:val="none"/>
                <w:lang w:val="zh-CN" w:eastAsia="zh-CN" w:bidi="ar-SA"/>
              </w:rPr>
              <w:t>加油站项目</w:t>
            </w:r>
            <w:r>
              <w:rPr>
                <w:rFonts w:hint="default" w:ascii="Times New Roman" w:hAnsi="Times New Roman" w:eastAsia="宋体" w:cs="Times New Roman"/>
                <w:b w:val="0"/>
                <w:color w:val="auto"/>
                <w:kern w:val="24"/>
                <w:sz w:val="24"/>
                <w:szCs w:val="21"/>
                <w:highlight w:val="none"/>
                <w:lang w:val="en-US" w:eastAsia="zh-CN" w:bidi="ar-SA"/>
              </w:rPr>
              <w:t>生产安全事故应急预案》。预案明确了单位领导及员工在安全生产中所应承担的职责以及在发生环境事故时的应急程序响应措施等，并成立了由站长以及其他工作人员组成的环境污染事故应急救援指挥领导小组，负责事故救援工作的综合组织、指挥和协调及处理应急管理的日常事务工作。同时，该站为应对突发的环境事故储备了相应的应急物资，如消灭火器和消防沙池等，并定期组织相关部门工作人员进行应急演练。在项目区地面做到硬化防渗处理，周围设有围堰，并设置卸油操作规程、严禁烟火等环境管理示意牌、地埋式储油罐区安装了液位仪监控系统，并编制了《安全现状评价报告》和《突发环境事件应急预案》。</w:t>
            </w:r>
            <w:r>
              <w:rPr>
                <w:rFonts w:hint="eastAsia" w:ascii="Times New Roman" w:hAnsi="Times New Roman" w:eastAsia="宋体" w:cs="Times New Roman"/>
                <w:b w:val="0"/>
                <w:color w:val="auto"/>
                <w:kern w:val="24"/>
                <w:sz w:val="24"/>
                <w:szCs w:val="21"/>
                <w:highlight w:val="none"/>
                <w:lang w:val="en-US" w:eastAsia="zh-CN" w:bidi="ar-SA"/>
              </w:rPr>
              <w:t>站区明确了应急响应机制，配备了响应的应急救援物资。建设项目风险防范设施一览表见表3-1。</w:t>
            </w:r>
          </w:p>
          <w:p>
            <w:pPr>
              <w:tabs>
                <w:tab w:val="left" w:pos="2130"/>
              </w:tabs>
              <w:snapToGrid w:val="0"/>
              <w:jc w:val="center"/>
              <w:rPr>
                <w:rFonts w:hint="eastAsia" w:ascii="Times New Roman" w:hAnsi="Times New Roman"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表3-</w:t>
            </w:r>
            <w:r>
              <w:rPr>
                <w:rFonts w:hint="eastAsia" w:cs="Times New Roman"/>
                <w:b/>
                <w:bCs/>
                <w:sz w:val="21"/>
                <w:szCs w:val="21"/>
                <w:highlight w:val="none"/>
                <w:lang w:val="en-US" w:eastAsia="zh-CN"/>
              </w:rPr>
              <w:t>1</w:t>
            </w:r>
            <w:r>
              <w:rPr>
                <w:rFonts w:hint="eastAsia" w:ascii="Times New Roman" w:hAnsi="Times New Roman" w:cs="Times New Roman"/>
                <w:b/>
                <w:bCs/>
                <w:sz w:val="21"/>
                <w:szCs w:val="21"/>
                <w:highlight w:val="none"/>
                <w:lang w:val="en-US" w:eastAsia="zh-CN"/>
              </w:rPr>
              <w:t xml:space="preserve">  建设项目风险防范设施一览表</w:t>
            </w:r>
          </w:p>
          <w:tbl>
            <w:tblPr>
              <w:tblStyle w:val="12"/>
              <w:tblW w:w="88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2642"/>
              <w:gridCol w:w="2475"/>
              <w:gridCol w:w="1231"/>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2"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2642"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名称</w:t>
                  </w:r>
                </w:p>
              </w:tc>
              <w:tc>
                <w:tcPr>
                  <w:tcW w:w="2475"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规格及型号</w:t>
                  </w:r>
                </w:p>
              </w:tc>
              <w:tc>
                <w:tcPr>
                  <w:tcW w:w="123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单位</w:t>
                  </w:r>
                </w:p>
              </w:tc>
              <w:tc>
                <w:tcPr>
                  <w:tcW w:w="177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2"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cs="Times New Roman"/>
                      <w:b w:val="0"/>
                      <w:bCs/>
                      <w:sz w:val="21"/>
                      <w:szCs w:val="21"/>
                      <w:highlight w:val="none"/>
                      <w:vertAlign w:val="baseline"/>
                      <w:lang w:val="en-US" w:eastAsia="zh-CN"/>
                    </w:rPr>
                    <w:t>1</w:t>
                  </w:r>
                </w:p>
              </w:tc>
              <w:tc>
                <w:tcPr>
                  <w:tcW w:w="2642"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eastAsia="宋体" w:cs="Times New Roman"/>
                      <w:sz w:val="21"/>
                      <w:szCs w:val="21"/>
                      <w:highlight w:val="none"/>
                    </w:rPr>
                    <w:t>消防沙箱</w:t>
                  </w:r>
                </w:p>
              </w:tc>
              <w:tc>
                <w:tcPr>
                  <w:tcW w:w="2475"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微软雅黑" w:cs="Times New Roman"/>
                      <w:b w:val="0"/>
                      <w:bCs/>
                      <w:sz w:val="21"/>
                      <w:szCs w:val="21"/>
                      <w:highlight w:val="none"/>
                      <w:vertAlign w:val="baseline"/>
                      <w:lang w:val="en-US" w:eastAsia="zh-CN"/>
                    </w:rPr>
                  </w:pPr>
                  <w:r>
                    <w:rPr>
                      <w:rFonts w:hint="default" w:ascii="Times New Roman" w:hAnsi="Times New Roman" w:eastAsia="宋体" w:cs="Times New Roman"/>
                      <w:sz w:val="21"/>
                      <w:szCs w:val="21"/>
                      <w:highlight w:val="none"/>
                      <w:lang w:val="en-US" w:eastAsia="zh-CN"/>
                    </w:rPr>
                    <w:t>/</w:t>
                  </w:r>
                </w:p>
              </w:tc>
              <w:tc>
                <w:tcPr>
                  <w:tcW w:w="123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eastAsia="宋体" w:cs="Times New Roman"/>
                      <w:sz w:val="21"/>
                      <w:szCs w:val="21"/>
                      <w:highlight w:val="none"/>
                    </w:rPr>
                    <w:t>座</w:t>
                  </w:r>
                </w:p>
              </w:tc>
              <w:tc>
                <w:tcPr>
                  <w:tcW w:w="177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eastAsia="宋体" w:cs="Times New Roman"/>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2"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cs="Times New Roman"/>
                      <w:b w:val="0"/>
                      <w:bCs/>
                      <w:sz w:val="21"/>
                      <w:szCs w:val="21"/>
                      <w:highlight w:val="none"/>
                      <w:vertAlign w:val="baseline"/>
                      <w:lang w:val="en-US" w:eastAsia="zh-CN"/>
                    </w:rPr>
                    <w:t>2</w:t>
                  </w:r>
                </w:p>
              </w:tc>
              <w:tc>
                <w:tcPr>
                  <w:tcW w:w="2642"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sz w:val="21"/>
                      <w:szCs w:val="21"/>
                      <w:highlight w:val="none"/>
                      <w:lang w:val="en-US" w:eastAsia="zh-CN"/>
                    </w:rPr>
                    <w:t>消防器材</w:t>
                  </w:r>
                </w:p>
              </w:tc>
              <w:tc>
                <w:tcPr>
                  <w:tcW w:w="2475"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eastAsia="宋体" w:cs="Times New Roman"/>
                      <w:sz w:val="21"/>
                      <w:szCs w:val="21"/>
                      <w:highlight w:val="none"/>
                      <w:lang w:val="en-US" w:eastAsia="zh-CN"/>
                    </w:rPr>
                    <w:t>/</w:t>
                  </w:r>
                </w:p>
              </w:tc>
              <w:tc>
                <w:tcPr>
                  <w:tcW w:w="123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sz w:val="21"/>
                      <w:szCs w:val="21"/>
                      <w:highlight w:val="none"/>
                      <w:lang w:val="en-US" w:eastAsia="zh-CN"/>
                    </w:rPr>
                    <w:t>处</w:t>
                  </w:r>
                </w:p>
              </w:tc>
              <w:tc>
                <w:tcPr>
                  <w:tcW w:w="177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eastAsia="宋体" w:cs="Times New Roman"/>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2"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cs="Times New Roman"/>
                      <w:b w:val="0"/>
                      <w:bCs/>
                      <w:sz w:val="21"/>
                      <w:szCs w:val="21"/>
                      <w:highlight w:val="none"/>
                      <w:vertAlign w:val="baseline"/>
                      <w:lang w:val="en-US" w:eastAsia="zh-CN"/>
                    </w:rPr>
                    <w:t>3</w:t>
                  </w:r>
                </w:p>
              </w:tc>
              <w:tc>
                <w:tcPr>
                  <w:tcW w:w="2642" w:type="dxa"/>
                  <w:vAlign w:val="center"/>
                </w:tcPr>
                <w:p>
                  <w:pPr>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sz w:val="21"/>
                      <w:szCs w:val="21"/>
                      <w:highlight w:val="none"/>
                    </w:rPr>
                    <w:t>高液位报警装置</w:t>
                  </w:r>
                </w:p>
              </w:tc>
              <w:tc>
                <w:tcPr>
                  <w:tcW w:w="2475"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23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eastAsia="zh-CN"/>
                    </w:rPr>
                    <w:t>套</w:t>
                  </w:r>
                </w:p>
              </w:tc>
              <w:tc>
                <w:tcPr>
                  <w:tcW w:w="177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2"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cs="Times New Roman"/>
                      <w:b w:val="0"/>
                      <w:bCs/>
                      <w:sz w:val="21"/>
                      <w:szCs w:val="21"/>
                      <w:highlight w:val="none"/>
                      <w:vertAlign w:val="baseline"/>
                      <w:lang w:val="en-US" w:eastAsia="zh-CN"/>
                    </w:rPr>
                    <w:t>4</w:t>
                  </w:r>
                </w:p>
              </w:tc>
              <w:tc>
                <w:tcPr>
                  <w:tcW w:w="2642" w:type="dxa"/>
                  <w:vAlign w:val="center"/>
                </w:tcPr>
                <w:p>
                  <w:pPr>
                    <w:keepLines w:val="0"/>
                    <w:pageBreakBefore w:val="0"/>
                    <w:widowControl w:val="0"/>
                    <w:kinsoku/>
                    <w:wordWrap/>
                    <w:overflowPunct/>
                    <w:topLinePunct w:val="0"/>
                    <w:autoSpaceDE w:val="0"/>
                    <w:autoSpaceDN w:val="0"/>
                    <w:bidi w:val="0"/>
                    <w:adjustRightInd w:val="0"/>
                    <w:snapToGrid w:val="0"/>
                    <w:ind w:left="0" w:leftChars="0"/>
                    <w:jc w:val="center"/>
                    <w:textAlignment w:val="auto"/>
                    <w:rPr>
                      <w:rFonts w:hint="default" w:ascii="Times New Roman" w:hAnsi="Times New Roman" w:eastAsia="宋体" w:cs="Times New Roman"/>
                      <w:sz w:val="21"/>
                      <w:szCs w:val="21"/>
                      <w:highlight w:val="none"/>
                      <w:lang w:eastAsia="zh-CN"/>
                    </w:rPr>
                  </w:pPr>
                  <w:r>
                    <w:rPr>
                      <w:rFonts w:hint="eastAsia"/>
                      <w:sz w:val="21"/>
                      <w:szCs w:val="21"/>
                      <w:highlight w:val="none"/>
                    </w:rPr>
                    <w:t>防漏监测仪</w:t>
                  </w:r>
                </w:p>
              </w:tc>
              <w:tc>
                <w:tcPr>
                  <w:tcW w:w="2475" w:type="dxa"/>
                  <w:vAlign w:val="center"/>
                </w:tcPr>
                <w:p>
                  <w:pPr>
                    <w:keepLines w:val="0"/>
                    <w:pageBreakBefore w:val="0"/>
                    <w:widowControl w:val="0"/>
                    <w:kinsoku/>
                    <w:wordWrap/>
                    <w:overflowPunct/>
                    <w:topLinePunct w:val="0"/>
                    <w:autoSpaceDE w:val="0"/>
                    <w:autoSpaceDN w:val="0"/>
                    <w:bidi w:val="0"/>
                    <w:adjustRightInd w:val="0"/>
                    <w:snapToGrid w:val="0"/>
                    <w:ind w:left="0" w:left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231" w:type="dxa"/>
                  <w:vAlign w:val="center"/>
                </w:tcPr>
                <w:p>
                  <w:pPr>
                    <w:keepLines w:val="0"/>
                    <w:pageBreakBefore w:val="0"/>
                    <w:widowControl w:val="0"/>
                    <w:kinsoku/>
                    <w:wordWrap/>
                    <w:overflowPunct/>
                    <w:topLinePunct w:val="0"/>
                    <w:autoSpaceDE w:val="0"/>
                    <w:autoSpaceDN w:val="0"/>
                    <w:bidi w:val="0"/>
                    <w:adjustRightInd w:val="0"/>
                    <w:snapToGrid w:val="0"/>
                    <w:ind w:left="0" w:left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套</w:t>
                  </w:r>
                </w:p>
              </w:tc>
              <w:tc>
                <w:tcPr>
                  <w:tcW w:w="1771" w:type="dxa"/>
                  <w:vAlign w:val="center"/>
                </w:tcPr>
                <w:p>
                  <w:pPr>
                    <w:keepLines w:val="0"/>
                    <w:pageBreakBefore w:val="0"/>
                    <w:widowControl w:val="0"/>
                    <w:kinsoku/>
                    <w:wordWrap/>
                    <w:overflowPunct/>
                    <w:topLinePunct w:val="0"/>
                    <w:autoSpaceDE w:val="0"/>
                    <w:autoSpaceDN w:val="0"/>
                    <w:bidi w:val="0"/>
                    <w:adjustRightInd w:val="0"/>
                    <w:snapToGrid w:val="0"/>
                    <w:ind w:left="0" w:left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2"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cs="Times New Roman"/>
                      <w:b w:val="0"/>
                      <w:bCs/>
                      <w:sz w:val="21"/>
                      <w:szCs w:val="21"/>
                      <w:highlight w:val="none"/>
                      <w:vertAlign w:val="baseline"/>
                      <w:lang w:val="en-US" w:eastAsia="zh-CN"/>
                    </w:rPr>
                    <w:t>5</w:t>
                  </w:r>
                </w:p>
              </w:tc>
              <w:tc>
                <w:tcPr>
                  <w:tcW w:w="2642"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eastAsiaTheme="minorEastAsia"/>
                      <w:sz w:val="21"/>
                      <w:szCs w:val="21"/>
                      <w:highlight w:val="none"/>
                    </w:rPr>
                    <w:t>手提式 ABC类干粉灭火器</w:t>
                  </w:r>
                </w:p>
              </w:tc>
              <w:tc>
                <w:tcPr>
                  <w:tcW w:w="2475"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4kg</w:t>
                  </w:r>
                </w:p>
              </w:tc>
              <w:tc>
                <w:tcPr>
                  <w:tcW w:w="123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具</w:t>
                  </w:r>
                </w:p>
              </w:tc>
              <w:tc>
                <w:tcPr>
                  <w:tcW w:w="177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2"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cs="Times New Roman"/>
                      <w:b w:val="0"/>
                      <w:bCs/>
                      <w:sz w:val="21"/>
                      <w:szCs w:val="21"/>
                      <w:highlight w:val="none"/>
                      <w:vertAlign w:val="baseline"/>
                      <w:lang w:val="en-US" w:eastAsia="zh-CN"/>
                    </w:rPr>
                    <w:t>6</w:t>
                  </w:r>
                </w:p>
              </w:tc>
              <w:tc>
                <w:tcPr>
                  <w:tcW w:w="2642"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推车式 ABC类干粉灭火器</w:t>
                  </w:r>
                </w:p>
              </w:tc>
              <w:tc>
                <w:tcPr>
                  <w:tcW w:w="2475"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35kg</w:t>
                  </w:r>
                </w:p>
              </w:tc>
              <w:tc>
                <w:tcPr>
                  <w:tcW w:w="123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具</w:t>
                  </w:r>
                </w:p>
              </w:tc>
              <w:tc>
                <w:tcPr>
                  <w:tcW w:w="177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2"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cs="Times New Roman"/>
                      <w:b w:val="0"/>
                      <w:bCs/>
                      <w:sz w:val="21"/>
                      <w:szCs w:val="21"/>
                      <w:highlight w:val="none"/>
                      <w:vertAlign w:val="baseline"/>
                      <w:lang w:val="en-US" w:eastAsia="zh-CN"/>
                    </w:rPr>
                    <w:t>7</w:t>
                  </w:r>
                </w:p>
              </w:tc>
              <w:tc>
                <w:tcPr>
                  <w:tcW w:w="2642"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灭火毯</w:t>
                  </w:r>
                </w:p>
              </w:tc>
              <w:tc>
                <w:tcPr>
                  <w:tcW w:w="2475"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23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块</w:t>
                  </w:r>
                </w:p>
              </w:tc>
              <w:tc>
                <w:tcPr>
                  <w:tcW w:w="177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2"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8</w:t>
                  </w:r>
                </w:p>
              </w:tc>
              <w:tc>
                <w:tcPr>
                  <w:tcW w:w="2642"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沙子</w:t>
                  </w:r>
                </w:p>
              </w:tc>
              <w:tc>
                <w:tcPr>
                  <w:tcW w:w="2475"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23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立方米</w:t>
                  </w:r>
                </w:p>
              </w:tc>
              <w:tc>
                <w:tcPr>
                  <w:tcW w:w="1771" w:type="dxa"/>
                  <w:vAlign w:val="center"/>
                </w:tcPr>
                <w:p>
                  <w:pPr>
                    <w:keepLines w:val="0"/>
                    <w:pageBreakBefore w:val="0"/>
                    <w:widowControl w:val="0"/>
                    <w:kinsoku/>
                    <w:wordWrap/>
                    <w:overflowPunct/>
                    <w:topLinePunct w:val="0"/>
                    <w:autoSpaceDE w:val="0"/>
                    <w:autoSpaceDN w:val="0"/>
                    <w:bidi w:val="0"/>
                    <w:adjustRightInd w:val="0"/>
                    <w:snapToGrid w:val="0"/>
                    <w:ind w:left="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2"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9</w:t>
                  </w:r>
                </w:p>
              </w:tc>
              <w:tc>
                <w:tcPr>
                  <w:tcW w:w="2642"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围堰</w:t>
                  </w:r>
                </w:p>
              </w:tc>
              <w:tc>
                <w:tcPr>
                  <w:tcW w:w="2475"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罐区四周建有20cm围堰</w:t>
                  </w:r>
                </w:p>
              </w:tc>
              <w:tc>
                <w:tcPr>
                  <w:tcW w:w="1231"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处</w:t>
                  </w:r>
                </w:p>
              </w:tc>
              <w:tc>
                <w:tcPr>
                  <w:tcW w:w="1771" w:type="dxa"/>
                  <w:vAlign w:val="center"/>
                </w:tcPr>
                <w:p>
                  <w:pPr>
                    <w:pStyle w:val="2"/>
                    <w:keepNext/>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1</w:t>
                  </w:r>
                </w:p>
              </w:tc>
            </w:tr>
          </w:tbl>
          <w:p>
            <w:pPr>
              <w:widowControl/>
              <w:adjustRightInd w:val="0"/>
              <w:snapToGrid w:val="0"/>
              <w:spacing w:beforeLines="0" w:afterLines="0"/>
              <w:jc w:val="center"/>
              <w:rPr>
                <w:rFonts w:hint="default"/>
                <w:b/>
                <w:sz w:val="24"/>
                <w:highlight w:val="none"/>
                <w:u w:val="none"/>
                <w:lang w:val="en-US" w:eastAsia="zh-CN"/>
              </w:rPr>
            </w:pPr>
          </w:p>
          <w:p>
            <w:pPr>
              <w:pStyle w:val="4"/>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textAlignment w:val="auto"/>
              <w:rPr>
                <w:rFonts w:hint="default"/>
                <w:b/>
                <w:sz w:val="24"/>
                <w:highlight w:val="none"/>
                <w:u w:val="none"/>
                <w:lang w:val="en-US" w:eastAsia="zh-CN"/>
              </w:rPr>
            </w:pPr>
            <w:r>
              <w:rPr>
                <w:rFonts w:hint="eastAsia"/>
                <w:b/>
                <w:sz w:val="24"/>
                <w:highlight w:val="none"/>
                <w:u w:val="none"/>
                <w:lang w:val="en-US" w:eastAsia="zh-CN"/>
              </w:rPr>
              <w:t>其他设施</w:t>
            </w:r>
          </w:p>
          <w:p>
            <w:pPr>
              <w:adjustRightInd w:val="0"/>
              <w:snapToGrid w:val="0"/>
              <w:spacing w:line="360" w:lineRule="auto"/>
              <w:ind w:firstLine="480"/>
              <w:rPr>
                <w:sz w:val="24"/>
                <w:szCs w:val="24"/>
                <w:highlight w:val="none"/>
              </w:rPr>
            </w:pPr>
            <w:r>
              <w:rPr>
                <w:rFonts w:hint="eastAsia" w:cs="Times New Roman"/>
                <w:sz w:val="24"/>
                <w:szCs w:val="24"/>
                <w:highlight w:val="none"/>
                <w:lang w:eastAsia="zh-CN"/>
              </w:rPr>
              <w:t>（</w:t>
            </w:r>
            <w:r>
              <w:rPr>
                <w:rFonts w:hint="eastAsia" w:cs="Times New Roman"/>
                <w:sz w:val="24"/>
                <w:szCs w:val="24"/>
                <w:highlight w:val="none"/>
                <w:lang w:val="en-US" w:eastAsia="zh-CN"/>
              </w:rPr>
              <w:t>1</w:t>
            </w:r>
            <w:r>
              <w:rPr>
                <w:rFonts w:hint="eastAsia" w:cs="Times New Roman"/>
                <w:sz w:val="24"/>
                <w:szCs w:val="24"/>
                <w:highlight w:val="none"/>
                <w:lang w:eastAsia="zh-CN"/>
              </w:rPr>
              <w:t>）防渗</w:t>
            </w:r>
            <w:r>
              <w:rPr>
                <w:rFonts w:hint="eastAsia" w:ascii="Times New Roman" w:hAnsi="Times New Roman" w:cs="Times New Roman"/>
                <w:sz w:val="24"/>
                <w:szCs w:val="24"/>
                <w:highlight w:val="none"/>
                <w:lang w:eastAsia="zh-CN"/>
              </w:rPr>
              <w:t>防范措施</w:t>
            </w:r>
          </w:p>
          <w:p>
            <w:pPr>
              <w:adjustRightInd w:val="0"/>
              <w:snapToGrid w:val="0"/>
              <w:spacing w:line="360" w:lineRule="auto"/>
              <w:ind w:firstLine="480"/>
              <w:rPr>
                <w:sz w:val="24"/>
                <w:szCs w:val="24"/>
                <w:highlight w:val="none"/>
              </w:rPr>
            </w:pPr>
            <w:r>
              <w:rPr>
                <w:sz w:val="24"/>
                <w:szCs w:val="24"/>
                <w:highlight w:val="none"/>
              </w:rPr>
              <w:t>本项目采用内钢外玻璃纤维增强塑料双层储罐，与土壤接触的油罐外表面防腐设计按《石油化工设备和管道涂料防腐蚀技术规范（SH3022）的有关规定，并采用不低于加强级的防腐绝缘保护层。项目油罐为双层结构，双层油罐的结构图见图</w:t>
            </w:r>
            <w:r>
              <w:rPr>
                <w:rFonts w:hint="eastAsia"/>
                <w:sz w:val="24"/>
                <w:szCs w:val="24"/>
                <w:highlight w:val="none"/>
                <w:lang w:val="en-US" w:eastAsia="zh-CN"/>
              </w:rPr>
              <w:t>3</w:t>
            </w:r>
            <w:r>
              <w:rPr>
                <w:sz w:val="24"/>
                <w:szCs w:val="24"/>
                <w:highlight w:val="none"/>
              </w:rPr>
              <w:t>-</w:t>
            </w:r>
            <w:r>
              <w:rPr>
                <w:rFonts w:hint="eastAsia"/>
                <w:sz w:val="24"/>
                <w:szCs w:val="24"/>
                <w:highlight w:val="none"/>
                <w:lang w:val="en-US" w:eastAsia="zh-CN"/>
              </w:rPr>
              <w:t>2</w:t>
            </w:r>
            <w:r>
              <w:rPr>
                <w:sz w:val="24"/>
                <w:szCs w:val="24"/>
                <w:highlight w:val="none"/>
              </w:rPr>
              <w:t>：</w:t>
            </w:r>
          </w:p>
          <w:p>
            <w:pPr>
              <w:tabs>
                <w:tab w:val="left" w:pos="756"/>
              </w:tabs>
              <w:spacing w:line="360" w:lineRule="auto"/>
              <w:jc w:val="center"/>
              <w:rPr>
                <w:sz w:val="24"/>
                <w:szCs w:val="24"/>
                <w:highlight w:val="none"/>
              </w:rPr>
            </w:pPr>
            <w:r>
              <w:rPr>
                <w:sz w:val="24"/>
                <w:szCs w:val="24"/>
                <w:highlight w:val="none"/>
              </w:rPr>
              <w:drawing>
                <wp:inline distT="0" distB="0" distL="114300" distR="114300">
                  <wp:extent cx="4062730" cy="2628900"/>
                  <wp:effectExtent l="0" t="0" r="1397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7"/>
                          <a:stretch>
                            <a:fillRect/>
                          </a:stretch>
                        </pic:blipFill>
                        <pic:spPr>
                          <a:xfrm>
                            <a:off x="0" y="0"/>
                            <a:ext cx="4062730" cy="2628900"/>
                          </a:xfrm>
                          <a:prstGeom prst="rect">
                            <a:avLst/>
                          </a:prstGeom>
                          <a:noFill/>
                          <a:ln>
                            <a:noFill/>
                          </a:ln>
                        </pic:spPr>
                      </pic:pic>
                    </a:graphicData>
                  </a:graphic>
                </wp:inline>
              </w:drawing>
            </w:r>
          </w:p>
          <w:p>
            <w:pPr>
              <w:spacing w:line="360" w:lineRule="auto"/>
              <w:jc w:val="center"/>
              <w:rPr>
                <w:b/>
                <w:sz w:val="21"/>
                <w:szCs w:val="24"/>
                <w:highlight w:val="none"/>
              </w:rPr>
            </w:pPr>
            <w:r>
              <w:rPr>
                <w:b/>
                <w:sz w:val="21"/>
                <w:szCs w:val="24"/>
                <w:highlight w:val="none"/>
              </w:rPr>
              <w:t>图</w:t>
            </w:r>
            <w:r>
              <w:rPr>
                <w:rFonts w:hint="eastAsia"/>
                <w:b/>
                <w:sz w:val="21"/>
                <w:szCs w:val="24"/>
                <w:highlight w:val="none"/>
                <w:lang w:val="en-US" w:eastAsia="zh-CN"/>
              </w:rPr>
              <w:t>3</w:t>
            </w:r>
            <w:r>
              <w:rPr>
                <w:b/>
                <w:sz w:val="21"/>
                <w:szCs w:val="24"/>
                <w:highlight w:val="none"/>
              </w:rPr>
              <w:t>-</w:t>
            </w:r>
            <w:r>
              <w:rPr>
                <w:rFonts w:hint="eastAsia"/>
                <w:b/>
                <w:sz w:val="21"/>
                <w:szCs w:val="24"/>
                <w:highlight w:val="none"/>
                <w:lang w:val="en-US" w:eastAsia="zh-CN"/>
              </w:rPr>
              <w:t>2</w:t>
            </w:r>
            <w:r>
              <w:rPr>
                <w:b/>
                <w:sz w:val="21"/>
                <w:szCs w:val="24"/>
                <w:highlight w:val="none"/>
              </w:rPr>
              <w:t xml:space="preserve">  双层油罐结构图</w:t>
            </w:r>
          </w:p>
          <w:p>
            <w:pPr>
              <w:adjustRightInd w:val="0"/>
              <w:snapToGrid w:val="0"/>
              <w:spacing w:line="360" w:lineRule="auto"/>
              <w:ind w:firstLine="482"/>
              <w:rPr>
                <w:sz w:val="24"/>
                <w:szCs w:val="24"/>
                <w:highlight w:val="none"/>
              </w:rPr>
            </w:pPr>
            <w:r>
              <w:rPr>
                <w:sz w:val="24"/>
                <w:szCs w:val="24"/>
                <w:highlight w:val="none"/>
              </w:rPr>
              <w:t>油罐内层：采用6mm厚的特种钢板制造，与普通的厚度仅5mm的单层油罐相比，强度大大提高；外层：强化玻璃纤维层，厚度达到2.5mm以上，具有很强的耐腐蚀性、耐电蚀性。在内部钢壳与外部强化玻璃纤维层之间采用专利加工方法，使内外层之间产生0.1mm的空隙，并形成真空层，在人孔附近设置检测立管，并设置油气浓度报警器。即使内壳发生泄露，也能保证油品仅在空隙间流动，不会马上溢出外界污染土壤。</w:t>
            </w:r>
          </w:p>
          <w:p>
            <w:pPr>
              <w:adjustRightInd w:val="0"/>
              <w:snapToGrid w:val="0"/>
              <w:spacing w:line="360" w:lineRule="auto"/>
              <w:ind w:firstLine="482"/>
              <w:rPr>
                <w:sz w:val="24"/>
                <w:szCs w:val="24"/>
                <w:highlight w:val="none"/>
              </w:rPr>
            </w:pPr>
            <w:r>
              <w:rPr>
                <w:sz w:val="24"/>
                <w:szCs w:val="24"/>
                <w:highlight w:val="none"/>
              </w:rPr>
              <w:t>油路管线均采用双层管路，外层进行加强级防腐处理，并设立防泄漏检测立管和油气浓度报警器。</w:t>
            </w:r>
          </w:p>
          <w:p>
            <w:pPr>
              <w:tabs>
                <w:tab w:val="left" w:pos="924"/>
              </w:tabs>
              <w:adjustRightInd w:val="0"/>
              <w:snapToGrid w:val="0"/>
              <w:spacing w:line="360" w:lineRule="auto"/>
              <w:ind w:firstLine="480" w:firstLineChars="200"/>
              <w:rPr>
                <w:rFonts w:hint="eastAsia" w:eastAsia="宋体"/>
                <w:bCs/>
                <w:snapToGrid w:val="0"/>
                <w:kern w:val="0"/>
                <w:sz w:val="24"/>
                <w:szCs w:val="24"/>
                <w:highlight w:val="none"/>
                <w:lang w:eastAsia="zh-CN"/>
              </w:rPr>
            </w:pPr>
            <w:r>
              <w:rPr>
                <w:sz w:val="24"/>
                <w:szCs w:val="24"/>
                <w:highlight w:val="none"/>
              </w:rPr>
              <w:t>由于同时项目采取防渗漏检查孔等渗漏溢出检测设施，可及时发现储油罐渗漏，即使发生泄漏，也在储罐和管线夹层中，不会对地下水造成污染现象</w:t>
            </w:r>
            <w:r>
              <w:rPr>
                <w:rFonts w:hint="eastAsia"/>
                <w:sz w:val="24"/>
                <w:szCs w:val="24"/>
                <w:highlight w:val="none"/>
                <w:lang w:eastAsia="zh-CN"/>
              </w:rPr>
              <w:t>。</w:t>
            </w:r>
          </w:p>
          <w:p>
            <w:pPr>
              <w:tabs>
                <w:tab w:val="left" w:pos="924"/>
              </w:tabs>
              <w:adjustRightInd w:val="0"/>
              <w:snapToGrid w:val="0"/>
              <w:spacing w:line="360" w:lineRule="auto"/>
              <w:ind w:firstLine="480" w:firstLineChars="200"/>
              <w:rPr>
                <w:bCs/>
                <w:snapToGrid w:val="0"/>
                <w:kern w:val="0"/>
                <w:sz w:val="24"/>
                <w:szCs w:val="24"/>
                <w:highlight w:val="none"/>
              </w:rPr>
            </w:pPr>
            <w:r>
              <w:rPr>
                <w:bCs/>
                <w:snapToGrid w:val="0"/>
                <w:kern w:val="0"/>
                <w:sz w:val="24"/>
                <w:szCs w:val="24"/>
                <w:highlight w:val="none"/>
              </w:rPr>
              <w:t>油罐采用内钢外玻璃纤维增强塑料双层储罐，为有效防止废水、油品跑冒滴漏对周围地下水造成不利影响，在油罐区、发油区、管理区设防紧急停机锁存报警器、加油机泄漏低限报警器、储罐超压报警器、储罐液位低限报警器、储罐液位高限报警器、储油罐池渗漏检测报警器等，加油站采取分区防渗措施：</w:t>
            </w:r>
          </w:p>
          <w:p>
            <w:pPr>
              <w:tabs>
                <w:tab w:val="left" w:pos="924"/>
              </w:tabs>
              <w:ind w:firstLine="422" w:firstLineChars="200"/>
              <w:jc w:val="center"/>
              <w:rPr>
                <w:b/>
                <w:snapToGrid w:val="0"/>
                <w:kern w:val="0"/>
                <w:sz w:val="21"/>
                <w:szCs w:val="24"/>
                <w:highlight w:val="none"/>
              </w:rPr>
            </w:pPr>
            <w:r>
              <w:rPr>
                <w:b/>
                <w:snapToGrid w:val="0"/>
                <w:kern w:val="0"/>
                <w:sz w:val="21"/>
                <w:szCs w:val="24"/>
                <w:highlight w:val="none"/>
              </w:rPr>
              <w:t>表</w:t>
            </w:r>
            <w:r>
              <w:rPr>
                <w:rFonts w:hint="eastAsia"/>
                <w:b/>
                <w:snapToGrid w:val="0"/>
                <w:kern w:val="0"/>
                <w:sz w:val="21"/>
                <w:szCs w:val="24"/>
                <w:highlight w:val="none"/>
                <w:lang w:val="en-US" w:eastAsia="zh-CN"/>
              </w:rPr>
              <w:t>3</w:t>
            </w:r>
            <w:r>
              <w:rPr>
                <w:b/>
                <w:snapToGrid w:val="0"/>
                <w:kern w:val="0"/>
                <w:sz w:val="21"/>
                <w:szCs w:val="24"/>
                <w:highlight w:val="none"/>
              </w:rPr>
              <w:t>-</w:t>
            </w:r>
            <w:r>
              <w:rPr>
                <w:rFonts w:hint="eastAsia"/>
                <w:b/>
                <w:snapToGrid w:val="0"/>
                <w:kern w:val="0"/>
                <w:sz w:val="21"/>
                <w:szCs w:val="24"/>
                <w:highlight w:val="none"/>
                <w:lang w:val="en-US" w:eastAsia="zh-CN"/>
              </w:rPr>
              <w:t>2</w:t>
            </w:r>
            <w:r>
              <w:rPr>
                <w:b/>
                <w:snapToGrid w:val="0"/>
                <w:kern w:val="0"/>
                <w:sz w:val="21"/>
                <w:szCs w:val="24"/>
                <w:highlight w:val="none"/>
              </w:rPr>
              <w:t xml:space="preserve"> 项目污染物划分及防渗等级一览表</w:t>
            </w:r>
          </w:p>
          <w:tbl>
            <w:tblPr>
              <w:tblStyle w:val="11"/>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936"/>
              <w:gridCol w:w="5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7" w:type="dxa"/>
                  <w:noWrap w:val="0"/>
                  <w:vAlign w:val="center"/>
                </w:tcPr>
                <w:p>
                  <w:pPr>
                    <w:tabs>
                      <w:tab w:val="left" w:pos="924"/>
                    </w:tabs>
                    <w:adjustRightInd w:val="0"/>
                    <w:snapToGrid w:val="0"/>
                    <w:jc w:val="center"/>
                    <w:rPr>
                      <w:b/>
                      <w:bCs w:val="0"/>
                      <w:snapToGrid w:val="0"/>
                      <w:kern w:val="0"/>
                      <w:sz w:val="21"/>
                      <w:szCs w:val="21"/>
                      <w:highlight w:val="none"/>
                    </w:rPr>
                  </w:pPr>
                  <w:r>
                    <w:rPr>
                      <w:b/>
                      <w:bCs w:val="0"/>
                      <w:snapToGrid w:val="0"/>
                      <w:kern w:val="0"/>
                      <w:sz w:val="21"/>
                      <w:szCs w:val="21"/>
                      <w:highlight w:val="none"/>
                    </w:rPr>
                    <w:t>分区</w:t>
                  </w:r>
                </w:p>
              </w:tc>
              <w:tc>
                <w:tcPr>
                  <w:tcW w:w="1936" w:type="dxa"/>
                  <w:noWrap w:val="0"/>
                  <w:vAlign w:val="center"/>
                </w:tcPr>
                <w:p>
                  <w:pPr>
                    <w:tabs>
                      <w:tab w:val="left" w:pos="924"/>
                    </w:tabs>
                    <w:adjustRightInd w:val="0"/>
                    <w:snapToGrid w:val="0"/>
                    <w:jc w:val="center"/>
                    <w:rPr>
                      <w:b/>
                      <w:bCs w:val="0"/>
                      <w:snapToGrid w:val="0"/>
                      <w:kern w:val="0"/>
                      <w:sz w:val="21"/>
                      <w:szCs w:val="21"/>
                      <w:highlight w:val="none"/>
                    </w:rPr>
                  </w:pPr>
                  <w:r>
                    <w:rPr>
                      <w:b/>
                      <w:bCs w:val="0"/>
                      <w:snapToGrid w:val="0"/>
                      <w:kern w:val="0"/>
                      <w:sz w:val="21"/>
                      <w:szCs w:val="21"/>
                      <w:highlight w:val="none"/>
                    </w:rPr>
                    <w:t>站内分区</w:t>
                  </w:r>
                </w:p>
              </w:tc>
              <w:tc>
                <w:tcPr>
                  <w:tcW w:w="5218" w:type="dxa"/>
                  <w:noWrap w:val="0"/>
                  <w:vAlign w:val="center"/>
                </w:tcPr>
                <w:p>
                  <w:pPr>
                    <w:tabs>
                      <w:tab w:val="left" w:pos="924"/>
                    </w:tabs>
                    <w:adjustRightInd w:val="0"/>
                    <w:snapToGrid w:val="0"/>
                    <w:jc w:val="center"/>
                    <w:rPr>
                      <w:b/>
                      <w:bCs w:val="0"/>
                      <w:snapToGrid w:val="0"/>
                      <w:kern w:val="0"/>
                      <w:sz w:val="21"/>
                      <w:szCs w:val="21"/>
                      <w:highlight w:val="none"/>
                    </w:rPr>
                  </w:pPr>
                  <w:r>
                    <w:rPr>
                      <w:b/>
                      <w:bCs w:val="0"/>
                      <w:snapToGrid w:val="0"/>
                      <w:kern w:val="0"/>
                      <w:sz w:val="21"/>
                      <w:szCs w:val="21"/>
                      <w:highlight w:val="none"/>
                    </w:rPr>
                    <w:t>防渗等级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7" w:type="dxa"/>
                  <w:noWrap w:val="0"/>
                  <w:vAlign w:val="center"/>
                </w:tcPr>
                <w:p>
                  <w:pPr>
                    <w:tabs>
                      <w:tab w:val="left" w:pos="924"/>
                    </w:tabs>
                    <w:adjustRightInd w:val="0"/>
                    <w:snapToGrid w:val="0"/>
                    <w:jc w:val="center"/>
                    <w:rPr>
                      <w:bCs/>
                      <w:snapToGrid w:val="0"/>
                      <w:kern w:val="0"/>
                      <w:sz w:val="21"/>
                      <w:szCs w:val="21"/>
                      <w:highlight w:val="none"/>
                    </w:rPr>
                  </w:pPr>
                  <w:r>
                    <w:rPr>
                      <w:bCs/>
                      <w:snapToGrid w:val="0"/>
                      <w:kern w:val="0"/>
                      <w:sz w:val="21"/>
                      <w:szCs w:val="21"/>
                      <w:highlight w:val="none"/>
                    </w:rPr>
                    <w:t>一般防渗区</w:t>
                  </w:r>
                </w:p>
              </w:tc>
              <w:tc>
                <w:tcPr>
                  <w:tcW w:w="1936" w:type="dxa"/>
                  <w:noWrap w:val="0"/>
                  <w:vAlign w:val="center"/>
                </w:tcPr>
                <w:p>
                  <w:pPr>
                    <w:tabs>
                      <w:tab w:val="left" w:pos="924"/>
                    </w:tabs>
                    <w:adjustRightInd w:val="0"/>
                    <w:snapToGrid w:val="0"/>
                    <w:jc w:val="center"/>
                    <w:rPr>
                      <w:bCs/>
                      <w:snapToGrid w:val="0"/>
                      <w:kern w:val="0"/>
                      <w:sz w:val="21"/>
                      <w:szCs w:val="21"/>
                      <w:highlight w:val="none"/>
                    </w:rPr>
                  </w:pPr>
                  <w:r>
                    <w:rPr>
                      <w:bCs/>
                      <w:snapToGrid w:val="0"/>
                      <w:kern w:val="0"/>
                      <w:sz w:val="21"/>
                      <w:szCs w:val="21"/>
                      <w:highlight w:val="none"/>
                    </w:rPr>
                    <w:t>加油区</w:t>
                  </w:r>
                </w:p>
              </w:tc>
              <w:tc>
                <w:tcPr>
                  <w:tcW w:w="5218" w:type="dxa"/>
                  <w:noWrap w:val="0"/>
                  <w:vAlign w:val="center"/>
                </w:tcPr>
                <w:p>
                  <w:pPr>
                    <w:tabs>
                      <w:tab w:val="left" w:pos="924"/>
                    </w:tabs>
                    <w:adjustRightInd w:val="0"/>
                    <w:snapToGrid w:val="0"/>
                    <w:jc w:val="center"/>
                    <w:rPr>
                      <w:bCs/>
                      <w:snapToGrid w:val="0"/>
                      <w:kern w:val="0"/>
                      <w:sz w:val="21"/>
                      <w:szCs w:val="21"/>
                      <w:highlight w:val="none"/>
                    </w:rPr>
                  </w:pPr>
                  <w:r>
                    <w:rPr>
                      <w:bCs/>
                      <w:snapToGrid w:val="0"/>
                      <w:kern w:val="0"/>
                      <w:sz w:val="21"/>
                      <w:szCs w:val="21"/>
                      <w:highlight w:val="none"/>
                    </w:rPr>
                    <w:t>混凝土硬化，等效黏土防渗层Mb≥1.5m，K≤1×10</w:t>
                  </w:r>
                  <w:r>
                    <w:rPr>
                      <w:bCs/>
                      <w:snapToGrid w:val="0"/>
                      <w:kern w:val="0"/>
                      <w:sz w:val="21"/>
                      <w:szCs w:val="21"/>
                      <w:highlight w:val="none"/>
                      <w:vertAlign w:val="superscript"/>
                    </w:rPr>
                    <w:t>-7</w:t>
                  </w:r>
                  <w:r>
                    <w:rPr>
                      <w:bCs/>
                      <w:snapToGrid w:val="0"/>
                      <w:kern w:val="0"/>
                      <w:sz w:val="21"/>
                      <w:szCs w:val="21"/>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7" w:type="dxa"/>
                  <w:noWrap w:val="0"/>
                  <w:vAlign w:val="center"/>
                </w:tcPr>
                <w:p>
                  <w:pPr>
                    <w:tabs>
                      <w:tab w:val="left" w:pos="924"/>
                    </w:tabs>
                    <w:adjustRightInd w:val="0"/>
                    <w:snapToGrid w:val="0"/>
                    <w:jc w:val="center"/>
                    <w:rPr>
                      <w:bCs/>
                      <w:snapToGrid w:val="0"/>
                      <w:kern w:val="0"/>
                      <w:sz w:val="21"/>
                      <w:szCs w:val="21"/>
                      <w:highlight w:val="none"/>
                    </w:rPr>
                  </w:pPr>
                  <w:r>
                    <w:rPr>
                      <w:bCs/>
                      <w:snapToGrid w:val="0"/>
                      <w:kern w:val="0"/>
                      <w:sz w:val="21"/>
                      <w:szCs w:val="21"/>
                      <w:highlight w:val="none"/>
                    </w:rPr>
                    <w:t>简单防渗区</w:t>
                  </w:r>
                </w:p>
              </w:tc>
              <w:tc>
                <w:tcPr>
                  <w:tcW w:w="1936" w:type="dxa"/>
                  <w:noWrap w:val="0"/>
                  <w:vAlign w:val="center"/>
                </w:tcPr>
                <w:p>
                  <w:pPr>
                    <w:tabs>
                      <w:tab w:val="left" w:pos="924"/>
                    </w:tabs>
                    <w:adjustRightInd w:val="0"/>
                    <w:snapToGrid w:val="0"/>
                    <w:jc w:val="center"/>
                    <w:rPr>
                      <w:bCs/>
                      <w:snapToGrid w:val="0"/>
                      <w:kern w:val="0"/>
                      <w:sz w:val="21"/>
                      <w:szCs w:val="21"/>
                      <w:highlight w:val="none"/>
                    </w:rPr>
                  </w:pPr>
                  <w:r>
                    <w:rPr>
                      <w:bCs/>
                      <w:snapToGrid w:val="0"/>
                      <w:kern w:val="0"/>
                      <w:sz w:val="21"/>
                      <w:szCs w:val="21"/>
                      <w:highlight w:val="none"/>
                    </w:rPr>
                    <w:t>生活区、站房区</w:t>
                  </w:r>
                </w:p>
              </w:tc>
              <w:tc>
                <w:tcPr>
                  <w:tcW w:w="5218" w:type="dxa"/>
                  <w:noWrap w:val="0"/>
                  <w:vAlign w:val="center"/>
                </w:tcPr>
                <w:p>
                  <w:pPr>
                    <w:tabs>
                      <w:tab w:val="left" w:pos="924"/>
                    </w:tabs>
                    <w:adjustRightInd w:val="0"/>
                    <w:snapToGrid w:val="0"/>
                    <w:jc w:val="center"/>
                    <w:rPr>
                      <w:bCs/>
                      <w:snapToGrid w:val="0"/>
                      <w:kern w:val="0"/>
                      <w:sz w:val="21"/>
                      <w:szCs w:val="21"/>
                      <w:highlight w:val="none"/>
                    </w:rPr>
                  </w:pPr>
                  <w:r>
                    <w:rPr>
                      <w:bCs/>
                      <w:snapToGrid w:val="0"/>
                      <w:kern w:val="0"/>
                      <w:sz w:val="21"/>
                      <w:szCs w:val="21"/>
                      <w:highlight w:val="none"/>
                    </w:rPr>
                    <w:t>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97" w:type="dxa"/>
                  <w:noWrap w:val="0"/>
                  <w:vAlign w:val="center"/>
                </w:tcPr>
                <w:p>
                  <w:pPr>
                    <w:tabs>
                      <w:tab w:val="left" w:pos="924"/>
                    </w:tabs>
                    <w:adjustRightInd w:val="0"/>
                    <w:snapToGrid w:val="0"/>
                    <w:jc w:val="center"/>
                    <w:rPr>
                      <w:bCs/>
                      <w:snapToGrid w:val="0"/>
                      <w:kern w:val="0"/>
                      <w:sz w:val="21"/>
                      <w:szCs w:val="21"/>
                      <w:highlight w:val="none"/>
                    </w:rPr>
                  </w:pPr>
                  <w:r>
                    <w:rPr>
                      <w:bCs/>
                      <w:snapToGrid w:val="0"/>
                      <w:kern w:val="0"/>
                      <w:sz w:val="21"/>
                      <w:szCs w:val="21"/>
                      <w:highlight w:val="none"/>
                    </w:rPr>
                    <w:t>重点防渗区</w:t>
                  </w:r>
                </w:p>
              </w:tc>
              <w:tc>
                <w:tcPr>
                  <w:tcW w:w="1936" w:type="dxa"/>
                  <w:noWrap w:val="0"/>
                  <w:vAlign w:val="center"/>
                </w:tcPr>
                <w:p>
                  <w:pPr>
                    <w:tabs>
                      <w:tab w:val="left" w:pos="924"/>
                    </w:tabs>
                    <w:adjustRightInd w:val="0"/>
                    <w:snapToGrid w:val="0"/>
                    <w:jc w:val="center"/>
                    <w:rPr>
                      <w:bCs/>
                      <w:snapToGrid w:val="0"/>
                      <w:kern w:val="0"/>
                      <w:sz w:val="21"/>
                      <w:szCs w:val="21"/>
                      <w:highlight w:val="none"/>
                    </w:rPr>
                  </w:pPr>
                  <w:r>
                    <w:rPr>
                      <w:bCs/>
                      <w:snapToGrid w:val="0"/>
                      <w:kern w:val="0"/>
                      <w:sz w:val="21"/>
                      <w:szCs w:val="21"/>
                      <w:highlight w:val="none"/>
                    </w:rPr>
                    <w:t>储罐区、输油管线</w:t>
                  </w:r>
                </w:p>
              </w:tc>
              <w:tc>
                <w:tcPr>
                  <w:tcW w:w="5218" w:type="dxa"/>
                  <w:noWrap w:val="0"/>
                  <w:vAlign w:val="center"/>
                </w:tcPr>
                <w:p>
                  <w:pPr>
                    <w:tabs>
                      <w:tab w:val="left" w:pos="924"/>
                    </w:tabs>
                    <w:adjustRightInd w:val="0"/>
                    <w:snapToGrid w:val="0"/>
                    <w:jc w:val="center"/>
                    <w:rPr>
                      <w:bCs/>
                      <w:snapToGrid w:val="0"/>
                      <w:kern w:val="0"/>
                      <w:sz w:val="21"/>
                      <w:szCs w:val="21"/>
                      <w:highlight w:val="none"/>
                    </w:rPr>
                  </w:pPr>
                  <w:r>
                    <w:rPr>
                      <w:bCs/>
                      <w:snapToGrid w:val="0"/>
                      <w:kern w:val="0"/>
                      <w:sz w:val="21"/>
                      <w:szCs w:val="21"/>
                      <w:highlight w:val="none"/>
                    </w:rPr>
                    <w:t>储罐采取双层钢制储罐，防渗池采取了一般防渗措施即采用混凝土硬化，等效黏土防渗层Mb≥1.5m，K≤1×10</w:t>
                  </w:r>
                  <w:r>
                    <w:rPr>
                      <w:bCs/>
                      <w:snapToGrid w:val="0"/>
                      <w:kern w:val="0"/>
                      <w:sz w:val="21"/>
                      <w:szCs w:val="21"/>
                      <w:highlight w:val="none"/>
                      <w:vertAlign w:val="superscript"/>
                    </w:rPr>
                    <w:t>-7</w:t>
                  </w:r>
                  <w:r>
                    <w:rPr>
                      <w:bCs/>
                      <w:snapToGrid w:val="0"/>
                      <w:kern w:val="0"/>
                      <w:sz w:val="21"/>
                      <w:szCs w:val="21"/>
                      <w:highlight w:val="none"/>
                    </w:rPr>
                    <w:t>cm/s；输油管线采用双层夹套输油管线</w:t>
                  </w:r>
                </w:p>
              </w:tc>
            </w:tr>
          </w:tbl>
          <w:p>
            <w:pPr>
              <w:tabs>
                <w:tab w:val="left" w:pos="924"/>
              </w:tabs>
              <w:adjustRightInd w:val="0"/>
              <w:snapToGrid w:val="0"/>
              <w:spacing w:line="360" w:lineRule="auto"/>
              <w:ind w:firstLine="480" w:firstLineChars="200"/>
              <w:rPr>
                <w:bCs/>
                <w:snapToGrid w:val="0"/>
                <w:kern w:val="0"/>
                <w:sz w:val="24"/>
                <w:szCs w:val="24"/>
                <w:highlight w:val="none"/>
              </w:rPr>
            </w:pPr>
            <w:r>
              <w:rPr>
                <w:bCs/>
                <w:snapToGrid w:val="0"/>
                <w:kern w:val="0"/>
                <w:sz w:val="24"/>
                <w:szCs w:val="24"/>
                <w:highlight w:val="none"/>
              </w:rPr>
              <w:t>一般防渗区防渗措施：一般防渗区为整个加油区。该防渗区地面应采用抗渗混凝土结构，混凝土强度等级不低于C25，厚度不小于100mm，渗透系数应≤10</w:t>
            </w:r>
            <w:r>
              <w:rPr>
                <w:bCs/>
                <w:snapToGrid w:val="0"/>
                <w:kern w:val="0"/>
                <w:sz w:val="24"/>
                <w:szCs w:val="24"/>
                <w:highlight w:val="none"/>
                <w:vertAlign w:val="superscript"/>
              </w:rPr>
              <w:t>-7</w:t>
            </w:r>
            <w:r>
              <w:rPr>
                <w:bCs/>
                <w:snapToGrid w:val="0"/>
                <w:kern w:val="0"/>
                <w:sz w:val="24"/>
                <w:szCs w:val="24"/>
                <w:highlight w:val="none"/>
              </w:rPr>
              <w:t>cm/s。</w:t>
            </w:r>
          </w:p>
          <w:p>
            <w:pPr>
              <w:tabs>
                <w:tab w:val="left" w:pos="924"/>
              </w:tabs>
              <w:adjustRightInd w:val="0"/>
              <w:snapToGrid w:val="0"/>
              <w:spacing w:line="360" w:lineRule="auto"/>
              <w:ind w:firstLine="480" w:firstLineChars="200"/>
              <w:rPr>
                <w:bCs/>
                <w:snapToGrid w:val="0"/>
                <w:kern w:val="0"/>
                <w:sz w:val="24"/>
                <w:szCs w:val="24"/>
                <w:highlight w:val="none"/>
              </w:rPr>
            </w:pPr>
            <w:r>
              <w:rPr>
                <w:bCs/>
                <w:snapToGrid w:val="0"/>
                <w:kern w:val="0"/>
                <w:sz w:val="24"/>
                <w:szCs w:val="24"/>
                <w:highlight w:val="none"/>
              </w:rPr>
              <w:t>为确保防渗措施的防渗效果，工程施工过程中建设单位应加强施工期的管理，严格按防渗设计要求进行施工，加强防渗措施的日常维护，使防渗措施达到应有的防渗效果。同时应加强生产设施的环保设施的管理，避免废水跑冒滴漏。</w:t>
            </w:r>
          </w:p>
          <w:p>
            <w:pPr>
              <w:tabs>
                <w:tab w:val="left" w:pos="924"/>
              </w:tabs>
              <w:adjustRightInd w:val="0"/>
              <w:snapToGrid w:val="0"/>
              <w:spacing w:line="360" w:lineRule="auto"/>
              <w:ind w:firstLine="480" w:firstLineChars="200"/>
              <w:rPr>
                <w:bCs/>
                <w:snapToGrid w:val="0"/>
                <w:kern w:val="0"/>
                <w:sz w:val="24"/>
                <w:szCs w:val="24"/>
                <w:highlight w:val="none"/>
              </w:rPr>
            </w:pPr>
            <w:r>
              <w:rPr>
                <w:bCs/>
                <w:snapToGrid w:val="0"/>
                <w:kern w:val="0"/>
                <w:sz w:val="24"/>
                <w:szCs w:val="24"/>
                <w:highlight w:val="none"/>
              </w:rPr>
              <w:t>简单防渗区：除重点防渗区、一般防渗区以外的区域只需做一般地面硬化即可，主要指加油站生活区及站房区域。</w:t>
            </w:r>
          </w:p>
          <w:p>
            <w:pPr>
              <w:pStyle w:val="10"/>
              <w:ind w:left="0" w:leftChars="0" w:firstLine="0" w:firstLineChars="0"/>
              <w:jc w:val="center"/>
              <w:rPr>
                <w:highlight w:val="none"/>
                <w:lang w:val="en-US" w:eastAsia="zh-CN"/>
              </w:rPr>
            </w:pPr>
            <w:r>
              <w:rPr>
                <w:highlight w:val="none"/>
              </w:rPr>
              <mc:AlternateContent>
                <mc:Choice Requires="wps">
                  <w:drawing>
                    <wp:anchor distT="0" distB="0" distL="114300" distR="114300" simplePos="0" relativeHeight="294807552" behindDoc="0" locked="0" layoutInCell="1" allowOverlap="1">
                      <wp:simplePos x="0" y="0"/>
                      <wp:positionH relativeFrom="column">
                        <wp:posOffset>242570</wp:posOffset>
                      </wp:positionH>
                      <wp:positionV relativeFrom="paragraph">
                        <wp:posOffset>3901440</wp:posOffset>
                      </wp:positionV>
                      <wp:extent cx="261620" cy="180975"/>
                      <wp:effectExtent l="0" t="0" r="5080" b="9525"/>
                      <wp:wrapNone/>
                      <wp:docPr id="4" name="矩形 4"/>
                      <wp:cNvGraphicFramePr/>
                      <a:graphic xmlns:a="http://schemas.openxmlformats.org/drawingml/2006/main">
                        <a:graphicData uri="http://schemas.microsoft.com/office/word/2010/wordprocessingShape">
                          <wps:wsp>
                            <wps:cNvSpPr/>
                            <wps:spPr>
                              <a:xfrm>
                                <a:off x="0" y="0"/>
                                <a:ext cx="261620" cy="180975"/>
                              </a:xfrm>
                              <a:prstGeom prst="rect">
                                <a:avLst/>
                              </a:prstGeom>
                              <a:solidFill>
                                <a:srgbClr val="00B050">
                                  <a:alpha val="50000"/>
                                </a:srgbClr>
                              </a:solidFill>
                              <a:ln>
                                <a:noFill/>
                              </a:ln>
                            </wps:spPr>
                            <wps:bodyPr upright="1"/>
                          </wps:wsp>
                        </a:graphicData>
                      </a:graphic>
                    </wp:anchor>
                  </w:drawing>
                </mc:Choice>
                <mc:Fallback>
                  <w:pict>
                    <v:rect id="_x0000_s1026" o:spid="_x0000_s1026" o:spt="1" style="position:absolute;left:0pt;margin-left:19.1pt;margin-top:307.2pt;height:14.25pt;width:20.6pt;z-index:294807552;mso-width-relative:page;mso-height-relative:page;" fillcolor="#00B050" filled="t" stroked="f" coordsize="21600,21600" o:gfxdata="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CvsHHZAAAACQEAAA8A&#10;AAAAAAAAAQAgAAAAIgAAAGRycy9kb3ducmV2LnhtbFBLAQIUABQAAAAIAIdO4kBJYPfcpAEAADED&#10;AAAOAAAAAAAAAAEAIAAAACgBAABkcnMvZTJvRG9jLnhtbFBLBQYAAAAABgAGAFkBAAA+BQAAAAA=&#10;">
                      <v:fill on="t" opacity="32768f" focussize="0,0"/>
                      <v:stroke on="f"/>
                      <v:imagedata o:title=""/>
                      <o:lock v:ext="edit" aspectratio="f"/>
                    </v:rect>
                  </w:pict>
                </mc:Fallback>
              </mc:AlternateContent>
            </w:r>
            <w:r>
              <w:rPr>
                <w:highlight w:val="none"/>
              </w:rPr>
              <mc:AlternateContent>
                <mc:Choice Requires="wps">
                  <w:drawing>
                    <wp:anchor distT="0" distB="0" distL="114300" distR="114300" simplePos="0" relativeHeight="294806528" behindDoc="0" locked="0" layoutInCell="1" allowOverlap="1">
                      <wp:simplePos x="0" y="0"/>
                      <wp:positionH relativeFrom="column">
                        <wp:posOffset>233045</wp:posOffset>
                      </wp:positionH>
                      <wp:positionV relativeFrom="paragraph">
                        <wp:posOffset>3653790</wp:posOffset>
                      </wp:positionV>
                      <wp:extent cx="261620" cy="161925"/>
                      <wp:effectExtent l="0" t="0" r="5080" b="9525"/>
                      <wp:wrapNone/>
                      <wp:docPr id="6" name="矩形 6"/>
                      <wp:cNvGraphicFramePr/>
                      <a:graphic xmlns:a="http://schemas.openxmlformats.org/drawingml/2006/main">
                        <a:graphicData uri="http://schemas.microsoft.com/office/word/2010/wordprocessingShape">
                          <wps:wsp>
                            <wps:cNvSpPr/>
                            <wps:spPr>
                              <a:xfrm>
                                <a:off x="0" y="0"/>
                                <a:ext cx="261620" cy="161925"/>
                              </a:xfrm>
                              <a:prstGeom prst="rect">
                                <a:avLst/>
                              </a:prstGeom>
                              <a:solidFill>
                                <a:srgbClr val="92D050">
                                  <a:alpha val="50000"/>
                                </a:srgbClr>
                              </a:solidFill>
                              <a:ln>
                                <a:noFill/>
                              </a:ln>
                            </wps:spPr>
                            <wps:bodyPr upright="1"/>
                          </wps:wsp>
                        </a:graphicData>
                      </a:graphic>
                    </wp:anchor>
                  </w:drawing>
                </mc:Choice>
                <mc:Fallback>
                  <w:pict>
                    <v:rect id="_x0000_s1026" o:spid="_x0000_s1026" o:spt="1" style="position:absolute;left:0pt;margin-left:18.35pt;margin-top:287.7pt;height:12.75pt;width:20.6pt;z-index:294806528;mso-width-relative:page;mso-height-relative:page;" fillcolor="#92D050" filled="t" stroked="f" coordsize="21600,21600" o:gfxdata="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FHSNkAAAAJAQAADwAA&#10;AAAAAAABACAAAAAiAAAAZHJzL2Rvd25yZXYueG1sUEsBAhQAFAAAAAgAh07iQEYocx6jAQAAMQMA&#10;AA4AAAAAAAAAAQAgAAAAKAEAAGRycy9lMm9Eb2MueG1sUEsFBgAAAAAGAAYAWQEAAD0FAAAAAA==&#10;">
                      <v:fill on="t" opacity="32768f" focussize="0,0"/>
                      <v:stroke on="f"/>
                      <v:imagedata o:title=""/>
                      <o:lock v:ext="edit" aspectratio="f"/>
                    </v:rect>
                  </w:pict>
                </mc:Fallback>
              </mc:AlternateContent>
            </w:r>
            <w:r>
              <w:rPr>
                <w:highlight w:val="none"/>
              </w:rPr>
              <mc:AlternateContent>
                <mc:Choice Requires="wps">
                  <w:drawing>
                    <wp:anchor distT="0" distB="0" distL="114300" distR="114300" simplePos="0" relativeHeight="294805504" behindDoc="0" locked="0" layoutInCell="1" allowOverlap="1">
                      <wp:simplePos x="0" y="0"/>
                      <wp:positionH relativeFrom="column">
                        <wp:posOffset>242570</wp:posOffset>
                      </wp:positionH>
                      <wp:positionV relativeFrom="paragraph">
                        <wp:posOffset>3416300</wp:posOffset>
                      </wp:positionV>
                      <wp:extent cx="261620" cy="161925"/>
                      <wp:effectExtent l="0" t="0" r="5080" b="9525"/>
                      <wp:wrapNone/>
                      <wp:docPr id="5" name="矩形 5"/>
                      <wp:cNvGraphicFramePr/>
                      <a:graphic xmlns:a="http://schemas.openxmlformats.org/drawingml/2006/main">
                        <a:graphicData uri="http://schemas.microsoft.com/office/word/2010/wordprocessingShape">
                          <wps:wsp>
                            <wps:cNvSpPr/>
                            <wps:spPr>
                              <a:xfrm>
                                <a:off x="0" y="0"/>
                                <a:ext cx="261620" cy="161925"/>
                              </a:xfrm>
                              <a:prstGeom prst="rect">
                                <a:avLst/>
                              </a:prstGeom>
                              <a:solidFill>
                                <a:srgbClr val="FFC000">
                                  <a:alpha val="50000"/>
                                </a:srgbClr>
                              </a:solidFill>
                              <a:ln>
                                <a:noFill/>
                              </a:ln>
                            </wps:spPr>
                            <wps:bodyPr upright="1"/>
                          </wps:wsp>
                        </a:graphicData>
                      </a:graphic>
                    </wp:anchor>
                  </w:drawing>
                </mc:Choice>
                <mc:Fallback>
                  <w:pict>
                    <v:rect id="_x0000_s1026" o:spid="_x0000_s1026" o:spt="1" style="position:absolute;left:0pt;margin-left:19.1pt;margin-top:269pt;height:12.75pt;width:20.6pt;z-index:294805504;mso-width-relative:page;mso-height-relative:page;" fillcolor="#FFC000" filled="t" stroked="f" coordsize="21600,21600" o:gfxdata="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uSG/ZAAAACQEAAA8A&#10;AAAAAAAAAQAgAAAAIgAAAGRycy9kb3ducmV2LnhtbFBLAQIUABQAAAAIAIdO4kBvUf+RpAEAADED&#10;AAAOAAAAAAAAAAEAIAAAACgBAABkcnMvZTJvRG9jLnhtbFBLBQYAAAAABgAGAFkBAAA+BQAAAAA=&#10;">
                      <v:fill on="t" opacity="32768f" focussize="0,0"/>
                      <v:stroke on="f"/>
                      <v:imagedata o:title=""/>
                      <o:lock v:ext="edit" aspectratio="f"/>
                    </v:rect>
                  </w:pict>
                </mc:Fallback>
              </mc:AlternateContent>
            </w:r>
            <w:r>
              <w:rPr>
                <w:highlight w:val="none"/>
              </w:rPr>
              <mc:AlternateContent>
                <mc:Choice Requires="wps">
                  <w:drawing>
                    <wp:anchor distT="0" distB="0" distL="114300" distR="114300" simplePos="0" relativeHeight="294810624" behindDoc="0" locked="0" layoutInCell="1" allowOverlap="1">
                      <wp:simplePos x="0" y="0"/>
                      <wp:positionH relativeFrom="column">
                        <wp:posOffset>467995</wp:posOffset>
                      </wp:positionH>
                      <wp:positionV relativeFrom="paragraph">
                        <wp:posOffset>3864610</wp:posOffset>
                      </wp:positionV>
                      <wp:extent cx="927735" cy="3892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927735" cy="389255"/>
                              </a:xfrm>
                              <a:prstGeom prst="rect">
                                <a:avLst/>
                              </a:prstGeom>
                              <a:noFill/>
                              <a:ln>
                                <a:noFill/>
                              </a:ln>
                            </wps:spPr>
                            <wps:txbx>
                              <w:txbxContent>
                                <w:p>
                                  <w:pPr>
                                    <w:rPr>
                                      <w:sz w:val="21"/>
                                    </w:rPr>
                                  </w:pPr>
                                  <w:r>
                                    <w:rPr>
                                      <w:rFonts w:hint="eastAsia"/>
                                      <w:sz w:val="21"/>
                                    </w:rPr>
                                    <w:t>简单防渗区</w:t>
                                  </w:r>
                                </w:p>
                              </w:txbxContent>
                            </wps:txbx>
                            <wps:bodyPr upright="1"/>
                          </wps:wsp>
                        </a:graphicData>
                      </a:graphic>
                    </wp:anchor>
                  </w:drawing>
                </mc:Choice>
                <mc:Fallback>
                  <w:pict>
                    <v:shape id="_x0000_s1026" o:spid="_x0000_s1026" o:spt="202" type="#_x0000_t202" style="position:absolute;left:0pt;margin-left:36.85pt;margin-top:304.3pt;height:30.65pt;width:73.05pt;z-index:294810624;mso-width-relative:page;mso-height-relative:page;" filled="f" stroked="f" coordsize="21600,21600" o:gfxdata="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zuiLLXAAAACgEAAA8AAAAAAAAAAQAgAAAAIgAAAGRycy9kb3du&#10;cmV2LnhtbFBLAQIUABQAAAAIAIdO4kCyYbc2jgEAAP8CAAAOAAAAAAAAAAEAIAAAACYBAABkcnMv&#10;ZTJvRG9jLnhtbFBLBQYAAAAABgAGAFkBAAAmBQAAAAA=&#10;">
                      <v:fill on="f" focussize="0,0"/>
                      <v:stroke on="f"/>
                      <v:imagedata o:title=""/>
                      <o:lock v:ext="edit" aspectratio="f"/>
                      <v:textbox>
                        <w:txbxContent>
                          <w:p>
                            <w:pPr>
                              <w:rPr>
                                <w:sz w:val="21"/>
                              </w:rPr>
                            </w:pPr>
                            <w:r>
                              <w:rPr>
                                <w:rFonts w:hint="eastAsia"/>
                                <w:sz w:val="21"/>
                              </w:rPr>
                              <w:t>简单防渗区</w:t>
                            </w:r>
                          </w:p>
                        </w:txbxContent>
                      </v:textbox>
                    </v:shape>
                  </w:pict>
                </mc:Fallback>
              </mc:AlternateContent>
            </w:r>
            <w:r>
              <w:rPr>
                <w:highlight w:val="none"/>
              </w:rPr>
              <mc:AlternateContent>
                <mc:Choice Requires="wps">
                  <w:drawing>
                    <wp:anchor distT="0" distB="0" distL="114300" distR="114300" simplePos="0" relativeHeight="294808576" behindDoc="0" locked="0" layoutInCell="1" allowOverlap="1">
                      <wp:simplePos x="0" y="0"/>
                      <wp:positionH relativeFrom="column">
                        <wp:posOffset>465455</wp:posOffset>
                      </wp:positionH>
                      <wp:positionV relativeFrom="paragraph">
                        <wp:posOffset>3358515</wp:posOffset>
                      </wp:positionV>
                      <wp:extent cx="857885" cy="283210"/>
                      <wp:effectExtent l="0" t="0" r="0" b="0"/>
                      <wp:wrapNone/>
                      <wp:docPr id="1" name="文本框 1"/>
                      <wp:cNvGraphicFramePr/>
                      <a:graphic xmlns:a="http://schemas.openxmlformats.org/drawingml/2006/main">
                        <a:graphicData uri="http://schemas.microsoft.com/office/word/2010/wordprocessingShape">
                          <wps:wsp>
                            <wps:cNvSpPr txBox="1"/>
                            <wps:spPr>
                              <a:xfrm>
                                <a:off x="0" y="0"/>
                                <a:ext cx="857885" cy="283210"/>
                              </a:xfrm>
                              <a:prstGeom prst="rect">
                                <a:avLst/>
                              </a:prstGeom>
                              <a:noFill/>
                              <a:ln>
                                <a:noFill/>
                              </a:ln>
                            </wps:spPr>
                            <wps:txbx>
                              <w:txbxContent>
                                <w:p>
                                  <w:pPr>
                                    <w:rPr>
                                      <w:rFonts w:hint="eastAsia" w:eastAsia="宋体"/>
                                      <w:sz w:val="21"/>
                                      <w:lang w:eastAsia="zh-CN"/>
                                    </w:rPr>
                                  </w:pPr>
                                  <w:r>
                                    <w:rPr>
                                      <w:rFonts w:hint="eastAsia"/>
                                      <w:sz w:val="21"/>
                                    </w:rPr>
                                    <w:t>重点防渗</w:t>
                                  </w:r>
                                  <w:r>
                                    <w:rPr>
                                      <w:rFonts w:hint="eastAsia"/>
                                      <w:sz w:val="21"/>
                                      <w:lang w:eastAsia="zh-CN"/>
                                    </w:rPr>
                                    <w:t>区</w:t>
                                  </w:r>
                                </w:p>
                              </w:txbxContent>
                            </wps:txbx>
                            <wps:bodyPr wrap="square" upright="1">
                              <a:noAutofit/>
                            </wps:bodyPr>
                          </wps:wsp>
                        </a:graphicData>
                      </a:graphic>
                    </wp:anchor>
                  </w:drawing>
                </mc:Choice>
                <mc:Fallback>
                  <w:pict>
                    <v:shape id="_x0000_s1026" o:spid="_x0000_s1026" o:spt="202" type="#_x0000_t202" style="position:absolute;left:0pt;margin-left:36.65pt;margin-top:264.45pt;height:22.3pt;width:67.55pt;z-index:294808576;mso-width-relative:page;mso-height-relative:page;" filled="f" stroked="f" coordsize="21600,21600" o:gfxdata="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1dhIzYAAAACgEAAA8A&#10;AAAAAAAAAQAgAAAAIgAAAGRycy9kb3ducmV2LnhtbFBLAQIUABQAAAAIAIdO4kAMeeNrpQEAACcD&#10;AAAOAAAAAAAAAAEAIAAAACcBAABkcnMvZTJvRG9jLnhtbFBLBQYAAAAABgAGAFkBAAA+BQAAAAA=&#10;">
                      <v:fill on="f" focussize="0,0"/>
                      <v:stroke on="f"/>
                      <v:imagedata o:title=""/>
                      <o:lock v:ext="edit" aspectratio="f"/>
                      <v:textbox>
                        <w:txbxContent>
                          <w:p>
                            <w:pPr>
                              <w:rPr>
                                <w:rFonts w:hint="eastAsia" w:eastAsia="宋体"/>
                                <w:sz w:val="21"/>
                                <w:lang w:eastAsia="zh-CN"/>
                              </w:rPr>
                            </w:pPr>
                            <w:r>
                              <w:rPr>
                                <w:rFonts w:hint="eastAsia"/>
                                <w:sz w:val="21"/>
                              </w:rPr>
                              <w:t>重点防渗</w:t>
                            </w:r>
                            <w:r>
                              <w:rPr>
                                <w:rFonts w:hint="eastAsia"/>
                                <w:sz w:val="21"/>
                                <w:lang w:eastAsia="zh-CN"/>
                              </w:rPr>
                              <w:t>区</w:t>
                            </w:r>
                          </w:p>
                        </w:txbxContent>
                      </v:textbox>
                    </v:shape>
                  </w:pict>
                </mc:Fallback>
              </mc:AlternateContent>
            </w:r>
            <w:r>
              <w:rPr>
                <w:highlight w:val="none"/>
              </w:rPr>
              <mc:AlternateContent>
                <mc:Choice Requires="wps">
                  <w:drawing>
                    <wp:anchor distT="0" distB="0" distL="114300" distR="114300" simplePos="0" relativeHeight="294809600" behindDoc="0" locked="0" layoutInCell="1" allowOverlap="1">
                      <wp:simplePos x="0" y="0"/>
                      <wp:positionH relativeFrom="column">
                        <wp:posOffset>466090</wp:posOffset>
                      </wp:positionH>
                      <wp:positionV relativeFrom="paragraph">
                        <wp:posOffset>3601085</wp:posOffset>
                      </wp:positionV>
                      <wp:extent cx="872490" cy="3460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872490" cy="346075"/>
                              </a:xfrm>
                              <a:prstGeom prst="rect">
                                <a:avLst/>
                              </a:prstGeom>
                              <a:noFill/>
                              <a:ln>
                                <a:noFill/>
                              </a:ln>
                            </wps:spPr>
                            <wps:txbx>
                              <w:txbxContent>
                                <w:p>
                                  <w:pPr>
                                    <w:rPr>
                                      <w:sz w:val="21"/>
                                    </w:rPr>
                                  </w:pPr>
                                  <w:r>
                                    <w:rPr>
                                      <w:rFonts w:hint="eastAsia"/>
                                      <w:sz w:val="21"/>
                                    </w:rPr>
                                    <w:t>一般防渗区</w:t>
                                  </w:r>
                                </w:p>
                              </w:txbxContent>
                            </wps:txbx>
                            <wps:bodyPr upright="1"/>
                          </wps:wsp>
                        </a:graphicData>
                      </a:graphic>
                    </wp:anchor>
                  </w:drawing>
                </mc:Choice>
                <mc:Fallback>
                  <w:pict>
                    <v:shape id="_x0000_s1026" o:spid="_x0000_s1026" o:spt="202" type="#_x0000_t202" style="position:absolute;left:0pt;margin-left:36.7pt;margin-top:283.55pt;height:27.25pt;width:68.7pt;z-index:294809600;mso-width-relative:page;mso-height-relative:page;" filled="f" stroked="f" coordsize="21600,21600" o:gfxdata="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vtE8NcAAAAKAQAADwAAAAAAAAABACAAAAAiAAAAZHJzL2Rv&#10;d25yZXYueG1sUEsBAhQAFAAAAAgAh07iQAJyaIGQAQAA/wIAAA4AAAAAAAAAAQAgAAAAJgEAAGRy&#10;cy9lMm9Eb2MueG1sUEsFBgAAAAAGAAYAWQEAACgFAAAAAA==&#10;">
                      <v:fill on="f" focussize="0,0"/>
                      <v:stroke on="f"/>
                      <v:imagedata o:title=""/>
                      <o:lock v:ext="edit" aspectratio="f"/>
                      <v:textbox>
                        <w:txbxContent>
                          <w:p>
                            <w:pPr>
                              <w:rPr>
                                <w:sz w:val="21"/>
                              </w:rPr>
                            </w:pPr>
                            <w:r>
                              <w:rPr>
                                <w:rFonts w:hint="eastAsia"/>
                                <w:sz w:val="21"/>
                              </w:rPr>
                              <w:t>一般防渗区</w:t>
                            </w:r>
                          </w:p>
                        </w:txbxContent>
                      </v:textbox>
                    </v:shape>
                  </w:pict>
                </mc:Fallback>
              </mc:AlternateContent>
            </w:r>
            <w:r>
              <w:rPr>
                <w:highlight w:val="none"/>
              </w:rPr>
              <mc:AlternateContent>
                <mc:Choice Requires="wps">
                  <w:drawing>
                    <wp:anchor distT="0" distB="0" distL="114300" distR="114300" simplePos="0" relativeHeight="294802432" behindDoc="0" locked="0" layoutInCell="1" allowOverlap="1">
                      <wp:simplePos x="0" y="0"/>
                      <wp:positionH relativeFrom="column">
                        <wp:posOffset>2249170</wp:posOffset>
                      </wp:positionH>
                      <wp:positionV relativeFrom="paragraph">
                        <wp:posOffset>2542540</wp:posOffset>
                      </wp:positionV>
                      <wp:extent cx="819150" cy="468630"/>
                      <wp:effectExtent l="60325" t="192405" r="73025" b="196215"/>
                      <wp:wrapNone/>
                      <wp:docPr id="7" name="矩形 7"/>
                      <wp:cNvGraphicFramePr/>
                      <a:graphic xmlns:a="http://schemas.openxmlformats.org/drawingml/2006/main">
                        <a:graphicData uri="http://schemas.microsoft.com/office/word/2010/wordprocessingShape">
                          <wps:wsp>
                            <wps:cNvSpPr/>
                            <wps:spPr>
                              <a:xfrm rot="-2100000">
                                <a:off x="0" y="0"/>
                                <a:ext cx="819150" cy="468630"/>
                              </a:xfrm>
                              <a:prstGeom prst="rect">
                                <a:avLst/>
                              </a:prstGeom>
                              <a:solidFill>
                                <a:srgbClr val="FFC000">
                                  <a:alpha val="50000"/>
                                </a:srgbClr>
                              </a:solidFill>
                              <a:ln>
                                <a:noFill/>
                              </a:ln>
                            </wps:spPr>
                            <wps:bodyPr upright="1"/>
                          </wps:wsp>
                        </a:graphicData>
                      </a:graphic>
                    </wp:anchor>
                  </w:drawing>
                </mc:Choice>
                <mc:Fallback>
                  <w:pict>
                    <v:rect id="_x0000_s1026" o:spid="_x0000_s1026" o:spt="1" style="position:absolute;left:0pt;margin-left:177.1pt;margin-top:200.2pt;height:36.9pt;width:64.5pt;rotation:-2293760f;z-index:294802432;mso-width-relative:page;mso-height-relative:page;" fillcolor="#FFC000" filled="t" stroked="f" coordsize="21600,21600" o:gfxdata="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w3&#10;KvjaAAAACwEAAA8AAAAAAAAAAQAgAAAAIgAAAGRycy9kb3ducmV2LnhtbFBLAQIUABQAAAAIAIdO&#10;4kAJO4VzrwEAAEADAAAOAAAAAAAAAAEAIAAAACkBAABkcnMvZTJvRG9jLnhtbFBLBQYAAAAABgAG&#10;AFkBAABKBQAAAAA=&#10;">
                      <v:fill on="t" opacity="32768f" focussize="0,0"/>
                      <v:stroke on="f"/>
                      <v:imagedata o:title=""/>
                      <o:lock v:ext="edit" aspectratio="f"/>
                    </v:rect>
                  </w:pict>
                </mc:Fallback>
              </mc:AlternateContent>
            </w:r>
            <w:r>
              <w:rPr>
                <w:highlight w:val="none"/>
              </w:rPr>
              <mc:AlternateContent>
                <mc:Choice Requires="wps">
                  <w:drawing>
                    <wp:anchor distT="0" distB="0" distL="114300" distR="114300" simplePos="0" relativeHeight="294804480" behindDoc="0" locked="0" layoutInCell="1" allowOverlap="1">
                      <wp:simplePos x="0" y="0"/>
                      <wp:positionH relativeFrom="column">
                        <wp:posOffset>1859280</wp:posOffset>
                      </wp:positionH>
                      <wp:positionV relativeFrom="paragraph">
                        <wp:posOffset>2202180</wp:posOffset>
                      </wp:positionV>
                      <wp:extent cx="874395" cy="376555"/>
                      <wp:effectExtent l="29210" t="216535" r="29845" b="226060"/>
                      <wp:wrapNone/>
                      <wp:docPr id="8" name="矩形 8"/>
                      <wp:cNvGraphicFramePr/>
                      <a:graphic xmlns:a="http://schemas.openxmlformats.org/drawingml/2006/main">
                        <a:graphicData uri="http://schemas.microsoft.com/office/word/2010/wordprocessingShape">
                          <wps:wsp>
                            <wps:cNvSpPr/>
                            <wps:spPr>
                              <a:xfrm rot="-2100000">
                                <a:off x="0" y="0"/>
                                <a:ext cx="874395" cy="376555"/>
                              </a:xfrm>
                              <a:prstGeom prst="rect">
                                <a:avLst/>
                              </a:prstGeom>
                              <a:solidFill>
                                <a:srgbClr val="00B050">
                                  <a:alpha val="50000"/>
                                </a:srgbClr>
                              </a:solidFill>
                              <a:ln>
                                <a:noFill/>
                              </a:ln>
                            </wps:spPr>
                            <wps:bodyPr upright="1"/>
                          </wps:wsp>
                        </a:graphicData>
                      </a:graphic>
                    </wp:anchor>
                  </w:drawing>
                </mc:Choice>
                <mc:Fallback>
                  <w:pict>
                    <v:rect id="_x0000_s1026" o:spid="_x0000_s1026" o:spt="1" style="position:absolute;left:0pt;margin-left:146.4pt;margin-top:173.4pt;height:29.65pt;width:68.85pt;rotation:-2293760f;z-index:294804480;mso-width-relative:page;mso-height-relative:page;" fillcolor="#00B050" filled="t" stroked="f" coordsize="21600,21600" o:gfxdata="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6Vp&#10;B9oAAAALAQAADwAAAAAAAAABACAAAAAiAAAAZHJzL2Rvd25yZXYueG1sUEsBAhQAFAAAAAgAh07i&#10;QP1DavyuAQAAQAMAAA4AAAAAAAAAAQAgAAAAKQEAAGRycy9lMm9Eb2MueG1sUEsFBgAAAAAGAAYA&#10;WQEAAEkFAAAAAA==&#10;">
                      <v:fill on="t" opacity="32768f" focussize="0,0"/>
                      <v:stroke on="f"/>
                      <v:imagedata o:title=""/>
                      <o:lock v:ext="edit" aspectratio="f"/>
                    </v:rect>
                  </w:pict>
                </mc:Fallback>
              </mc:AlternateContent>
            </w:r>
            <w:r>
              <w:rPr>
                <w:highlight w:val="none"/>
              </w:rPr>
              <mc:AlternateContent>
                <mc:Choice Requires="wps">
                  <w:drawing>
                    <wp:anchor distT="0" distB="0" distL="114300" distR="114300" simplePos="0" relativeHeight="294803456" behindDoc="0" locked="0" layoutInCell="1" allowOverlap="1">
                      <wp:simplePos x="0" y="0"/>
                      <wp:positionH relativeFrom="column">
                        <wp:posOffset>1112520</wp:posOffset>
                      </wp:positionH>
                      <wp:positionV relativeFrom="paragraph">
                        <wp:posOffset>1038225</wp:posOffset>
                      </wp:positionV>
                      <wp:extent cx="1402080" cy="1286510"/>
                      <wp:effectExtent l="241935" t="285750" r="260985" b="294640"/>
                      <wp:wrapNone/>
                      <wp:docPr id="10" name="矩形 10"/>
                      <wp:cNvGraphicFramePr/>
                      <a:graphic xmlns:a="http://schemas.openxmlformats.org/drawingml/2006/main">
                        <a:graphicData uri="http://schemas.microsoft.com/office/word/2010/wordprocessingShape">
                          <wps:wsp>
                            <wps:cNvSpPr/>
                            <wps:spPr>
                              <a:xfrm rot="-2100000">
                                <a:off x="0" y="0"/>
                                <a:ext cx="1402080" cy="1286510"/>
                              </a:xfrm>
                              <a:prstGeom prst="rect">
                                <a:avLst/>
                              </a:prstGeom>
                              <a:solidFill>
                                <a:srgbClr val="92D050">
                                  <a:alpha val="50000"/>
                                </a:srgbClr>
                              </a:solidFill>
                              <a:ln>
                                <a:noFill/>
                              </a:ln>
                            </wps:spPr>
                            <wps:bodyPr upright="1"/>
                          </wps:wsp>
                        </a:graphicData>
                      </a:graphic>
                    </wp:anchor>
                  </w:drawing>
                </mc:Choice>
                <mc:Fallback>
                  <w:pict>
                    <v:rect id="_x0000_s1026" o:spid="_x0000_s1026" o:spt="1" style="position:absolute;left:0pt;margin-left:87.6pt;margin-top:81.75pt;height:101.3pt;width:110.4pt;rotation:-2293760f;z-index:294803456;mso-width-relative:page;mso-height-relative:page;" fillcolor="#92D050" filled="t" stroked="f" coordsize="21600,21600" o:gfxdata="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TaZdPX&#10;AAAACwEAAA8AAAAAAAAAAQAgAAAAIgAAAGRycy9kb3ducmV2LnhtbFBLAQIUABQAAAAIAIdO4kDB&#10;uCSRrwEAAEQDAAAOAAAAAAAAAAEAIAAAACYBAABkcnMvZTJvRG9jLnhtbFBLBQYAAAAABgAGAFkB&#10;AABHBQAAAAA=&#10;">
                      <v:fill on="t" opacity="32768f" focussize="0,0"/>
                      <v:stroke on="f"/>
                      <v:imagedata o:title=""/>
                      <o:lock v:ext="edit" aspectratio="f"/>
                    </v:rect>
                  </w:pict>
                </mc:Fallback>
              </mc:AlternateContent>
            </w:r>
            <w:r>
              <w:rPr>
                <w:highlight w:val="none"/>
                <w:lang w:val="en-US" w:eastAsia="zh-CN"/>
              </w:rPr>
              <w:drawing>
                <wp:inline distT="0" distB="0" distL="114300" distR="114300">
                  <wp:extent cx="5022215" cy="5525770"/>
                  <wp:effectExtent l="0" t="0" r="6985" b="17780"/>
                  <wp:docPr id="71" name="图片 2" descr="平面布置图"/>
                  <wp:cNvGraphicFramePr/>
                  <a:graphic xmlns:a="http://schemas.openxmlformats.org/drawingml/2006/main">
                    <a:graphicData uri="http://schemas.openxmlformats.org/drawingml/2006/picture">
                      <pic:pic xmlns:pic="http://schemas.openxmlformats.org/drawingml/2006/picture">
                        <pic:nvPicPr>
                          <pic:cNvPr id="71" name="图片 2" descr="平面布置图"/>
                          <pic:cNvPicPr/>
                        </pic:nvPicPr>
                        <pic:blipFill>
                          <a:blip r:embed="rId18"/>
                          <a:srcRect l="7214" t="5463" r="33389" b="4276"/>
                          <a:stretch>
                            <a:fillRect/>
                          </a:stretch>
                        </pic:blipFill>
                        <pic:spPr>
                          <a:xfrm>
                            <a:off x="0" y="0"/>
                            <a:ext cx="5022215" cy="5525770"/>
                          </a:xfrm>
                          <a:prstGeom prst="rect">
                            <a:avLst/>
                          </a:prstGeom>
                          <a:noFill/>
                          <a:ln>
                            <a:noFill/>
                          </a:ln>
                        </pic:spPr>
                      </pic:pic>
                    </a:graphicData>
                  </a:graphic>
                </wp:inline>
              </w:drawing>
            </w:r>
          </w:p>
          <w:p>
            <w:pPr>
              <w:tabs>
                <w:tab w:val="left" w:pos="924"/>
              </w:tabs>
              <w:ind w:firstLine="422" w:firstLineChars="200"/>
              <w:jc w:val="center"/>
              <w:rPr>
                <w:b/>
                <w:snapToGrid w:val="0"/>
                <w:kern w:val="0"/>
                <w:sz w:val="21"/>
                <w:highlight w:val="none"/>
              </w:rPr>
            </w:pPr>
            <w:r>
              <w:rPr>
                <w:b/>
                <w:snapToGrid w:val="0"/>
                <w:kern w:val="0"/>
                <w:sz w:val="21"/>
                <w:highlight w:val="none"/>
              </w:rPr>
              <w:t>图</w:t>
            </w:r>
            <w:r>
              <w:rPr>
                <w:rFonts w:hint="eastAsia"/>
                <w:b/>
                <w:snapToGrid w:val="0"/>
                <w:kern w:val="0"/>
                <w:sz w:val="21"/>
                <w:highlight w:val="none"/>
                <w:lang w:val="en-US" w:eastAsia="zh-CN"/>
              </w:rPr>
              <w:t>3-3</w:t>
            </w:r>
            <w:r>
              <w:rPr>
                <w:b/>
                <w:snapToGrid w:val="0"/>
                <w:kern w:val="0"/>
                <w:sz w:val="21"/>
                <w:highlight w:val="none"/>
              </w:rPr>
              <w:t xml:space="preserve">  项目分区防渗示意图</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0" w:leftChars="0" w:firstLine="0" w:firstLineChars="0"/>
              <w:textAlignment w:val="auto"/>
              <w:rPr>
                <w:rFonts w:hint="eastAsia"/>
                <w:b/>
                <w:sz w:val="24"/>
                <w:highlight w:val="none"/>
                <w:u w:val="none"/>
                <w:lang w:val="en-US" w:eastAsia="zh-CN"/>
              </w:rPr>
            </w:pPr>
            <w:r>
              <w:rPr>
                <w:rFonts w:hint="eastAsia"/>
                <w:b/>
                <w:sz w:val="24"/>
                <w:highlight w:val="none"/>
                <w:u w:val="none"/>
                <w:lang w:val="en-US" w:eastAsia="zh-CN"/>
              </w:rPr>
              <w:t>环保设施投资及“三同时”落实情况</w:t>
            </w:r>
          </w:p>
          <w:p>
            <w:pPr>
              <w:tabs>
                <w:tab w:val="left" w:pos="924"/>
              </w:tabs>
              <w:autoSpaceDE w:val="0"/>
              <w:autoSpaceDN w:val="0"/>
              <w:adjustRightInd w:val="0"/>
              <w:snapToGrid w:val="0"/>
              <w:spacing w:line="360" w:lineRule="auto"/>
              <w:ind w:firstLine="480" w:firstLineChars="200"/>
              <w:rPr>
                <w:b/>
                <w:snapToGrid w:val="0"/>
                <w:kern w:val="0"/>
                <w:sz w:val="21"/>
                <w:szCs w:val="24"/>
                <w:highlight w:val="none"/>
              </w:rPr>
            </w:pPr>
            <w:r>
              <w:rPr>
                <w:snapToGrid w:val="0"/>
                <w:kern w:val="0"/>
                <w:sz w:val="24"/>
                <w:szCs w:val="24"/>
                <w:highlight w:val="none"/>
                <w:lang w:val="zh-CN"/>
              </w:rPr>
              <w:t>项目总投资</w:t>
            </w:r>
            <w:r>
              <w:rPr>
                <w:snapToGrid w:val="0"/>
                <w:kern w:val="0"/>
                <w:sz w:val="24"/>
                <w:szCs w:val="24"/>
                <w:highlight w:val="none"/>
              </w:rPr>
              <w:t>342.71</w:t>
            </w:r>
            <w:r>
              <w:rPr>
                <w:snapToGrid w:val="0"/>
                <w:kern w:val="0"/>
                <w:sz w:val="24"/>
                <w:szCs w:val="24"/>
                <w:highlight w:val="none"/>
                <w:lang w:val="zh-CN"/>
              </w:rPr>
              <w:t>万元，其中环保投资估算</w:t>
            </w:r>
            <w:r>
              <w:rPr>
                <w:rFonts w:hint="eastAsia"/>
                <w:snapToGrid w:val="0"/>
                <w:kern w:val="0"/>
                <w:sz w:val="24"/>
                <w:szCs w:val="24"/>
                <w:highlight w:val="none"/>
              </w:rPr>
              <w:t>7</w:t>
            </w:r>
            <w:r>
              <w:rPr>
                <w:snapToGrid w:val="0"/>
                <w:kern w:val="0"/>
                <w:sz w:val="24"/>
                <w:szCs w:val="24"/>
                <w:highlight w:val="none"/>
              </w:rPr>
              <w:t>7.</w:t>
            </w:r>
            <w:r>
              <w:rPr>
                <w:rFonts w:hint="eastAsia"/>
                <w:snapToGrid w:val="0"/>
                <w:kern w:val="0"/>
                <w:sz w:val="24"/>
                <w:szCs w:val="24"/>
                <w:highlight w:val="none"/>
                <w:lang w:val="en-US" w:eastAsia="zh-CN"/>
              </w:rPr>
              <w:t>8</w:t>
            </w:r>
            <w:r>
              <w:rPr>
                <w:snapToGrid w:val="0"/>
                <w:kern w:val="0"/>
                <w:sz w:val="24"/>
                <w:szCs w:val="24"/>
                <w:highlight w:val="none"/>
              </w:rPr>
              <w:t>万元</w:t>
            </w:r>
            <w:r>
              <w:rPr>
                <w:snapToGrid w:val="0"/>
                <w:kern w:val="0"/>
                <w:sz w:val="24"/>
                <w:szCs w:val="24"/>
                <w:highlight w:val="none"/>
                <w:lang w:val="zh-CN"/>
              </w:rPr>
              <w:t>，占总投资额</w:t>
            </w:r>
            <w:r>
              <w:rPr>
                <w:rFonts w:hint="eastAsia"/>
                <w:snapToGrid w:val="0"/>
                <w:kern w:val="0"/>
                <w:sz w:val="24"/>
                <w:szCs w:val="24"/>
                <w:highlight w:val="none"/>
              </w:rPr>
              <w:t>22.</w:t>
            </w:r>
            <w:r>
              <w:rPr>
                <w:rFonts w:hint="eastAsia"/>
                <w:snapToGrid w:val="0"/>
                <w:kern w:val="0"/>
                <w:sz w:val="24"/>
                <w:szCs w:val="24"/>
                <w:highlight w:val="none"/>
                <w:lang w:val="en-US" w:eastAsia="zh-CN"/>
              </w:rPr>
              <w:t>7</w:t>
            </w:r>
            <w:r>
              <w:rPr>
                <w:snapToGrid w:val="0"/>
                <w:kern w:val="0"/>
                <w:sz w:val="24"/>
                <w:szCs w:val="24"/>
                <w:highlight w:val="none"/>
                <w:lang w:val="zh-CN"/>
              </w:rPr>
              <w:t>%。环保投资</w:t>
            </w:r>
            <w:r>
              <w:rPr>
                <w:rFonts w:hint="eastAsia"/>
                <w:snapToGrid w:val="0"/>
                <w:kern w:val="0"/>
                <w:sz w:val="24"/>
                <w:szCs w:val="24"/>
                <w:highlight w:val="none"/>
                <w:lang w:val="zh-CN"/>
              </w:rPr>
              <w:t>内容见</w:t>
            </w:r>
            <w:r>
              <w:rPr>
                <w:snapToGrid w:val="0"/>
                <w:kern w:val="0"/>
                <w:sz w:val="24"/>
                <w:szCs w:val="24"/>
                <w:highlight w:val="none"/>
                <w:lang w:val="zh-CN"/>
              </w:rPr>
              <w:t>表</w:t>
            </w:r>
            <w:r>
              <w:rPr>
                <w:rFonts w:hint="eastAsia"/>
                <w:snapToGrid w:val="0"/>
                <w:kern w:val="0"/>
                <w:sz w:val="24"/>
                <w:szCs w:val="24"/>
                <w:highlight w:val="none"/>
                <w:lang w:val="en-US" w:eastAsia="zh-CN"/>
              </w:rPr>
              <w:t>3-3，</w:t>
            </w:r>
            <w:r>
              <w:rPr>
                <w:rFonts w:hint="eastAsia"/>
                <w:snapToGrid w:val="0"/>
                <w:kern w:val="0"/>
                <w:sz w:val="24"/>
                <w:szCs w:val="24"/>
                <w:highlight w:val="none"/>
                <w:lang w:eastAsia="zh-CN"/>
              </w:rPr>
              <w:t>环保设施见下图。</w:t>
            </w:r>
          </w:p>
          <w:p>
            <w:pPr>
              <w:tabs>
                <w:tab w:val="left" w:pos="924"/>
              </w:tabs>
              <w:ind w:firstLine="422" w:firstLineChars="200"/>
              <w:jc w:val="center"/>
              <w:rPr>
                <w:b/>
                <w:snapToGrid w:val="0"/>
                <w:kern w:val="0"/>
                <w:sz w:val="21"/>
                <w:szCs w:val="24"/>
                <w:highlight w:val="none"/>
              </w:rPr>
            </w:pPr>
            <w:r>
              <w:rPr>
                <w:b/>
                <w:snapToGrid w:val="0"/>
                <w:kern w:val="0"/>
                <w:sz w:val="21"/>
                <w:szCs w:val="24"/>
                <w:highlight w:val="none"/>
              </w:rPr>
              <w:t>表</w:t>
            </w:r>
            <w:r>
              <w:rPr>
                <w:rFonts w:hint="eastAsia"/>
                <w:b/>
                <w:snapToGrid w:val="0"/>
                <w:kern w:val="0"/>
                <w:sz w:val="21"/>
                <w:szCs w:val="24"/>
                <w:highlight w:val="none"/>
                <w:lang w:val="en-US" w:eastAsia="zh-CN"/>
              </w:rPr>
              <w:t>3-3</w:t>
            </w:r>
            <w:r>
              <w:rPr>
                <w:b/>
                <w:snapToGrid w:val="0"/>
                <w:kern w:val="0"/>
                <w:sz w:val="21"/>
                <w:szCs w:val="24"/>
                <w:highlight w:val="none"/>
              </w:rPr>
              <w:t xml:space="preserve">  环保</w:t>
            </w:r>
            <w:r>
              <w:rPr>
                <w:rFonts w:hint="eastAsia"/>
                <w:b/>
                <w:snapToGrid w:val="0"/>
                <w:kern w:val="0"/>
                <w:sz w:val="21"/>
                <w:szCs w:val="24"/>
                <w:highlight w:val="none"/>
                <w:lang w:eastAsia="zh-CN"/>
              </w:rPr>
              <w:t>设施</w:t>
            </w:r>
            <w:r>
              <w:rPr>
                <w:b/>
                <w:snapToGrid w:val="0"/>
                <w:kern w:val="0"/>
                <w:sz w:val="21"/>
                <w:szCs w:val="24"/>
                <w:highlight w:val="none"/>
              </w:rPr>
              <w:t>投资</w:t>
            </w:r>
            <w:r>
              <w:rPr>
                <w:rFonts w:hint="eastAsia"/>
                <w:b/>
                <w:snapToGrid w:val="0"/>
                <w:kern w:val="0"/>
                <w:sz w:val="21"/>
                <w:szCs w:val="24"/>
                <w:highlight w:val="none"/>
                <w:lang w:eastAsia="zh-CN"/>
              </w:rPr>
              <w:t>落实情况</w:t>
            </w:r>
            <w:r>
              <w:rPr>
                <w:b/>
                <w:snapToGrid w:val="0"/>
                <w:kern w:val="0"/>
                <w:sz w:val="21"/>
                <w:szCs w:val="24"/>
                <w:highlight w:val="none"/>
              </w:rPr>
              <w:t>一览表</w:t>
            </w:r>
          </w:p>
          <w:tbl>
            <w:tblPr>
              <w:tblStyle w:val="11"/>
              <w:tblW w:w="8847"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432"/>
              <w:gridCol w:w="825"/>
              <w:gridCol w:w="2400"/>
              <w:gridCol w:w="770"/>
              <w:gridCol w:w="2220"/>
              <w:gridCol w:w="925"/>
              <w:gridCol w:w="1274"/>
              <w:gridCol w:w="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40" w:hRule="atLeast"/>
                <w:jc w:val="center"/>
              </w:trPr>
              <w:tc>
                <w:tcPr>
                  <w:tcW w:w="432" w:type="dxa"/>
                  <w:noWrap w:val="0"/>
                  <w:vAlign w:val="center"/>
                </w:tcPr>
                <w:p>
                  <w:pPr>
                    <w:widowControl/>
                    <w:adjustRightInd w:val="0"/>
                    <w:snapToGrid w:val="0"/>
                    <w:jc w:val="center"/>
                    <w:rPr>
                      <w:b/>
                      <w:bCs/>
                      <w:snapToGrid w:val="0"/>
                      <w:kern w:val="0"/>
                      <w:sz w:val="21"/>
                      <w:szCs w:val="21"/>
                      <w:highlight w:val="none"/>
                    </w:rPr>
                  </w:pPr>
                  <w:r>
                    <w:rPr>
                      <w:b/>
                      <w:bCs/>
                      <w:snapToGrid w:val="0"/>
                      <w:kern w:val="0"/>
                      <w:sz w:val="21"/>
                      <w:szCs w:val="21"/>
                      <w:highlight w:val="none"/>
                    </w:rPr>
                    <w:t>序号</w:t>
                  </w:r>
                </w:p>
              </w:tc>
              <w:tc>
                <w:tcPr>
                  <w:tcW w:w="825" w:type="dxa"/>
                  <w:noWrap w:val="0"/>
                  <w:vAlign w:val="center"/>
                </w:tcPr>
                <w:p>
                  <w:pPr>
                    <w:widowControl/>
                    <w:adjustRightInd w:val="0"/>
                    <w:snapToGrid w:val="0"/>
                    <w:jc w:val="center"/>
                    <w:rPr>
                      <w:b/>
                      <w:bCs/>
                      <w:snapToGrid w:val="0"/>
                      <w:kern w:val="0"/>
                      <w:sz w:val="21"/>
                      <w:szCs w:val="21"/>
                      <w:highlight w:val="none"/>
                    </w:rPr>
                  </w:pPr>
                  <w:r>
                    <w:rPr>
                      <w:b/>
                      <w:bCs/>
                      <w:snapToGrid w:val="0"/>
                      <w:kern w:val="0"/>
                      <w:sz w:val="21"/>
                      <w:szCs w:val="21"/>
                      <w:highlight w:val="none"/>
                    </w:rPr>
                    <w:t>污染源</w:t>
                  </w:r>
                </w:p>
              </w:tc>
              <w:tc>
                <w:tcPr>
                  <w:tcW w:w="2400" w:type="dxa"/>
                  <w:noWrap w:val="0"/>
                  <w:vAlign w:val="center"/>
                </w:tcPr>
                <w:p>
                  <w:pPr>
                    <w:widowControl/>
                    <w:adjustRightInd w:val="0"/>
                    <w:snapToGrid w:val="0"/>
                    <w:jc w:val="center"/>
                    <w:rPr>
                      <w:b/>
                      <w:bCs/>
                      <w:snapToGrid w:val="0"/>
                      <w:kern w:val="0"/>
                      <w:sz w:val="21"/>
                      <w:szCs w:val="21"/>
                      <w:highlight w:val="none"/>
                    </w:rPr>
                  </w:pPr>
                  <w:r>
                    <w:rPr>
                      <w:rFonts w:hint="eastAsia"/>
                      <w:b/>
                      <w:bCs/>
                      <w:snapToGrid w:val="0"/>
                      <w:kern w:val="0"/>
                      <w:sz w:val="21"/>
                      <w:szCs w:val="21"/>
                      <w:highlight w:val="none"/>
                    </w:rPr>
                    <w:t>环评及批复要求投资内容</w:t>
                  </w:r>
                </w:p>
              </w:tc>
              <w:tc>
                <w:tcPr>
                  <w:tcW w:w="770" w:type="dxa"/>
                  <w:noWrap w:val="0"/>
                  <w:vAlign w:val="center"/>
                </w:tcPr>
                <w:p>
                  <w:pPr>
                    <w:widowControl/>
                    <w:adjustRightInd w:val="0"/>
                    <w:snapToGrid w:val="0"/>
                    <w:jc w:val="center"/>
                    <w:rPr>
                      <w:b/>
                      <w:bCs/>
                      <w:snapToGrid w:val="0"/>
                      <w:kern w:val="0"/>
                      <w:sz w:val="21"/>
                      <w:szCs w:val="21"/>
                      <w:highlight w:val="none"/>
                    </w:rPr>
                  </w:pPr>
                  <w:r>
                    <w:rPr>
                      <w:b/>
                      <w:bCs/>
                      <w:snapToGrid w:val="0"/>
                      <w:kern w:val="0"/>
                      <w:sz w:val="21"/>
                      <w:szCs w:val="21"/>
                      <w:highlight w:val="none"/>
                    </w:rPr>
                    <w:t>环保投资（万元）</w:t>
                  </w:r>
                </w:p>
              </w:tc>
              <w:tc>
                <w:tcPr>
                  <w:tcW w:w="2220" w:type="dxa"/>
                  <w:noWrap w:val="0"/>
                  <w:vAlign w:val="center"/>
                </w:tcPr>
                <w:p>
                  <w:pPr>
                    <w:widowControl/>
                    <w:adjustRightInd w:val="0"/>
                    <w:snapToGrid w:val="0"/>
                    <w:jc w:val="center"/>
                    <w:rPr>
                      <w:b/>
                      <w:bCs/>
                      <w:snapToGrid w:val="0"/>
                      <w:kern w:val="0"/>
                      <w:sz w:val="21"/>
                      <w:szCs w:val="21"/>
                      <w:highlight w:val="none"/>
                    </w:rPr>
                  </w:pPr>
                  <w:r>
                    <w:rPr>
                      <w:rFonts w:hint="default" w:ascii="Times New Roman" w:hAnsi="Times New Roman" w:cs="Times New Roman"/>
                      <w:b/>
                      <w:bCs/>
                      <w:sz w:val="21"/>
                      <w:highlight w:val="none"/>
                    </w:rPr>
                    <w:t>实际环保投资内容</w:t>
                  </w:r>
                </w:p>
              </w:tc>
              <w:tc>
                <w:tcPr>
                  <w:tcW w:w="925" w:type="dxa"/>
                  <w:noWrap w:val="0"/>
                  <w:vAlign w:val="center"/>
                </w:tcPr>
                <w:p>
                  <w:pPr>
                    <w:pStyle w:val="15"/>
                    <w:widowControl w:val="0"/>
                    <w:autoSpaceDE w:val="0"/>
                    <w:autoSpaceDN w:val="0"/>
                    <w:adjustRightInd/>
                    <w:snapToGrid/>
                    <w:spacing w:before="1" w:after="0" w:afterLines="-2147483648"/>
                    <w:ind w:left="82" w:right="70"/>
                    <w:jc w:val="center"/>
                    <w:rPr>
                      <w:b/>
                      <w:bCs/>
                      <w:snapToGrid w:val="0"/>
                      <w:kern w:val="0"/>
                      <w:sz w:val="21"/>
                      <w:szCs w:val="21"/>
                      <w:highlight w:val="none"/>
                    </w:rPr>
                  </w:pPr>
                  <w:r>
                    <w:rPr>
                      <w:rFonts w:hint="default" w:ascii="Times New Roman" w:hAnsi="Times New Roman" w:cs="Times New Roman"/>
                      <w:b/>
                      <w:bCs/>
                      <w:snapToGrid/>
                      <w:kern w:val="0"/>
                      <w:sz w:val="21"/>
                      <w:szCs w:val="22"/>
                      <w:highlight w:val="none"/>
                    </w:rPr>
                    <w:t>实际环保投</w:t>
                  </w:r>
                  <w:r>
                    <w:rPr>
                      <w:rFonts w:hint="default" w:ascii="Times New Roman" w:hAnsi="Times New Roman" w:cs="Times New Roman"/>
                      <w:b/>
                      <w:bCs/>
                      <w:snapToGrid/>
                      <w:kern w:val="0"/>
                      <w:sz w:val="21"/>
                      <w:szCs w:val="22"/>
                      <w:highlight w:val="none"/>
                      <w:lang w:val="en-US" w:eastAsia="zh-CN"/>
                    </w:rPr>
                    <w:t>资</w:t>
                  </w:r>
                  <w:r>
                    <w:rPr>
                      <w:b/>
                      <w:bCs/>
                      <w:snapToGrid w:val="0"/>
                      <w:kern w:val="0"/>
                      <w:sz w:val="21"/>
                      <w:szCs w:val="21"/>
                      <w:highlight w:val="none"/>
                    </w:rPr>
                    <w:t>（</w:t>
                  </w:r>
                  <w:r>
                    <w:rPr>
                      <w:rFonts w:hint="eastAsia"/>
                      <w:b/>
                      <w:bCs/>
                      <w:snapToGrid w:val="0"/>
                      <w:kern w:val="0"/>
                      <w:sz w:val="21"/>
                      <w:szCs w:val="21"/>
                      <w:highlight w:val="none"/>
                      <w:lang w:eastAsia="zh-CN"/>
                    </w:rPr>
                    <w:t>万</w:t>
                  </w:r>
                  <w:r>
                    <w:rPr>
                      <w:b/>
                      <w:bCs/>
                      <w:snapToGrid w:val="0"/>
                      <w:kern w:val="0"/>
                      <w:sz w:val="21"/>
                      <w:szCs w:val="21"/>
                      <w:highlight w:val="none"/>
                    </w:rPr>
                    <w:t>元）</w:t>
                  </w:r>
                </w:p>
              </w:tc>
              <w:tc>
                <w:tcPr>
                  <w:tcW w:w="1275" w:type="dxa"/>
                  <w:gridSpan w:val="2"/>
                  <w:noWrap w:val="0"/>
                  <w:vAlign w:val="center"/>
                </w:tcPr>
                <w:p>
                  <w:pPr>
                    <w:widowControl/>
                    <w:adjustRightInd w:val="0"/>
                    <w:snapToGrid w:val="0"/>
                    <w:jc w:val="center"/>
                    <w:rPr>
                      <w:b/>
                      <w:bCs/>
                      <w:snapToGrid w:val="0"/>
                      <w:kern w:val="0"/>
                      <w:sz w:val="21"/>
                      <w:szCs w:val="21"/>
                      <w:highlight w:val="none"/>
                    </w:rPr>
                  </w:pPr>
                  <w:r>
                    <w:rPr>
                      <w:rFonts w:hint="eastAsia" w:ascii="Times New Roman" w:hAnsi="Times New Roman" w:cs="Times New Roman"/>
                      <w:b/>
                      <w:bCs/>
                      <w:snapToGrid/>
                      <w:kern w:val="0"/>
                      <w:sz w:val="21"/>
                      <w:szCs w:val="22"/>
                      <w:highlight w:val="none"/>
                      <w:lang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40" w:hRule="atLeast"/>
                <w:jc w:val="center"/>
              </w:trPr>
              <w:tc>
                <w:tcPr>
                  <w:tcW w:w="432" w:type="dxa"/>
                  <w:vMerge w:val="restart"/>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废气</w:t>
                  </w:r>
                </w:p>
              </w:tc>
              <w:tc>
                <w:tcPr>
                  <w:tcW w:w="825"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油品储罐区</w:t>
                  </w:r>
                </w:p>
              </w:tc>
              <w:tc>
                <w:tcPr>
                  <w:tcW w:w="2400" w:type="dxa"/>
                  <w:vMerge w:val="restart"/>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安装油气回收装置及其相关配套设施</w:t>
                  </w:r>
                </w:p>
              </w:tc>
              <w:tc>
                <w:tcPr>
                  <w:tcW w:w="770" w:type="dxa"/>
                  <w:vMerge w:val="restart"/>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36.0</w:t>
                  </w:r>
                </w:p>
              </w:tc>
              <w:tc>
                <w:tcPr>
                  <w:tcW w:w="2220" w:type="dxa"/>
                  <w:vMerge w:val="restart"/>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安装油气回收装置及其相关配套设施</w:t>
                  </w:r>
                </w:p>
              </w:tc>
              <w:tc>
                <w:tcPr>
                  <w:tcW w:w="925" w:type="dxa"/>
                  <w:vMerge w:val="restart"/>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36.0</w:t>
                  </w:r>
                </w:p>
              </w:tc>
              <w:tc>
                <w:tcPr>
                  <w:tcW w:w="1275" w:type="dxa"/>
                  <w:gridSpan w:val="2"/>
                  <w:vMerge w:val="restart"/>
                  <w:noWrap w:val="0"/>
                  <w:vAlign w:val="center"/>
                </w:tcPr>
                <w:p>
                  <w:pPr>
                    <w:pStyle w:val="15"/>
                    <w:widowControl w:val="0"/>
                    <w:autoSpaceDE w:val="0"/>
                    <w:autoSpaceDN w:val="0"/>
                    <w:adjustRightInd/>
                    <w:snapToGrid/>
                    <w:spacing w:before="1" w:after="0" w:afterLines="-2147483648"/>
                    <w:ind w:left="82" w:leftChars="0" w:right="70" w:rightChars="0"/>
                    <w:jc w:val="center"/>
                    <w:rPr>
                      <w:snapToGrid w:val="0"/>
                      <w:kern w:val="0"/>
                      <w:sz w:val="21"/>
                      <w:szCs w:val="21"/>
                      <w:highlight w:val="none"/>
                    </w:rPr>
                  </w:pPr>
                  <w:r>
                    <w:rPr>
                      <w:rFonts w:hint="eastAsia" w:ascii="Times New Roman" w:hAnsi="Times New Roman" w:cs="Times New Roman"/>
                      <w:snapToGrid/>
                      <w:kern w:val="0"/>
                      <w:sz w:val="21"/>
                      <w:szCs w:val="22"/>
                      <w:highlight w:val="none"/>
                      <w:lang w:eastAsia="zh-CN"/>
                    </w:rPr>
                    <w:t>满足要求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40" w:hRule="atLeast"/>
                <w:jc w:val="center"/>
              </w:trPr>
              <w:tc>
                <w:tcPr>
                  <w:tcW w:w="432" w:type="dxa"/>
                  <w:vMerge w:val="continue"/>
                  <w:noWrap w:val="0"/>
                  <w:vAlign w:val="center"/>
                </w:tcPr>
                <w:p>
                  <w:pPr>
                    <w:widowControl/>
                    <w:adjustRightInd w:val="0"/>
                    <w:snapToGrid w:val="0"/>
                    <w:jc w:val="center"/>
                    <w:rPr>
                      <w:snapToGrid w:val="0"/>
                      <w:kern w:val="0"/>
                      <w:sz w:val="21"/>
                      <w:szCs w:val="21"/>
                      <w:highlight w:val="none"/>
                    </w:rPr>
                  </w:pPr>
                </w:p>
              </w:tc>
              <w:tc>
                <w:tcPr>
                  <w:tcW w:w="825"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加油区</w:t>
                  </w:r>
                </w:p>
              </w:tc>
              <w:tc>
                <w:tcPr>
                  <w:tcW w:w="2400" w:type="dxa"/>
                  <w:vMerge w:val="continue"/>
                  <w:noWrap w:val="0"/>
                  <w:vAlign w:val="center"/>
                </w:tcPr>
                <w:p>
                  <w:pPr>
                    <w:widowControl/>
                    <w:adjustRightInd w:val="0"/>
                    <w:snapToGrid w:val="0"/>
                    <w:jc w:val="center"/>
                    <w:rPr>
                      <w:snapToGrid w:val="0"/>
                      <w:kern w:val="0"/>
                      <w:sz w:val="21"/>
                      <w:szCs w:val="21"/>
                      <w:highlight w:val="none"/>
                    </w:rPr>
                  </w:pPr>
                </w:p>
              </w:tc>
              <w:tc>
                <w:tcPr>
                  <w:tcW w:w="770" w:type="dxa"/>
                  <w:vMerge w:val="continue"/>
                  <w:noWrap w:val="0"/>
                  <w:vAlign w:val="center"/>
                </w:tcPr>
                <w:p>
                  <w:pPr>
                    <w:widowControl/>
                    <w:adjustRightInd w:val="0"/>
                    <w:snapToGrid w:val="0"/>
                    <w:jc w:val="center"/>
                    <w:rPr>
                      <w:snapToGrid w:val="0"/>
                      <w:kern w:val="0"/>
                      <w:sz w:val="21"/>
                      <w:szCs w:val="21"/>
                      <w:highlight w:val="none"/>
                    </w:rPr>
                  </w:pPr>
                </w:p>
              </w:tc>
              <w:tc>
                <w:tcPr>
                  <w:tcW w:w="2220" w:type="dxa"/>
                  <w:vMerge w:val="continue"/>
                  <w:noWrap w:val="0"/>
                  <w:vAlign w:val="center"/>
                </w:tcPr>
                <w:p>
                  <w:pPr>
                    <w:widowControl/>
                    <w:adjustRightInd w:val="0"/>
                    <w:snapToGrid w:val="0"/>
                    <w:jc w:val="center"/>
                    <w:rPr>
                      <w:snapToGrid w:val="0"/>
                      <w:kern w:val="0"/>
                      <w:sz w:val="21"/>
                      <w:szCs w:val="21"/>
                      <w:highlight w:val="none"/>
                    </w:rPr>
                  </w:pPr>
                </w:p>
              </w:tc>
              <w:tc>
                <w:tcPr>
                  <w:tcW w:w="925" w:type="dxa"/>
                  <w:vMerge w:val="continue"/>
                  <w:noWrap w:val="0"/>
                  <w:vAlign w:val="center"/>
                </w:tcPr>
                <w:p>
                  <w:pPr>
                    <w:widowControl/>
                    <w:adjustRightInd w:val="0"/>
                    <w:snapToGrid w:val="0"/>
                    <w:jc w:val="center"/>
                    <w:rPr>
                      <w:snapToGrid w:val="0"/>
                      <w:kern w:val="0"/>
                      <w:sz w:val="21"/>
                      <w:szCs w:val="21"/>
                      <w:highlight w:val="none"/>
                    </w:rPr>
                  </w:pPr>
                </w:p>
              </w:tc>
              <w:tc>
                <w:tcPr>
                  <w:tcW w:w="1275" w:type="dxa"/>
                  <w:gridSpan w:val="2"/>
                  <w:vMerge w:val="continue"/>
                  <w:noWrap w:val="0"/>
                  <w:vAlign w:val="center"/>
                </w:tcPr>
                <w:p>
                  <w:pPr>
                    <w:widowControl/>
                    <w:adjustRightInd w:val="0"/>
                    <w:snapToGrid w:val="0"/>
                    <w:jc w:val="center"/>
                    <w:rPr>
                      <w:snapToGrid w:val="0"/>
                      <w:kern w:val="0"/>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40" w:hRule="atLeast"/>
                <w:jc w:val="center"/>
              </w:trPr>
              <w:tc>
                <w:tcPr>
                  <w:tcW w:w="432" w:type="dxa"/>
                  <w:vMerge w:val="restart"/>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废水</w:t>
                  </w:r>
                </w:p>
              </w:tc>
              <w:tc>
                <w:tcPr>
                  <w:tcW w:w="825" w:type="dxa"/>
                  <w:vMerge w:val="restart"/>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埋地</w:t>
                  </w:r>
                </w:p>
                <w:p>
                  <w:pPr>
                    <w:widowControl/>
                    <w:adjustRightInd w:val="0"/>
                    <w:snapToGrid w:val="0"/>
                    <w:jc w:val="center"/>
                    <w:rPr>
                      <w:snapToGrid w:val="0"/>
                      <w:kern w:val="0"/>
                      <w:sz w:val="21"/>
                      <w:szCs w:val="21"/>
                      <w:highlight w:val="none"/>
                    </w:rPr>
                  </w:pPr>
                  <w:r>
                    <w:rPr>
                      <w:snapToGrid w:val="0"/>
                      <w:kern w:val="0"/>
                      <w:sz w:val="21"/>
                      <w:szCs w:val="21"/>
                      <w:highlight w:val="none"/>
                    </w:rPr>
                    <w:t>油罐</w:t>
                  </w:r>
                </w:p>
              </w:tc>
              <w:tc>
                <w:tcPr>
                  <w:tcW w:w="240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罐池采取防渗处理</w:t>
                  </w:r>
                </w:p>
              </w:tc>
              <w:tc>
                <w:tcPr>
                  <w:tcW w:w="770" w:type="dxa"/>
                  <w:vMerge w:val="restart"/>
                  <w:noWrap w:val="0"/>
                  <w:vAlign w:val="center"/>
                </w:tcPr>
                <w:p>
                  <w:pPr>
                    <w:widowControl/>
                    <w:adjustRightInd w:val="0"/>
                    <w:snapToGrid w:val="0"/>
                    <w:jc w:val="center"/>
                    <w:rPr>
                      <w:snapToGrid w:val="0"/>
                      <w:kern w:val="0"/>
                      <w:sz w:val="21"/>
                      <w:szCs w:val="21"/>
                      <w:highlight w:val="none"/>
                    </w:rPr>
                  </w:pPr>
                  <w:r>
                    <w:rPr>
                      <w:rFonts w:hint="eastAsia"/>
                      <w:snapToGrid w:val="0"/>
                      <w:kern w:val="0"/>
                      <w:sz w:val="21"/>
                      <w:szCs w:val="21"/>
                      <w:highlight w:val="none"/>
                    </w:rPr>
                    <w:t>2</w:t>
                  </w:r>
                  <w:r>
                    <w:rPr>
                      <w:snapToGrid w:val="0"/>
                      <w:kern w:val="0"/>
                      <w:sz w:val="21"/>
                      <w:szCs w:val="21"/>
                      <w:highlight w:val="none"/>
                    </w:rPr>
                    <w:t>0.0</w:t>
                  </w:r>
                </w:p>
              </w:tc>
              <w:tc>
                <w:tcPr>
                  <w:tcW w:w="222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罐池采取防渗处理</w:t>
                  </w:r>
                </w:p>
              </w:tc>
              <w:tc>
                <w:tcPr>
                  <w:tcW w:w="925" w:type="dxa"/>
                  <w:vMerge w:val="restart"/>
                  <w:noWrap w:val="0"/>
                  <w:vAlign w:val="center"/>
                </w:tcPr>
                <w:p>
                  <w:pPr>
                    <w:widowControl/>
                    <w:adjustRightInd w:val="0"/>
                    <w:snapToGrid w:val="0"/>
                    <w:jc w:val="center"/>
                    <w:rPr>
                      <w:snapToGrid w:val="0"/>
                      <w:kern w:val="0"/>
                      <w:sz w:val="21"/>
                      <w:szCs w:val="21"/>
                      <w:highlight w:val="none"/>
                    </w:rPr>
                  </w:pPr>
                  <w:r>
                    <w:rPr>
                      <w:rFonts w:hint="eastAsia"/>
                      <w:snapToGrid w:val="0"/>
                      <w:kern w:val="0"/>
                      <w:sz w:val="21"/>
                      <w:szCs w:val="21"/>
                      <w:highlight w:val="none"/>
                    </w:rPr>
                    <w:t>2</w:t>
                  </w:r>
                  <w:r>
                    <w:rPr>
                      <w:snapToGrid w:val="0"/>
                      <w:kern w:val="0"/>
                      <w:sz w:val="21"/>
                      <w:szCs w:val="21"/>
                      <w:highlight w:val="none"/>
                    </w:rPr>
                    <w:t>0.0</w:t>
                  </w:r>
                </w:p>
              </w:tc>
              <w:tc>
                <w:tcPr>
                  <w:tcW w:w="1275" w:type="dxa"/>
                  <w:gridSpan w:val="2"/>
                  <w:vMerge w:val="restart"/>
                  <w:noWrap w:val="0"/>
                  <w:vAlign w:val="center"/>
                </w:tcPr>
                <w:p>
                  <w:pPr>
                    <w:pStyle w:val="15"/>
                    <w:widowControl w:val="0"/>
                    <w:autoSpaceDE w:val="0"/>
                    <w:autoSpaceDN w:val="0"/>
                    <w:adjustRightInd/>
                    <w:snapToGrid/>
                    <w:spacing w:before="1" w:after="0" w:afterLines="-2147483648"/>
                    <w:ind w:left="82" w:leftChars="0" w:right="70" w:rightChars="0"/>
                    <w:jc w:val="center"/>
                    <w:rPr>
                      <w:rFonts w:hint="eastAsia"/>
                      <w:snapToGrid w:val="0"/>
                      <w:kern w:val="0"/>
                      <w:sz w:val="21"/>
                      <w:szCs w:val="21"/>
                      <w:highlight w:val="none"/>
                    </w:rPr>
                  </w:pPr>
                  <w:r>
                    <w:rPr>
                      <w:rFonts w:hint="eastAsia" w:ascii="Times New Roman" w:hAnsi="Times New Roman" w:cs="Times New Roman"/>
                      <w:snapToGrid/>
                      <w:kern w:val="0"/>
                      <w:sz w:val="21"/>
                      <w:szCs w:val="22"/>
                      <w:highlight w:val="none"/>
                      <w:lang w:eastAsia="zh-CN"/>
                    </w:rPr>
                    <w:t>满足要求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40" w:hRule="atLeast"/>
                <w:jc w:val="center"/>
              </w:trPr>
              <w:tc>
                <w:tcPr>
                  <w:tcW w:w="432" w:type="dxa"/>
                  <w:vMerge w:val="continue"/>
                  <w:noWrap w:val="0"/>
                  <w:vAlign w:val="center"/>
                </w:tcPr>
                <w:p>
                  <w:pPr>
                    <w:widowControl/>
                    <w:adjustRightInd w:val="0"/>
                    <w:snapToGrid w:val="0"/>
                    <w:jc w:val="center"/>
                    <w:rPr>
                      <w:snapToGrid w:val="0"/>
                      <w:kern w:val="0"/>
                      <w:sz w:val="21"/>
                      <w:szCs w:val="21"/>
                      <w:highlight w:val="none"/>
                    </w:rPr>
                  </w:pPr>
                </w:p>
              </w:tc>
              <w:tc>
                <w:tcPr>
                  <w:tcW w:w="825" w:type="dxa"/>
                  <w:vMerge w:val="continue"/>
                  <w:noWrap w:val="0"/>
                  <w:vAlign w:val="center"/>
                </w:tcPr>
                <w:p>
                  <w:pPr>
                    <w:widowControl/>
                    <w:adjustRightInd w:val="0"/>
                    <w:snapToGrid w:val="0"/>
                    <w:jc w:val="center"/>
                    <w:rPr>
                      <w:snapToGrid w:val="0"/>
                      <w:kern w:val="0"/>
                      <w:sz w:val="21"/>
                      <w:szCs w:val="21"/>
                      <w:highlight w:val="none"/>
                    </w:rPr>
                  </w:pPr>
                </w:p>
              </w:tc>
              <w:tc>
                <w:tcPr>
                  <w:tcW w:w="240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储油罐池渗漏检测报警器</w:t>
                  </w:r>
                </w:p>
              </w:tc>
              <w:tc>
                <w:tcPr>
                  <w:tcW w:w="770" w:type="dxa"/>
                  <w:vMerge w:val="continue"/>
                  <w:noWrap w:val="0"/>
                  <w:vAlign w:val="center"/>
                </w:tcPr>
                <w:p>
                  <w:pPr>
                    <w:widowControl/>
                    <w:adjustRightInd w:val="0"/>
                    <w:snapToGrid w:val="0"/>
                    <w:jc w:val="center"/>
                    <w:rPr>
                      <w:snapToGrid w:val="0"/>
                      <w:kern w:val="0"/>
                      <w:sz w:val="21"/>
                      <w:szCs w:val="21"/>
                      <w:highlight w:val="none"/>
                    </w:rPr>
                  </w:pPr>
                </w:p>
              </w:tc>
              <w:tc>
                <w:tcPr>
                  <w:tcW w:w="222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储油罐池渗漏检测报警器</w:t>
                  </w:r>
                </w:p>
              </w:tc>
              <w:tc>
                <w:tcPr>
                  <w:tcW w:w="925" w:type="dxa"/>
                  <w:vMerge w:val="continue"/>
                  <w:noWrap w:val="0"/>
                  <w:vAlign w:val="center"/>
                </w:tcPr>
                <w:p>
                  <w:pPr>
                    <w:widowControl/>
                    <w:adjustRightInd w:val="0"/>
                    <w:snapToGrid w:val="0"/>
                    <w:jc w:val="center"/>
                    <w:rPr>
                      <w:snapToGrid w:val="0"/>
                      <w:kern w:val="0"/>
                      <w:sz w:val="21"/>
                      <w:szCs w:val="21"/>
                      <w:highlight w:val="none"/>
                    </w:rPr>
                  </w:pPr>
                </w:p>
              </w:tc>
              <w:tc>
                <w:tcPr>
                  <w:tcW w:w="1275" w:type="dxa"/>
                  <w:gridSpan w:val="2"/>
                  <w:vMerge w:val="continue"/>
                  <w:noWrap w:val="0"/>
                  <w:vAlign w:val="center"/>
                </w:tcPr>
                <w:p>
                  <w:pPr>
                    <w:widowControl/>
                    <w:adjustRightInd w:val="0"/>
                    <w:snapToGrid w:val="0"/>
                    <w:jc w:val="center"/>
                    <w:rPr>
                      <w:snapToGrid w:val="0"/>
                      <w:kern w:val="0"/>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234" w:hRule="atLeast"/>
                <w:jc w:val="center"/>
              </w:trPr>
              <w:tc>
                <w:tcPr>
                  <w:tcW w:w="432" w:type="dxa"/>
                  <w:vMerge w:val="continue"/>
                  <w:noWrap w:val="0"/>
                  <w:vAlign w:val="center"/>
                </w:tcPr>
                <w:p>
                  <w:pPr>
                    <w:widowControl/>
                    <w:adjustRightInd w:val="0"/>
                    <w:snapToGrid w:val="0"/>
                    <w:jc w:val="center"/>
                    <w:rPr>
                      <w:snapToGrid w:val="0"/>
                      <w:kern w:val="0"/>
                      <w:sz w:val="21"/>
                      <w:szCs w:val="21"/>
                      <w:highlight w:val="none"/>
                    </w:rPr>
                  </w:pPr>
                </w:p>
              </w:tc>
              <w:tc>
                <w:tcPr>
                  <w:tcW w:w="825" w:type="dxa"/>
                  <w:tcBorders>
                    <w:bottom w:val="single" w:color="auto" w:sz="4" w:space="0"/>
                  </w:tcBorders>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场地冲洗废水</w:t>
                  </w:r>
                </w:p>
              </w:tc>
              <w:tc>
                <w:tcPr>
                  <w:tcW w:w="2400" w:type="dxa"/>
                  <w:tcBorders>
                    <w:bottom w:val="single" w:color="auto" w:sz="4" w:space="0"/>
                  </w:tcBorders>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隔油沉淀池（容积4m</w:t>
                  </w:r>
                  <w:r>
                    <w:rPr>
                      <w:snapToGrid w:val="0"/>
                      <w:kern w:val="0"/>
                      <w:sz w:val="21"/>
                      <w:szCs w:val="21"/>
                      <w:highlight w:val="none"/>
                      <w:vertAlign w:val="superscript"/>
                    </w:rPr>
                    <w:t>3</w:t>
                  </w:r>
                  <w:r>
                    <w:rPr>
                      <w:snapToGrid w:val="0"/>
                      <w:kern w:val="0"/>
                      <w:sz w:val="21"/>
                      <w:szCs w:val="21"/>
                      <w:highlight w:val="none"/>
                    </w:rPr>
                    <w:t>）</w:t>
                  </w:r>
                </w:p>
              </w:tc>
              <w:tc>
                <w:tcPr>
                  <w:tcW w:w="770" w:type="dxa"/>
                  <w:vMerge w:val="restart"/>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1.5</w:t>
                  </w:r>
                </w:p>
              </w:tc>
              <w:tc>
                <w:tcPr>
                  <w:tcW w:w="2220" w:type="dxa"/>
                  <w:tcBorders>
                    <w:bottom w:val="single" w:color="auto" w:sz="4" w:space="0"/>
                  </w:tcBorders>
                  <w:noWrap w:val="0"/>
                  <w:vAlign w:val="center"/>
                </w:tcPr>
                <w:p>
                  <w:pPr>
                    <w:widowControl/>
                    <w:adjustRightInd w:val="0"/>
                    <w:snapToGrid w:val="0"/>
                    <w:jc w:val="center"/>
                    <w:rPr>
                      <w:rFonts w:hint="eastAsia" w:eastAsia="宋体"/>
                      <w:snapToGrid w:val="0"/>
                      <w:kern w:val="0"/>
                      <w:sz w:val="21"/>
                      <w:szCs w:val="21"/>
                      <w:highlight w:val="none"/>
                      <w:lang w:eastAsia="zh-CN"/>
                    </w:rPr>
                  </w:pPr>
                  <w:r>
                    <w:rPr>
                      <w:snapToGrid w:val="0"/>
                      <w:kern w:val="0"/>
                      <w:sz w:val="21"/>
                      <w:szCs w:val="21"/>
                      <w:highlight w:val="none"/>
                    </w:rPr>
                    <w:t>隔油沉淀池（容积4m</w:t>
                  </w:r>
                  <w:r>
                    <w:rPr>
                      <w:snapToGrid w:val="0"/>
                      <w:kern w:val="0"/>
                      <w:sz w:val="21"/>
                      <w:szCs w:val="21"/>
                      <w:highlight w:val="none"/>
                      <w:vertAlign w:val="superscript"/>
                    </w:rPr>
                    <w:t>3</w:t>
                  </w:r>
                  <w:r>
                    <w:rPr>
                      <w:snapToGrid w:val="0"/>
                      <w:kern w:val="0"/>
                      <w:sz w:val="21"/>
                      <w:szCs w:val="21"/>
                      <w:highlight w:val="none"/>
                    </w:rPr>
                    <w:t>）</w:t>
                  </w:r>
                </w:p>
              </w:tc>
              <w:tc>
                <w:tcPr>
                  <w:tcW w:w="925" w:type="dxa"/>
                  <w:vMerge w:val="restart"/>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1.5</w:t>
                  </w:r>
                </w:p>
              </w:tc>
              <w:tc>
                <w:tcPr>
                  <w:tcW w:w="1275" w:type="dxa"/>
                  <w:gridSpan w:val="2"/>
                  <w:vMerge w:val="restart"/>
                  <w:noWrap w:val="0"/>
                  <w:vAlign w:val="center"/>
                </w:tcPr>
                <w:p>
                  <w:pPr>
                    <w:widowControl/>
                    <w:adjustRightInd w:val="0"/>
                    <w:snapToGrid w:val="0"/>
                    <w:jc w:val="center"/>
                    <w:rPr>
                      <w:snapToGrid w:val="0"/>
                      <w:kern w:val="0"/>
                      <w:sz w:val="21"/>
                      <w:szCs w:val="21"/>
                      <w:highlight w:val="none"/>
                    </w:rPr>
                  </w:pPr>
                  <w:r>
                    <w:rPr>
                      <w:rFonts w:hint="eastAsia" w:ascii="Times New Roman" w:hAnsi="Times New Roman" w:cs="Times New Roman"/>
                      <w:snapToGrid/>
                      <w:kern w:val="0"/>
                      <w:sz w:val="21"/>
                      <w:szCs w:val="22"/>
                      <w:highlight w:val="none"/>
                      <w:lang w:eastAsia="zh-CN"/>
                    </w:rPr>
                    <w:t>满足要求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121" w:hRule="atLeast"/>
                <w:jc w:val="center"/>
              </w:trPr>
              <w:tc>
                <w:tcPr>
                  <w:tcW w:w="432" w:type="dxa"/>
                  <w:vMerge w:val="continue"/>
                  <w:noWrap w:val="0"/>
                  <w:vAlign w:val="center"/>
                </w:tcPr>
                <w:p>
                  <w:pPr>
                    <w:widowControl/>
                    <w:adjustRightInd w:val="0"/>
                    <w:snapToGrid w:val="0"/>
                    <w:jc w:val="center"/>
                    <w:rPr>
                      <w:snapToGrid w:val="0"/>
                      <w:kern w:val="0"/>
                      <w:sz w:val="21"/>
                      <w:szCs w:val="21"/>
                      <w:highlight w:val="none"/>
                    </w:rPr>
                  </w:pPr>
                </w:p>
              </w:tc>
              <w:tc>
                <w:tcPr>
                  <w:tcW w:w="825" w:type="dxa"/>
                  <w:tcBorders>
                    <w:top w:val="single" w:color="auto" w:sz="4" w:space="0"/>
                  </w:tcBorders>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场地</w:t>
                  </w:r>
                </w:p>
                <w:p>
                  <w:pPr>
                    <w:widowControl/>
                    <w:adjustRightInd w:val="0"/>
                    <w:snapToGrid w:val="0"/>
                    <w:jc w:val="center"/>
                    <w:rPr>
                      <w:snapToGrid w:val="0"/>
                      <w:kern w:val="0"/>
                      <w:sz w:val="21"/>
                      <w:szCs w:val="21"/>
                      <w:highlight w:val="none"/>
                    </w:rPr>
                  </w:pPr>
                  <w:r>
                    <w:rPr>
                      <w:snapToGrid w:val="0"/>
                      <w:kern w:val="0"/>
                      <w:sz w:val="21"/>
                      <w:szCs w:val="21"/>
                      <w:highlight w:val="none"/>
                    </w:rPr>
                    <w:t>雨水</w:t>
                  </w:r>
                </w:p>
              </w:tc>
              <w:tc>
                <w:tcPr>
                  <w:tcW w:w="2400" w:type="dxa"/>
                  <w:tcBorders>
                    <w:top w:val="single" w:color="auto" w:sz="4" w:space="0"/>
                  </w:tcBorders>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雨水收集沟槽</w:t>
                  </w:r>
                </w:p>
              </w:tc>
              <w:tc>
                <w:tcPr>
                  <w:tcW w:w="770" w:type="dxa"/>
                  <w:vMerge w:val="continue"/>
                  <w:noWrap w:val="0"/>
                  <w:vAlign w:val="center"/>
                </w:tcPr>
                <w:p>
                  <w:pPr>
                    <w:widowControl/>
                    <w:adjustRightInd w:val="0"/>
                    <w:snapToGrid w:val="0"/>
                    <w:jc w:val="center"/>
                    <w:rPr>
                      <w:snapToGrid w:val="0"/>
                      <w:kern w:val="0"/>
                      <w:sz w:val="21"/>
                      <w:szCs w:val="21"/>
                      <w:highlight w:val="none"/>
                    </w:rPr>
                  </w:pPr>
                </w:p>
              </w:tc>
              <w:tc>
                <w:tcPr>
                  <w:tcW w:w="2220" w:type="dxa"/>
                  <w:tcBorders>
                    <w:top w:val="single" w:color="auto" w:sz="4" w:space="0"/>
                  </w:tcBorders>
                  <w:noWrap w:val="0"/>
                  <w:vAlign w:val="center"/>
                </w:tcPr>
                <w:p>
                  <w:pPr>
                    <w:widowControl/>
                    <w:adjustRightInd w:val="0"/>
                    <w:snapToGrid w:val="0"/>
                    <w:jc w:val="center"/>
                    <w:rPr>
                      <w:rFonts w:hint="eastAsia"/>
                      <w:snapToGrid w:val="0"/>
                      <w:kern w:val="0"/>
                      <w:sz w:val="21"/>
                      <w:szCs w:val="21"/>
                      <w:highlight w:val="none"/>
                      <w:lang w:val="en-US" w:eastAsia="zh-CN"/>
                    </w:rPr>
                  </w:pPr>
                  <w:r>
                    <w:rPr>
                      <w:snapToGrid w:val="0"/>
                      <w:kern w:val="0"/>
                      <w:sz w:val="21"/>
                      <w:szCs w:val="21"/>
                      <w:highlight w:val="none"/>
                    </w:rPr>
                    <w:t>雨水收集沟槽、隔油池</w:t>
                  </w:r>
                </w:p>
              </w:tc>
              <w:tc>
                <w:tcPr>
                  <w:tcW w:w="925" w:type="dxa"/>
                  <w:vMerge w:val="continue"/>
                  <w:noWrap w:val="0"/>
                  <w:vAlign w:val="center"/>
                </w:tcPr>
                <w:p>
                  <w:pPr>
                    <w:widowControl/>
                    <w:adjustRightInd w:val="0"/>
                    <w:snapToGrid w:val="0"/>
                    <w:jc w:val="center"/>
                    <w:rPr>
                      <w:snapToGrid w:val="0"/>
                      <w:kern w:val="0"/>
                      <w:sz w:val="21"/>
                      <w:szCs w:val="21"/>
                      <w:highlight w:val="none"/>
                    </w:rPr>
                  </w:pPr>
                </w:p>
              </w:tc>
              <w:tc>
                <w:tcPr>
                  <w:tcW w:w="1275" w:type="dxa"/>
                  <w:gridSpan w:val="2"/>
                  <w:vMerge w:val="continue"/>
                  <w:noWrap w:val="0"/>
                  <w:vAlign w:val="center"/>
                </w:tcPr>
                <w:p>
                  <w:pPr>
                    <w:widowControl/>
                    <w:adjustRightInd w:val="0"/>
                    <w:snapToGrid w:val="0"/>
                    <w:jc w:val="center"/>
                    <w:rPr>
                      <w:snapToGrid w:val="0"/>
                      <w:kern w:val="0"/>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40" w:hRule="atLeast"/>
                <w:jc w:val="center"/>
              </w:trPr>
              <w:tc>
                <w:tcPr>
                  <w:tcW w:w="432" w:type="dxa"/>
                  <w:vMerge w:val="restart"/>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固废</w:t>
                  </w:r>
                </w:p>
              </w:tc>
              <w:tc>
                <w:tcPr>
                  <w:tcW w:w="825"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生活</w:t>
                  </w:r>
                </w:p>
                <w:p>
                  <w:pPr>
                    <w:widowControl/>
                    <w:adjustRightInd w:val="0"/>
                    <w:snapToGrid w:val="0"/>
                    <w:jc w:val="center"/>
                    <w:rPr>
                      <w:snapToGrid w:val="0"/>
                      <w:kern w:val="0"/>
                      <w:sz w:val="21"/>
                      <w:szCs w:val="21"/>
                      <w:highlight w:val="none"/>
                    </w:rPr>
                  </w:pPr>
                  <w:r>
                    <w:rPr>
                      <w:snapToGrid w:val="0"/>
                      <w:kern w:val="0"/>
                      <w:sz w:val="21"/>
                      <w:szCs w:val="21"/>
                      <w:highlight w:val="none"/>
                    </w:rPr>
                    <w:t>垃圾</w:t>
                  </w:r>
                </w:p>
              </w:tc>
              <w:tc>
                <w:tcPr>
                  <w:tcW w:w="240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垃圾桶</w:t>
                  </w:r>
                </w:p>
              </w:tc>
              <w:tc>
                <w:tcPr>
                  <w:tcW w:w="77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0.1</w:t>
                  </w:r>
                </w:p>
              </w:tc>
              <w:tc>
                <w:tcPr>
                  <w:tcW w:w="222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垃圾桶</w:t>
                  </w:r>
                </w:p>
              </w:tc>
              <w:tc>
                <w:tcPr>
                  <w:tcW w:w="925"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0.1</w:t>
                  </w:r>
                </w:p>
              </w:tc>
              <w:tc>
                <w:tcPr>
                  <w:tcW w:w="1275" w:type="dxa"/>
                  <w:gridSpan w:val="2"/>
                  <w:noWrap w:val="0"/>
                  <w:vAlign w:val="center"/>
                </w:tcPr>
                <w:p>
                  <w:pPr>
                    <w:pStyle w:val="15"/>
                    <w:widowControl w:val="0"/>
                    <w:autoSpaceDE w:val="0"/>
                    <w:autoSpaceDN w:val="0"/>
                    <w:adjustRightInd/>
                    <w:snapToGrid/>
                    <w:spacing w:before="1" w:after="0" w:afterLines="-2147483648"/>
                    <w:ind w:left="82" w:leftChars="0" w:right="70" w:rightChars="0"/>
                    <w:jc w:val="center"/>
                    <w:rPr>
                      <w:snapToGrid w:val="0"/>
                      <w:kern w:val="0"/>
                      <w:sz w:val="21"/>
                      <w:szCs w:val="21"/>
                      <w:highlight w:val="none"/>
                    </w:rPr>
                  </w:pPr>
                  <w:r>
                    <w:rPr>
                      <w:rFonts w:hint="eastAsia" w:ascii="Times New Roman" w:hAnsi="Times New Roman" w:cs="Times New Roman"/>
                      <w:snapToGrid/>
                      <w:kern w:val="0"/>
                      <w:sz w:val="21"/>
                      <w:szCs w:val="22"/>
                      <w:highlight w:val="none"/>
                      <w:lang w:eastAsia="zh-CN"/>
                    </w:rPr>
                    <w:t>满足要求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40" w:hRule="atLeast"/>
                <w:jc w:val="center"/>
              </w:trPr>
              <w:tc>
                <w:tcPr>
                  <w:tcW w:w="432" w:type="dxa"/>
                  <w:vMerge w:val="continue"/>
                  <w:noWrap w:val="0"/>
                  <w:vAlign w:val="center"/>
                </w:tcPr>
                <w:p>
                  <w:pPr>
                    <w:widowControl/>
                    <w:adjustRightInd w:val="0"/>
                    <w:snapToGrid w:val="0"/>
                    <w:jc w:val="center"/>
                    <w:rPr>
                      <w:snapToGrid w:val="0"/>
                      <w:kern w:val="0"/>
                      <w:sz w:val="21"/>
                      <w:szCs w:val="21"/>
                      <w:highlight w:val="none"/>
                    </w:rPr>
                  </w:pPr>
                </w:p>
              </w:tc>
              <w:tc>
                <w:tcPr>
                  <w:tcW w:w="825"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危废</w:t>
                  </w:r>
                </w:p>
              </w:tc>
              <w:tc>
                <w:tcPr>
                  <w:tcW w:w="240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设立防渗危废暂存间，并送有资质单位处理</w:t>
                  </w:r>
                </w:p>
              </w:tc>
              <w:tc>
                <w:tcPr>
                  <w:tcW w:w="77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3.0</w:t>
                  </w:r>
                </w:p>
              </w:tc>
              <w:tc>
                <w:tcPr>
                  <w:tcW w:w="222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设立防渗危废暂存间，并</w:t>
                  </w:r>
                  <w:r>
                    <w:rPr>
                      <w:rFonts w:hint="eastAsia"/>
                      <w:snapToGrid w:val="0"/>
                      <w:kern w:val="0"/>
                      <w:sz w:val="21"/>
                      <w:szCs w:val="21"/>
                      <w:highlight w:val="none"/>
                      <w:lang w:eastAsia="zh-CN"/>
                    </w:rPr>
                    <w:t>由</w:t>
                  </w:r>
                  <w:r>
                    <w:rPr>
                      <w:rFonts w:hint="eastAsia"/>
                      <w:snapToGrid w:val="0"/>
                      <w:kern w:val="0"/>
                      <w:sz w:val="21"/>
                      <w:szCs w:val="21"/>
                      <w:highlight w:val="none"/>
                    </w:rPr>
                    <w:t>陕西明瑞资源再生有限公司</w:t>
                  </w:r>
                  <w:r>
                    <w:rPr>
                      <w:snapToGrid w:val="0"/>
                      <w:kern w:val="0"/>
                      <w:sz w:val="21"/>
                      <w:szCs w:val="21"/>
                      <w:highlight w:val="none"/>
                    </w:rPr>
                    <w:t>处理</w:t>
                  </w:r>
                </w:p>
              </w:tc>
              <w:tc>
                <w:tcPr>
                  <w:tcW w:w="925"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3.0</w:t>
                  </w:r>
                </w:p>
              </w:tc>
              <w:tc>
                <w:tcPr>
                  <w:tcW w:w="1275" w:type="dxa"/>
                  <w:gridSpan w:val="2"/>
                  <w:noWrap w:val="0"/>
                  <w:vAlign w:val="center"/>
                </w:tcPr>
                <w:p>
                  <w:pPr>
                    <w:pStyle w:val="15"/>
                    <w:widowControl w:val="0"/>
                    <w:tabs>
                      <w:tab w:val="left" w:pos="454"/>
                    </w:tabs>
                    <w:autoSpaceDE w:val="0"/>
                    <w:autoSpaceDN w:val="0"/>
                    <w:adjustRightInd/>
                    <w:snapToGrid/>
                    <w:spacing w:before="1" w:after="0" w:afterLines="-2147483648"/>
                    <w:ind w:left="82" w:leftChars="0" w:right="70" w:rightChars="0"/>
                    <w:jc w:val="center"/>
                    <w:rPr>
                      <w:snapToGrid w:val="0"/>
                      <w:kern w:val="0"/>
                      <w:sz w:val="21"/>
                      <w:szCs w:val="21"/>
                      <w:highlight w:val="none"/>
                    </w:rPr>
                  </w:pPr>
                  <w:r>
                    <w:rPr>
                      <w:rFonts w:hint="eastAsia" w:ascii="Times New Roman" w:hAnsi="Times New Roman" w:cs="Times New Roman"/>
                      <w:snapToGrid/>
                      <w:kern w:val="0"/>
                      <w:sz w:val="21"/>
                      <w:szCs w:val="22"/>
                      <w:highlight w:val="none"/>
                      <w:lang w:eastAsia="zh-CN"/>
                    </w:rPr>
                    <w:t>满足要求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40" w:hRule="atLeast"/>
                <w:jc w:val="center"/>
              </w:trPr>
              <w:tc>
                <w:tcPr>
                  <w:tcW w:w="432"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噪声</w:t>
                  </w:r>
                </w:p>
              </w:tc>
              <w:tc>
                <w:tcPr>
                  <w:tcW w:w="825"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泵类</w:t>
                  </w:r>
                </w:p>
              </w:tc>
              <w:tc>
                <w:tcPr>
                  <w:tcW w:w="240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选用低噪声设备，置于地下，安装减振垫</w:t>
                  </w:r>
                </w:p>
              </w:tc>
              <w:tc>
                <w:tcPr>
                  <w:tcW w:w="77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计入主体</w:t>
                  </w:r>
                </w:p>
              </w:tc>
              <w:tc>
                <w:tcPr>
                  <w:tcW w:w="222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选用低噪声设备，置于地下，安装减振垫</w:t>
                  </w:r>
                </w:p>
              </w:tc>
              <w:tc>
                <w:tcPr>
                  <w:tcW w:w="925"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计入主体</w:t>
                  </w:r>
                </w:p>
              </w:tc>
              <w:tc>
                <w:tcPr>
                  <w:tcW w:w="1275" w:type="dxa"/>
                  <w:gridSpan w:val="2"/>
                  <w:noWrap w:val="0"/>
                  <w:vAlign w:val="center"/>
                </w:tcPr>
                <w:p>
                  <w:pPr>
                    <w:pStyle w:val="15"/>
                    <w:widowControl w:val="0"/>
                    <w:autoSpaceDE w:val="0"/>
                    <w:autoSpaceDN w:val="0"/>
                    <w:adjustRightInd/>
                    <w:snapToGrid/>
                    <w:spacing w:before="1" w:after="0" w:afterLines="-2147483648"/>
                    <w:ind w:left="82" w:leftChars="0" w:right="70" w:rightChars="0"/>
                    <w:jc w:val="center"/>
                    <w:rPr>
                      <w:snapToGrid w:val="0"/>
                      <w:kern w:val="0"/>
                      <w:sz w:val="21"/>
                      <w:szCs w:val="21"/>
                      <w:highlight w:val="none"/>
                    </w:rPr>
                  </w:pPr>
                  <w:r>
                    <w:rPr>
                      <w:rFonts w:hint="eastAsia" w:ascii="Times New Roman" w:hAnsi="Times New Roman" w:cs="Times New Roman"/>
                      <w:snapToGrid/>
                      <w:kern w:val="0"/>
                      <w:sz w:val="21"/>
                      <w:szCs w:val="22"/>
                      <w:highlight w:val="none"/>
                      <w:lang w:eastAsia="zh-CN"/>
                    </w:rPr>
                    <w:t>满足要求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gridAfter w:val="1"/>
                <w:wAfter w:w="1" w:type="dxa"/>
                <w:trHeight w:val="340" w:hRule="atLeast"/>
                <w:jc w:val="center"/>
              </w:trPr>
              <w:tc>
                <w:tcPr>
                  <w:tcW w:w="1257" w:type="dxa"/>
                  <w:gridSpan w:val="2"/>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生态保护</w:t>
                  </w:r>
                </w:p>
              </w:tc>
              <w:tc>
                <w:tcPr>
                  <w:tcW w:w="240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绿化</w:t>
                  </w:r>
                </w:p>
              </w:tc>
              <w:tc>
                <w:tcPr>
                  <w:tcW w:w="770" w:type="dxa"/>
                  <w:noWrap w:val="0"/>
                  <w:vAlign w:val="center"/>
                </w:tcPr>
                <w:p>
                  <w:pPr>
                    <w:widowControl/>
                    <w:adjustRightInd w:val="0"/>
                    <w:snapToGrid w:val="0"/>
                    <w:jc w:val="center"/>
                    <w:rPr>
                      <w:rFonts w:hint="eastAsia" w:eastAsia="宋体"/>
                      <w:snapToGrid w:val="0"/>
                      <w:kern w:val="0"/>
                      <w:sz w:val="21"/>
                      <w:szCs w:val="21"/>
                      <w:highlight w:val="none"/>
                      <w:lang w:eastAsia="zh-CN"/>
                    </w:rPr>
                  </w:pPr>
                  <w:r>
                    <w:rPr>
                      <w:snapToGrid w:val="0"/>
                      <w:kern w:val="0"/>
                      <w:sz w:val="21"/>
                      <w:szCs w:val="21"/>
                      <w:highlight w:val="none"/>
                    </w:rPr>
                    <w:t>2.</w:t>
                  </w:r>
                  <w:r>
                    <w:rPr>
                      <w:rFonts w:hint="eastAsia"/>
                      <w:snapToGrid w:val="0"/>
                      <w:kern w:val="0"/>
                      <w:sz w:val="21"/>
                      <w:szCs w:val="21"/>
                      <w:highlight w:val="none"/>
                      <w:lang w:val="en-US" w:eastAsia="zh-CN"/>
                    </w:rPr>
                    <w:t>2</w:t>
                  </w:r>
                </w:p>
              </w:tc>
              <w:tc>
                <w:tcPr>
                  <w:tcW w:w="222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绿化</w:t>
                  </w:r>
                </w:p>
              </w:tc>
              <w:tc>
                <w:tcPr>
                  <w:tcW w:w="925" w:type="dxa"/>
                  <w:noWrap w:val="0"/>
                  <w:vAlign w:val="center"/>
                </w:tcPr>
                <w:p>
                  <w:pPr>
                    <w:widowControl/>
                    <w:adjustRightInd w:val="0"/>
                    <w:snapToGrid w:val="0"/>
                    <w:jc w:val="center"/>
                    <w:rPr>
                      <w:rFonts w:hint="eastAsia" w:eastAsia="宋体"/>
                      <w:snapToGrid w:val="0"/>
                      <w:kern w:val="0"/>
                      <w:sz w:val="21"/>
                      <w:szCs w:val="21"/>
                      <w:highlight w:val="none"/>
                      <w:lang w:eastAsia="zh-CN"/>
                    </w:rPr>
                  </w:pPr>
                  <w:r>
                    <w:rPr>
                      <w:snapToGrid w:val="0"/>
                      <w:kern w:val="0"/>
                      <w:sz w:val="21"/>
                      <w:szCs w:val="21"/>
                      <w:highlight w:val="none"/>
                    </w:rPr>
                    <w:t>2.</w:t>
                  </w:r>
                  <w:r>
                    <w:rPr>
                      <w:rFonts w:hint="eastAsia"/>
                      <w:snapToGrid w:val="0"/>
                      <w:kern w:val="0"/>
                      <w:sz w:val="21"/>
                      <w:szCs w:val="21"/>
                      <w:highlight w:val="none"/>
                      <w:lang w:val="en-US" w:eastAsia="zh-CN"/>
                    </w:rPr>
                    <w:t>2</w:t>
                  </w:r>
                </w:p>
              </w:tc>
              <w:tc>
                <w:tcPr>
                  <w:tcW w:w="1274" w:type="dxa"/>
                  <w:noWrap w:val="0"/>
                  <w:vAlign w:val="center"/>
                </w:tcPr>
                <w:p>
                  <w:pPr>
                    <w:pStyle w:val="15"/>
                    <w:widowControl w:val="0"/>
                    <w:autoSpaceDE w:val="0"/>
                    <w:autoSpaceDN w:val="0"/>
                    <w:adjustRightInd/>
                    <w:snapToGrid/>
                    <w:spacing w:before="1" w:after="0" w:afterLines="-2147483648"/>
                    <w:ind w:left="82" w:leftChars="0" w:right="70" w:rightChars="0"/>
                    <w:jc w:val="center"/>
                    <w:rPr>
                      <w:snapToGrid w:val="0"/>
                      <w:kern w:val="0"/>
                      <w:sz w:val="21"/>
                      <w:szCs w:val="21"/>
                      <w:highlight w:val="none"/>
                    </w:rPr>
                  </w:pPr>
                  <w:r>
                    <w:rPr>
                      <w:rFonts w:hint="eastAsia" w:ascii="Times New Roman" w:hAnsi="Times New Roman" w:cs="Times New Roman"/>
                      <w:snapToGrid/>
                      <w:kern w:val="0"/>
                      <w:sz w:val="21"/>
                      <w:szCs w:val="22"/>
                      <w:highlight w:val="none"/>
                      <w:lang w:eastAsia="zh-CN"/>
                    </w:rPr>
                    <w:t>满足要求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gridAfter w:val="1"/>
                <w:wAfter w:w="1" w:type="dxa"/>
                <w:trHeight w:val="340" w:hRule="atLeast"/>
                <w:jc w:val="center"/>
              </w:trPr>
              <w:tc>
                <w:tcPr>
                  <w:tcW w:w="1257" w:type="dxa"/>
                  <w:gridSpan w:val="2"/>
                  <w:vMerge w:val="restart"/>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环境风险</w:t>
                  </w:r>
                </w:p>
              </w:tc>
              <w:tc>
                <w:tcPr>
                  <w:tcW w:w="240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油罐区、发油区、管理区设防紧急停机锁存报警器、加油机泄漏低限报警器、储罐超压报警器、储罐液位低限报警器、储罐液位高限报警器</w:t>
                  </w:r>
                </w:p>
              </w:tc>
              <w:tc>
                <w:tcPr>
                  <w:tcW w:w="770" w:type="dxa"/>
                  <w:vMerge w:val="restart"/>
                  <w:noWrap w:val="0"/>
                  <w:vAlign w:val="center"/>
                </w:tcPr>
                <w:p>
                  <w:pPr>
                    <w:widowControl/>
                    <w:adjustRightInd w:val="0"/>
                    <w:snapToGrid w:val="0"/>
                    <w:jc w:val="center"/>
                    <w:rPr>
                      <w:snapToGrid w:val="0"/>
                      <w:kern w:val="0"/>
                      <w:sz w:val="21"/>
                      <w:szCs w:val="21"/>
                      <w:highlight w:val="none"/>
                    </w:rPr>
                  </w:pPr>
                  <w:r>
                    <w:rPr>
                      <w:rFonts w:hint="eastAsia"/>
                      <w:snapToGrid w:val="0"/>
                      <w:kern w:val="0"/>
                      <w:sz w:val="21"/>
                      <w:szCs w:val="21"/>
                      <w:highlight w:val="none"/>
                    </w:rPr>
                    <w:t>15</w:t>
                  </w:r>
                  <w:r>
                    <w:rPr>
                      <w:snapToGrid w:val="0"/>
                      <w:kern w:val="0"/>
                      <w:sz w:val="21"/>
                      <w:szCs w:val="21"/>
                      <w:highlight w:val="none"/>
                    </w:rPr>
                    <w:t>.0</w:t>
                  </w:r>
                </w:p>
              </w:tc>
              <w:tc>
                <w:tcPr>
                  <w:tcW w:w="222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油罐区、发油区、管理区设防紧急停机锁存报警器、加油机泄漏低限报警器、储罐超压报警器、储罐液位低限报警器、储罐液位高限报警器</w:t>
                  </w:r>
                </w:p>
              </w:tc>
              <w:tc>
                <w:tcPr>
                  <w:tcW w:w="925" w:type="dxa"/>
                  <w:vMerge w:val="restart"/>
                  <w:noWrap w:val="0"/>
                  <w:vAlign w:val="center"/>
                </w:tcPr>
                <w:p>
                  <w:pPr>
                    <w:widowControl/>
                    <w:adjustRightInd w:val="0"/>
                    <w:snapToGrid w:val="0"/>
                    <w:jc w:val="center"/>
                    <w:rPr>
                      <w:snapToGrid w:val="0"/>
                      <w:kern w:val="0"/>
                      <w:sz w:val="21"/>
                      <w:szCs w:val="21"/>
                      <w:highlight w:val="none"/>
                    </w:rPr>
                  </w:pPr>
                  <w:r>
                    <w:rPr>
                      <w:rFonts w:hint="eastAsia"/>
                      <w:snapToGrid w:val="0"/>
                      <w:kern w:val="0"/>
                      <w:sz w:val="21"/>
                      <w:szCs w:val="21"/>
                      <w:highlight w:val="none"/>
                    </w:rPr>
                    <w:t>15</w:t>
                  </w:r>
                  <w:r>
                    <w:rPr>
                      <w:snapToGrid w:val="0"/>
                      <w:kern w:val="0"/>
                      <w:sz w:val="21"/>
                      <w:szCs w:val="21"/>
                      <w:highlight w:val="none"/>
                    </w:rPr>
                    <w:t>.0</w:t>
                  </w:r>
                </w:p>
              </w:tc>
              <w:tc>
                <w:tcPr>
                  <w:tcW w:w="1274" w:type="dxa"/>
                  <w:vMerge w:val="restart"/>
                  <w:noWrap w:val="0"/>
                  <w:vAlign w:val="center"/>
                </w:tcPr>
                <w:p>
                  <w:pPr>
                    <w:pStyle w:val="15"/>
                    <w:widowControl w:val="0"/>
                    <w:autoSpaceDE w:val="0"/>
                    <w:autoSpaceDN w:val="0"/>
                    <w:adjustRightInd/>
                    <w:snapToGrid/>
                    <w:spacing w:before="1" w:after="0" w:afterLines="-2147483648"/>
                    <w:ind w:left="82" w:leftChars="0" w:right="70" w:rightChars="0"/>
                    <w:jc w:val="center"/>
                    <w:rPr>
                      <w:rFonts w:hint="eastAsia"/>
                      <w:snapToGrid w:val="0"/>
                      <w:kern w:val="0"/>
                      <w:sz w:val="21"/>
                      <w:szCs w:val="21"/>
                      <w:highlight w:val="none"/>
                    </w:rPr>
                  </w:pPr>
                  <w:r>
                    <w:rPr>
                      <w:rFonts w:hint="eastAsia" w:ascii="Times New Roman" w:hAnsi="Times New Roman" w:cs="Times New Roman"/>
                      <w:snapToGrid/>
                      <w:kern w:val="0"/>
                      <w:sz w:val="21"/>
                      <w:szCs w:val="22"/>
                      <w:highlight w:val="none"/>
                      <w:lang w:eastAsia="zh-CN"/>
                    </w:rPr>
                    <w:t>满足要求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gridAfter w:val="1"/>
                <w:wAfter w:w="1" w:type="dxa"/>
                <w:trHeight w:val="340" w:hRule="atLeast"/>
                <w:jc w:val="center"/>
              </w:trPr>
              <w:tc>
                <w:tcPr>
                  <w:tcW w:w="1257" w:type="dxa"/>
                  <w:gridSpan w:val="2"/>
                  <w:vMerge w:val="continue"/>
                  <w:noWrap w:val="0"/>
                  <w:vAlign w:val="center"/>
                </w:tcPr>
                <w:p>
                  <w:pPr>
                    <w:widowControl/>
                    <w:adjustRightInd w:val="0"/>
                    <w:snapToGrid w:val="0"/>
                    <w:jc w:val="center"/>
                    <w:rPr>
                      <w:snapToGrid w:val="0"/>
                      <w:kern w:val="0"/>
                      <w:sz w:val="21"/>
                      <w:szCs w:val="21"/>
                      <w:highlight w:val="none"/>
                    </w:rPr>
                  </w:pPr>
                </w:p>
              </w:tc>
              <w:tc>
                <w:tcPr>
                  <w:tcW w:w="240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应急器材</w:t>
                  </w:r>
                </w:p>
              </w:tc>
              <w:tc>
                <w:tcPr>
                  <w:tcW w:w="770" w:type="dxa"/>
                  <w:vMerge w:val="continue"/>
                  <w:noWrap w:val="0"/>
                  <w:vAlign w:val="center"/>
                </w:tcPr>
                <w:p>
                  <w:pPr>
                    <w:widowControl/>
                    <w:adjustRightInd w:val="0"/>
                    <w:snapToGrid w:val="0"/>
                    <w:jc w:val="center"/>
                    <w:rPr>
                      <w:snapToGrid w:val="0"/>
                      <w:kern w:val="0"/>
                      <w:sz w:val="21"/>
                      <w:szCs w:val="21"/>
                      <w:highlight w:val="none"/>
                    </w:rPr>
                  </w:pPr>
                </w:p>
              </w:tc>
              <w:tc>
                <w:tcPr>
                  <w:tcW w:w="222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应急器材</w:t>
                  </w:r>
                </w:p>
              </w:tc>
              <w:tc>
                <w:tcPr>
                  <w:tcW w:w="925" w:type="dxa"/>
                  <w:vMerge w:val="continue"/>
                  <w:noWrap w:val="0"/>
                  <w:vAlign w:val="center"/>
                </w:tcPr>
                <w:p>
                  <w:pPr>
                    <w:widowControl/>
                    <w:adjustRightInd w:val="0"/>
                    <w:snapToGrid w:val="0"/>
                    <w:jc w:val="center"/>
                    <w:rPr>
                      <w:snapToGrid w:val="0"/>
                      <w:kern w:val="0"/>
                      <w:sz w:val="21"/>
                      <w:szCs w:val="21"/>
                      <w:highlight w:val="none"/>
                    </w:rPr>
                  </w:pPr>
                </w:p>
              </w:tc>
              <w:tc>
                <w:tcPr>
                  <w:tcW w:w="1274" w:type="dxa"/>
                  <w:vMerge w:val="continue"/>
                  <w:noWrap w:val="0"/>
                  <w:vAlign w:val="center"/>
                </w:tcPr>
                <w:p>
                  <w:pPr>
                    <w:widowControl/>
                    <w:adjustRightInd w:val="0"/>
                    <w:snapToGrid w:val="0"/>
                    <w:jc w:val="center"/>
                    <w:rPr>
                      <w:snapToGrid w:val="0"/>
                      <w:kern w:val="0"/>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gridAfter w:val="1"/>
                <w:wAfter w:w="1" w:type="dxa"/>
                <w:trHeight w:val="340" w:hRule="atLeast"/>
                <w:jc w:val="center"/>
              </w:trPr>
              <w:tc>
                <w:tcPr>
                  <w:tcW w:w="1257" w:type="dxa"/>
                  <w:gridSpan w:val="2"/>
                  <w:vMerge w:val="continue"/>
                  <w:noWrap w:val="0"/>
                  <w:vAlign w:val="center"/>
                </w:tcPr>
                <w:p>
                  <w:pPr>
                    <w:widowControl/>
                    <w:adjustRightInd w:val="0"/>
                    <w:snapToGrid w:val="0"/>
                    <w:jc w:val="center"/>
                    <w:rPr>
                      <w:snapToGrid w:val="0"/>
                      <w:kern w:val="0"/>
                      <w:sz w:val="21"/>
                      <w:szCs w:val="21"/>
                      <w:highlight w:val="none"/>
                    </w:rPr>
                  </w:pPr>
                </w:p>
              </w:tc>
              <w:tc>
                <w:tcPr>
                  <w:tcW w:w="240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制定风险应急预案</w:t>
                  </w:r>
                </w:p>
              </w:tc>
              <w:tc>
                <w:tcPr>
                  <w:tcW w:w="770" w:type="dxa"/>
                  <w:vMerge w:val="continue"/>
                  <w:noWrap w:val="0"/>
                  <w:vAlign w:val="center"/>
                </w:tcPr>
                <w:p>
                  <w:pPr>
                    <w:widowControl/>
                    <w:adjustRightInd w:val="0"/>
                    <w:snapToGrid w:val="0"/>
                    <w:jc w:val="center"/>
                    <w:rPr>
                      <w:snapToGrid w:val="0"/>
                      <w:kern w:val="0"/>
                      <w:sz w:val="21"/>
                      <w:szCs w:val="21"/>
                      <w:highlight w:val="none"/>
                    </w:rPr>
                  </w:pPr>
                </w:p>
              </w:tc>
              <w:tc>
                <w:tcPr>
                  <w:tcW w:w="222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制定风险应急预案</w:t>
                  </w:r>
                </w:p>
              </w:tc>
              <w:tc>
                <w:tcPr>
                  <w:tcW w:w="925" w:type="dxa"/>
                  <w:vMerge w:val="continue"/>
                  <w:noWrap w:val="0"/>
                  <w:vAlign w:val="center"/>
                </w:tcPr>
                <w:p>
                  <w:pPr>
                    <w:widowControl/>
                    <w:adjustRightInd w:val="0"/>
                    <w:snapToGrid w:val="0"/>
                    <w:jc w:val="center"/>
                    <w:rPr>
                      <w:snapToGrid w:val="0"/>
                      <w:kern w:val="0"/>
                      <w:sz w:val="21"/>
                      <w:szCs w:val="21"/>
                      <w:highlight w:val="none"/>
                    </w:rPr>
                  </w:pPr>
                </w:p>
              </w:tc>
              <w:tc>
                <w:tcPr>
                  <w:tcW w:w="1274" w:type="dxa"/>
                  <w:vMerge w:val="continue"/>
                  <w:noWrap w:val="0"/>
                  <w:vAlign w:val="center"/>
                </w:tcPr>
                <w:p>
                  <w:pPr>
                    <w:widowControl/>
                    <w:adjustRightInd w:val="0"/>
                    <w:snapToGrid w:val="0"/>
                    <w:jc w:val="center"/>
                    <w:rPr>
                      <w:snapToGrid w:val="0"/>
                      <w:kern w:val="0"/>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gridAfter w:val="1"/>
                <w:wAfter w:w="1" w:type="dxa"/>
                <w:trHeight w:val="340" w:hRule="atLeast"/>
                <w:jc w:val="center"/>
              </w:trPr>
              <w:tc>
                <w:tcPr>
                  <w:tcW w:w="1257" w:type="dxa"/>
                  <w:gridSpan w:val="2"/>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合计</w:t>
                  </w:r>
                </w:p>
              </w:tc>
              <w:tc>
                <w:tcPr>
                  <w:tcW w:w="3170" w:type="dxa"/>
                  <w:gridSpan w:val="2"/>
                  <w:noWrap w:val="0"/>
                  <w:vAlign w:val="center"/>
                </w:tcPr>
                <w:p>
                  <w:pPr>
                    <w:widowControl/>
                    <w:adjustRightInd w:val="0"/>
                    <w:snapToGrid w:val="0"/>
                    <w:jc w:val="center"/>
                    <w:rPr>
                      <w:rFonts w:hint="eastAsia" w:eastAsia="宋体"/>
                      <w:snapToGrid w:val="0"/>
                      <w:kern w:val="0"/>
                      <w:sz w:val="21"/>
                      <w:szCs w:val="21"/>
                      <w:highlight w:val="none"/>
                      <w:lang w:eastAsia="zh-CN"/>
                    </w:rPr>
                  </w:pPr>
                  <w:r>
                    <w:rPr>
                      <w:rFonts w:hint="eastAsia"/>
                      <w:snapToGrid w:val="0"/>
                      <w:kern w:val="0"/>
                      <w:sz w:val="21"/>
                      <w:szCs w:val="21"/>
                      <w:highlight w:val="none"/>
                    </w:rPr>
                    <w:t>7</w:t>
                  </w:r>
                  <w:r>
                    <w:rPr>
                      <w:snapToGrid w:val="0"/>
                      <w:kern w:val="0"/>
                      <w:sz w:val="21"/>
                      <w:szCs w:val="21"/>
                      <w:highlight w:val="none"/>
                    </w:rPr>
                    <w:t>7.</w:t>
                  </w:r>
                  <w:r>
                    <w:rPr>
                      <w:rFonts w:hint="eastAsia"/>
                      <w:snapToGrid w:val="0"/>
                      <w:kern w:val="0"/>
                      <w:sz w:val="21"/>
                      <w:szCs w:val="21"/>
                      <w:highlight w:val="none"/>
                      <w:lang w:val="en-US" w:eastAsia="zh-CN"/>
                    </w:rPr>
                    <w:t>8</w:t>
                  </w:r>
                </w:p>
              </w:tc>
              <w:tc>
                <w:tcPr>
                  <w:tcW w:w="2220" w:type="dxa"/>
                  <w:noWrap w:val="0"/>
                  <w:vAlign w:val="center"/>
                </w:tcPr>
                <w:p>
                  <w:pPr>
                    <w:widowControl/>
                    <w:adjustRightInd w:val="0"/>
                    <w:snapToGrid w:val="0"/>
                    <w:jc w:val="center"/>
                    <w:rPr>
                      <w:snapToGrid w:val="0"/>
                      <w:kern w:val="0"/>
                      <w:sz w:val="21"/>
                      <w:szCs w:val="21"/>
                      <w:highlight w:val="none"/>
                    </w:rPr>
                  </w:pPr>
                  <w:r>
                    <w:rPr>
                      <w:snapToGrid w:val="0"/>
                      <w:kern w:val="0"/>
                      <w:sz w:val="21"/>
                      <w:szCs w:val="21"/>
                      <w:highlight w:val="none"/>
                    </w:rPr>
                    <w:t>合计</w:t>
                  </w:r>
                </w:p>
              </w:tc>
              <w:tc>
                <w:tcPr>
                  <w:tcW w:w="2199" w:type="dxa"/>
                  <w:gridSpan w:val="2"/>
                  <w:noWrap w:val="0"/>
                  <w:vAlign w:val="center"/>
                </w:tcPr>
                <w:p>
                  <w:pPr>
                    <w:widowControl/>
                    <w:adjustRightInd w:val="0"/>
                    <w:snapToGrid w:val="0"/>
                    <w:jc w:val="center"/>
                    <w:rPr>
                      <w:rFonts w:hint="eastAsia" w:eastAsia="宋体"/>
                      <w:snapToGrid w:val="0"/>
                      <w:kern w:val="0"/>
                      <w:sz w:val="21"/>
                      <w:szCs w:val="21"/>
                      <w:highlight w:val="none"/>
                      <w:lang w:eastAsia="zh-CN"/>
                    </w:rPr>
                  </w:pPr>
                  <w:r>
                    <w:rPr>
                      <w:rFonts w:hint="eastAsia"/>
                      <w:snapToGrid w:val="0"/>
                      <w:kern w:val="0"/>
                      <w:sz w:val="21"/>
                      <w:szCs w:val="21"/>
                      <w:highlight w:val="none"/>
                    </w:rPr>
                    <w:t>7</w:t>
                  </w:r>
                  <w:r>
                    <w:rPr>
                      <w:snapToGrid w:val="0"/>
                      <w:kern w:val="0"/>
                      <w:sz w:val="21"/>
                      <w:szCs w:val="21"/>
                      <w:highlight w:val="none"/>
                    </w:rPr>
                    <w:t>7.</w:t>
                  </w:r>
                  <w:r>
                    <w:rPr>
                      <w:rFonts w:hint="eastAsia"/>
                      <w:snapToGrid w:val="0"/>
                      <w:kern w:val="0"/>
                      <w:sz w:val="21"/>
                      <w:szCs w:val="21"/>
                      <w:highlight w:val="none"/>
                      <w:lang w:val="en-US" w:eastAsia="zh-CN"/>
                    </w:rPr>
                    <w:t>8</w:t>
                  </w:r>
                </w:p>
              </w:tc>
            </w:tr>
          </w:tbl>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rPr>
                <w:rFonts w:hint="default"/>
                <w:b/>
                <w:sz w:val="24"/>
                <w:highlight w:val="none"/>
                <w:u w:val="none"/>
                <w:lang w:val="en-US" w:eastAsia="zh-CN"/>
              </w:rPr>
            </w:pPr>
          </w:p>
          <w:tbl>
            <w:tblPr>
              <w:tblStyle w:val="12"/>
              <w:tblW w:w="88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0"/>
              <w:gridCol w:w="4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430" w:type="dxa"/>
                  <w:vAlign w:val="center"/>
                </w:tcPr>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b/>
                      <w:sz w:val="24"/>
                      <w:highlight w:val="none"/>
                      <w:u w:val="none"/>
                      <w:vertAlign w:val="baseline"/>
                      <w:lang w:val="en-US" w:eastAsia="zh-CN"/>
                    </w:rPr>
                  </w:pPr>
                  <w:r>
                    <w:rPr>
                      <w:rFonts w:hint="default"/>
                      <w:b/>
                      <w:sz w:val="24"/>
                      <w:highlight w:val="none"/>
                      <w:u w:val="none"/>
                      <w:vertAlign w:val="baseline"/>
                      <w:lang w:val="en-US" w:eastAsia="zh-CN"/>
                    </w:rPr>
                    <w:drawing>
                      <wp:inline distT="0" distB="0" distL="114300" distR="114300">
                        <wp:extent cx="2160270" cy="1800225"/>
                        <wp:effectExtent l="0" t="0" r="11430" b="9525"/>
                        <wp:docPr id="9" name="图片 9" descr="6c638087cfc6a3bedb9c9878bb7e6d4"/>
                        <wp:cNvGraphicFramePr/>
                        <a:graphic xmlns:a="http://schemas.openxmlformats.org/drawingml/2006/main">
                          <a:graphicData uri="http://schemas.openxmlformats.org/drawingml/2006/picture">
                            <pic:pic xmlns:pic="http://schemas.openxmlformats.org/drawingml/2006/picture">
                              <pic:nvPicPr>
                                <pic:cNvPr id="9" name="图片 9" descr="6c638087cfc6a3bedb9c9878bb7e6d4"/>
                                <pic:cNvPicPr/>
                              </pic:nvPicPr>
                              <pic:blipFill>
                                <a:blip r:embed="rId19"/>
                                <a:srcRect l="17474" t="15741" r="973" b="29950"/>
                                <a:stretch>
                                  <a:fillRect/>
                                </a:stretch>
                              </pic:blipFill>
                              <pic:spPr>
                                <a:xfrm>
                                  <a:off x="0" y="0"/>
                                  <a:ext cx="2160270" cy="1800225"/>
                                </a:xfrm>
                                <a:prstGeom prst="rect">
                                  <a:avLst/>
                                </a:prstGeom>
                              </pic:spPr>
                            </pic:pic>
                          </a:graphicData>
                        </a:graphic>
                      </wp:inline>
                    </w:drawing>
                  </w:r>
                </w:p>
              </w:tc>
              <w:tc>
                <w:tcPr>
                  <w:tcW w:w="4431" w:type="dxa"/>
                  <w:vAlign w:val="center"/>
                </w:tcPr>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b/>
                      <w:sz w:val="24"/>
                      <w:highlight w:val="none"/>
                      <w:u w:val="none"/>
                      <w:vertAlign w:val="baseline"/>
                      <w:lang w:val="en-US" w:eastAsia="zh-CN"/>
                    </w:rPr>
                  </w:pPr>
                  <w:r>
                    <w:rPr>
                      <w:rFonts w:hint="default"/>
                      <w:b/>
                      <w:sz w:val="24"/>
                      <w:highlight w:val="none"/>
                      <w:u w:val="none"/>
                      <w:vertAlign w:val="baseline"/>
                      <w:lang w:val="en-US" w:eastAsia="zh-CN"/>
                    </w:rPr>
                    <w:drawing>
                      <wp:inline distT="0" distB="0" distL="114300" distR="114300">
                        <wp:extent cx="2160270" cy="1800225"/>
                        <wp:effectExtent l="0" t="0" r="11430" b="9525"/>
                        <wp:docPr id="11" name="图片 11" descr="3bec842089507bb9f00351afe865add"/>
                        <wp:cNvGraphicFramePr/>
                        <a:graphic xmlns:a="http://schemas.openxmlformats.org/drawingml/2006/main">
                          <a:graphicData uri="http://schemas.openxmlformats.org/drawingml/2006/picture">
                            <pic:pic xmlns:pic="http://schemas.openxmlformats.org/drawingml/2006/picture">
                              <pic:nvPicPr>
                                <pic:cNvPr id="11" name="图片 11" descr="3bec842089507bb9f00351afe865add"/>
                                <pic:cNvPicPr/>
                              </pic:nvPicPr>
                              <pic:blipFill>
                                <a:blip r:embed="rId20"/>
                                <a:srcRect l="10589" t="14672" r="4653" b="30751"/>
                                <a:stretch>
                                  <a:fillRect/>
                                </a:stretch>
                              </pic:blipFill>
                              <pic:spPr>
                                <a:xfrm>
                                  <a:off x="0" y="0"/>
                                  <a:ext cx="2160270" cy="1800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430" w:type="dxa"/>
                  <w:vAlign w:val="center"/>
                </w:tcPr>
                <w:p>
                  <w:pPr>
                    <w:tabs>
                      <w:tab w:val="left" w:pos="924"/>
                    </w:tabs>
                    <w:ind w:firstLine="422" w:firstLineChars="200"/>
                    <w:jc w:val="center"/>
                    <w:rPr>
                      <w:rFonts w:hint="eastAsia"/>
                      <w:b/>
                      <w:snapToGrid w:val="0"/>
                      <w:kern w:val="0"/>
                      <w:sz w:val="21"/>
                      <w:highlight w:val="none"/>
                      <w:lang w:val="en-US" w:eastAsia="zh-CN"/>
                    </w:rPr>
                  </w:pPr>
                  <w:r>
                    <w:rPr>
                      <w:rFonts w:hint="eastAsia"/>
                      <w:b/>
                      <w:snapToGrid w:val="0"/>
                      <w:kern w:val="0"/>
                      <w:sz w:val="21"/>
                      <w:highlight w:val="none"/>
                      <w:lang w:val="en-US" w:eastAsia="zh-CN"/>
                    </w:rPr>
                    <w:t>隔油沉淀池</w:t>
                  </w:r>
                </w:p>
              </w:tc>
              <w:tc>
                <w:tcPr>
                  <w:tcW w:w="4431" w:type="dxa"/>
                  <w:vAlign w:val="center"/>
                </w:tcPr>
                <w:p>
                  <w:pPr>
                    <w:tabs>
                      <w:tab w:val="left" w:pos="924"/>
                    </w:tabs>
                    <w:ind w:firstLine="422" w:firstLineChars="200"/>
                    <w:jc w:val="center"/>
                    <w:rPr>
                      <w:rFonts w:hint="default"/>
                      <w:b/>
                      <w:snapToGrid w:val="0"/>
                      <w:kern w:val="0"/>
                      <w:sz w:val="21"/>
                      <w:highlight w:val="none"/>
                      <w:lang w:val="en-US" w:eastAsia="zh-CN"/>
                    </w:rPr>
                  </w:pPr>
                  <w:r>
                    <w:rPr>
                      <w:rFonts w:hint="eastAsia"/>
                      <w:b/>
                      <w:snapToGrid w:val="0"/>
                      <w:kern w:val="0"/>
                      <w:sz w:val="21"/>
                      <w:highlight w:val="none"/>
                      <w:lang w:val="en-US" w:eastAsia="zh-CN"/>
                    </w:rPr>
                    <w:t>消防沙箱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430" w:type="dxa"/>
                  <w:vAlign w:val="center"/>
                </w:tcPr>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b/>
                      <w:sz w:val="24"/>
                      <w:highlight w:val="none"/>
                      <w:u w:val="none"/>
                      <w:vertAlign w:val="baseline"/>
                      <w:lang w:val="en-US" w:eastAsia="zh-CN"/>
                    </w:rPr>
                  </w:pPr>
                  <w:r>
                    <w:rPr>
                      <w:rFonts w:hint="default"/>
                      <w:b/>
                      <w:sz w:val="24"/>
                      <w:highlight w:val="none"/>
                      <w:u w:val="none"/>
                      <w:vertAlign w:val="baseline"/>
                      <w:lang w:val="en-US" w:eastAsia="zh-CN"/>
                    </w:rPr>
                    <w:drawing>
                      <wp:inline distT="0" distB="0" distL="114300" distR="114300">
                        <wp:extent cx="1440180" cy="1800225"/>
                        <wp:effectExtent l="0" t="0" r="7620" b="9525"/>
                        <wp:docPr id="25" name="图片 25" descr="531d6e8093e37878101bfe56ac7374b"/>
                        <wp:cNvGraphicFramePr/>
                        <a:graphic xmlns:a="http://schemas.openxmlformats.org/drawingml/2006/main">
                          <a:graphicData uri="http://schemas.openxmlformats.org/drawingml/2006/picture">
                            <pic:pic xmlns:pic="http://schemas.openxmlformats.org/drawingml/2006/picture">
                              <pic:nvPicPr>
                                <pic:cNvPr id="25" name="图片 25" descr="531d6e8093e37878101bfe56ac7374b"/>
                                <pic:cNvPicPr/>
                              </pic:nvPicPr>
                              <pic:blipFill>
                                <a:blip r:embed="rId21"/>
                                <a:srcRect l="23528" t="12358" r="23765" b="33155"/>
                                <a:stretch>
                                  <a:fillRect/>
                                </a:stretch>
                              </pic:blipFill>
                              <pic:spPr>
                                <a:xfrm>
                                  <a:off x="0" y="0"/>
                                  <a:ext cx="1440180" cy="1800225"/>
                                </a:xfrm>
                                <a:prstGeom prst="rect">
                                  <a:avLst/>
                                </a:prstGeom>
                              </pic:spPr>
                            </pic:pic>
                          </a:graphicData>
                        </a:graphic>
                      </wp:inline>
                    </w:drawing>
                  </w:r>
                </w:p>
              </w:tc>
              <w:tc>
                <w:tcPr>
                  <w:tcW w:w="4431" w:type="dxa"/>
                  <w:vAlign w:val="center"/>
                </w:tcPr>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b/>
                      <w:sz w:val="24"/>
                      <w:highlight w:val="none"/>
                      <w:u w:val="none"/>
                      <w:vertAlign w:val="baseline"/>
                      <w:lang w:val="en-US" w:eastAsia="zh-CN"/>
                    </w:rPr>
                  </w:pPr>
                  <w:r>
                    <w:rPr>
                      <w:rFonts w:hint="default"/>
                      <w:b/>
                      <w:sz w:val="24"/>
                      <w:highlight w:val="none"/>
                      <w:u w:val="none"/>
                      <w:vertAlign w:val="baseline"/>
                      <w:lang w:val="en-US" w:eastAsia="zh-CN"/>
                    </w:rPr>
                    <w:drawing>
                      <wp:inline distT="0" distB="0" distL="114300" distR="114300">
                        <wp:extent cx="1440180" cy="1800225"/>
                        <wp:effectExtent l="0" t="0" r="7620" b="9525"/>
                        <wp:docPr id="26" name="图片 26" descr="b70675ecd82f3faa39e61a7271f1e6e"/>
                        <wp:cNvGraphicFramePr/>
                        <a:graphic xmlns:a="http://schemas.openxmlformats.org/drawingml/2006/main">
                          <a:graphicData uri="http://schemas.openxmlformats.org/drawingml/2006/picture">
                            <pic:pic xmlns:pic="http://schemas.openxmlformats.org/drawingml/2006/picture">
                              <pic:nvPicPr>
                                <pic:cNvPr id="26" name="图片 26" descr="b70675ecd82f3faa39e61a7271f1e6e"/>
                                <pic:cNvPicPr/>
                              </pic:nvPicPr>
                              <pic:blipFill>
                                <a:blip r:embed="rId22"/>
                                <a:srcRect l="19501" t="10791" r="14228" b="31687"/>
                                <a:stretch>
                                  <a:fillRect/>
                                </a:stretch>
                              </pic:blipFill>
                              <pic:spPr>
                                <a:xfrm>
                                  <a:off x="0" y="0"/>
                                  <a:ext cx="1440180" cy="1800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430" w:type="dxa"/>
                  <w:vAlign w:val="center"/>
                </w:tcPr>
                <w:p>
                  <w:pPr>
                    <w:tabs>
                      <w:tab w:val="left" w:pos="924"/>
                    </w:tabs>
                    <w:ind w:firstLine="422" w:firstLineChars="200"/>
                    <w:jc w:val="center"/>
                    <w:rPr>
                      <w:rFonts w:hint="default"/>
                      <w:b/>
                      <w:snapToGrid w:val="0"/>
                      <w:kern w:val="0"/>
                      <w:sz w:val="21"/>
                      <w:highlight w:val="none"/>
                      <w:lang w:val="en-US" w:eastAsia="zh-CN"/>
                    </w:rPr>
                  </w:pPr>
                  <w:r>
                    <w:rPr>
                      <w:rFonts w:hint="eastAsia"/>
                      <w:b/>
                      <w:snapToGrid w:val="0"/>
                      <w:kern w:val="0"/>
                      <w:sz w:val="21"/>
                      <w:highlight w:val="none"/>
                      <w:lang w:val="en-US" w:eastAsia="zh-CN"/>
                    </w:rPr>
                    <w:t>消防站</w:t>
                  </w:r>
                </w:p>
              </w:tc>
              <w:tc>
                <w:tcPr>
                  <w:tcW w:w="4431" w:type="dxa"/>
                  <w:vAlign w:val="center"/>
                </w:tcPr>
                <w:p>
                  <w:pPr>
                    <w:tabs>
                      <w:tab w:val="left" w:pos="924"/>
                    </w:tabs>
                    <w:ind w:firstLine="422" w:firstLineChars="200"/>
                    <w:jc w:val="center"/>
                    <w:rPr>
                      <w:rFonts w:hint="default"/>
                      <w:b/>
                      <w:snapToGrid w:val="0"/>
                      <w:kern w:val="0"/>
                      <w:sz w:val="21"/>
                      <w:highlight w:val="none"/>
                      <w:lang w:val="en-US" w:eastAsia="zh-CN"/>
                    </w:rPr>
                  </w:pPr>
                  <w:r>
                    <w:rPr>
                      <w:rFonts w:hint="eastAsia"/>
                      <w:b/>
                      <w:snapToGrid w:val="0"/>
                      <w:kern w:val="0"/>
                      <w:sz w:val="21"/>
                      <w:highlight w:val="none"/>
                      <w:lang w:val="en-US" w:eastAsia="zh-CN"/>
                    </w:rPr>
                    <w:t>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430" w:type="dxa"/>
                  <w:vAlign w:val="center"/>
                </w:tcPr>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b/>
                      <w:sz w:val="24"/>
                      <w:highlight w:val="none"/>
                      <w:u w:val="none"/>
                      <w:vertAlign w:val="baseline"/>
                      <w:lang w:val="en-US" w:eastAsia="zh-CN"/>
                    </w:rPr>
                  </w:pPr>
                  <w:r>
                    <w:rPr>
                      <w:rFonts w:hint="default"/>
                      <w:b/>
                      <w:sz w:val="24"/>
                      <w:highlight w:val="none"/>
                      <w:u w:val="none"/>
                      <w:vertAlign w:val="baseline"/>
                      <w:lang w:val="en-US" w:eastAsia="zh-CN"/>
                    </w:rPr>
                    <w:drawing>
                      <wp:inline distT="0" distB="0" distL="114300" distR="114300">
                        <wp:extent cx="1800225" cy="1800225"/>
                        <wp:effectExtent l="0" t="0" r="9525" b="9525"/>
                        <wp:docPr id="27" name="图片 27" descr="44d8061357d5af46efe8c6287bfaead"/>
                        <wp:cNvGraphicFramePr/>
                        <a:graphic xmlns:a="http://schemas.openxmlformats.org/drawingml/2006/main">
                          <a:graphicData uri="http://schemas.openxmlformats.org/drawingml/2006/picture">
                            <pic:pic xmlns:pic="http://schemas.openxmlformats.org/drawingml/2006/picture">
                              <pic:nvPicPr>
                                <pic:cNvPr id="27" name="图片 27" descr="44d8061357d5af46efe8c6287bfaead"/>
                                <pic:cNvPicPr/>
                              </pic:nvPicPr>
                              <pic:blipFill>
                                <a:blip r:embed="rId23"/>
                                <a:srcRect l="8219" t="15398" r="8741" b="49829"/>
                                <a:stretch>
                                  <a:fillRect/>
                                </a:stretch>
                              </pic:blipFill>
                              <pic:spPr>
                                <a:xfrm>
                                  <a:off x="0" y="0"/>
                                  <a:ext cx="1800225" cy="1800225"/>
                                </a:xfrm>
                                <a:prstGeom prst="rect">
                                  <a:avLst/>
                                </a:prstGeom>
                              </pic:spPr>
                            </pic:pic>
                          </a:graphicData>
                        </a:graphic>
                      </wp:inline>
                    </w:drawing>
                  </w:r>
                </w:p>
              </w:tc>
              <w:tc>
                <w:tcPr>
                  <w:tcW w:w="4431" w:type="dxa"/>
                  <w:vAlign w:val="center"/>
                </w:tcPr>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b/>
                      <w:sz w:val="24"/>
                      <w:highlight w:val="none"/>
                      <w:u w:val="none"/>
                      <w:vertAlign w:val="baseline"/>
                      <w:lang w:val="en-US" w:eastAsia="zh-CN"/>
                    </w:rPr>
                  </w:pPr>
                  <w:r>
                    <w:rPr>
                      <w:rFonts w:hint="default"/>
                      <w:b/>
                      <w:sz w:val="24"/>
                      <w:highlight w:val="none"/>
                      <w:u w:val="none"/>
                      <w:vertAlign w:val="baseline"/>
                      <w:lang w:val="en-US" w:eastAsia="zh-CN"/>
                    </w:rPr>
                    <w:drawing>
                      <wp:inline distT="0" distB="0" distL="114300" distR="114300">
                        <wp:extent cx="1800225" cy="1800225"/>
                        <wp:effectExtent l="0" t="0" r="9525" b="9525"/>
                        <wp:docPr id="29" name="图片 29" descr="6ac9f64fb805cfd969a0df1b8babc78"/>
                        <wp:cNvGraphicFramePr/>
                        <a:graphic xmlns:a="http://schemas.openxmlformats.org/drawingml/2006/main">
                          <a:graphicData uri="http://schemas.openxmlformats.org/drawingml/2006/picture">
                            <pic:pic xmlns:pic="http://schemas.openxmlformats.org/drawingml/2006/picture">
                              <pic:nvPicPr>
                                <pic:cNvPr id="29" name="图片 29" descr="6ac9f64fb805cfd969a0df1b8babc78"/>
                                <pic:cNvPicPr/>
                              </pic:nvPicPr>
                              <pic:blipFill>
                                <a:blip r:embed="rId24"/>
                                <a:srcRect l="18432" t="17718" r="8171" b="46216"/>
                                <a:stretch>
                                  <a:fillRect/>
                                </a:stretch>
                              </pic:blipFill>
                              <pic:spPr>
                                <a:xfrm>
                                  <a:off x="0" y="0"/>
                                  <a:ext cx="1800225" cy="1800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430" w:type="dxa"/>
                  <w:vAlign w:val="center"/>
                </w:tcPr>
                <w:p>
                  <w:pPr>
                    <w:tabs>
                      <w:tab w:val="left" w:pos="924"/>
                    </w:tabs>
                    <w:ind w:firstLine="422" w:firstLineChars="200"/>
                    <w:jc w:val="center"/>
                    <w:rPr>
                      <w:rFonts w:hint="default"/>
                      <w:b/>
                      <w:snapToGrid w:val="0"/>
                      <w:kern w:val="0"/>
                      <w:sz w:val="21"/>
                      <w:highlight w:val="none"/>
                      <w:lang w:val="en-US" w:eastAsia="zh-CN"/>
                    </w:rPr>
                  </w:pPr>
                  <w:r>
                    <w:rPr>
                      <w:rFonts w:hint="eastAsia"/>
                      <w:b/>
                      <w:snapToGrid w:val="0"/>
                      <w:kern w:val="0"/>
                      <w:sz w:val="21"/>
                      <w:highlight w:val="none"/>
                      <w:lang w:val="en-US" w:eastAsia="zh-CN"/>
                    </w:rPr>
                    <w:t>灭火毯</w:t>
                  </w:r>
                </w:p>
              </w:tc>
              <w:tc>
                <w:tcPr>
                  <w:tcW w:w="4431" w:type="dxa"/>
                  <w:vAlign w:val="center"/>
                </w:tcPr>
                <w:p>
                  <w:pPr>
                    <w:tabs>
                      <w:tab w:val="left" w:pos="924"/>
                    </w:tabs>
                    <w:ind w:firstLine="422" w:firstLineChars="200"/>
                    <w:jc w:val="center"/>
                    <w:rPr>
                      <w:rFonts w:hint="default"/>
                      <w:b/>
                      <w:snapToGrid w:val="0"/>
                      <w:kern w:val="0"/>
                      <w:sz w:val="21"/>
                      <w:highlight w:val="none"/>
                      <w:lang w:val="en-US" w:eastAsia="zh-CN"/>
                    </w:rPr>
                  </w:pPr>
                  <w:r>
                    <w:rPr>
                      <w:rFonts w:hint="eastAsia"/>
                      <w:b/>
                      <w:snapToGrid w:val="0"/>
                      <w:kern w:val="0"/>
                      <w:sz w:val="21"/>
                      <w:highlight w:val="none"/>
                      <w:lang w:val="en-US" w:eastAsia="zh-CN"/>
                    </w:rPr>
                    <w:t>垃圾桶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430" w:type="dxa"/>
                  <w:vAlign w:val="center"/>
                </w:tcPr>
                <w:p>
                  <w:pPr>
                    <w:tabs>
                      <w:tab w:val="left" w:pos="924"/>
                    </w:tabs>
                    <w:jc w:val="center"/>
                    <w:rPr>
                      <w:rFonts w:hint="eastAsia"/>
                      <w:b/>
                      <w:snapToGrid w:val="0"/>
                      <w:kern w:val="0"/>
                      <w:sz w:val="21"/>
                      <w:highlight w:val="none"/>
                      <w:lang w:val="en-US" w:eastAsia="zh-CN"/>
                    </w:rPr>
                  </w:pPr>
                  <w:r>
                    <w:rPr>
                      <w:rFonts w:hint="eastAsia"/>
                      <w:b/>
                      <w:snapToGrid w:val="0"/>
                      <w:kern w:val="0"/>
                      <w:sz w:val="21"/>
                      <w:highlight w:val="none"/>
                      <w:lang w:val="en-US" w:eastAsia="zh-CN"/>
                    </w:rPr>
                    <w:drawing>
                      <wp:inline distT="0" distB="0" distL="114300" distR="114300">
                        <wp:extent cx="2148840" cy="1725930"/>
                        <wp:effectExtent l="0" t="0" r="3810" b="7620"/>
                        <wp:docPr id="31" name="图片 31" descr="9b18a229e6366fddb5e011681a00afe"/>
                        <wp:cNvGraphicFramePr/>
                        <a:graphic xmlns:a="http://schemas.openxmlformats.org/drawingml/2006/main">
                          <a:graphicData uri="http://schemas.openxmlformats.org/drawingml/2006/picture">
                            <pic:pic xmlns:pic="http://schemas.openxmlformats.org/drawingml/2006/picture">
                              <pic:nvPicPr>
                                <pic:cNvPr id="31" name="图片 31" descr="9b18a229e6366fddb5e011681a00afe"/>
                                <pic:cNvPicPr/>
                              </pic:nvPicPr>
                              <pic:blipFill>
                                <a:blip r:embed="rId25"/>
                                <a:srcRect l="19620" t="4127"/>
                                <a:stretch>
                                  <a:fillRect/>
                                </a:stretch>
                              </pic:blipFill>
                              <pic:spPr>
                                <a:xfrm>
                                  <a:off x="0" y="0"/>
                                  <a:ext cx="2148840" cy="1725930"/>
                                </a:xfrm>
                                <a:prstGeom prst="rect">
                                  <a:avLst/>
                                </a:prstGeom>
                              </pic:spPr>
                            </pic:pic>
                          </a:graphicData>
                        </a:graphic>
                      </wp:inline>
                    </w:drawing>
                  </w:r>
                </w:p>
              </w:tc>
              <w:tc>
                <w:tcPr>
                  <w:tcW w:w="4431" w:type="dxa"/>
                  <w:vAlign w:val="center"/>
                </w:tcPr>
                <w:p>
                  <w:pPr>
                    <w:tabs>
                      <w:tab w:val="left" w:pos="924"/>
                    </w:tabs>
                    <w:ind w:firstLine="422" w:firstLineChars="200"/>
                    <w:jc w:val="center"/>
                    <w:rPr>
                      <w:rFonts w:hint="eastAsia"/>
                      <w:b/>
                      <w:snapToGrid w:val="0"/>
                      <w:kern w:val="0"/>
                      <w:sz w:val="21"/>
                      <w:highlight w:val="none"/>
                      <w:lang w:val="en-US" w:eastAsia="zh-CN"/>
                    </w:rPr>
                  </w:pPr>
                  <w:r>
                    <w:rPr>
                      <w:rFonts w:hint="eastAsia"/>
                      <w:b/>
                      <w:snapToGrid w:val="0"/>
                      <w:kern w:val="0"/>
                      <w:sz w:val="21"/>
                      <w:highlight w:val="none"/>
                      <w:lang w:val="en-US" w:eastAsia="zh-CN"/>
                    </w:rPr>
                    <w:drawing>
                      <wp:inline distT="0" distB="0" distL="114300" distR="114300">
                        <wp:extent cx="1835150" cy="1800225"/>
                        <wp:effectExtent l="0" t="0" r="12700" b="9525"/>
                        <wp:docPr id="45" name="图片 45" descr="2d5901b6575404c9b3aafc1df95c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d5901b6575404c9b3aafc1df95c2c7"/>
                                <pic:cNvPicPr>
                                  <a:picLocks noChangeAspect="1"/>
                                </pic:cNvPicPr>
                              </pic:nvPicPr>
                              <pic:blipFill>
                                <a:blip r:embed="rId26"/>
                                <a:stretch>
                                  <a:fillRect/>
                                </a:stretch>
                              </pic:blipFill>
                              <pic:spPr>
                                <a:xfrm>
                                  <a:off x="0" y="0"/>
                                  <a:ext cx="1835150" cy="1800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430" w:type="dxa"/>
                  <w:vAlign w:val="center"/>
                </w:tcPr>
                <w:p>
                  <w:pPr>
                    <w:tabs>
                      <w:tab w:val="left" w:pos="924"/>
                    </w:tabs>
                    <w:ind w:firstLine="422" w:firstLineChars="200"/>
                    <w:jc w:val="center"/>
                    <w:rPr>
                      <w:rFonts w:hint="eastAsia"/>
                      <w:b/>
                      <w:snapToGrid w:val="0"/>
                      <w:kern w:val="0"/>
                      <w:sz w:val="21"/>
                      <w:highlight w:val="none"/>
                      <w:lang w:val="en-US" w:eastAsia="zh-CN"/>
                    </w:rPr>
                  </w:pPr>
                  <w:r>
                    <w:rPr>
                      <w:rFonts w:hint="eastAsia"/>
                      <w:b/>
                      <w:snapToGrid w:val="0"/>
                      <w:kern w:val="0"/>
                      <w:sz w:val="21"/>
                      <w:highlight w:val="none"/>
                      <w:lang w:val="en-US" w:eastAsia="zh-CN"/>
                    </w:rPr>
                    <w:t>雨水排水沟</w:t>
                  </w:r>
                </w:p>
              </w:tc>
              <w:tc>
                <w:tcPr>
                  <w:tcW w:w="4431" w:type="dxa"/>
                  <w:vAlign w:val="center"/>
                </w:tcPr>
                <w:p>
                  <w:pPr>
                    <w:tabs>
                      <w:tab w:val="left" w:pos="924"/>
                    </w:tabs>
                    <w:ind w:firstLine="422" w:firstLineChars="200"/>
                    <w:jc w:val="center"/>
                    <w:rPr>
                      <w:rFonts w:hint="eastAsia"/>
                      <w:b/>
                      <w:snapToGrid w:val="0"/>
                      <w:kern w:val="0"/>
                      <w:sz w:val="21"/>
                      <w:highlight w:val="none"/>
                      <w:lang w:val="en-US" w:eastAsia="zh-CN"/>
                    </w:rPr>
                  </w:pPr>
                  <w:r>
                    <w:rPr>
                      <w:rFonts w:hint="eastAsia"/>
                      <w:b/>
                      <w:snapToGrid w:val="0"/>
                      <w:kern w:val="0"/>
                      <w:sz w:val="21"/>
                      <w:highlight w:val="none"/>
                      <w:lang w:val="en-US" w:eastAsia="zh-CN"/>
                    </w:rPr>
                    <w:t>泄漏检测仪</w:t>
                  </w:r>
                </w:p>
              </w:tc>
            </w:tr>
          </w:tbl>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69" w:beforeLines="100" w:line="360" w:lineRule="auto"/>
              <w:ind w:leftChars="0"/>
              <w:textAlignment w:val="auto"/>
              <w:rPr>
                <w:rFonts w:hint="eastAsia"/>
                <w:b/>
                <w:sz w:val="24"/>
                <w:highlight w:val="none"/>
                <w:u w:val="none"/>
                <w:lang w:val="en-US" w:eastAsia="zh-CN"/>
              </w:r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rPr>
                <w:rFonts w:hint="default"/>
                <w:b/>
                <w:sz w:val="24"/>
                <w:highlight w:val="none"/>
                <w:u w:val="none"/>
                <w:lang w:val="en-US" w:eastAsia="zh-CN"/>
              </w:rPr>
            </w:pPr>
          </w:p>
          <w:p>
            <w:pPr>
              <w:tabs>
                <w:tab w:val="left" w:pos="924"/>
              </w:tabs>
              <w:adjustRightInd w:val="0"/>
              <w:snapToGrid w:val="0"/>
              <w:spacing w:line="360" w:lineRule="auto"/>
              <w:ind w:firstLine="480" w:firstLineChars="200"/>
              <w:rPr>
                <w:rFonts w:hint="eastAsia"/>
                <w:sz w:val="24"/>
                <w:highlight w:val="none"/>
                <w:lang w:val="en-US" w:eastAsia="zh-CN"/>
              </w:rPr>
            </w:pPr>
          </w:p>
          <w:p>
            <w:pPr>
              <w:tabs>
                <w:tab w:val="left" w:pos="924"/>
              </w:tabs>
              <w:adjustRightInd w:val="0"/>
              <w:snapToGrid w:val="0"/>
              <w:spacing w:line="360" w:lineRule="auto"/>
              <w:ind w:firstLine="480" w:firstLineChars="200"/>
              <w:rPr>
                <w:rFonts w:hint="eastAsia"/>
                <w:sz w:val="24"/>
                <w:highlight w:val="none"/>
                <w:lang w:val="en-US" w:eastAsia="zh-CN"/>
              </w:rPr>
            </w:pPr>
          </w:p>
          <w:p>
            <w:pPr>
              <w:tabs>
                <w:tab w:val="left" w:pos="924"/>
              </w:tabs>
              <w:adjustRightInd w:val="0"/>
              <w:snapToGrid w:val="0"/>
              <w:spacing w:line="360" w:lineRule="auto"/>
              <w:ind w:firstLine="480" w:firstLineChars="200"/>
              <w:rPr>
                <w:rFonts w:hint="eastAsia"/>
                <w:sz w:val="24"/>
                <w:highlight w:val="none"/>
                <w:lang w:val="en-US" w:eastAsia="zh-CN"/>
              </w:rPr>
            </w:pPr>
          </w:p>
          <w:p>
            <w:pPr>
              <w:tabs>
                <w:tab w:val="left" w:pos="924"/>
              </w:tabs>
              <w:adjustRightInd w:val="0"/>
              <w:snapToGrid w:val="0"/>
              <w:spacing w:line="360" w:lineRule="auto"/>
              <w:rPr>
                <w:rFonts w:hint="default" w:eastAsia="宋体"/>
                <w:sz w:val="24"/>
                <w:highlight w:val="none"/>
                <w:lang w:val="en-US" w:eastAsia="zh-CN"/>
              </w:rPr>
            </w:pPr>
          </w:p>
        </w:tc>
      </w:tr>
    </w:tbl>
    <w:p>
      <w:pPr>
        <w:pStyle w:val="3"/>
        <w:rPr>
          <w:szCs w:val="21"/>
          <w:highlight w:val="none"/>
        </w:rPr>
        <w:sectPr>
          <w:footerReference r:id="rId4" w:type="default"/>
          <w:pgSz w:w="11906" w:h="16838"/>
          <w:pgMar w:top="1417" w:right="1417" w:bottom="1417" w:left="1417" w:header="1361" w:footer="1134" w:gutter="0"/>
          <w:pgBorders>
            <w:top w:val="none" w:sz="0" w:space="0"/>
            <w:left w:val="none" w:sz="0" w:space="0"/>
            <w:bottom w:val="none" w:sz="0" w:space="0"/>
            <w:right w:val="none" w:sz="0" w:space="0"/>
          </w:pgBorders>
          <w:pgNumType w:fmt="decimal" w:start="1"/>
          <w:cols w:space="720" w:num="1"/>
          <w:docGrid w:linePitch="467" w:charSpace="4710"/>
        </w:sectPr>
      </w:pPr>
    </w:p>
    <w:p>
      <w:pPr>
        <w:pStyle w:val="3"/>
        <w:rPr>
          <w:rFonts w:hint="eastAsia" w:ascii="Times New Roman" w:hAnsi="Times New Roman" w:cs="Times New Roman"/>
          <w:highlight w:val="none"/>
          <w:lang w:eastAsia="zh-CN"/>
        </w:rPr>
      </w:pPr>
      <w:bookmarkStart w:id="89" w:name="_Toc6327_WPSOffice_Level1"/>
      <w:r>
        <w:rPr>
          <w:rFonts w:hint="eastAsia"/>
          <w:highlight w:val="none"/>
        </w:rPr>
        <w:t>表</w:t>
      </w:r>
      <w:r>
        <w:rPr>
          <w:rFonts w:hint="eastAsia"/>
          <w:highlight w:val="none"/>
          <w:lang w:eastAsia="zh-CN"/>
        </w:rPr>
        <w:t>四</w:t>
      </w:r>
      <w:r>
        <w:rPr>
          <w:rFonts w:hint="eastAsia"/>
          <w:highlight w:val="none"/>
        </w:rPr>
        <w:t xml:space="preserve"> </w:t>
      </w:r>
      <w:r>
        <w:rPr>
          <w:rFonts w:hint="eastAsia" w:ascii="Times New Roman" w:hAnsi="Times New Roman" w:cs="Times New Roman"/>
          <w:highlight w:val="none"/>
        </w:rPr>
        <w:t>建</w:t>
      </w:r>
      <w:r>
        <w:rPr>
          <w:rFonts w:hint="eastAsia" w:ascii="Times New Roman" w:hAnsi="Times New Roman" w:cs="Times New Roman"/>
          <w:highlight w:val="none"/>
          <w:lang w:eastAsia="zh-CN"/>
        </w:rPr>
        <w:t>设项目环境影响报告表主要结论及</w:t>
      </w:r>
      <w:r>
        <w:rPr>
          <w:rFonts w:hint="eastAsia" w:ascii="Times New Roman" w:hAnsi="Times New Roman" w:cs="Times New Roman"/>
          <w:highlight w:val="none"/>
        </w:rPr>
        <w:t>审批部门审批决定</w:t>
      </w:r>
      <w:bookmarkEnd w:id="89"/>
    </w:p>
    <w:tbl>
      <w:tblPr>
        <w:tblStyle w:val="11"/>
        <w:tblW w:w="907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077" w:type="dxa"/>
            <w:tcBorders>
              <w:top w:val="single" w:color="auto" w:sz="4" w:space="0"/>
              <w:left w:val="single" w:color="auto" w:sz="4" w:space="0"/>
              <w:bottom w:val="single" w:color="auto" w:sz="4" w:space="0"/>
              <w:right w:val="single" w:color="auto" w:sz="4" w:space="0"/>
            </w:tcBorders>
            <w:noWrap w:val="0"/>
            <w:vAlign w:val="center"/>
          </w:tcPr>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eastAsia"/>
                <w:b/>
                <w:sz w:val="24"/>
                <w:highlight w:val="none"/>
                <w:u w:val="none"/>
                <w:lang w:val="en-US" w:eastAsia="zh-CN"/>
              </w:rPr>
            </w:pPr>
            <w:bookmarkStart w:id="90" w:name="_Toc32718"/>
            <w:r>
              <w:rPr>
                <w:rFonts w:hint="eastAsia"/>
                <w:b/>
                <w:sz w:val="24"/>
                <w:highlight w:val="none"/>
                <w:u w:val="none"/>
                <w:lang w:val="en-US" w:eastAsia="zh-CN"/>
              </w:rPr>
              <w:t>一、环境影响报告表主要结论与建议</w:t>
            </w:r>
            <w:bookmarkEnd w:id="90"/>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zh-CN" w:eastAsia="zh-CN"/>
              </w:rPr>
            </w:pPr>
            <w:r>
              <w:rPr>
                <w:rFonts w:hint="default" w:ascii="Times New Roman" w:hAnsi="Times New Roman" w:cs="Times New Roman" w:eastAsiaTheme="minorEastAsia"/>
                <w:snapToGrid w:val="0"/>
                <w:kern w:val="0"/>
                <w:sz w:val="24"/>
                <w:szCs w:val="24"/>
                <w:highlight w:val="none"/>
                <w:lang w:val="zh-CN" w:eastAsia="zh-CN"/>
              </w:rPr>
              <w:t>根据宝鸡博源环境科技有限公司西安分公司编制的《陕西省石油化工工业贸易有限公司华州服务区</w:t>
            </w:r>
            <w:r>
              <w:rPr>
                <w:rFonts w:hint="eastAsia" w:cs="Times New Roman" w:eastAsiaTheme="minorEastAsia"/>
                <w:snapToGrid w:val="0"/>
                <w:kern w:val="0"/>
                <w:sz w:val="24"/>
                <w:szCs w:val="24"/>
                <w:highlight w:val="none"/>
                <w:lang w:val="zh-CN" w:eastAsia="zh-CN"/>
              </w:rPr>
              <w:t>西</w:t>
            </w:r>
            <w:r>
              <w:rPr>
                <w:rFonts w:hint="default" w:ascii="Times New Roman" w:hAnsi="Times New Roman" w:cs="Times New Roman" w:eastAsiaTheme="minorEastAsia"/>
                <w:snapToGrid w:val="0"/>
                <w:kern w:val="0"/>
                <w:sz w:val="24"/>
                <w:szCs w:val="24"/>
                <w:highlight w:val="none"/>
                <w:lang w:val="zh-CN" w:eastAsia="zh-CN"/>
              </w:rPr>
              <w:t>加油站项目》，其主要结论如下：</w:t>
            </w:r>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en-US" w:eastAsia="zh-CN"/>
              </w:rPr>
            </w:pPr>
            <w:r>
              <w:rPr>
                <w:rFonts w:hint="default" w:ascii="Times New Roman" w:hAnsi="Times New Roman" w:cs="Times New Roman" w:eastAsiaTheme="minorEastAsia"/>
                <w:snapToGrid w:val="0"/>
                <w:kern w:val="0"/>
                <w:sz w:val="24"/>
                <w:szCs w:val="24"/>
                <w:highlight w:val="none"/>
                <w:lang w:val="en-US" w:eastAsia="zh-CN"/>
              </w:rPr>
              <w:t>该项目环评、环保手续齐全，执行了“三同时”的有关规定，符合《环境影响评价法》和《建设项目环境保护管理条例》中的有关规定，具体见下表4-1。</w:t>
            </w:r>
          </w:p>
          <w:p>
            <w:pPr>
              <w:tabs>
                <w:tab w:val="left" w:pos="2130"/>
              </w:tabs>
              <w:snapToGrid w:val="0"/>
              <w:jc w:val="center"/>
              <w:rPr>
                <w:rFonts w:hint="default" w:ascii="Times New Roman" w:hAnsi="Times New Roman" w:cs="Times New Roman" w:eastAsiaTheme="minorEastAsia"/>
                <w:b/>
                <w:bCs/>
                <w:sz w:val="21"/>
                <w:szCs w:val="21"/>
                <w:highlight w:val="none"/>
                <w:lang w:val="en-US" w:eastAsia="zh-CN"/>
              </w:rPr>
            </w:pPr>
            <w:bookmarkStart w:id="91" w:name="_Toc12832"/>
            <w:r>
              <w:rPr>
                <w:rFonts w:hint="default" w:ascii="Times New Roman" w:hAnsi="Times New Roman" w:cs="Times New Roman" w:eastAsiaTheme="minorEastAsia"/>
                <w:b/>
                <w:bCs/>
                <w:sz w:val="21"/>
                <w:szCs w:val="21"/>
                <w:highlight w:val="none"/>
                <w:lang w:val="en-US" w:eastAsia="zh-CN"/>
              </w:rPr>
              <w:t>表4-1  环评及其批复要求落实情况表</w:t>
            </w:r>
          </w:p>
          <w:tbl>
            <w:tblPr>
              <w:tblStyle w:val="12"/>
              <w:tblW w:w="88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4181"/>
              <w:gridCol w:w="3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5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highlight w:val="none"/>
                      <w:lang w:eastAsia="zh-CN"/>
                    </w:rPr>
                  </w:pPr>
                  <w:r>
                    <w:rPr>
                      <w:rFonts w:hint="default" w:ascii="Times New Roman" w:hAnsi="Times New Roman" w:cs="Times New Roman" w:eastAsiaTheme="minorEastAsia"/>
                      <w:b/>
                      <w:bCs/>
                      <w:highlight w:val="none"/>
                      <w:lang w:eastAsia="zh-CN"/>
                    </w:rPr>
                    <w:t>类别</w:t>
                  </w:r>
                </w:p>
              </w:tc>
              <w:tc>
                <w:tcPr>
                  <w:tcW w:w="41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highlight w:val="none"/>
                      <w:lang w:eastAsia="zh-CN"/>
                    </w:rPr>
                  </w:pPr>
                  <w:r>
                    <w:rPr>
                      <w:rFonts w:hint="default" w:ascii="Times New Roman" w:hAnsi="Times New Roman" w:cs="Times New Roman" w:eastAsiaTheme="minorEastAsia"/>
                      <w:b/>
                      <w:bCs/>
                      <w:highlight w:val="none"/>
                      <w:lang w:eastAsia="zh-CN"/>
                    </w:rPr>
                    <w:t>环评批复意见</w:t>
                  </w:r>
                </w:p>
              </w:tc>
              <w:tc>
                <w:tcPr>
                  <w:tcW w:w="392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highlight w:val="none"/>
                      <w:lang w:eastAsia="zh-CN"/>
                    </w:rPr>
                  </w:pPr>
                  <w:r>
                    <w:rPr>
                      <w:rFonts w:hint="default" w:ascii="Times New Roman" w:hAnsi="Times New Roman" w:cs="Times New Roman" w:eastAsiaTheme="minorEastAsia"/>
                      <w:b/>
                      <w:bCs/>
                      <w:highlight w:val="none"/>
                      <w:lang w:eastAsia="zh-CN"/>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5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t>废气</w:t>
                  </w:r>
                </w:p>
              </w:tc>
              <w:tc>
                <w:tcPr>
                  <w:tcW w:w="4181" w:type="dxa"/>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rPr>
                    <w:t>按照要求配套建设油气回收装置，减少</w:t>
                  </w:r>
                  <w:r>
                    <w:rPr>
                      <w:rFonts w:hint="default" w:ascii="Times New Roman" w:hAnsi="Times New Roman" w:cs="Times New Roman" w:eastAsiaTheme="minorEastAsia"/>
                      <w:highlight w:val="none"/>
                      <w:lang w:eastAsia="zh-CN"/>
                    </w:rPr>
                    <w:t>烃</w:t>
                  </w:r>
                  <w:r>
                    <w:rPr>
                      <w:rFonts w:hint="default" w:ascii="Times New Roman" w:hAnsi="Times New Roman" w:cs="Times New Roman" w:eastAsiaTheme="minorEastAsia"/>
                      <w:highlight w:val="none"/>
                    </w:rPr>
                    <w:t>类物质的排放，釆用埋地双层储罐，并安装油罐渗漏监控及报警装置。</w:t>
                  </w:r>
                </w:p>
              </w:tc>
              <w:tc>
                <w:tcPr>
                  <w:tcW w:w="3923" w:type="dxa"/>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t>项目运营期产生的大气污染物主要为在油气灌装（卸油）、储存（静储）、加油等过程中挥发产生的油气（非甲烷总烃）。项目已经配备了三次油气回收装置。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5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t>废水</w:t>
                  </w:r>
                </w:p>
              </w:tc>
              <w:tc>
                <w:tcPr>
                  <w:tcW w:w="4181" w:type="dxa"/>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rPr>
                    <w:t>运行期产生的场地冲洗废水经隔油池处理后与生活污水</w:t>
                  </w:r>
                  <w:r>
                    <w:rPr>
                      <w:rFonts w:hint="default" w:ascii="Times New Roman" w:hAnsi="Times New Roman" w:cs="Times New Roman" w:eastAsiaTheme="minorEastAsia"/>
                      <w:highlight w:val="none"/>
                      <w:lang w:eastAsia="zh-CN"/>
                    </w:rPr>
                    <w:t>一起</w:t>
                  </w:r>
                  <w:r>
                    <w:rPr>
                      <w:rFonts w:hint="default" w:ascii="Times New Roman" w:hAnsi="Times New Roman" w:cs="Times New Roman" w:eastAsiaTheme="minorEastAsia"/>
                      <w:highlight w:val="none"/>
                    </w:rPr>
                    <w:t>委托渭玉高速华州服务区污水处理系统处理后回用，不得外排</w:t>
                  </w:r>
                  <w:r>
                    <w:rPr>
                      <w:rFonts w:hint="default" w:ascii="Times New Roman" w:hAnsi="Times New Roman" w:cs="Times New Roman" w:eastAsiaTheme="minorEastAsia"/>
                      <w:highlight w:val="none"/>
                      <w:lang w:eastAsia="zh-CN"/>
                    </w:rPr>
                    <w:t>，</w:t>
                  </w:r>
                  <w:r>
                    <w:rPr>
                      <w:rFonts w:hint="default" w:ascii="Times New Roman" w:hAnsi="Times New Roman" w:cs="Times New Roman" w:eastAsiaTheme="minorEastAsia"/>
                      <w:highlight w:val="none"/>
                    </w:rPr>
                    <w:t>不得在加油站设车辆冲洗设备和场所。</w:t>
                  </w:r>
                </w:p>
              </w:tc>
              <w:tc>
                <w:tcPr>
                  <w:tcW w:w="3923" w:type="dxa"/>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highlight w:val="none"/>
                      <w:lang w:val="en-US" w:eastAsia="zh-CN"/>
                    </w:rPr>
                  </w:pPr>
                  <w:r>
                    <w:rPr>
                      <w:rFonts w:hint="default" w:ascii="Times New Roman" w:hAnsi="Times New Roman" w:cs="Times New Roman" w:eastAsiaTheme="minorEastAsia"/>
                      <w:highlight w:val="none"/>
                    </w:rPr>
                    <w:t>场地冲洗废水经隔油池处理后与生活污水一同排入渭南至玉山高速公路华州服务区污水处理系统进行处理后回用</w:t>
                  </w:r>
                  <w:r>
                    <w:rPr>
                      <w:rFonts w:hint="default" w:ascii="Times New Roman" w:hAnsi="Times New Roman" w:cs="Times New Roman" w:eastAsiaTheme="minorEastAsia"/>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5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t>噪声</w:t>
                  </w:r>
                </w:p>
              </w:tc>
              <w:tc>
                <w:tcPr>
                  <w:tcW w:w="4181" w:type="dxa"/>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val="en-US" w:eastAsia="zh-CN"/>
                    </w:rPr>
                    <w:t>落实噪声污染防治措施。优先选用低噪环保设备，对各类强噪声设备采取减震消声等措施，确保厂界噪声达到二类区和4a标准。</w:t>
                  </w:r>
                </w:p>
              </w:tc>
              <w:tc>
                <w:tcPr>
                  <w:tcW w:w="3923" w:type="dxa"/>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t>选用低噪声设备，置于地下，安装减振垫，充分利用建构筑物、绿化带阻隔声波传播，周围和道路两侧加强绿化。</w:t>
                  </w:r>
                </w:p>
              </w:tc>
            </w:tr>
          </w:tbl>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69" w:beforeLines="100" w:line="360" w:lineRule="auto"/>
              <w:textAlignment w:val="auto"/>
              <w:rPr>
                <w:rFonts w:hint="default" w:ascii="Times New Roman" w:hAnsi="Times New Roman" w:cs="Times New Roman" w:eastAsiaTheme="minorEastAsia"/>
                <w:b/>
                <w:sz w:val="24"/>
                <w:highlight w:val="none"/>
                <w:u w:val="none"/>
                <w:lang w:val="en-US" w:eastAsia="zh-CN"/>
              </w:rPr>
            </w:pPr>
            <w:r>
              <w:rPr>
                <w:rFonts w:hint="default" w:ascii="Times New Roman" w:hAnsi="Times New Roman" w:cs="Times New Roman" w:eastAsiaTheme="minorEastAsia"/>
                <w:b/>
                <w:sz w:val="24"/>
                <w:highlight w:val="none"/>
                <w:u w:val="none"/>
                <w:lang w:val="en-US" w:eastAsia="zh-CN"/>
              </w:rPr>
              <w:t>二、审批部门审批决定</w:t>
            </w:r>
            <w:bookmarkEnd w:id="91"/>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en-US" w:eastAsia="zh-CN"/>
              </w:rPr>
            </w:pPr>
            <w:r>
              <w:rPr>
                <w:rFonts w:hint="default" w:ascii="Times New Roman" w:hAnsi="Times New Roman" w:cs="Times New Roman" w:eastAsiaTheme="minorEastAsia"/>
                <w:snapToGrid w:val="0"/>
                <w:kern w:val="0"/>
                <w:sz w:val="24"/>
                <w:szCs w:val="24"/>
                <w:highlight w:val="none"/>
                <w:lang w:val="en-US" w:eastAsia="zh-CN"/>
              </w:rPr>
              <w:t>渭南市华州区环境保护局于二零一九年十月二十九日，关于《陕西省石油化工工业贸易有限公司华洲服务区</w:t>
            </w:r>
            <w:r>
              <w:rPr>
                <w:rFonts w:hint="eastAsia" w:cs="Times New Roman" w:eastAsiaTheme="minorEastAsia"/>
                <w:snapToGrid w:val="0"/>
                <w:kern w:val="0"/>
                <w:sz w:val="24"/>
                <w:szCs w:val="24"/>
                <w:highlight w:val="none"/>
                <w:lang w:val="en-US" w:eastAsia="zh-CN"/>
              </w:rPr>
              <w:t>西</w:t>
            </w:r>
            <w:r>
              <w:rPr>
                <w:rFonts w:hint="default" w:ascii="Times New Roman" w:hAnsi="Times New Roman" w:cs="Times New Roman" w:eastAsiaTheme="minorEastAsia"/>
                <w:snapToGrid w:val="0"/>
                <w:kern w:val="0"/>
                <w:sz w:val="24"/>
                <w:szCs w:val="24"/>
                <w:highlight w:val="none"/>
                <w:lang w:val="en-US" w:eastAsia="zh-CN"/>
              </w:rPr>
              <w:t>加油站项目环境影响报告表》给出了如下批复：</w:t>
            </w:r>
          </w:p>
          <w:tbl>
            <w:tblPr>
              <w:tblStyle w:val="12"/>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851" w:type="dxa"/>
                  <w:noWrap w:val="0"/>
                  <w:vAlign w:val="top"/>
                </w:tcPr>
                <w:p>
                  <w:pPr>
                    <w:tabs>
                      <w:tab w:val="left" w:pos="924"/>
                    </w:tabs>
                    <w:adjustRightInd w:val="0"/>
                    <w:snapToGrid w:val="0"/>
                    <w:spacing w:line="360" w:lineRule="auto"/>
                    <w:ind w:firstLine="482" w:firstLineChars="200"/>
                    <w:jc w:val="center"/>
                    <w:rPr>
                      <w:rFonts w:hint="default" w:ascii="Times New Roman" w:hAnsi="Times New Roman" w:cs="Times New Roman" w:eastAsiaTheme="minorEastAsia"/>
                      <w:b/>
                      <w:bCs/>
                      <w:snapToGrid w:val="0"/>
                      <w:kern w:val="0"/>
                      <w:sz w:val="24"/>
                      <w:szCs w:val="24"/>
                      <w:highlight w:val="none"/>
                      <w:lang w:val="en-US" w:eastAsia="zh-CN"/>
                    </w:rPr>
                  </w:pPr>
                  <w:r>
                    <w:rPr>
                      <w:rFonts w:hint="default" w:ascii="Times New Roman" w:hAnsi="Times New Roman" w:cs="Times New Roman" w:eastAsiaTheme="minorEastAsia"/>
                      <w:b/>
                      <w:bCs/>
                      <w:snapToGrid w:val="0"/>
                      <w:kern w:val="0"/>
                      <w:sz w:val="24"/>
                      <w:szCs w:val="24"/>
                      <w:highlight w:val="none"/>
                      <w:lang w:val="en-US" w:eastAsia="zh-CN"/>
                    </w:rPr>
                    <w:t>建设项目环境管理审批件</w:t>
                  </w:r>
                </w:p>
                <w:p>
                  <w:pPr>
                    <w:tabs>
                      <w:tab w:val="left" w:pos="924"/>
                    </w:tabs>
                    <w:adjustRightInd w:val="0"/>
                    <w:snapToGrid w:val="0"/>
                    <w:spacing w:line="360" w:lineRule="auto"/>
                    <w:ind w:firstLine="482" w:firstLineChars="200"/>
                    <w:jc w:val="center"/>
                    <w:rPr>
                      <w:rFonts w:hint="default" w:ascii="Times New Roman" w:hAnsi="Times New Roman" w:cs="Times New Roman" w:eastAsiaTheme="minorEastAsia"/>
                      <w:b/>
                      <w:bCs/>
                      <w:snapToGrid w:val="0"/>
                      <w:kern w:val="0"/>
                      <w:sz w:val="24"/>
                      <w:szCs w:val="24"/>
                      <w:highlight w:val="none"/>
                      <w:lang w:val="en-US" w:eastAsia="zh-CN"/>
                    </w:rPr>
                  </w:pPr>
                  <w:r>
                    <w:rPr>
                      <w:rFonts w:hint="default" w:ascii="Times New Roman" w:hAnsi="Times New Roman" w:cs="Times New Roman" w:eastAsiaTheme="minorEastAsia"/>
                      <w:b/>
                      <w:bCs/>
                      <w:snapToGrid w:val="0"/>
                      <w:kern w:val="0"/>
                      <w:sz w:val="24"/>
                      <w:szCs w:val="24"/>
                      <w:highlight w:val="none"/>
                      <w:lang w:val="en-US" w:eastAsia="zh-CN"/>
                    </w:rPr>
                    <w:t>渭华环审发〔2019〕2</w:t>
                  </w:r>
                  <w:r>
                    <w:rPr>
                      <w:rFonts w:hint="eastAsia" w:cs="Times New Roman" w:eastAsiaTheme="minorEastAsia"/>
                      <w:b/>
                      <w:bCs/>
                      <w:snapToGrid w:val="0"/>
                      <w:kern w:val="0"/>
                      <w:sz w:val="24"/>
                      <w:szCs w:val="24"/>
                      <w:highlight w:val="none"/>
                      <w:lang w:val="en-US" w:eastAsia="zh-CN"/>
                    </w:rPr>
                    <w:t>5</w:t>
                  </w:r>
                  <w:r>
                    <w:rPr>
                      <w:rFonts w:hint="default" w:ascii="Times New Roman" w:hAnsi="Times New Roman" w:cs="Times New Roman" w:eastAsiaTheme="minorEastAsia"/>
                      <w:b/>
                      <w:bCs/>
                      <w:snapToGrid w:val="0"/>
                      <w:kern w:val="0"/>
                      <w:sz w:val="24"/>
                      <w:szCs w:val="24"/>
                      <w:highlight w:val="none"/>
                      <w:lang w:val="en-US" w:eastAsia="zh-CN"/>
                    </w:rPr>
                    <w:t>号</w:t>
                  </w:r>
                </w:p>
                <w:p>
                  <w:pPr>
                    <w:tabs>
                      <w:tab w:val="left" w:pos="924"/>
                    </w:tabs>
                    <w:adjustRightInd w:val="0"/>
                    <w:snapToGrid w:val="0"/>
                    <w:spacing w:line="360" w:lineRule="auto"/>
                    <w:ind w:firstLine="482" w:firstLineChars="200"/>
                    <w:jc w:val="center"/>
                    <w:rPr>
                      <w:rFonts w:hint="default" w:ascii="Times New Roman" w:hAnsi="Times New Roman" w:cs="Times New Roman" w:eastAsiaTheme="minorEastAsia"/>
                      <w:b/>
                      <w:bCs/>
                      <w:snapToGrid w:val="0"/>
                      <w:kern w:val="0"/>
                      <w:sz w:val="24"/>
                      <w:szCs w:val="24"/>
                      <w:highlight w:val="none"/>
                      <w:lang w:val="en-US" w:eastAsia="zh-CN"/>
                    </w:rPr>
                  </w:pPr>
                  <w:r>
                    <w:rPr>
                      <w:rFonts w:hint="default" w:ascii="Times New Roman" w:hAnsi="Times New Roman" w:cs="Times New Roman" w:eastAsiaTheme="minorEastAsia"/>
                      <w:b/>
                      <w:bCs/>
                      <w:snapToGrid w:val="0"/>
                      <w:kern w:val="0"/>
                      <w:sz w:val="24"/>
                      <w:szCs w:val="24"/>
                      <w:highlight w:val="none"/>
                      <w:lang w:val="en-US" w:eastAsia="zh-CN"/>
                    </w:rPr>
                    <w:t>渭南市华州区环境保护局</w:t>
                  </w:r>
                </w:p>
                <w:p>
                  <w:pPr>
                    <w:tabs>
                      <w:tab w:val="left" w:pos="924"/>
                    </w:tabs>
                    <w:adjustRightInd w:val="0"/>
                    <w:snapToGrid w:val="0"/>
                    <w:spacing w:line="360" w:lineRule="auto"/>
                    <w:ind w:firstLine="482" w:firstLineChars="200"/>
                    <w:jc w:val="center"/>
                    <w:rPr>
                      <w:rFonts w:hint="default" w:ascii="Times New Roman" w:hAnsi="Times New Roman" w:cs="Times New Roman" w:eastAsiaTheme="minorEastAsia"/>
                      <w:b/>
                      <w:bCs/>
                      <w:snapToGrid w:val="0"/>
                      <w:kern w:val="0"/>
                      <w:sz w:val="24"/>
                      <w:szCs w:val="24"/>
                      <w:highlight w:val="none"/>
                      <w:lang w:val="en-US" w:eastAsia="zh-CN"/>
                    </w:rPr>
                  </w:pPr>
                  <w:r>
                    <w:rPr>
                      <w:rFonts w:hint="default" w:ascii="Times New Roman" w:hAnsi="Times New Roman" w:cs="Times New Roman" w:eastAsiaTheme="minorEastAsia"/>
                      <w:b/>
                      <w:bCs/>
                      <w:snapToGrid w:val="0"/>
                      <w:kern w:val="0"/>
                      <w:sz w:val="24"/>
                      <w:szCs w:val="24"/>
                      <w:highlight w:val="none"/>
                      <w:lang w:val="en-US" w:eastAsia="zh-CN"/>
                    </w:rPr>
                    <w:t>关于陕西省石油化工工业贸易有限公司</w:t>
                  </w:r>
                  <w:r>
                    <w:rPr>
                      <w:rFonts w:hint="default" w:ascii="Times New Roman" w:hAnsi="Times New Roman" w:cs="Times New Roman" w:eastAsiaTheme="minorEastAsia"/>
                      <w:b/>
                      <w:bCs/>
                      <w:snapToGrid w:val="0"/>
                      <w:kern w:val="0"/>
                      <w:sz w:val="24"/>
                      <w:szCs w:val="24"/>
                      <w:highlight w:val="none"/>
                      <w:lang w:val="en-US" w:eastAsia="zh-CN"/>
                    </w:rPr>
                    <w:br w:type="textWrapping"/>
                  </w:r>
                  <w:r>
                    <w:rPr>
                      <w:rFonts w:hint="default" w:ascii="Times New Roman" w:hAnsi="Times New Roman" w:cs="Times New Roman" w:eastAsiaTheme="minorEastAsia"/>
                      <w:b/>
                      <w:bCs/>
                      <w:snapToGrid w:val="0"/>
                      <w:kern w:val="0"/>
                      <w:sz w:val="24"/>
                      <w:szCs w:val="24"/>
                      <w:highlight w:val="none"/>
                      <w:lang w:val="en-US" w:eastAsia="zh-CN"/>
                    </w:rPr>
                    <w:t>华州区服务区</w:t>
                  </w:r>
                  <w:r>
                    <w:rPr>
                      <w:rFonts w:hint="eastAsia" w:cs="Times New Roman" w:eastAsiaTheme="minorEastAsia"/>
                      <w:b/>
                      <w:bCs/>
                      <w:snapToGrid w:val="0"/>
                      <w:kern w:val="0"/>
                      <w:sz w:val="24"/>
                      <w:szCs w:val="24"/>
                      <w:highlight w:val="none"/>
                      <w:lang w:val="en-US" w:eastAsia="zh-CN"/>
                    </w:rPr>
                    <w:t>西</w:t>
                  </w:r>
                  <w:r>
                    <w:rPr>
                      <w:rFonts w:hint="default" w:ascii="Times New Roman" w:hAnsi="Times New Roman" w:cs="Times New Roman" w:eastAsiaTheme="minorEastAsia"/>
                      <w:b/>
                      <w:bCs/>
                      <w:snapToGrid w:val="0"/>
                      <w:kern w:val="0"/>
                      <w:sz w:val="24"/>
                      <w:szCs w:val="24"/>
                      <w:highlight w:val="none"/>
                      <w:lang w:val="en-US" w:eastAsia="zh-CN"/>
                    </w:rPr>
                    <w:t>加油站项目环境影响报告表的批复</w:t>
                  </w:r>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en-US" w:eastAsia="zh-CN"/>
                    </w:rPr>
                  </w:pPr>
                  <w:r>
                    <w:rPr>
                      <w:rFonts w:hint="default" w:ascii="Times New Roman" w:hAnsi="Times New Roman" w:cs="Times New Roman" w:eastAsiaTheme="minorEastAsia"/>
                      <w:snapToGrid w:val="0"/>
                      <w:kern w:val="0"/>
                      <w:sz w:val="24"/>
                      <w:szCs w:val="24"/>
                      <w:highlight w:val="none"/>
                      <w:lang w:val="en-US" w:eastAsia="zh-CN"/>
                    </w:rPr>
                    <w:t>陕西省石油化工工业贸易有限公司：</w:t>
                  </w:r>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en-US" w:eastAsia="zh-CN"/>
                    </w:rPr>
                  </w:pPr>
                  <w:r>
                    <w:rPr>
                      <w:rFonts w:hint="default" w:ascii="Times New Roman" w:hAnsi="Times New Roman" w:cs="Times New Roman" w:eastAsiaTheme="minorEastAsia"/>
                      <w:snapToGrid w:val="0"/>
                      <w:kern w:val="0"/>
                      <w:sz w:val="24"/>
                      <w:szCs w:val="24"/>
                      <w:highlight w:val="none"/>
                      <w:lang w:val="en-US" w:eastAsia="zh-CN"/>
                    </w:rPr>
                    <w:t>你公司报送的《陕西省石油化工工业贸易有限公司华州区服务区</w:t>
                  </w:r>
                  <w:r>
                    <w:rPr>
                      <w:rFonts w:hint="eastAsia" w:cs="Times New Roman" w:eastAsiaTheme="minorEastAsia"/>
                      <w:snapToGrid w:val="0"/>
                      <w:kern w:val="0"/>
                      <w:sz w:val="24"/>
                      <w:szCs w:val="24"/>
                      <w:highlight w:val="none"/>
                      <w:lang w:val="en-US" w:eastAsia="zh-CN"/>
                    </w:rPr>
                    <w:t>西</w:t>
                  </w:r>
                  <w:r>
                    <w:rPr>
                      <w:rFonts w:hint="default" w:ascii="Times New Roman" w:hAnsi="Times New Roman" w:cs="Times New Roman" w:eastAsiaTheme="minorEastAsia"/>
                      <w:snapToGrid w:val="0"/>
                      <w:kern w:val="0"/>
                      <w:sz w:val="24"/>
                      <w:szCs w:val="24"/>
                      <w:highlight w:val="none"/>
                      <w:lang w:val="en-US" w:eastAsia="zh-CN"/>
                    </w:rPr>
                    <w:t>加油站项目环境影响报告表》（以下简称</w:t>
                  </w:r>
                  <w:r>
                    <w:rPr>
                      <w:rFonts w:hint="default" w:ascii="Times New Roman" w:hAnsi="Times New Roman" w:cs="Times New Roman" w:eastAsiaTheme="minorEastAsia"/>
                      <w:snapToGrid w:val="0"/>
                      <w:kern w:val="0"/>
                      <w:sz w:val="24"/>
                      <w:szCs w:val="24"/>
                      <w:highlight w:val="none"/>
                      <w:lang w:val="zh-CN" w:eastAsia="zh-CN"/>
                    </w:rPr>
                    <w:t>“报告</w:t>
                  </w:r>
                  <w:r>
                    <w:rPr>
                      <w:rFonts w:hint="default" w:ascii="Times New Roman" w:hAnsi="Times New Roman" w:cs="Times New Roman" w:eastAsiaTheme="minorEastAsia"/>
                      <w:snapToGrid w:val="0"/>
                      <w:kern w:val="0"/>
                      <w:sz w:val="24"/>
                      <w:szCs w:val="24"/>
                      <w:highlight w:val="none"/>
                      <w:lang w:val="en-US" w:eastAsia="zh-CN"/>
                    </w:rPr>
                    <w:t>表”）收悉，根据2019年9月15日技术审查会意见，对修改后的报告表批复如下：</w:t>
                  </w:r>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en-US" w:eastAsia="zh-CN"/>
                    </w:rPr>
                  </w:pPr>
                  <w:r>
                    <w:rPr>
                      <w:rFonts w:hint="default" w:ascii="Times New Roman" w:hAnsi="Times New Roman" w:cs="Times New Roman" w:eastAsiaTheme="minorEastAsia"/>
                      <w:snapToGrid w:val="0"/>
                      <w:kern w:val="0"/>
                      <w:sz w:val="24"/>
                      <w:szCs w:val="24"/>
                      <w:highlight w:val="none"/>
                      <w:lang w:val="en-US" w:eastAsia="zh-CN"/>
                    </w:rPr>
                    <w:t>一、本项目位于渭南至玉山高速公路华州服务区</w:t>
                  </w:r>
                  <w:r>
                    <w:rPr>
                      <w:rFonts w:hint="eastAsia" w:cs="Times New Roman" w:eastAsiaTheme="minorEastAsia"/>
                      <w:snapToGrid w:val="0"/>
                      <w:kern w:val="0"/>
                      <w:sz w:val="24"/>
                      <w:szCs w:val="24"/>
                      <w:highlight w:val="none"/>
                      <w:lang w:val="en-US" w:eastAsia="zh-CN"/>
                    </w:rPr>
                    <w:t>西</w:t>
                  </w:r>
                  <w:r>
                    <w:rPr>
                      <w:rFonts w:hint="default" w:ascii="Times New Roman" w:hAnsi="Times New Roman" w:cs="Times New Roman" w:eastAsiaTheme="minorEastAsia"/>
                      <w:snapToGrid w:val="0"/>
                      <w:kern w:val="0"/>
                      <w:sz w:val="24"/>
                      <w:szCs w:val="24"/>
                      <w:highlight w:val="none"/>
                      <w:lang w:val="en-US" w:eastAsia="zh-CN"/>
                    </w:rPr>
                    <w:t>区，占地</w:t>
                  </w:r>
                  <w:r>
                    <w:rPr>
                      <w:rFonts w:hint="eastAsia" w:cs="Times New Roman" w:eastAsiaTheme="minorEastAsia"/>
                      <w:snapToGrid w:val="0"/>
                      <w:kern w:val="0"/>
                      <w:sz w:val="24"/>
                      <w:szCs w:val="24"/>
                      <w:highlight w:val="none"/>
                      <w:lang w:val="en-US" w:eastAsia="zh-CN"/>
                    </w:rPr>
                    <w:t>4355.05</w:t>
                  </w:r>
                  <w:r>
                    <w:rPr>
                      <w:rFonts w:hint="default" w:ascii="Times New Roman" w:hAnsi="Times New Roman" w:cs="Times New Roman" w:eastAsiaTheme="minorEastAsia"/>
                      <w:snapToGrid w:val="0"/>
                      <w:kern w:val="0"/>
                      <w:sz w:val="24"/>
                      <w:szCs w:val="24"/>
                      <w:highlight w:val="none"/>
                      <w:lang w:val="en-US" w:eastAsia="zh-CN"/>
                    </w:rPr>
                    <w:t>平方米，项目共建设双层储油罐5个，其中3个</w:t>
                  </w:r>
                  <w:r>
                    <w:rPr>
                      <w:rFonts w:hint="default" w:ascii="Times New Roman" w:hAnsi="Times New Roman" w:cs="Times New Roman" w:eastAsiaTheme="minorEastAsia"/>
                      <w:snapToGrid w:val="0"/>
                      <w:kern w:val="0"/>
                      <w:sz w:val="24"/>
                      <w:szCs w:val="24"/>
                      <w:highlight w:val="none"/>
                      <w:lang w:val="en-US" w:eastAsia="en-US"/>
                    </w:rPr>
                    <w:t>50m</w:t>
                  </w:r>
                  <w:r>
                    <w:rPr>
                      <w:rFonts w:hint="default" w:ascii="Times New Roman" w:hAnsi="Times New Roman" w:cs="Times New Roman" w:eastAsiaTheme="minorEastAsia"/>
                      <w:snapToGrid w:val="0"/>
                      <w:kern w:val="0"/>
                      <w:sz w:val="24"/>
                      <w:szCs w:val="24"/>
                      <w:highlight w:val="none"/>
                      <w:vertAlign w:val="superscript"/>
                      <w:lang w:val="en-US" w:eastAsia="zh-CN"/>
                    </w:rPr>
                    <w:t>3</w:t>
                  </w:r>
                  <w:r>
                    <w:rPr>
                      <w:rFonts w:hint="default" w:ascii="Times New Roman" w:hAnsi="Times New Roman" w:cs="Times New Roman" w:eastAsiaTheme="minorEastAsia"/>
                      <w:snapToGrid w:val="0"/>
                      <w:kern w:val="0"/>
                      <w:sz w:val="24"/>
                      <w:szCs w:val="24"/>
                      <w:highlight w:val="none"/>
                      <w:lang w:val="en-US" w:eastAsia="zh-CN"/>
                    </w:rPr>
                    <w:t>柴油罐，2个50</w:t>
                  </w:r>
                  <w:r>
                    <w:rPr>
                      <w:rFonts w:hint="default" w:ascii="Times New Roman" w:hAnsi="Times New Roman" w:cs="Times New Roman" w:eastAsiaTheme="minorEastAsia"/>
                      <w:snapToGrid w:val="0"/>
                      <w:kern w:val="0"/>
                      <w:sz w:val="24"/>
                      <w:szCs w:val="24"/>
                      <w:highlight w:val="none"/>
                      <w:lang w:val="en-US" w:eastAsia="en-US"/>
                    </w:rPr>
                    <w:t>m</w:t>
                  </w:r>
                  <w:r>
                    <w:rPr>
                      <w:rFonts w:hint="default" w:ascii="Times New Roman" w:hAnsi="Times New Roman" w:cs="Times New Roman" w:eastAsiaTheme="minorEastAsia"/>
                      <w:snapToGrid w:val="0"/>
                      <w:kern w:val="0"/>
                      <w:sz w:val="24"/>
                      <w:szCs w:val="24"/>
                      <w:highlight w:val="none"/>
                      <w:vertAlign w:val="superscript"/>
                      <w:lang w:val="en-US" w:eastAsia="zh-CN"/>
                    </w:rPr>
                    <w:t>3</w:t>
                  </w:r>
                  <w:r>
                    <w:rPr>
                      <w:rFonts w:hint="default" w:ascii="Times New Roman" w:hAnsi="Times New Roman" w:cs="Times New Roman" w:eastAsiaTheme="minorEastAsia"/>
                      <w:snapToGrid w:val="0"/>
                      <w:kern w:val="0"/>
                      <w:sz w:val="24"/>
                      <w:szCs w:val="24"/>
                      <w:highlight w:val="none"/>
                      <w:lang w:val="en-US" w:eastAsia="zh-CN"/>
                    </w:rPr>
                    <w:t>汽油罐,总罐容为250</w:t>
                  </w:r>
                  <w:r>
                    <w:rPr>
                      <w:rFonts w:hint="default" w:ascii="Times New Roman" w:hAnsi="Times New Roman" w:cs="Times New Roman" w:eastAsiaTheme="minorEastAsia"/>
                      <w:snapToGrid w:val="0"/>
                      <w:kern w:val="0"/>
                      <w:sz w:val="24"/>
                      <w:szCs w:val="24"/>
                      <w:highlight w:val="none"/>
                      <w:lang w:val="en-US" w:eastAsia="en-US"/>
                    </w:rPr>
                    <w:t>m</w:t>
                  </w:r>
                  <w:r>
                    <w:rPr>
                      <w:rFonts w:hint="default" w:ascii="Times New Roman" w:hAnsi="Times New Roman" w:cs="Times New Roman" w:eastAsiaTheme="minorEastAsia"/>
                      <w:snapToGrid w:val="0"/>
                      <w:kern w:val="0"/>
                      <w:sz w:val="24"/>
                      <w:szCs w:val="24"/>
                      <w:highlight w:val="none"/>
                      <w:vertAlign w:val="superscript"/>
                      <w:lang w:val="en-US" w:eastAsia="zh-CN"/>
                    </w:rPr>
                    <w:t>3</w:t>
                  </w:r>
                  <w:r>
                    <w:rPr>
                      <w:rFonts w:hint="default" w:ascii="Times New Roman" w:hAnsi="Times New Roman" w:cs="Times New Roman" w:eastAsiaTheme="minorEastAsia"/>
                      <w:snapToGrid w:val="0"/>
                      <w:kern w:val="0"/>
                      <w:sz w:val="24"/>
                      <w:szCs w:val="24"/>
                      <w:highlight w:val="none"/>
                      <w:lang w:val="en-US" w:eastAsia="zh-CN"/>
                    </w:rPr>
                    <w:t>,属于一级加油站。新建型钢结构罩棚1座，面积为</w:t>
                  </w:r>
                  <w:r>
                    <w:rPr>
                      <w:rFonts w:hint="default" w:ascii="Times New Roman" w:hAnsi="Times New Roman" w:cs="Times New Roman" w:eastAsiaTheme="minorEastAsia"/>
                      <w:snapToGrid w:val="0"/>
                      <w:kern w:val="0"/>
                      <w:sz w:val="24"/>
                      <w:szCs w:val="24"/>
                      <w:highlight w:val="none"/>
                      <w:lang w:val="en-US" w:eastAsia="en-US"/>
                    </w:rPr>
                    <w:t>956.80</w:t>
                  </w:r>
                  <w:r>
                    <w:rPr>
                      <w:rFonts w:hint="default" w:ascii="Times New Roman" w:hAnsi="Times New Roman" w:cs="Times New Roman" w:eastAsiaTheme="minorEastAsia"/>
                      <w:snapToGrid w:val="0"/>
                      <w:kern w:val="0"/>
                      <w:sz w:val="24"/>
                      <w:szCs w:val="24"/>
                      <w:highlight w:val="none"/>
                      <w:lang w:val="en-US" w:eastAsia="zh-CN"/>
                    </w:rPr>
                    <w:t>平方米，设双枪柴油加油机4 台、四枪汽油加油机2台，新建总建筑面积为</w:t>
                  </w:r>
                  <w:r>
                    <w:rPr>
                      <w:rFonts w:hint="default" w:ascii="Times New Roman" w:hAnsi="Times New Roman" w:cs="Times New Roman" w:eastAsiaTheme="minorEastAsia"/>
                      <w:snapToGrid w:val="0"/>
                      <w:kern w:val="0"/>
                      <w:sz w:val="24"/>
                      <w:szCs w:val="24"/>
                      <w:highlight w:val="none"/>
                      <w:lang w:val="en-US" w:eastAsia="en-US"/>
                    </w:rPr>
                    <w:t>117.64</w:t>
                  </w:r>
                  <w:r>
                    <w:rPr>
                      <w:rFonts w:hint="default" w:ascii="Times New Roman" w:hAnsi="Times New Roman" w:cs="Times New Roman" w:eastAsiaTheme="minorEastAsia"/>
                      <w:snapToGrid w:val="0"/>
                      <w:kern w:val="0"/>
                      <w:sz w:val="24"/>
                      <w:szCs w:val="24"/>
                      <w:highlight w:val="none"/>
                      <w:lang w:val="en-US" w:eastAsia="zh-CN"/>
                    </w:rPr>
                    <w:t>平方米的一 层站房，设三次油气回收装置。项目完成后预计年销售油</w:t>
                  </w:r>
                  <w:r>
                    <w:rPr>
                      <w:rFonts w:hint="default" w:ascii="Times New Roman" w:hAnsi="Times New Roman" w:cs="Times New Roman" w:eastAsiaTheme="minorEastAsia"/>
                      <w:snapToGrid w:val="0"/>
                      <w:kern w:val="0"/>
                      <w:sz w:val="24"/>
                      <w:szCs w:val="24"/>
                      <w:highlight w:val="none"/>
                      <w:lang w:val="en-US" w:eastAsia="en-US"/>
                    </w:rPr>
                    <w:t xml:space="preserve">3000t, </w:t>
                  </w:r>
                  <w:r>
                    <w:rPr>
                      <w:rFonts w:hint="default" w:ascii="Times New Roman" w:hAnsi="Times New Roman" w:cs="Times New Roman" w:eastAsiaTheme="minorEastAsia"/>
                      <w:snapToGrid w:val="0"/>
                      <w:kern w:val="0"/>
                      <w:sz w:val="24"/>
                      <w:szCs w:val="24"/>
                      <w:highlight w:val="none"/>
                      <w:lang w:val="en-US" w:eastAsia="zh-CN"/>
                    </w:rPr>
                    <w:t>其中汽油</w:t>
                  </w:r>
                  <w:r>
                    <w:rPr>
                      <w:rFonts w:hint="default" w:ascii="Times New Roman" w:hAnsi="Times New Roman" w:cs="Times New Roman" w:eastAsiaTheme="minorEastAsia"/>
                      <w:snapToGrid w:val="0"/>
                      <w:kern w:val="0"/>
                      <w:sz w:val="24"/>
                      <w:szCs w:val="24"/>
                      <w:highlight w:val="none"/>
                      <w:lang w:val="en-US" w:eastAsia="en-US"/>
                    </w:rPr>
                    <w:t>1000t、</w:t>
                  </w:r>
                  <w:r>
                    <w:rPr>
                      <w:rFonts w:hint="default" w:ascii="Times New Roman" w:hAnsi="Times New Roman" w:cs="Times New Roman" w:eastAsiaTheme="minorEastAsia"/>
                      <w:snapToGrid w:val="0"/>
                      <w:kern w:val="0"/>
                      <w:sz w:val="24"/>
                      <w:szCs w:val="24"/>
                      <w:highlight w:val="none"/>
                      <w:lang w:val="en-US" w:eastAsia="zh-CN"/>
                    </w:rPr>
                    <w:t>柴油</w:t>
                  </w:r>
                  <w:r>
                    <w:rPr>
                      <w:rFonts w:hint="default" w:ascii="Times New Roman" w:hAnsi="Times New Roman" w:cs="Times New Roman" w:eastAsiaTheme="minorEastAsia"/>
                      <w:snapToGrid w:val="0"/>
                      <w:kern w:val="0"/>
                      <w:sz w:val="24"/>
                      <w:szCs w:val="24"/>
                      <w:highlight w:val="none"/>
                      <w:lang w:val="en-US" w:eastAsia="en-US"/>
                    </w:rPr>
                    <w:t>2000t</w:t>
                  </w:r>
                  <w:r>
                    <w:rPr>
                      <w:rFonts w:hint="default" w:ascii="Times New Roman" w:hAnsi="Times New Roman" w:cs="Times New Roman" w:eastAsiaTheme="minorEastAsia"/>
                      <w:snapToGrid w:val="0"/>
                      <w:kern w:val="0"/>
                      <w:sz w:val="24"/>
                      <w:szCs w:val="24"/>
                      <w:highlight w:val="none"/>
                      <w:lang w:val="en-US" w:eastAsia="zh-CN"/>
                    </w:rPr>
                    <w:t>。项目总投资</w:t>
                  </w:r>
                  <w:r>
                    <w:rPr>
                      <w:rFonts w:hint="default" w:ascii="Times New Roman" w:hAnsi="Times New Roman" w:cs="Times New Roman" w:eastAsiaTheme="minorEastAsia"/>
                      <w:snapToGrid w:val="0"/>
                      <w:kern w:val="0"/>
                      <w:sz w:val="24"/>
                      <w:szCs w:val="24"/>
                      <w:highlight w:val="none"/>
                      <w:lang w:val="en-US" w:eastAsia="en-US"/>
                    </w:rPr>
                    <w:t xml:space="preserve">342. </w:t>
                  </w:r>
                  <w:r>
                    <w:rPr>
                      <w:rFonts w:hint="default" w:ascii="Times New Roman" w:hAnsi="Times New Roman" w:cs="Times New Roman" w:eastAsiaTheme="minorEastAsia"/>
                      <w:snapToGrid w:val="0"/>
                      <w:kern w:val="0"/>
                      <w:sz w:val="24"/>
                      <w:szCs w:val="24"/>
                      <w:highlight w:val="none"/>
                      <w:lang w:val="en-US" w:eastAsia="zh-CN"/>
                    </w:rPr>
                    <w:t>71万元，其中环保投资</w:t>
                  </w:r>
                  <w:r>
                    <w:rPr>
                      <w:rFonts w:hint="default" w:ascii="Times New Roman" w:hAnsi="Times New Roman" w:cs="Times New Roman" w:eastAsiaTheme="minorEastAsia"/>
                      <w:snapToGrid w:val="0"/>
                      <w:kern w:val="0"/>
                      <w:sz w:val="24"/>
                      <w:szCs w:val="24"/>
                      <w:highlight w:val="none"/>
                      <w:lang w:val="en-US" w:eastAsia="en-US"/>
                    </w:rPr>
                    <w:t xml:space="preserve">77. </w:t>
                  </w:r>
                  <w:r>
                    <w:rPr>
                      <w:rFonts w:hint="eastAsia" w:cs="Times New Roman" w:eastAsiaTheme="minorEastAsia"/>
                      <w:snapToGrid w:val="0"/>
                      <w:kern w:val="0"/>
                      <w:sz w:val="24"/>
                      <w:szCs w:val="24"/>
                      <w:highlight w:val="none"/>
                      <w:lang w:val="en-US" w:eastAsia="zh-CN"/>
                    </w:rPr>
                    <w:t>8</w:t>
                  </w:r>
                  <w:r>
                    <w:rPr>
                      <w:rFonts w:hint="default" w:ascii="Times New Roman" w:hAnsi="Times New Roman" w:cs="Times New Roman" w:eastAsiaTheme="minorEastAsia"/>
                      <w:snapToGrid w:val="0"/>
                      <w:kern w:val="0"/>
                      <w:sz w:val="24"/>
                      <w:szCs w:val="24"/>
                      <w:highlight w:val="none"/>
                      <w:lang w:val="en-US" w:eastAsia="zh-CN"/>
                    </w:rPr>
                    <w:t xml:space="preserve">万元，占总投资的22. </w:t>
                  </w:r>
                  <w:r>
                    <w:rPr>
                      <w:rFonts w:hint="eastAsia" w:cs="Times New Roman" w:eastAsiaTheme="minorEastAsia"/>
                      <w:snapToGrid w:val="0"/>
                      <w:kern w:val="0"/>
                      <w:sz w:val="24"/>
                      <w:szCs w:val="24"/>
                      <w:highlight w:val="none"/>
                      <w:lang w:val="en-US" w:eastAsia="zh-CN"/>
                    </w:rPr>
                    <w:t>7</w:t>
                  </w:r>
                  <w:r>
                    <w:rPr>
                      <w:rFonts w:hint="default" w:ascii="Times New Roman" w:hAnsi="Times New Roman" w:cs="Times New Roman" w:eastAsiaTheme="minorEastAsia"/>
                      <w:snapToGrid w:val="0"/>
                      <w:kern w:val="0"/>
                      <w:sz w:val="24"/>
                      <w:szCs w:val="24"/>
                      <w:highlight w:val="none"/>
                      <w:lang w:val="en-US" w:eastAsia="zh-CN"/>
                    </w:rPr>
                    <w:t>%。</w:t>
                  </w:r>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en-US" w:eastAsia="zh-CN"/>
                    </w:rPr>
                  </w:pPr>
                  <w:r>
                    <w:rPr>
                      <w:rFonts w:hint="default" w:ascii="Times New Roman" w:hAnsi="Times New Roman" w:cs="Times New Roman" w:eastAsiaTheme="minorEastAsia"/>
                      <w:snapToGrid w:val="0"/>
                      <w:kern w:val="0"/>
                      <w:sz w:val="24"/>
                      <w:szCs w:val="24"/>
                      <w:highlight w:val="none"/>
                      <w:lang w:val="en-US" w:eastAsia="zh-CN"/>
                    </w:rPr>
                    <w:t>经审查，项目在全面落实环评报吿表提出的各项污染防治措施后，对环境的不利影响能够得到减缓和控制。该项目环境影响报告表中所列建设项目的性质、规模、地点和拟采取的环境保护措施可作为项目实施的依据。</w:t>
                  </w:r>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en-US" w:eastAsia="zh-CN"/>
                    </w:rPr>
                  </w:pPr>
                  <w:bookmarkStart w:id="92" w:name="bookmark0"/>
                  <w:r>
                    <w:rPr>
                      <w:rFonts w:hint="default" w:ascii="Times New Roman" w:hAnsi="Times New Roman" w:cs="Times New Roman" w:eastAsiaTheme="minorEastAsia"/>
                      <w:snapToGrid w:val="0"/>
                      <w:kern w:val="0"/>
                      <w:sz w:val="24"/>
                      <w:szCs w:val="24"/>
                      <w:highlight w:val="none"/>
                      <w:lang w:val="en-US" w:eastAsia="zh-CN"/>
                    </w:rPr>
                    <w:t>二</w:t>
                  </w:r>
                  <w:bookmarkEnd w:id="92"/>
                  <w:r>
                    <w:rPr>
                      <w:rFonts w:hint="default" w:ascii="Times New Roman" w:hAnsi="Times New Roman" w:cs="Times New Roman" w:eastAsiaTheme="minorEastAsia"/>
                      <w:snapToGrid w:val="0"/>
                      <w:kern w:val="0"/>
                      <w:sz w:val="24"/>
                      <w:szCs w:val="24"/>
                      <w:highlight w:val="none"/>
                      <w:lang w:val="en-US" w:eastAsia="zh-CN"/>
                    </w:rPr>
                    <w:t>、项目在建设和运行过程中应重点做好以下工作：</w:t>
                  </w:r>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en-US" w:eastAsia="zh-CN"/>
                    </w:rPr>
                  </w:pPr>
                  <w:r>
                    <w:rPr>
                      <w:rFonts w:hint="default" w:ascii="Times New Roman" w:hAnsi="Times New Roman" w:cs="Times New Roman" w:eastAsiaTheme="minorEastAsia"/>
                      <w:snapToGrid w:val="0"/>
                      <w:kern w:val="0"/>
                      <w:sz w:val="24"/>
                      <w:szCs w:val="24"/>
                      <w:highlight w:val="none"/>
                      <w:lang w:val="en-US" w:eastAsia="zh-CN"/>
                    </w:rPr>
                    <w:t>1、运行期产生的场地冲洗废水经隔油池处理后与生活污水一起委托渭玉高速华州服务区污水处理系统处理后回用，不得外排。不得在加油站设车辆冲洗设备和场所。</w:t>
                  </w:r>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en-US" w:eastAsia="zh-CN"/>
                    </w:rPr>
                  </w:pPr>
                  <w:bookmarkStart w:id="93" w:name="bookmark1"/>
                  <w:bookmarkEnd w:id="93"/>
                  <w:r>
                    <w:rPr>
                      <w:rFonts w:hint="default" w:ascii="Times New Roman" w:hAnsi="Times New Roman" w:cs="Times New Roman" w:eastAsiaTheme="minorEastAsia"/>
                      <w:snapToGrid w:val="0"/>
                      <w:kern w:val="0"/>
                      <w:sz w:val="24"/>
                      <w:szCs w:val="24"/>
                      <w:highlight w:val="none"/>
                      <w:lang w:val="en-US" w:eastAsia="zh-CN"/>
                    </w:rPr>
                    <w:t>2、按照要求配套建设油气回收装置，减少烃类物质的排放，釆用埋地双层储罐，并安装油罐渗漏监控及报警装置。</w:t>
                  </w:r>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en-US" w:eastAsia="zh-CN"/>
                    </w:rPr>
                  </w:pPr>
                  <w:bookmarkStart w:id="94" w:name="bookmark2"/>
                  <w:bookmarkEnd w:id="94"/>
                  <w:r>
                    <w:rPr>
                      <w:rFonts w:hint="default" w:ascii="Times New Roman" w:hAnsi="Times New Roman" w:cs="Times New Roman" w:eastAsiaTheme="minorEastAsia"/>
                      <w:snapToGrid w:val="0"/>
                      <w:kern w:val="0"/>
                      <w:sz w:val="24"/>
                      <w:szCs w:val="24"/>
                      <w:highlight w:val="none"/>
                      <w:lang w:val="en-US" w:eastAsia="zh-CN"/>
                    </w:rPr>
                    <w:t>3、危险废物临时暂存于危废暂存间，及时交由有相关资质单位进行处理，并按照危废监管规定建立管理制度。</w:t>
                  </w:r>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en-US" w:eastAsia="zh-CN"/>
                    </w:rPr>
                  </w:pPr>
                  <w:bookmarkStart w:id="95" w:name="bookmark3"/>
                  <w:bookmarkEnd w:id="95"/>
                  <w:r>
                    <w:rPr>
                      <w:rFonts w:hint="default" w:ascii="Times New Roman" w:hAnsi="Times New Roman" w:cs="Times New Roman" w:eastAsiaTheme="minorEastAsia"/>
                      <w:snapToGrid w:val="0"/>
                      <w:kern w:val="0"/>
                      <w:sz w:val="24"/>
                      <w:szCs w:val="24"/>
                      <w:highlight w:val="none"/>
                      <w:lang w:val="en-US" w:eastAsia="zh-CN"/>
                    </w:rPr>
                    <w:t>4、严格落实环境影响报告表提出的监测计划。</w:t>
                  </w:r>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en-US" w:eastAsia="zh-CN"/>
                    </w:rPr>
                  </w:pPr>
                  <w:bookmarkStart w:id="96" w:name="bookmark4"/>
                  <w:bookmarkEnd w:id="96"/>
                  <w:r>
                    <w:rPr>
                      <w:rFonts w:hint="default" w:ascii="Times New Roman" w:hAnsi="Times New Roman" w:cs="Times New Roman" w:eastAsiaTheme="minorEastAsia"/>
                      <w:snapToGrid w:val="0"/>
                      <w:kern w:val="0"/>
                      <w:sz w:val="24"/>
                      <w:szCs w:val="24"/>
                      <w:highlight w:val="none"/>
                      <w:lang w:val="en-US" w:eastAsia="zh-CN"/>
                    </w:rPr>
                    <w:t>5、落实风险防范措施，做好运营期的环境风险防范工作，严格规范操作程序。编制环境风险应急预案，并报环境保护主管部门</w:t>
                  </w:r>
                  <w:r>
                    <w:rPr>
                      <w:rFonts w:hint="default" w:ascii="Times New Roman" w:hAnsi="Times New Roman" w:cs="Times New Roman" w:eastAsiaTheme="minorEastAsia"/>
                      <w:snapToGrid w:val="0"/>
                      <w:kern w:val="0"/>
                      <w:sz w:val="24"/>
                      <w:szCs w:val="24"/>
                      <w:highlight w:val="none"/>
                      <w:lang w:val="zh-CN" w:eastAsia="zh-CN"/>
                    </w:rPr>
                    <w:t>备案.</w:t>
                  </w:r>
                </w:p>
                <w:p>
                  <w:pPr>
                    <w:tabs>
                      <w:tab w:val="left" w:pos="924"/>
                    </w:tabs>
                    <w:adjustRightInd w:val="0"/>
                    <w:snapToGrid w:val="0"/>
                    <w:spacing w:line="360" w:lineRule="auto"/>
                    <w:ind w:firstLine="480" w:firstLineChars="200"/>
                    <w:rPr>
                      <w:rFonts w:hint="default" w:ascii="Times New Roman" w:hAnsi="Times New Roman" w:cs="Times New Roman" w:eastAsiaTheme="minorEastAsia"/>
                      <w:snapToGrid w:val="0"/>
                      <w:kern w:val="0"/>
                      <w:sz w:val="24"/>
                      <w:szCs w:val="24"/>
                      <w:highlight w:val="none"/>
                      <w:lang w:val="en-US" w:eastAsia="zh-CN"/>
                    </w:rPr>
                  </w:pPr>
                  <w:bookmarkStart w:id="97" w:name="bookmark5"/>
                  <w:r>
                    <w:rPr>
                      <w:rFonts w:hint="default" w:ascii="Times New Roman" w:hAnsi="Times New Roman" w:cs="Times New Roman" w:eastAsiaTheme="minorEastAsia"/>
                      <w:snapToGrid w:val="0"/>
                      <w:kern w:val="0"/>
                      <w:sz w:val="24"/>
                      <w:szCs w:val="24"/>
                      <w:highlight w:val="none"/>
                      <w:lang w:val="en-US" w:eastAsia="zh-CN"/>
                    </w:rPr>
                    <w:t>三</w:t>
                  </w:r>
                  <w:bookmarkEnd w:id="97"/>
                  <w:r>
                    <w:rPr>
                      <w:rFonts w:hint="default" w:ascii="Times New Roman" w:hAnsi="Times New Roman" w:cs="Times New Roman" w:eastAsiaTheme="minorEastAsia"/>
                      <w:snapToGrid w:val="0"/>
                      <w:kern w:val="0"/>
                      <w:sz w:val="24"/>
                      <w:szCs w:val="24"/>
                      <w:highlight w:val="none"/>
                      <w:lang w:val="en-US" w:eastAsia="zh-CN"/>
                    </w:rPr>
                    <w:t>、建设单位要遵照执行《建设项目环境保护管理条例》，项目建设应严格执行环保设施与主体工程</w:t>
                  </w:r>
                  <w:r>
                    <w:rPr>
                      <w:rFonts w:hint="default" w:ascii="Times New Roman" w:hAnsi="Times New Roman" w:cs="Times New Roman" w:eastAsiaTheme="minorEastAsia"/>
                      <w:snapToGrid w:val="0"/>
                      <w:kern w:val="0"/>
                      <w:sz w:val="24"/>
                      <w:szCs w:val="24"/>
                      <w:highlight w:val="none"/>
                      <w:lang w:val="zh-CN" w:eastAsia="zh-CN"/>
                    </w:rPr>
                    <w:t>“同时</w:t>
                  </w:r>
                  <w:r>
                    <w:rPr>
                      <w:rFonts w:hint="default" w:ascii="Times New Roman" w:hAnsi="Times New Roman" w:cs="Times New Roman" w:eastAsiaTheme="minorEastAsia"/>
                      <w:snapToGrid w:val="0"/>
                      <w:kern w:val="0"/>
                      <w:sz w:val="24"/>
                      <w:szCs w:val="24"/>
                      <w:highlight w:val="none"/>
                      <w:lang w:val="en-US" w:eastAsia="zh-CN"/>
                    </w:rPr>
                    <w:t>设计、同时施工、 同时投产使用”的环境保护</w:t>
                  </w:r>
                  <w:r>
                    <w:rPr>
                      <w:rFonts w:hint="default" w:ascii="Times New Roman" w:hAnsi="Times New Roman" w:cs="Times New Roman" w:eastAsiaTheme="minorEastAsia"/>
                      <w:snapToGrid w:val="0"/>
                      <w:kern w:val="0"/>
                      <w:sz w:val="24"/>
                      <w:szCs w:val="24"/>
                      <w:highlight w:val="none"/>
                      <w:lang w:val="zh-CN" w:eastAsia="zh-CN"/>
                    </w:rPr>
                    <w:t>“三</w:t>
                  </w:r>
                  <w:r>
                    <w:rPr>
                      <w:rFonts w:hint="default" w:ascii="Times New Roman" w:hAnsi="Times New Roman" w:cs="Times New Roman" w:eastAsiaTheme="minorEastAsia"/>
                      <w:snapToGrid w:val="0"/>
                      <w:kern w:val="0"/>
                      <w:sz w:val="24"/>
                      <w:szCs w:val="24"/>
                      <w:highlight w:val="none"/>
                      <w:lang w:val="en-US" w:eastAsia="zh-CN"/>
                    </w:rPr>
                    <w:t>同时”制度，将环境保护措施落到实处。项目建成后，你公司应按规定程序进行竣工环境保护验收。验收合格后，方可正式投入运营。</w:t>
                  </w:r>
                </w:p>
                <w:p>
                  <w:pPr>
                    <w:keepNext w:val="0"/>
                    <w:keepLines w:val="0"/>
                    <w:pageBreakBefore w:val="0"/>
                    <w:widowControl w:val="0"/>
                    <w:tabs>
                      <w:tab w:val="left" w:pos="924"/>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snapToGrid w:val="0"/>
                      <w:kern w:val="0"/>
                      <w:sz w:val="24"/>
                      <w:szCs w:val="24"/>
                      <w:highlight w:val="none"/>
                      <w:lang w:val="en-US" w:eastAsia="zh-CN"/>
                    </w:rPr>
                  </w:pPr>
                  <w:bookmarkStart w:id="98" w:name="bookmark6"/>
                  <w:r>
                    <w:rPr>
                      <w:rFonts w:hint="default" w:ascii="Times New Roman" w:hAnsi="Times New Roman" w:cs="Times New Roman" w:eastAsiaTheme="minorEastAsia"/>
                      <w:snapToGrid w:val="0"/>
                      <w:kern w:val="0"/>
                      <w:sz w:val="24"/>
                      <w:szCs w:val="24"/>
                      <w:highlight w:val="none"/>
                      <w:lang w:val="en-US" w:eastAsia="zh-CN"/>
                    </w:rPr>
                    <w:t>四</w:t>
                  </w:r>
                  <w:bookmarkEnd w:id="98"/>
                  <w:r>
                    <w:rPr>
                      <w:rFonts w:hint="default" w:ascii="Times New Roman" w:hAnsi="Times New Roman" w:cs="Times New Roman" w:eastAsiaTheme="minorEastAsia"/>
                      <w:snapToGrid w:val="0"/>
                      <w:kern w:val="0"/>
                      <w:sz w:val="24"/>
                      <w:szCs w:val="24"/>
                      <w:highlight w:val="none"/>
                      <w:lang w:val="en-US" w:eastAsia="zh-CN"/>
                    </w:rPr>
                    <w:t>、区环境监察大队按照《建设项目环境保护事中事后监督管理办法（试行）》的要求，负责该项目的事中事后监督管理。建设单位按规定要求接受各级环境保护行政主管部门的监督检査。</w:t>
                  </w:r>
                </w:p>
                <w:p>
                  <w:pPr>
                    <w:pStyle w:val="10"/>
                    <w:keepNext w:val="0"/>
                    <w:keepLines w:val="0"/>
                    <w:pageBreakBefore w:val="0"/>
                    <w:widowControl w:val="0"/>
                    <w:kinsoku/>
                    <w:wordWrap/>
                    <w:overflowPunct/>
                    <w:topLinePunct w:val="0"/>
                    <w:autoSpaceDE/>
                    <w:autoSpaceDN/>
                    <w:bidi w:val="0"/>
                    <w:spacing w:before="0" w:beforeLines="0" w:after="0" w:line="360" w:lineRule="auto"/>
                    <w:textAlignment w:val="auto"/>
                    <w:rPr>
                      <w:rFonts w:hint="default"/>
                      <w:highlight w:val="none"/>
                      <w:lang w:val="en-US" w:eastAsia="zh-CN"/>
                    </w:rPr>
                  </w:pPr>
                  <w:r>
                    <w:rPr>
                      <w:rFonts w:hint="eastAsia" w:cs="Times New Roman" w:eastAsiaTheme="minorEastAsia"/>
                      <w:snapToGrid w:val="0"/>
                      <w:kern w:val="0"/>
                      <w:sz w:val="24"/>
                      <w:szCs w:val="24"/>
                      <w:highlight w:val="none"/>
                      <w:lang w:val="en-US" w:eastAsia="zh-CN"/>
                    </w:rPr>
                    <w:t>此复。</w:t>
                  </w:r>
                </w:p>
                <w:p>
                  <w:pPr>
                    <w:tabs>
                      <w:tab w:val="left" w:pos="924"/>
                    </w:tabs>
                    <w:adjustRightInd w:val="0"/>
                    <w:snapToGrid w:val="0"/>
                    <w:spacing w:line="360" w:lineRule="auto"/>
                    <w:ind w:firstLine="480" w:firstLineChars="200"/>
                    <w:jc w:val="right"/>
                    <w:rPr>
                      <w:rFonts w:hint="default" w:ascii="Times New Roman" w:hAnsi="Times New Roman" w:cs="Times New Roman" w:eastAsiaTheme="minorEastAsia"/>
                      <w:snapToGrid w:val="0"/>
                      <w:kern w:val="0"/>
                      <w:sz w:val="24"/>
                      <w:szCs w:val="24"/>
                      <w:highlight w:val="none"/>
                      <w:lang w:val="en-US" w:eastAsia="zh-CN"/>
                    </w:rPr>
                  </w:pPr>
                  <w:r>
                    <w:rPr>
                      <w:rFonts w:hint="default" w:ascii="Times New Roman" w:hAnsi="Times New Roman" w:cs="Times New Roman" w:eastAsiaTheme="minorEastAsia"/>
                      <w:snapToGrid w:val="0"/>
                      <w:kern w:val="0"/>
                      <w:sz w:val="24"/>
                      <w:szCs w:val="24"/>
                      <w:highlight w:val="none"/>
                      <w:lang w:val="en-US" w:eastAsia="zh-CN"/>
                    </w:rPr>
                    <w:t>渭南市华州区环境保护局</w:t>
                  </w:r>
                </w:p>
                <w:p>
                  <w:pPr>
                    <w:tabs>
                      <w:tab w:val="left" w:pos="924"/>
                    </w:tabs>
                    <w:adjustRightInd w:val="0"/>
                    <w:snapToGrid w:val="0"/>
                    <w:spacing w:line="360" w:lineRule="auto"/>
                    <w:ind w:firstLine="480" w:firstLineChars="200"/>
                    <w:jc w:val="right"/>
                    <w:rPr>
                      <w:rFonts w:hint="default" w:ascii="Times New Roman" w:hAnsi="Times New Roman" w:cs="Times New Roman" w:eastAsiaTheme="minorEastAsia"/>
                      <w:snapToGrid w:val="0"/>
                      <w:kern w:val="0"/>
                      <w:sz w:val="24"/>
                      <w:szCs w:val="24"/>
                      <w:highlight w:val="none"/>
                      <w:lang w:val="en-US" w:eastAsia="zh-CN"/>
                    </w:rPr>
                  </w:pPr>
                  <w:r>
                    <w:rPr>
                      <w:rFonts w:hint="default" w:ascii="Times New Roman" w:hAnsi="Times New Roman" w:cs="Times New Roman" w:eastAsiaTheme="minorEastAsia"/>
                      <w:snapToGrid w:val="0"/>
                      <w:kern w:val="0"/>
                      <w:sz w:val="24"/>
                      <w:szCs w:val="24"/>
                      <w:highlight w:val="none"/>
                      <w:lang w:val="en-US" w:eastAsia="zh-CN"/>
                    </w:rPr>
                    <w:t>2019年10月29日</w:t>
                  </w:r>
                </w:p>
              </w:tc>
            </w:tr>
          </w:tbl>
          <w:p>
            <w:pPr>
              <w:keepNext w:val="0"/>
              <w:keepLines w:val="0"/>
              <w:pageBreakBefore w:val="0"/>
              <w:widowControl w:val="0"/>
              <w:tabs>
                <w:tab w:val="left" w:pos="924"/>
              </w:tabs>
              <w:kinsoku/>
              <w:wordWrap/>
              <w:overflowPunct/>
              <w:topLinePunct w:val="0"/>
              <w:autoSpaceDE/>
              <w:autoSpaceDN/>
              <w:bidi w:val="0"/>
              <w:adjustRightInd w:val="0"/>
              <w:snapToGrid w:val="0"/>
              <w:spacing w:before="469" w:beforeLines="100" w:line="360" w:lineRule="auto"/>
              <w:ind w:firstLine="480" w:firstLineChars="200"/>
              <w:textAlignment w:val="auto"/>
              <w:rPr>
                <w:rFonts w:hint="default" w:ascii="Times New Roman" w:hAnsi="Times New Roman" w:cs="Times New Roman" w:eastAsiaTheme="minorEastAsia"/>
                <w:snapToGrid w:val="0"/>
                <w:kern w:val="0"/>
                <w:sz w:val="24"/>
                <w:szCs w:val="24"/>
                <w:highlight w:val="none"/>
                <w:lang w:val="en-US" w:eastAsia="zh-CN"/>
              </w:rPr>
            </w:pPr>
            <w:r>
              <w:rPr>
                <w:rFonts w:hint="default" w:ascii="Times New Roman" w:hAnsi="Times New Roman" w:cs="Times New Roman" w:eastAsiaTheme="minorEastAsia"/>
                <w:snapToGrid w:val="0"/>
                <w:kern w:val="0"/>
                <w:sz w:val="24"/>
                <w:szCs w:val="24"/>
                <w:highlight w:val="none"/>
                <w:lang w:val="en-US" w:eastAsia="zh-CN"/>
              </w:rPr>
              <w:t>经查阅《陕西省石油化工工业贸易有限公司华州区服务区</w:t>
            </w:r>
            <w:r>
              <w:rPr>
                <w:rFonts w:hint="eastAsia" w:cs="Times New Roman" w:eastAsiaTheme="minorEastAsia"/>
                <w:snapToGrid w:val="0"/>
                <w:kern w:val="0"/>
                <w:sz w:val="24"/>
                <w:szCs w:val="24"/>
                <w:highlight w:val="none"/>
                <w:lang w:val="en-US" w:eastAsia="zh-CN"/>
              </w:rPr>
              <w:t>西</w:t>
            </w:r>
            <w:r>
              <w:rPr>
                <w:rFonts w:hint="default" w:ascii="Times New Roman" w:hAnsi="Times New Roman" w:cs="Times New Roman" w:eastAsiaTheme="minorEastAsia"/>
                <w:snapToGrid w:val="0"/>
                <w:kern w:val="0"/>
                <w:sz w:val="24"/>
                <w:szCs w:val="24"/>
                <w:highlight w:val="none"/>
                <w:lang w:val="en-US" w:eastAsia="zh-CN"/>
              </w:rPr>
              <w:t>加油站项目环境影响报告表》，华州区服务区</w:t>
            </w:r>
            <w:r>
              <w:rPr>
                <w:rFonts w:hint="eastAsia" w:cs="Times New Roman" w:eastAsiaTheme="minorEastAsia"/>
                <w:snapToGrid w:val="0"/>
                <w:kern w:val="0"/>
                <w:sz w:val="24"/>
                <w:szCs w:val="24"/>
                <w:highlight w:val="none"/>
                <w:lang w:val="en-US" w:eastAsia="zh-CN"/>
              </w:rPr>
              <w:t>西</w:t>
            </w:r>
            <w:r>
              <w:rPr>
                <w:rFonts w:hint="default" w:ascii="Times New Roman" w:hAnsi="Times New Roman" w:cs="Times New Roman" w:eastAsiaTheme="minorEastAsia"/>
                <w:snapToGrid w:val="0"/>
                <w:kern w:val="0"/>
                <w:sz w:val="24"/>
                <w:szCs w:val="24"/>
                <w:highlight w:val="none"/>
                <w:lang w:val="en-US" w:eastAsia="zh-CN"/>
              </w:rPr>
              <w:t>加油站项目在本次报告表评价范围内，可根据此环评批复进行环境保护竣工验收。</w:t>
            </w:r>
          </w:p>
          <w:p>
            <w:pPr>
              <w:tabs>
                <w:tab w:val="left" w:pos="924"/>
              </w:tabs>
              <w:adjustRightInd w:val="0"/>
              <w:snapToGrid w:val="0"/>
              <w:spacing w:line="360" w:lineRule="auto"/>
              <w:ind w:firstLine="420" w:firstLineChars="200"/>
              <w:jc w:val="left"/>
              <w:rPr>
                <w:rFonts w:hint="default"/>
                <w:highlight w:val="none"/>
              </w:rPr>
            </w:pPr>
          </w:p>
          <w:p>
            <w:pPr>
              <w:tabs>
                <w:tab w:val="left" w:pos="924"/>
              </w:tabs>
              <w:adjustRightInd w:val="0"/>
              <w:snapToGrid w:val="0"/>
              <w:spacing w:line="360" w:lineRule="auto"/>
              <w:jc w:val="left"/>
              <w:rPr>
                <w:rFonts w:hint="default"/>
                <w:highlight w:val="none"/>
              </w:rPr>
            </w:pPr>
          </w:p>
          <w:p>
            <w:pPr>
              <w:tabs>
                <w:tab w:val="left" w:pos="924"/>
              </w:tabs>
              <w:adjustRightInd w:val="0"/>
              <w:snapToGrid w:val="0"/>
              <w:spacing w:line="360" w:lineRule="auto"/>
              <w:ind w:firstLine="420" w:firstLineChars="200"/>
              <w:jc w:val="left"/>
              <w:rPr>
                <w:rFonts w:hint="default"/>
                <w:highlight w:val="none"/>
              </w:rPr>
            </w:pPr>
          </w:p>
          <w:p>
            <w:pPr>
              <w:tabs>
                <w:tab w:val="left" w:pos="924"/>
              </w:tabs>
              <w:adjustRightInd w:val="0"/>
              <w:snapToGrid w:val="0"/>
              <w:spacing w:line="360" w:lineRule="auto"/>
              <w:ind w:firstLine="420" w:firstLineChars="200"/>
              <w:jc w:val="left"/>
              <w:rPr>
                <w:rFonts w:hint="default"/>
                <w:highlight w:val="none"/>
              </w:rPr>
            </w:pPr>
          </w:p>
          <w:p>
            <w:pPr>
              <w:pStyle w:val="2"/>
              <w:rPr>
                <w:rFonts w:hint="default"/>
                <w:highlight w:val="none"/>
              </w:rPr>
            </w:pPr>
          </w:p>
          <w:p>
            <w:pPr>
              <w:rPr>
                <w:rFonts w:hint="default"/>
                <w:highlight w:val="none"/>
              </w:rPr>
            </w:pPr>
          </w:p>
          <w:p>
            <w:pPr>
              <w:pStyle w:val="2"/>
              <w:rPr>
                <w:rFonts w:hint="default"/>
                <w:highlight w:val="none"/>
              </w:rPr>
            </w:pPr>
          </w:p>
          <w:p>
            <w:pPr>
              <w:rPr>
                <w:rFonts w:hint="default"/>
                <w:highlight w:val="none"/>
              </w:rPr>
            </w:pPr>
          </w:p>
          <w:p>
            <w:pPr>
              <w:pStyle w:val="2"/>
              <w:rPr>
                <w:rFonts w:hint="default"/>
                <w:highlight w:val="none"/>
              </w:rPr>
            </w:pPr>
          </w:p>
          <w:p>
            <w:pPr>
              <w:rPr>
                <w:rFonts w:hint="default"/>
                <w:highlight w:val="none"/>
              </w:rPr>
            </w:pPr>
          </w:p>
          <w:p>
            <w:pPr>
              <w:pStyle w:val="2"/>
              <w:rPr>
                <w:rFonts w:hint="default"/>
                <w:highlight w:val="none"/>
              </w:rPr>
            </w:pPr>
          </w:p>
          <w:p>
            <w:pPr>
              <w:rPr>
                <w:rFonts w:hint="default"/>
                <w:highlight w:val="none"/>
              </w:rPr>
            </w:pPr>
          </w:p>
          <w:p>
            <w:pPr>
              <w:pStyle w:val="2"/>
              <w:rPr>
                <w:rFonts w:hint="default"/>
                <w:highlight w:val="none"/>
              </w:rPr>
            </w:pPr>
          </w:p>
          <w:p>
            <w:pPr>
              <w:rPr>
                <w:rFonts w:hint="default"/>
                <w:highlight w:val="none"/>
              </w:rPr>
            </w:pPr>
          </w:p>
          <w:p>
            <w:pPr>
              <w:pStyle w:val="2"/>
              <w:rPr>
                <w:rFonts w:hint="default"/>
                <w:highlight w:val="none"/>
              </w:rPr>
            </w:pPr>
          </w:p>
          <w:p>
            <w:pPr>
              <w:tabs>
                <w:tab w:val="left" w:pos="924"/>
              </w:tabs>
              <w:adjustRightInd w:val="0"/>
              <w:snapToGrid w:val="0"/>
              <w:spacing w:line="360" w:lineRule="auto"/>
              <w:ind w:firstLine="420" w:firstLineChars="200"/>
              <w:rPr>
                <w:rFonts w:hint="eastAsia"/>
                <w:highlight w:val="none"/>
                <w:lang w:val="zh-CN" w:eastAsia="zh-CN"/>
              </w:rPr>
            </w:pPr>
          </w:p>
          <w:p>
            <w:pPr>
              <w:pStyle w:val="2"/>
              <w:rPr>
                <w:rFonts w:hint="eastAsia"/>
                <w:highlight w:val="none"/>
                <w:lang w:val="zh-CN" w:eastAsia="zh-CN"/>
              </w:rPr>
            </w:pPr>
          </w:p>
          <w:p>
            <w:pPr>
              <w:pStyle w:val="2"/>
              <w:rPr>
                <w:rFonts w:hint="eastAsia"/>
                <w:highlight w:val="none"/>
                <w:lang w:val="zh-CN" w:eastAsia="zh-CN"/>
              </w:rPr>
            </w:pPr>
          </w:p>
        </w:tc>
      </w:tr>
    </w:tbl>
    <w:p>
      <w:pPr>
        <w:pStyle w:val="3"/>
        <w:rPr>
          <w:szCs w:val="21"/>
          <w:highlight w:val="none"/>
        </w:rPr>
        <w:sectPr>
          <w:footerReference r:id="rId5" w:type="default"/>
          <w:pgSz w:w="11906" w:h="16838"/>
          <w:pgMar w:top="1417" w:right="1417" w:bottom="1417" w:left="1417" w:header="1361" w:footer="1134" w:gutter="0"/>
          <w:pgBorders>
            <w:top w:val="none" w:sz="0" w:space="0"/>
            <w:left w:val="none" w:sz="0" w:space="0"/>
            <w:bottom w:val="none" w:sz="0" w:space="0"/>
            <w:right w:val="none" w:sz="0" w:space="0"/>
          </w:pgBorders>
          <w:pgNumType w:fmt="decimal"/>
          <w:cols w:space="720" w:num="1"/>
          <w:docGrid w:linePitch="467" w:charSpace="4710"/>
        </w:sectPr>
      </w:pPr>
    </w:p>
    <w:p>
      <w:pPr>
        <w:pStyle w:val="3"/>
        <w:rPr>
          <w:rFonts w:hint="eastAsia" w:ascii="Times New Roman" w:hAnsi="Times New Roman" w:cs="Times New Roman"/>
          <w:highlight w:val="none"/>
          <w:lang w:eastAsia="zh-CN"/>
        </w:rPr>
      </w:pPr>
      <w:bookmarkStart w:id="99" w:name="_Toc6317_WPSOffice_Level1"/>
      <w:r>
        <w:rPr>
          <w:rFonts w:hint="eastAsia"/>
          <w:highlight w:val="none"/>
        </w:rPr>
        <w:t>表</w:t>
      </w:r>
      <w:r>
        <w:rPr>
          <w:rFonts w:hint="eastAsia"/>
          <w:highlight w:val="none"/>
          <w:lang w:eastAsia="zh-CN"/>
        </w:rPr>
        <w:t>五</w:t>
      </w:r>
      <w:r>
        <w:rPr>
          <w:rFonts w:hint="eastAsia"/>
          <w:highlight w:val="none"/>
        </w:rPr>
        <w:t xml:space="preserve"> </w:t>
      </w:r>
      <w:r>
        <w:rPr>
          <w:rFonts w:hint="eastAsia" w:ascii="Times New Roman" w:hAnsi="Times New Roman" w:cs="Times New Roman"/>
          <w:highlight w:val="none"/>
        </w:rPr>
        <w:t>验收监测质量保证及质量控制</w:t>
      </w:r>
      <w:bookmarkEnd w:id="99"/>
    </w:p>
    <w:tbl>
      <w:tblPr>
        <w:tblStyle w:val="11"/>
        <w:tblW w:w="907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077" w:type="dxa"/>
            <w:tcBorders>
              <w:top w:val="single" w:color="auto" w:sz="4" w:space="0"/>
              <w:left w:val="single" w:color="auto" w:sz="4" w:space="0"/>
              <w:bottom w:val="single" w:color="auto" w:sz="4" w:space="0"/>
              <w:right w:val="single" w:color="auto" w:sz="4" w:space="0"/>
            </w:tcBorders>
            <w:noWrap w:val="0"/>
            <w:vAlign w:val="center"/>
          </w:tcPr>
          <w:p>
            <w:pPr>
              <w:pStyle w:val="4"/>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hAnsi="宋体"/>
                <w:b/>
                <w:sz w:val="24"/>
                <w:highlight w:val="none"/>
                <w:u w:val="none"/>
              </w:rPr>
            </w:pPr>
            <w:r>
              <w:rPr>
                <w:rFonts w:hint="eastAsia" w:hAnsi="宋体"/>
                <w:b/>
                <w:sz w:val="24"/>
                <w:highlight w:val="none"/>
                <w:u w:val="none"/>
              </w:rPr>
              <w:t>一、验收监测质量保证与质量控制</w:t>
            </w:r>
          </w:p>
          <w:p>
            <w:pPr>
              <w:tabs>
                <w:tab w:val="left" w:pos="924"/>
              </w:tabs>
              <w:adjustRightInd w:val="0"/>
              <w:snapToGrid w:val="0"/>
              <w:spacing w:line="360" w:lineRule="auto"/>
              <w:ind w:firstLine="480" w:firstLineChars="200"/>
              <w:jc w:val="left"/>
              <w:rPr>
                <w:rFonts w:hint="eastAsia" w:ascii="Times New Roman" w:hAnsi="Times New Roman" w:eastAsia="宋体" w:cs="Times New Roman"/>
                <w:bCs/>
                <w:snapToGrid w:val="0"/>
                <w:kern w:val="0"/>
                <w:sz w:val="24"/>
                <w:szCs w:val="24"/>
                <w:highlight w:val="none"/>
                <w:lang w:eastAsia="zh-CN"/>
              </w:rPr>
            </w:pPr>
            <w:r>
              <w:rPr>
                <w:rFonts w:hint="eastAsia" w:ascii="Times New Roman" w:hAnsi="Times New Roman" w:eastAsia="宋体" w:cs="Times New Roman"/>
                <w:bCs/>
                <w:snapToGrid w:val="0"/>
                <w:kern w:val="0"/>
                <w:sz w:val="24"/>
                <w:szCs w:val="24"/>
                <w:highlight w:val="none"/>
                <w:lang w:eastAsia="zh-CN"/>
              </w:rPr>
              <w:t>依据《环境监测质量管理技术导则》（HJ630-2011），本次验收监测质量保证和质量控制措施如下：</w:t>
            </w:r>
          </w:p>
          <w:p>
            <w:pPr>
              <w:tabs>
                <w:tab w:val="left" w:pos="924"/>
              </w:tabs>
              <w:adjustRightInd w:val="0"/>
              <w:snapToGrid w:val="0"/>
              <w:spacing w:line="360" w:lineRule="auto"/>
              <w:ind w:firstLine="480" w:firstLineChars="200"/>
              <w:jc w:val="left"/>
              <w:rPr>
                <w:rFonts w:hint="eastAsia" w:ascii="Times New Roman" w:hAnsi="Times New Roman" w:eastAsia="宋体" w:cs="Times New Roman"/>
                <w:bCs/>
                <w:snapToGrid w:val="0"/>
                <w:kern w:val="0"/>
                <w:sz w:val="24"/>
                <w:szCs w:val="24"/>
                <w:highlight w:val="none"/>
                <w:lang w:eastAsia="zh-CN"/>
              </w:rPr>
            </w:pPr>
            <w:r>
              <w:rPr>
                <w:rFonts w:hint="eastAsia" w:cs="Times New Roman"/>
                <w:bCs/>
                <w:snapToGrid w:val="0"/>
                <w:kern w:val="0"/>
                <w:sz w:val="24"/>
                <w:szCs w:val="24"/>
                <w:highlight w:val="none"/>
                <w:lang w:val="en-US" w:eastAsia="zh-CN"/>
              </w:rPr>
              <w:t>1、</w:t>
            </w:r>
            <w:r>
              <w:rPr>
                <w:rFonts w:hint="eastAsia" w:ascii="Times New Roman" w:hAnsi="Times New Roman" w:eastAsia="宋体" w:cs="Times New Roman"/>
                <w:bCs/>
                <w:snapToGrid w:val="0"/>
                <w:kern w:val="0"/>
                <w:sz w:val="24"/>
                <w:szCs w:val="24"/>
                <w:highlight w:val="none"/>
                <w:lang w:eastAsia="zh-CN"/>
              </w:rPr>
              <w:t xml:space="preserve"> 所有监测人员持证上岗，严格按照本站质量管理体系文件中的规定开展工作。</w:t>
            </w:r>
          </w:p>
          <w:p>
            <w:pPr>
              <w:tabs>
                <w:tab w:val="left" w:pos="924"/>
              </w:tabs>
              <w:adjustRightInd w:val="0"/>
              <w:snapToGrid w:val="0"/>
              <w:spacing w:line="360" w:lineRule="auto"/>
              <w:ind w:firstLine="480" w:firstLineChars="200"/>
              <w:jc w:val="left"/>
              <w:rPr>
                <w:rFonts w:hint="eastAsia" w:ascii="Times New Roman" w:hAnsi="Times New Roman" w:eastAsia="宋体" w:cs="Times New Roman"/>
                <w:bCs/>
                <w:snapToGrid w:val="0"/>
                <w:kern w:val="0"/>
                <w:sz w:val="24"/>
                <w:szCs w:val="24"/>
                <w:highlight w:val="none"/>
                <w:lang w:eastAsia="zh-CN"/>
              </w:rPr>
            </w:pPr>
            <w:r>
              <w:rPr>
                <w:rFonts w:hint="eastAsia" w:cs="Times New Roman"/>
                <w:bCs/>
                <w:snapToGrid w:val="0"/>
                <w:kern w:val="0"/>
                <w:sz w:val="24"/>
                <w:szCs w:val="24"/>
                <w:highlight w:val="none"/>
                <w:lang w:val="en-US" w:eastAsia="zh-CN"/>
              </w:rPr>
              <w:t>2、</w:t>
            </w:r>
            <w:r>
              <w:rPr>
                <w:rFonts w:hint="eastAsia" w:ascii="Times New Roman" w:hAnsi="Times New Roman" w:eastAsia="宋体" w:cs="Times New Roman"/>
                <w:bCs/>
                <w:snapToGrid w:val="0"/>
                <w:kern w:val="0"/>
                <w:sz w:val="24"/>
                <w:szCs w:val="24"/>
                <w:highlight w:val="none"/>
                <w:lang w:eastAsia="zh-CN"/>
              </w:rPr>
              <w:t>所用监测仪器通过计量部门检定并在检定有效期内。</w:t>
            </w:r>
          </w:p>
          <w:p>
            <w:pPr>
              <w:tabs>
                <w:tab w:val="left" w:pos="924"/>
              </w:tabs>
              <w:adjustRightInd w:val="0"/>
              <w:snapToGrid w:val="0"/>
              <w:spacing w:line="360" w:lineRule="auto"/>
              <w:ind w:firstLine="480" w:firstLineChars="200"/>
              <w:jc w:val="left"/>
              <w:rPr>
                <w:rFonts w:hint="eastAsia" w:ascii="Times New Roman" w:hAnsi="Times New Roman" w:eastAsia="宋体" w:cs="Times New Roman"/>
                <w:bCs/>
                <w:snapToGrid w:val="0"/>
                <w:kern w:val="0"/>
                <w:sz w:val="24"/>
                <w:szCs w:val="24"/>
                <w:highlight w:val="none"/>
                <w:lang w:eastAsia="zh-CN"/>
              </w:rPr>
            </w:pPr>
            <w:r>
              <w:rPr>
                <w:rFonts w:hint="eastAsia" w:cs="Times New Roman"/>
                <w:bCs/>
                <w:snapToGrid w:val="0"/>
                <w:kern w:val="0"/>
                <w:sz w:val="24"/>
                <w:szCs w:val="24"/>
                <w:highlight w:val="none"/>
                <w:lang w:val="en-US" w:eastAsia="zh-CN"/>
              </w:rPr>
              <w:t>3、</w:t>
            </w:r>
            <w:r>
              <w:rPr>
                <w:rFonts w:hint="eastAsia" w:ascii="Times New Roman" w:hAnsi="Times New Roman" w:eastAsia="宋体" w:cs="Times New Roman"/>
                <w:bCs/>
                <w:snapToGrid w:val="0"/>
                <w:kern w:val="0"/>
                <w:sz w:val="24"/>
                <w:szCs w:val="24"/>
                <w:highlight w:val="none"/>
                <w:lang w:eastAsia="zh-CN"/>
              </w:rPr>
              <w:t>各类记录及分析测试结果，按相关技术规范要求进行数据处理和填报，并进行三级审核。</w:t>
            </w:r>
          </w:p>
          <w:p>
            <w:pPr>
              <w:pStyle w:val="4"/>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hAnsi="宋体"/>
                <w:b/>
                <w:sz w:val="24"/>
                <w:highlight w:val="none"/>
                <w:u w:val="none"/>
              </w:rPr>
            </w:pPr>
            <w:bookmarkStart w:id="100" w:name="_Toc8858"/>
            <w:r>
              <w:rPr>
                <w:rFonts w:hint="eastAsia" w:hAnsi="宋体"/>
                <w:b/>
                <w:sz w:val="24"/>
                <w:highlight w:val="none"/>
                <w:u w:val="none"/>
                <w:lang w:eastAsia="zh-CN"/>
              </w:rPr>
              <w:t>二、</w:t>
            </w:r>
            <w:r>
              <w:rPr>
                <w:rFonts w:hint="eastAsia" w:hAnsi="宋体"/>
                <w:b/>
                <w:sz w:val="24"/>
                <w:highlight w:val="none"/>
                <w:u w:val="none"/>
              </w:rPr>
              <w:t>监测分析方法</w:t>
            </w:r>
            <w:bookmarkEnd w:id="100"/>
          </w:p>
          <w:p>
            <w:pPr>
              <w:spacing w:line="360" w:lineRule="auto"/>
              <w:ind w:firstLine="480" w:firstLineChars="200"/>
              <w:rPr>
                <w:rFonts w:hint="eastAsia" w:ascii="Times New Roman" w:hAnsi="Times New Roman" w:eastAsia="宋体" w:cs="Times New Roman"/>
                <w:bCs/>
                <w:snapToGrid w:val="0"/>
                <w:kern w:val="0"/>
                <w:sz w:val="24"/>
                <w:szCs w:val="24"/>
                <w:highlight w:val="none"/>
                <w:lang w:eastAsia="zh-CN"/>
              </w:rPr>
            </w:pPr>
            <w:r>
              <w:rPr>
                <w:rFonts w:hint="eastAsia" w:ascii="Times New Roman" w:hAnsi="Times New Roman" w:eastAsia="宋体" w:cs="Times New Roman"/>
                <w:bCs/>
                <w:snapToGrid w:val="0"/>
                <w:kern w:val="0"/>
                <w:sz w:val="24"/>
                <w:szCs w:val="24"/>
                <w:highlight w:val="none"/>
                <w:lang w:eastAsia="zh-CN"/>
              </w:rPr>
              <w:t>各监测项目具体分析方法见表</w:t>
            </w:r>
            <w:r>
              <w:rPr>
                <w:rFonts w:hint="eastAsia" w:ascii="Times New Roman" w:hAnsi="Times New Roman" w:eastAsia="宋体" w:cs="Times New Roman"/>
                <w:bCs/>
                <w:snapToGrid w:val="0"/>
                <w:kern w:val="0"/>
                <w:sz w:val="24"/>
                <w:szCs w:val="24"/>
                <w:highlight w:val="none"/>
                <w:lang w:val="en-US" w:eastAsia="zh-CN"/>
              </w:rPr>
              <w:t>5-1</w:t>
            </w:r>
            <w:r>
              <w:rPr>
                <w:rFonts w:hint="eastAsia" w:ascii="Times New Roman" w:hAnsi="Times New Roman" w:eastAsia="宋体" w:cs="Times New Roman"/>
                <w:bCs/>
                <w:snapToGrid w:val="0"/>
                <w:kern w:val="0"/>
                <w:sz w:val="24"/>
                <w:szCs w:val="24"/>
                <w:highlight w:val="none"/>
                <w:lang w:eastAsia="zh-CN"/>
              </w:rPr>
              <w:t>。</w:t>
            </w:r>
          </w:p>
          <w:p>
            <w:pPr>
              <w:tabs>
                <w:tab w:val="left" w:pos="2130"/>
              </w:tabs>
              <w:snapToGrid w:val="0"/>
              <w:jc w:val="center"/>
              <w:rPr>
                <w:rFonts w:hint="eastAsia" w:ascii="Times New Roman" w:hAnsi="Times New Roman" w:cs="Times New Roman" w:eastAsiaTheme="minorEastAsia"/>
                <w:b/>
                <w:snapToGrid w:val="0"/>
                <w:kern w:val="0"/>
                <w:sz w:val="21"/>
                <w:szCs w:val="21"/>
                <w:highlight w:val="none"/>
              </w:rPr>
            </w:pPr>
            <w:bookmarkStart w:id="101" w:name="_Toc11275"/>
            <w:bookmarkStart w:id="102" w:name="_Toc26083"/>
            <w:bookmarkStart w:id="103" w:name="_Toc13527"/>
            <w:r>
              <w:rPr>
                <w:rFonts w:hint="eastAsia" w:ascii="Times New Roman" w:hAnsi="Times New Roman" w:cs="Times New Roman" w:eastAsiaTheme="minorEastAsia"/>
                <w:b/>
                <w:snapToGrid w:val="0"/>
                <w:kern w:val="0"/>
                <w:sz w:val="21"/>
                <w:szCs w:val="21"/>
                <w:highlight w:val="none"/>
              </w:rPr>
              <w:t>表</w:t>
            </w:r>
            <w:r>
              <w:rPr>
                <w:rFonts w:hint="eastAsia" w:ascii="Times New Roman" w:hAnsi="Times New Roman" w:cs="Times New Roman" w:eastAsiaTheme="minorEastAsia"/>
                <w:b/>
                <w:snapToGrid w:val="0"/>
                <w:kern w:val="0"/>
                <w:sz w:val="21"/>
                <w:szCs w:val="21"/>
                <w:highlight w:val="none"/>
                <w:lang w:val="en-US" w:eastAsia="zh-CN"/>
              </w:rPr>
              <w:t xml:space="preserve">5-1   </w:t>
            </w:r>
            <w:r>
              <w:rPr>
                <w:rFonts w:hint="eastAsia" w:ascii="Times New Roman" w:hAnsi="Times New Roman" w:cs="Times New Roman" w:eastAsiaTheme="minorEastAsia"/>
                <w:b/>
                <w:snapToGrid w:val="0"/>
                <w:kern w:val="0"/>
                <w:sz w:val="21"/>
                <w:szCs w:val="21"/>
                <w:highlight w:val="none"/>
              </w:rPr>
              <w:t>各监测项目具体分析方法表</w:t>
            </w:r>
            <w:bookmarkEnd w:id="101"/>
            <w:bookmarkEnd w:id="102"/>
            <w:bookmarkEnd w:id="103"/>
          </w:p>
          <w:tbl>
            <w:tblPr>
              <w:tblStyle w:val="12"/>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342"/>
              <w:gridCol w:w="2467"/>
              <w:gridCol w:w="1980"/>
              <w:gridCol w:w="1202"/>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7" w:type="dxa"/>
                  <w:gridSpan w:val="2"/>
                  <w:noWrap w:val="0"/>
                  <w:vAlign w:val="center"/>
                </w:tcPr>
                <w:p>
                  <w:pPr>
                    <w:pStyle w:val="9"/>
                    <w:widowControl w:val="0"/>
                    <w:spacing w:line="240" w:lineRule="auto"/>
                    <w:ind w:firstLine="0" w:firstLineChars="0"/>
                    <w:jc w:val="center"/>
                    <w:rPr>
                      <w:rFonts w:hint="default" w:ascii="Times New Roman" w:hAnsi="Times New Roman" w:cs="Times New Roman" w:eastAsiaTheme="minorEastAsia"/>
                      <w:b/>
                      <w:bCs/>
                      <w:highlight w:val="none"/>
                    </w:rPr>
                  </w:pPr>
                  <w:r>
                    <w:rPr>
                      <w:rFonts w:hint="default" w:ascii="Times New Roman" w:hAnsi="Times New Roman" w:cs="Times New Roman" w:eastAsiaTheme="minorEastAsia"/>
                      <w:b/>
                      <w:bCs/>
                      <w:highlight w:val="none"/>
                    </w:rPr>
                    <w:t>监测项目</w:t>
                  </w:r>
                </w:p>
              </w:tc>
              <w:tc>
                <w:tcPr>
                  <w:tcW w:w="2467" w:type="dxa"/>
                  <w:noWrap w:val="0"/>
                  <w:vAlign w:val="center"/>
                </w:tcPr>
                <w:p>
                  <w:pPr>
                    <w:pStyle w:val="9"/>
                    <w:widowControl w:val="0"/>
                    <w:spacing w:line="240" w:lineRule="auto"/>
                    <w:ind w:firstLine="0" w:firstLineChars="0"/>
                    <w:jc w:val="center"/>
                    <w:rPr>
                      <w:rFonts w:hint="default" w:ascii="Times New Roman" w:hAnsi="Times New Roman" w:cs="Times New Roman" w:eastAsiaTheme="minorEastAsia"/>
                      <w:b/>
                      <w:bCs/>
                      <w:highlight w:val="none"/>
                    </w:rPr>
                  </w:pPr>
                  <w:r>
                    <w:rPr>
                      <w:rFonts w:hint="default" w:ascii="Times New Roman" w:hAnsi="Times New Roman" w:cs="Times New Roman" w:eastAsiaTheme="minorEastAsia"/>
                      <w:b/>
                      <w:bCs/>
                      <w:highlight w:val="none"/>
                    </w:rPr>
                    <w:t>分析方法</w:t>
                  </w:r>
                </w:p>
              </w:tc>
              <w:tc>
                <w:tcPr>
                  <w:tcW w:w="1980" w:type="dxa"/>
                  <w:noWrap w:val="0"/>
                  <w:vAlign w:val="center"/>
                </w:tcPr>
                <w:p>
                  <w:pPr>
                    <w:pStyle w:val="9"/>
                    <w:widowControl w:val="0"/>
                    <w:spacing w:line="240" w:lineRule="auto"/>
                    <w:ind w:firstLine="0" w:firstLineChars="0"/>
                    <w:jc w:val="center"/>
                    <w:rPr>
                      <w:rFonts w:hint="default" w:ascii="Times New Roman" w:hAnsi="Times New Roman" w:cs="Times New Roman" w:eastAsiaTheme="minorEastAsia"/>
                      <w:b/>
                      <w:bCs/>
                      <w:highlight w:val="none"/>
                    </w:rPr>
                  </w:pPr>
                  <w:r>
                    <w:rPr>
                      <w:rFonts w:hint="default" w:ascii="Times New Roman" w:hAnsi="Times New Roman" w:cs="Times New Roman" w:eastAsiaTheme="minorEastAsia"/>
                      <w:b/>
                      <w:bCs/>
                      <w:highlight w:val="none"/>
                    </w:rPr>
                    <w:t>方法来源</w:t>
                  </w:r>
                </w:p>
              </w:tc>
              <w:tc>
                <w:tcPr>
                  <w:tcW w:w="1202" w:type="dxa"/>
                  <w:noWrap w:val="0"/>
                  <w:vAlign w:val="center"/>
                </w:tcPr>
                <w:p>
                  <w:pPr>
                    <w:pStyle w:val="9"/>
                    <w:widowControl w:val="0"/>
                    <w:spacing w:line="240" w:lineRule="auto"/>
                    <w:ind w:firstLine="0" w:firstLineChars="0"/>
                    <w:jc w:val="center"/>
                    <w:rPr>
                      <w:rFonts w:hint="default" w:ascii="Times New Roman" w:hAnsi="Times New Roman" w:cs="Times New Roman" w:eastAsiaTheme="minorEastAsia"/>
                      <w:b/>
                      <w:bCs/>
                      <w:highlight w:val="none"/>
                    </w:rPr>
                  </w:pPr>
                  <w:r>
                    <w:rPr>
                      <w:rFonts w:hint="default" w:ascii="Times New Roman" w:hAnsi="Times New Roman" w:cs="Times New Roman" w:eastAsiaTheme="minorEastAsia"/>
                      <w:b/>
                      <w:bCs/>
                      <w:highlight w:val="none"/>
                    </w:rPr>
                    <w:t>检出限</w:t>
                  </w:r>
                </w:p>
              </w:tc>
              <w:tc>
                <w:tcPr>
                  <w:tcW w:w="1215" w:type="dxa"/>
                  <w:noWrap w:val="0"/>
                  <w:vAlign w:val="center"/>
                </w:tcPr>
                <w:p>
                  <w:pPr>
                    <w:pStyle w:val="9"/>
                    <w:widowControl w:val="0"/>
                    <w:spacing w:line="240" w:lineRule="auto"/>
                    <w:ind w:firstLine="0" w:firstLineChars="0"/>
                    <w:jc w:val="center"/>
                    <w:rPr>
                      <w:rFonts w:hint="default" w:ascii="Times New Roman" w:hAnsi="Times New Roman" w:cs="Times New Roman" w:eastAsiaTheme="minorEastAsia"/>
                      <w:b/>
                      <w:bCs/>
                      <w:highlight w:val="none"/>
                    </w:rPr>
                  </w:pPr>
                  <w:r>
                    <w:rPr>
                      <w:rFonts w:hint="default" w:ascii="Times New Roman" w:hAnsi="Times New Roman" w:cs="Times New Roman" w:eastAsiaTheme="minorEastAsia"/>
                      <w:b/>
                      <w:bCs/>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45" w:type="dxa"/>
                  <w:noWrap w:val="0"/>
                  <w:vAlign w:val="center"/>
                </w:tcPr>
                <w:p>
                  <w:pPr>
                    <w:pStyle w:val="9"/>
                    <w:widowControl w:val="0"/>
                    <w:spacing w:line="240" w:lineRule="auto"/>
                    <w:ind w:firstLine="0" w:firstLineChars="0"/>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t>废气</w:t>
                  </w:r>
                </w:p>
              </w:tc>
              <w:tc>
                <w:tcPr>
                  <w:tcW w:w="1342" w:type="dxa"/>
                  <w:noWrap w:val="0"/>
                  <w:vAlign w:val="center"/>
                </w:tcPr>
                <w:p>
                  <w:pPr>
                    <w:pStyle w:val="9"/>
                    <w:widowControl w:val="0"/>
                    <w:spacing w:line="240" w:lineRule="auto"/>
                    <w:ind w:firstLine="0" w:firstLineChars="0"/>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非甲烷总烃</w:t>
                  </w:r>
                </w:p>
              </w:tc>
              <w:tc>
                <w:tcPr>
                  <w:tcW w:w="2467" w:type="dxa"/>
                  <w:noWrap w:val="0"/>
                  <w:vAlign w:val="center"/>
                </w:tcPr>
                <w:p>
                  <w:pPr>
                    <w:pStyle w:val="9"/>
                    <w:widowControl w:val="0"/>
                    <w:spacing w:line="240" w:lineRule="auto"/>
                    <w:ind w:firstLine="0" w:firstLineChars="0"/>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气相色谱法</w:t>
                  </w:r>
                </w:p>
              </w:tc>
              <w:tc>
                <w:tcPr>
                  <w:tcW w:w="1980" w:type="dxa"/>
                  <w:noWrap w:val="0"/>
                  <w:vAlign w:val="center"/>
                </w:tcPr>
                <w:p>
                  <w:pPr>
                    <w:pStyle w:val="9"/>
                    <w:widowControl w:val="0"/>
                    <w:spacing w:line="240" w:lineRule="auto"/>
                    <w:ind w:firstLine="0" w:firstLineChars="0"/>
                    <w:rPr>
                      <w:rFonts w:hint="default" w:ascii="Times New Roman" w:hAnsi="Times New Roman" w:cs="Times New Roman" w:eastAsiaTheme="minorEastAsia"/>
                      <w:highlight w:val="none"/>
                      <w:lang w:val="en-US" w:eastAsia="zh-CN"/>
                    </w:rPr>
                  </w:pPr>
                  <w:r>
                    <w:rPr>
                      <w:rFonts w:hint="eastAsia" w:ascii="Times New Roman" w:hAnsi="Times New Roman" w:cs="Times New Roman" w:eastAsiaTheme="minorEastAsia"/>
                      <w:highlight w:val="none"/>
                      <w:lang w:val="en-US" w:eastAsia="zh-CN"/>
                    </w:rPr>
                    <w:t>HJ 604-2017</w:t>
                  </w:r>
                </w:p>
              </w:tc>
              <w:tc>
                <w:tcPr>
                  <w:tcW w:w="1202" w:type="dxa"/>
                  <w:noWrap w:val="0"/>
                  <w:vAlign w:val="center"/>
                </w:tcPr>
                <w:p>
                  <w:pPr>
                    <w:pStyle w:val="9"/>
                    <w:widowControl w:val="0"/>
                    <w:spacing w:line="240" w:lineRule="auto"/>
                    <w:ind w:firstLine="0" w:firstLineChars="0"/>
                    <w:jc w:val="center"/>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0.0</w:t>
                  </w:r>
                  <w:r>
                    <w:rPr>
                      <w:rFonts w:hint="eastAsia" w:ascii="Times New Roman" w:hAnsi="Times New Roman" w:cs="Times New Roman" w:eastAsiaTheme="minorEastAsia"/>
                      <w:highlight w:val="none"/>
                      <w:lang w:val="en-US" w:eastAsia="zh-CN"/>
                    </w:rPr>
                    <w:t>7</w:t>
                  </w:r>
                  <w:r>
                    <w:rPr>
                      <w:rFonts w:hint="default" w:ascii="Times New Roman" w:hAnsi="Times New Roman" w:cs="Times New Roman" w:eastAsiaTheme="minorEastAsia"/>
                      <w:highlight w:val="none"/>
                    </w:rPr>
                    <w:t>mg/m</w:t>
                  </w:r>
                  <w:r>
                    <w:rPr>
                      <w:rFonts w:hint="default" w:ascii="Times New Roman" w:hAnsi="Times New Roman" w:cs="Times New Roman" w:eastAsiaTheme="minorEastAsia"/>
                      <w:highlight w:val="none"/>
                      <w:vertAlign w:val="superscript"/>
                    </w:rPr>
                    <w:t>3</w:t>
                  </w:r>
                </w:p>
              </w:tc>
              <w:tc>
                <w:tcPr>
                  <w:tcW w:w="1215" w:type="dxa"/>
                  <w:noWrap w:val="0"/>
                  <w:vAlign w:val="center"/>
                </w:tcPr>
                <w:p>
                  <w:pPr>
                    <w:pStyle w:val="9"/>
                    <w:widowControl w:val="0"/>
                    <w:spacing w:line="240" w:lineRule="auto"/>
                    <w:ind w:firstLine="0" w:firstLineChars="0"/>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连续监测2天；每天监测4次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7" w:type="dxa"/>
                  <w:gridSpan w:val="2"/>
                  <w:noWrap w:val="0"/>
                  <w:vAlign w:val="center"/>
                </w:tcPr>
                <w:p>
                  <w:pPr>
                    <w:pStyle w:val="9"/>
                    <w:widowControl w:val="0"/>
                    <w:spacing w:line="240" w:lineRule="auto"/>
                    <w:ind w:firstLine="0" w:firstLineChars="0"/>
                    <w:jc w:val="center"/>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lang w:eastAsia="zh-CN"/>
                    </w:rPr>
                    <w:t>噪声</w:t>
                  </w:r>
                </w:p>
              </w:tc>
              <w:tc>
                <w:tcPr>
                  <w:tcW w:w="2467" w:type="dxa"/>
                  <w:noWrap w:val="0"/>
                  <w:vAlign w:val="center"/>
                </w:tcPr>
                <w:p>
                  <w:pPr>
                    <w:pStyle w:val="9"/>
                    <w:widowControl w:val="0"/>
                    <w:spacing w:line="240" w:lineRule="auto"/>
                    <w:ind w:firstLine="0" w:firstLineChars="0"/>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等效连续A声级Leq（A）</w:t>
                  </w:r>
                </w:p>
              </w:tc>
              <w:tc>
                <w:tcPr>
                  <w:tcW w:w="1980" w:type="dxa"/>
                  <w:noWrap w:val="0"/>
                  <w:vAlign w:val="center"/>
                </w:tcPr>
                <w:p>
                  <w:pPr>
                    <w:pStyle w:val="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t>《工业企业厂界环境噪声排放标准》</w:t>
                  </w:r>
                </w:p>
                <w:p>
                  <w:pPr>
                    <w:pStyle w:val="9"/>
                    <w:widowControl w:val="0"/>
                    <w:spacing w:line="240" w:lineRule="auto"/>
                    <w:ind w:firstLine="0" w:firstLineChars="0"/>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lang w:val="en-US" w:eastAsia="zh-CN"/>
                    </w:rPr>
                    <w:t>GB 12348-2008</w:t>
                  </w:r>
                </w:p>
              </w:tc>
              <w:tc>
                <w:tcPr>
                  <w:tcW w:w="1202" w:type="dxa"/>
                  <w:noWrap w:val="0"/>
                  <w:vAlign w:val="center"/>
                </w:tcPr>
                <w:p>
                  <w:pPr>
                    <w:pStyle w:val="9"/>
                    <w:widowControl w:val="0"/>
                    <w:spacing w:line="240" w:lineRule="auto"/>
                    <w:ind w:firstLine="0" w:firstLineChars="0"/>
                    <w:jc w:val="center"/>
                    <w:rPr>
                      <w:rFonts w:hint="default" w:ascii="Times New Roman" w:hAnsi="Times New Roman" w:cs="Times New Roman" w:eastAsiaTheme="minorEastAsia"/>
                      <w:highlight w:val="none"/>
                      <w:lang w:val="en-US" w:eastAsia="zh-CN"/>
                    </w:rPr>
                  </w:pPr>
                  <w:r>
                    <w:rPr>
                      <w:rFonts w:hint="default" w:ascii="Times New Roman" w:hAnsi="Times New Roman" w:cs="Times New Roman" w:eastAsiaTheme="minorEastAsia"/>
                      <w:highlight w:val="none"/>
                      <w:lang w:val="en-US" w:eastAsia="zh-CN"/>
                    </w:rPr>
                    <w:t>/</w:t>
                  </w:r>
                </w:p>
              </w:tc>
              <w:tc>
                <w:tcPr>
                  <w:tcW w:w="1215" w:type="dxa"/>
                  <w:noWrap w:val="0"/>
                  <w:vAlign w:val="center"/>
                </w:tcPr>
                <w:p>
                  <w:pPr>
                    <w:pStyle w:val="9"/>
                    <w:widowControl w:val="0"/>
                    <w:spacing w:line="240" w:lineRule="auto"/>
                    <w:ind w:firstLine="0" w:firstLineChars="0"/>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连续监测2天；每天昼、夜间各监测一次</w:t>
                  </w:r>
                </w:p>
              </w:tc>
            </w:tr>
          </w:tbl>
          <w:p>
            <w:pPr>
              <w:keepNext w:val="0"/>
              <w:keepLines w:val="0"/>
              <w:pageBreakBefore w:val="0"/>
              <w:widowControl w:val="0"/>
              <w:kinsoku/>
              <w:wordWrap/>
              <w:overflowPunct/>
              <w:topLinePunct w:val="0"/>
              <w:autoSpaceDE/>
              <w:autoSpaceDN/>
              <w:bidi w:val="0"/>
              <w:adjustRightInd/>
              <w:snapToGrid/>
              <w:spacing w:before="469" w:beforeLines="100" w:line="360" w:lineRule="auto"/>
              <w:ind w:firstLine="480" w:firstLineChars="200"/>
              <w:textAlignment w:val="auto"/>
              <w:rPr>
                <w:rFonts w:hint="eastAsia" w:ascii="Times New Roman" w:hAnsi="Times New Roman" w:eastAsia="宋体" w:cs="Times New Roman"/>
                <w:bCs/>
                <w:snapToGrid w:val="0"/>
                <w:kern w:val="0"/>
                <w:sz w:val="24"/>
                <w:szCs w:val="24"/>
                <w:highlight w:val="none"/>
                <w:lang w:eastAsia="zh-CN"/>
              </w:rPr>
            </w:pPr>
            <w:bookmarkStart w:id="104" w:name="_Toc17928"/>
            <w:r>
              <w:rPr>
                <w:rFonts w:hint="eastAsia" w:ascii="Times New Roman" w:hAnsi="Times New Roman" w:eastAsia="宋体" w:cs="Times New Roman"/>
                <w:bCs/>
                <w:snapToGrid w:val="0"/>
                <w:kern w:val="0"/>
                <w:sz w:val="24"/>
                <w:szCs w:val="24"/>
                <w:highlight w:val="none"/>
                <w:lang w:eastAsia="zh-CN"/>
              </w:rPr>
              <w:t>本项目废水不外排，因此不进行水质监测。</w:t>
            </w:r>
          </w:p>
          <w:p>
            <w:pPr>
              <w:pStyle w:val="4"/>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hAnsi="宋体"/>
                <w:b/>
                <w:sz w:val="24"/>
                <w:highlight w:val="none"/>
                <w:u w:val="none"/>
              </w:rPr>
            </w:pPr>
            <w:r>
              <w:rPr>
                <w:rFonts w:hint="eastAsia" w:hAnsi="宋体"/>
                <w:b/>
                <w:sz w:val="24"/>
                <w:highlight w:val="none"/>
                <w:u w:val="none"/>
                <w:lang w:eastAsia="zh-CN"/>
              </w:rPr>
              <w:t>三、</w:t>
            </w:r>
            <w:r>
              <w:rPr>
                <w:rFonts w:hint="eastAsia" w:hAnsi="宋体"/>
                <w:b/>
                <w:sz w:val="24"/>
                <w:highlight w:val="none"/>
                <w:u w:val="none"/>
              </w:rPr>
              <w:t>监测仪器</w:t>
            </w:r>
            <w:bookmarkEnd w:id="104"/>
          </w:p>
          <w:p>
            <w:pPr>
              <w:spacing w:line="360" w:lineRule="auto"/>
              <w:ind w:firstLine="480" w:firstLineChars="200"/>
              <w:rPr>
                <w:rFonts w:hint="eastAsia" w:ascii="Times New Roman" w:hAnsi="Times New Roman" w:eastAsia="宋体" w:cs="Times New Roman"/>
                <w:bCs/>
                <w:snapToGrid w:val="0"/>
                <w:kern w:val="0"/>
                <w:sz w:val="24"/>
                <w:szCs w:val="24"/>
                <w:highlight w:val="none"/>
                <w:lang w:eastAsia="zh-CN"/>
              </w:rPr>
            </w:pPr>
            <w:r>
              <w:rPr>
                <w:rFonts w:hint="eastAsia" w:ascii="Times New Roman" w:hAnsi="Times New Roman" w:eastAsia="宋体" w:cs="Times New Roman"/>
                <w:bCs/>
                <w:snapToGrid w:val="0"/>
                <w:kern w:val="0"/>
                <w:sz w:val="24"/>
                <w:szCs w:val="24"/>
                <w:highlight w:val="none"/>
                <w:lang w:val="en-US" w:eastAsia="zh-CN"/>
              </w:rPr>
              <w:t>各监测仪器名称见表5-2。</w:t>
            </w:r>
          </w:p>
          <w:p>
            <w:pPr>
              <w:tabs>
                <w:tab w:val="left" w:pos="2130"/>
              </w:tabs>
              <w:snapToGrid w:val="0"/>
              <w:jc w:val="center"/>
              <w:rPr>
                <w:rFonts w:hint="eastAsia" w:ascii="Times New Roman" w:hAnsi="Times New Roman" w:cs="Times New Roman" w:eastAsiaTheme="minorEastAsia"/>
                <w:b/>
                <w:snapToGrid w:val="0"/>
                <w:kern w:val="0"/>
                <w:sz w:val="21"/>
                <w:szCs w:val="21"/>
                <w:highlight w:val="none"/>
              </w:rPr>
            </w:pPr>
            <w:r>
              <w:rPr>
                <w:rFonts w:hint="eastAsia" w:ascii="Times New Roman" w:hAnsi="Times New Roman" w:cs="Times New Roman" w:eastAsiaTheme="minorEastAsia"/>
                <w:b/>
                <w:snapToGrid w:val="0"/>
                <w:kern w:val="0"/>
                <w:sz w:val="21"/>
                <w:szCs w:val="21"/>
                <w:highlight w:val="none"/>
              </w:rPr>
              <w:t>表</w:t>
            </w:r>
            <w:r>
              <w:rPr>
                <w:rFonts w:hint="eastAsia" w:ascii="Times New Roman" w:hAnsi="Times New Roman" w:cs="Times New Roman" w:eastAsiaTheme="minorEastAsia"/>
                <w:b/>
                <w:snapToGrid w:val="0"/>
                <w:kern w:val="0"/>
                <w:sz w:val="21"/>
                <w:szCs w:val="21"/>
                <w:highlight w:val="none"/>
                <w:lang w:val="en-US" w:eastAsia="zh-CN"/>
              </w:rPr>
              <w:t xml:space="preserve">5-2   </w:t>
            </w:r>
            <w:r>
              <w:rPr>
                <w:rFonts w:hint="eastAsia" w:ascii="Times New Roman" w:hAnsi="Times New Roman" w:cs="Times New Roman" w:eastAsiaTheme="minorEastAsia"/>
                <w:b/>
                <w:snapToGrid w:val="0"/>
                <w:kern w:val="0"/>
                <w:sz w:val="21"/>
                <w:szCs w:val="21"/>
                <w:highlight w:val="none"/>
              </w:rPr>
              <w:t>各监测</w:t>
            </w:r>
            <w:r>
              <w:rPr>
                <w:rFonts w:hint="eastAsia" w:ascii="Times New Roman" w:hAnsi="Times New Roman" w:cs="Times New Roman" w:eastAsiaTheme="minorEastAsia"/>
                <w:b/>
                <w:snapToGrid w:val="0"/>
                <w:kern w:val="0"/>
                <w:sz w:val="21"/>
                <w:szCs w:val="21"/>
                <w:highlight w:val="none"/>
                <w:lang w:val="en-US" w:eastAsia="zh-CN"/>
              </w:rPr>
              <w:t>仪器名称</w:t>
            </w:r>
            <w:r>
              <w:rPr>
                <w:rFonts w:hint="eastAsia" w:ascii="Times New Roman" w:hAnsi="Times New Roman" w:cs="Times New Roman" w:eastAsiaTheme="minorEastAsia"/>
                <w:b/>
                <w:snapToGrid w:val="0"/>
                <w:kern w:val="0"/>
                <w:sz w:val="21"/>
                <w:szCs w:val="21"/>
                <w:highlight w:val="none"/>
              </w:rPr>
              <w:t>表</w:t>
            </w:r>
          </w:p>
          <w:tbl>
            <w:tblPr>
              <w:tblStyle w:val="11"/>
              <w:tblW w:w="8831" w:type="dxa"/>
              <w:jc w:val="center"/>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7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6" w:hRule="atLeast"/>
                <w:jc w:val="center"/>
              </w:trPr>
              <w:tc>
                <w:tcPr>
                  <w:tcW w:w="1149" w:type="dxa"/>
                  <w:tcBorders>
                    <w:tl2br w:val="nil"/>
                    <w:tr2bl w:val="nil"/>
                  </w:tcBorders>
                  <w:vAlign w:val="center"/>
                </w:tcPr>
                <w:p>
                  <w:pPr>
                    <w:jc w:val="center"/>
                    <w:rPr>
                      <w:highlight w:val="none"/>
                    </w:rPr>
                  </w:pPr>
                  <w:r>
                    <w:rPr>
                      <w:rFonts w:hint="eastAsia"/>
                      <w:b/>
                      <w:bCs/>
                      <w:highlight w:val="none"/>
                    </w:rPr>
                    <w:t>监测仪器</w:t>
                  </w:r>
                  <w:r>
                    <w:rPr>
                      <w:rFonts w:hint="eastAsia"/>
                      <w:b/>
                      <w:bCs/>
                      <w:highlight w:val="none"/>
                      <w:lang w:val="en-US" w:eastAsia="zh-CN"/>
                    </w:rPr>
                    <w:t>型号</w:t>
                  </w:r>
                  <w:r>
                    <w:rPr>
                      <w:rFonts w:hint="default"/>
                      <w:b/>
                      <w:bCs/>
                      <w:highlight w:val="none"/>
                      <w:lang w:val="en-US" w:eastAsia="zh-CN"/>
                    </w:rPr>
                    <w:t>/</w:t>
                  </w:r>
                  <w:r>
                    <w:rPr>
                      <w:rFonts w:hint="eastAsia"/>
                      <w:b/>
                      <w:bCs/>
                      <w:highlight w:val="none"/>
                      <w:lang w:val="en-US" w:eastAsia="zh-CN"/>
                    </w:rPr>
                    <w:t>编号</w:t>
                  </w:r>
                </w:p>
              </w:tc>
              <w:tc>
                <w:tcPr>
                  <w:tcW w:w="76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气相色谱仪GC9790‖（TYJC-YQ-001）</w:t>
                  </w:r>
                </w:p>
                <w:p>
                  <w:pPr>
                    <w:pStyle w:val="9"/>
                    <w:widowControl w:val="0"/>
                    <w:spacing w:line="240" w:lineRule="auto"/>
                    <w:ind w:firstLine="0" w:firstLineChars="0"/>
                    <w:rPr>
                      <w:rFonts w:hint="default" w:ascii="Times New Roman" w:hAnsi="Times New Roman" w:cs="Times New Roman" w:eastAsiaTheme="minorEastAsia"/>
                      <w:highlight w:val="none"/>
                      <w:lang w:val="en-US" w:eastAsia="zh-CN"/>
                    </w:rPr>
                  </w:pPr>
                  <w:r>
                    <w:rPr>
                      <w:rFonts w:hint="default" w:ascii="Times New Roman" w:hAnsi="Times New Roman" w:cs="Times New Roman" w:eastAsiaTheme="minorEastAsia"/>
                      <w:highlight w:val="none"/>
                      <w:lang w:val="en-US" w:eastAsia="zh-CN"/>
                    </w:rPr>
                    <w:t>声级校准仪AWA5688型</w:t>
                  </w:r>
                  <w:r>
                    <w:rPr>
                      <w:rFonts w:hint="eastAsia" w:ascii="Times New Roman" w:hAnsi="Times New Roman" w:cs="Times New Roman" w:eastAsiaTheme="minorEastAsia"/>
                      <w:highlight w:val="none"/>
                      <w:lang w:val="en-US" w:eastAsia="zh-CN"/>
                    </w:rPr>
                    <w:t>（</w:t>
                  </w:r>
                  <w:r>
                    <w:rPr>
                      <w:rFonts w:hint="default" w:ascii="Times New Roman" w:hAnsi="Times New Roman" w:cs="Times New Roman" w:eastAsiaTheme="minorEastAsia"/>
                      <w:highlight w:val="none"/>
                      <w:lang w:val="en-US" w:eastAsia="zh-CN"/>
                    </w:rPr>
                    <w:t>TYJC-YQ-024-F</w:t>
                  </w:r>
                  <w:r>
                    <w:rPr>
                      <w:rFonts w:hint="eastAsia" w:ascii="Times New Roman" w:hAnsi="Times New Roman" w:cs="Times New Roman" w:eastAsiaTheme="minorEastAsia"/>
                      <w:highlight w:val="none"/>
                      <w:lang w:val="en-US" w:eastAsia="zh-CN"/>
                    </w:rPr>
                    <w:t>）</w:t>
                  </w:r>
                </w:p>
              </w:tc>
            </w:tr>
          </w:tbl>
          <w:p>
            <w:pPr>
              <w:pStyle w:val="4"/>
              <w:keepNext w:val="0"/>
              <w:keepLines w:val="0"/>
              <w:pageBreakBefore w:val="0"/>
              <w:widowControl w:val="0"/>
              <w:kinsoku/>
              <w:wordWrap/>
              <w:overflowPunct/>
              <w:topLinePunct w:val="0"/>
              <w:autoSpaceDE w:val="0"/>
              <w:autoSpaceDN w:val="0"/>
              <w:bidi w:val="0"/>
              <w:adjustRightInd/>
              <w:snapToGrid/>
              <w:spacing w:before="469" w:beforeLines="100" w:line="360" w:lineRule="auto"/>
              <w:textAlignment w:val="auto"/>
              <w:rPr>
                <w:rFonts w:hint="eastAsia" w:hAnsi="宋体"/>
                <w:b/>
                <w:sz w:val="24"/>
                <w:highlight w:val="none"/>
                <w:u w:val="none"/>
                <w:lang w:eastAsia="zh-CN"/>
              </w:rPr>
            </w:pPr>
            <w:bookmarkStart w:id="105" w:name="_Toc8423"/>
            <w:r>
              <w:rPr>
                <w:rFonts w:hint="eastAsia"/>
                <w:b/>
                <w:sz w:val="24"/>
                <w:highlight w:val="none"/>
                <w:u w:val="none"/>
                <w:lang w:eastAsia="zh-CN"/>
              </w:rPr>
              <w:t>四</w:t>
            </w:r>
            <w:r>
              <w:rPr>
                <w:rFonts w:hint="eastAsia" w:hAnsi="宋体"/>
                <w:b/>
                <w:sz w:val="24"/>
                <w:highlight w:val="none"/>
                <w:u w:val="none"/>
                <w:lang w:eastAsia="zh-CN"/>
              </w:rPr>
              <w:t>、气体监测分析过程中的质量保证和质量控制</w:t>
            </w:r>
          </w:p>
          <w:p>
            <w:pPr>
              <w:pStyle w:val="4"/>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尽量避免被测排放物中共存污染物对分析的交叉干扰。被测排放物的浓度在仪器</w:t>
            </w:r>
            <w:r>
              <w:rPr>
                <w:rFonts w:hint="default" w:ascii="Times New Roman" w:hAnsi="Times New Roman" w:cs="Times New Roman" w:eastAsiaTheme="minorEastAsia"/>
                <w:spacing w:val="0"/>
                <w:sz w:val="24"/>
                <w:szCs w:val="24"/>
                <w:highlight w:val="none"/>
              </w:rPr>
              <w:t>量程的有效范围</w:t>
            </w:r>
            <w:r>
              <w:rPr>
                <w:rFonts w:hint="default" w:ascii="Times New Roman" w:hAnsi="Times New Roman" w:cs="Times New Roman" w:eastAsiaTheme="minorEastAsia"/>
                <w:sz w:val="24"/>
                <w:szCs w:val="24"/>
                <w:highlight w:val="none"/>
              </w:rPr>
              <w:t>（</w:t>
            </w:r>
            <w:r>
              <w:rPr>
                <w:rFonts w:hint="default" w:ascii="Times New Roman" w:hAnsi="Times New Roman" w:cs="Times New Roman" w:eastAsiaTheme="minorEastAsia"/>
                <w:spacing w:val="0"/>
                <w:sz w:val="24"/>
                <w:szCs w:val="24"/>
                <w:highlight w:val="none"/>
              </w:rPr>
              <w:t>即</w:t>
            </w:r>
            <w:r>
              <w:rPr>
                <w:rFonts w:hint="default" w:ascii="Times New Roman" w:hAnsi="Times New Roman" w:cs="Times New Roman" w:eastAsiaTheme="minorEastAsia"/>
                <w:sz w:val="24"/>
                <w:szCs w:val="24"/>
                <w:highlight w:val="none"/>
              </w:rPr>
              <w:t>30%～70%之间</w:t>
            </w:r>
            <w:r>
              <w:rPr>
                <w:rFonts w:hint="default" w:ascii="Times New Roman" w:hAnsi="Times New Roman" w:cs="Times New Roman" w:eastAsiaTheme="minorEastAsia"/>
                <w:spacing w:val="0"/>
                <w:sz w:val="24"/>
                <w:szCs w:val="24"/>
                <w:highlight w:val="none"/>
              </w:rPr>
              <w:t>）。烟尘采样器在进入现场前应对采样器流量计、</w:t>
            </w:r>
            <w:r>
              <w:rPr>
                <w:rFonts w:hint="default" w:ascii="Times New Roman" w:hAnsi="Times New Roman" w:cs="Times New Roman" w:eastAsiaTheme="minorEastAsia"/>
                <w:sz w:val="24"/>
                <w:szCs w:val="24"/>
                <w:highlight w:val="none"/>
              </w:rPr>
              <w:t>流速计等进行校核。烟气监测（分析）仪器在测试前按监测因子分别用标准气体和流量计对其进行校核（标定），在测试时应保证其采样流量的准确。</w:t>
            </w:r>
          </w:p>
          <w:p>
            <w:pPr>
              <w:spacing w:line="360" w:lineRule="auto"/>
              <w:ind w:firstLine="480" w:firstLineChars="200"/>
              <w:rPr>
                <w:rFonts w:hint="eastAsia" w:ascii="Times New Roman" w:hAnsi="Times New Roman" w:eastAsia="宋体" w:cs="Times New Roman"/>
                <w:bCs/>
                <w:snapToGrid w:val="0"/>
                <w:kern w:val="0"/>
                <w:sz w:val="24"/>
                <w:szCs w:val="24"/>
                <w:highlight w:val="none"/>
                <w:lang w:val="en-US" w:eastAsia="zh-CN"/>
              </w:rPr>
            </w:pPr>
            <w:r>
              <w:rPr>
                <w:rFonts w:hint="eastAsia" w:ascii="Times New Roman" w:hAnsi="Times New Roman" w:eastAsia="宋体" w:cs="Times New Roman"/>
                <w:bCs/>
                <w:snapToGrid w:val="0"/>
                <w:kern w:val="0"/>
                <w:sz w:val="24"/>
                <w:szCs w:val="24"/>
                <w:highlight w:val="none"/>
                <w:lang w:val="en-US" w:eastAsia="zh-CN"/>
              </w:rPr>
              <w:t>气体监测分析方法及来源见表5-</w:t>
            </w:r>
            <w:r>
              <w:rPr>
                <w:rFonts w:hint="eastAsia" w:ascii="Times New Roman" w:hAnsi="Times New Roman" w:cs="Times New Roman"/>
                <w:bCs/>
                <w:snapToGrid w:val="0"/>
                <w:kern w:val="0"/>
                <w:sz w:val="24"/>
                <w:szCs w:val="24"/>
                <w:highlight w:val="none"/>
                <w:lang w:val="en-US" w:eastAsia="zh-CN"/>
              </w:rPr>
              <w:t>3</w:t>
            </w:r>
            <w:r>
              <w:rPr>
                <w:rFonts w:hint="eastAsia" w:ascii="Times New Roman" w:hAnsi="Times New Roman" w:eastAsia="宋体" w:cs="Times New Roman"/>
                <w:bCs/>
                <w:snapToGrid w:val="0"/>
                <w:kern w:val="0"/>
                <w:sz w:val="24"/>
                <w:szCs w:val="24"/>
                <w:highlight w:val="none"/>
                <w:lang w:val="en-US" w:eastAsia="zh-CN"/>
              </w:rPr>
              <w:t>。</w:t>
            </w:r>
          </w:p>
          <w:p>
            <w:pPr>
              <w:tabs>
                <w:tab w:val="left" w:pos="2130"/>
              </w:tabs>
              <w:snapToGrid w:val="0"/>
              <w:jc w:val="center"/>
              <w:rPr>
                <w:rFonts w:hint="eastAsia" w:ascii="Times New Roman" w:hAnsi="Times New Roman" w:cs="Times New Roman" w:eastAsiaTheme="minorEastAsia"/>
                <w:b/>
                <w:snapToGrid w:val="0"/>
                <w:kern w:val="0"/>
                <w:sz w:val="21"/>
                <w:szCs w:val="21"/>
                <w:highlight w:val="none"/>
                <w:lang w:val="en-US" w:eastAsia="zh-CN"/>
              </w:rPr>
            </w:pPr>
            <w:r>
              <w:rPr>
                <w:rFonts w:hint="eastAsia" w:ascii="Times New Roman" w:hAnsi="Times New Roman" w:cs="Times New Roman" w:eastAsiaTheme="minorEastAsia"/>
                <w:b/>
                <w:snapToGrid w:val="0"/>
                <w:kern w:val="0"/>
                <w:sz w:val="21"/>
                <w:szCs w:val="21"/>
                <w:highlight w:val="none"/>
                <w:lang w:val="en-US" w:eastAsia="zh-CN"/>
              </w:rPr>
              <w:t>表5-3   气体监测设备名称表</w:t>
            </w:r>
          </w:p>
          <w:tbl>
            <w:tblPr>
              <w:tblStyle w:val="11"/>
              <w:tblW w:w="88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81"/>
              <w:gridCol w:w="3206"/>
              <w:gridCol w:w="2673"/>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jc w:val="center"/>
              </w:trPr>
              <w:tc>
                <w:tcPr>
                  <w:tcW w:w="1381" w:type="dxa"/>
                  <w:vAlign w:val="center"/>
                </w:tcPr>
                <w:p>
                  <w:pPr>
                    <w:jc w:val="center"/>
                    <w:rPr>
                      <w:rFonts w:hint="default"/>
                      <w:b/>
                      <w:bCs/>
                      <w:highlight w:val="none"/>
                    </w:rPr>
                  </w:pPr>
                  <w:r>
                    <w:rPr>
                      <w:rFonts w:hint="default"/>
                      <w:b/>
                      <w:bCs/>
                      <w:highlight w:val="none"/>
                    </w:rPr>
                    <w:t>监测项目</w:t>
                  </w:r>
                </w:p>
              </w:tc>
              <w:tc>
                <w:tcPr>
                  <w:tcW w:w="3206" w:type="dxa"/>
                  <w:vAlign w:val="center"/>
                </w:tcPr>
                <w:p>
                  <w:pPr>
                    <w:jc w:val="center"/>
                    <w:rPr>
                      <w:rFonts w:hint="default"/>
                      <w:b/>
                      <w:bCs/>
                      <w:highlight w:val="none"/>
                    </w:rPr>
                  </w:pPr>
                  <w:r>
                    <w:rPr>
                      <w:rFonts w:hint="default"/>
                      <w:b/>
                      <w:bCs/>
                      <w:highlight w:val="none"/>
                    </w:rPr>
                    <w:t>监测依据</w:t>
                  </w:r>
                </w:p>
              </w:tc>
              <w:tc>
                <w:tcPr>
                  <w:tcW w:w="2673" w:type="dxa"/>
                  <w:vAlign w:val="center"/>
                </w:tcPr>
                <w:p>
                  <w:pPr>
                    <w:jc w:val="center"/>
                    <w:rPr>
                      <w:rFonts w:hint="default"/>
                      <w:b/>
                      <w:bCs/>
                      <w:highlight w:val="none"/>
                    </w:rPr>
                  </w:pPr>
                  <w:r>
                    <w:rPr>
                      <w:rFonts w:hint="default"/>
                      <w:b/>
                      <w:bCs/>
                      <w:highlight w:val="none"/>
                    </w:rPr>
                    <w:t>仪器名称/型号</w:t>
                  </w:r>
                </w:p>
              </w:tc>
              <w:tc>
                <w:tcPr>
                  <w:tcW w:w="1591" w:type="dxa"/>
                  <w:vAlign w:val="center"/>
                </w:tcPr>
                <w:p>
                  <w:pPr>
                    <w:jc w:val="center"/>
                    <w:rPr>
                      <w:rFonts w:hint="default"/>
                      <w:b/>
                      <w:bCs/>
                      <w:highlight w:val="none"/>
                    </w:rPr>
                  </w:pPr>
                  <w:r>
                    <w:rPr>
                      <w:rFonts w:hint="default"/>
                      <w:b/>
                      <w:bCs/>
                      <w:highlight w:val="none"/>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381" w:type="dxa"/>
                  <w:vAlign w:val="center"/>
                </w:tcPr>
                <w:p>
                  <w:pPr>
                    <w:jc w:val="center"/>
                    <w:rPr>
                      <w:rFonts w:hint="default"/>
                      <w:highlight w:val="none"/>
                    </w:rPr>
                  </w:pPr>
                  <w:r>
                    <w:rPr>
                      <w:rFonts w:hint="default"/>
                      <w:highlight w:val="none"/>
                    </w:rPr>
                    <w:t>非甲烷总烃</w:t>
                  </w:r>
                </w:p>
              </w:tc>
              <w:tc>
                <w:tcPr>
                  <w:tcW w:w="3206" w:type="dxa"/>
                  <w:vAlign w:val="center"/>
                </w:tcPr>
                <w:p>
                  <w:pPr>
                    <w:jc w:val="center"/>
                    <w:rPr>
                      <w:rFonts w:hint="default"/>
                      <w:highlight w:val="none"/>
                    </w:rPr>
                  </w:pPr>
                  <w:r>
                    <w:rPr>
                      <w:rFonts w:hint="default"/>
                      <w:highlight w:val="none"/>
                    </w:rPr>
                    <w:t>气相色谱法</w:t>
                  </w:r>
                </w:p>
                <w:p>
                  <w:pPr>
                    <w:jc w:val="center"/>
                    <w:rPr>
                      <w:rFonts w:hint="default"/>
                      <w:highlight w:val="none"/>
                    </w:rPr>
                  </w:pPr>
                  <w:r>
                    <w:rPr>
                      <w:rFonts w:hint="default"/>
                      <w:highlight w:val="none"/>
                    </w:rPr>
                    <w:t>HJ 604-2017</w:t>
                  </w:r>
                </w:p>
              </w:tc>
              <w:tc>
                <w:tcPr>
                  <w:tcW w:w="2673" w:type="dxa"/>
                  <w:vAlign w:val="center"/>
                </w:tcPr>
                <w:p>
                  <w:pPr>
                    <w:jc w:val="center"/>
                    <w:rPr>
                      <w:rFonts w:hint="default"/>
                      <w:highlight w:val="none"/>
                    </w:rPr>
                  </w:pPr>
                  <w:r>
                    <w:rPr>
                      <w:rFonts w:hint="default"/>
                      <w:highlight w:val="none"/>
                    </w:rPr>
                    <w:t>气相色谱仪GC9790‖（TYJC-YQ-001）</w:t>
                  </w:r>
                </w:p>
              </w:tc>
              <w:tc>
                <w:tcPr>
                  <w:tcW w:w="1591" w:type="dxa"/>
                  <w:vAlign w:val="center"/>
                </w:tcPr>
                <w:p>
                  <w:pPr>
                    <w:jc w:val="center"/>
                    <w:rPr>
                      <w:rFonts w:hint="default"/>
                      <w:highlight w:val="none"/>
                    </w:rPr>
                  </w:pPr>
                  <w:r>
                    <w:rPr>
                      <w:rFonts w:hint="default"/>
                      <w:highlight w:val="none"/>
                    </w:rPr>
                    <w:t>0.07 mg/m</w:t>
                  </w:r>
                  <w:r>
                    <w:rPr>
                      <w:rFonts w:hint="default"/>
                      <w:highlight w:val="none"/>
                      <w:vertAlign w:val="superscript"/>
                    </w:rPr>
                    <w:t>3</w:t>
                  </w:r>
                </w:p>
              </w:tc>
            </w:tr>
            <w:bookmarkEnd w:id="105"/>
          </w:tbl>
          <w:p>
            <w:pPr>
              <w:pStyle w:val="4"/>
              <w:keepNext w:val="0"/>
              <w:keepLines w:val="0"/>
              <w:pageBreakBefore w:val="0"/>
              <w:widowControl w:val="0"/>
              <w:kinsoku/>
              <w:wordWrap/>
              <w:overflowPunct/>
              <w:topLinePunct w:val="0"/>
              <w:autoSpaceDE w:val="0"/>
              <w:autoSpaceDN w:val="0"/>
              <w:bidi w:val="0"/>
              <w:adjustRightInd/>
              <w:snapToGrid/>
              <w:spacing w:before="469" w:beforeLines="100" w:line="360" w:lineRule="auto"/>
              <w:ind w:firstLine="0" w:firstLineChars="0"/>
              <w:textAlignment w:val="auto"/>
              <w:rPr>
                <w:rFonts w:hint="eastAsia" w:hAnsi="宋体"/>
                <w:b/>
                <w:sz w:val="24"/>
                <w:highlight w:val="none"/>
                <w:u w:val="none"/>
                <w:lang w:eastAsia="zh-CN"/>
              </w:rPr>
            </w:pPr>
            <w:bookmarkStart w:id="106" w:name="_Toc27130"/>
            <w:r>
              <w:rPr>
                <w:rFonts w:hint="eastAsia"/>
                <w:b/>
                <w:sz w:val="24"/>
                <w:highlight w:val="none"/>
                <w:u w:val="none"/>
                <w:lang w:eastAsia="zh-CN"/>
              </w:rPr>
              <w:t>五</w:t>
            </w:r>
            <w:r>
              <w:rPr>
                <w:rFonts w:hint="eastAsia" w:hAnsi="宋体"/>
                <w:b/>
                <w:sz w:val="24"/>
                <w:highlight w:val="none"/>
                <w:u w:val="none"/>
                <w:lang w:eastAsia="zh-CN"/>
              </w:rPr>
              <w:t>、噪声监测分析过程中的质量保证和质量控制</w:t>
            </w:r>
            <w:bookmarkEnd w:id="106"/>
          </w:p>
          <w:p>
            <w:pPr>
              <w:spacing w:line="360" w:lineRule="auto"/>
              <w:ind w:firstLine="480" w:firstLineChars="200"/>
              <w:rPr>
                <w:rFonts w:hint="eastAsia" w:ascii="Times New Roman" w:hAnsi="Times New Roman" w:eastAsia="宋体" w:cs="Times New Roman"/>
                <w:bCs/>
                <w:snapToGrid w:val="0"/>
                <w:kern w:val="0"/>
                <w:sz w:val="24"/>
                <w:szCs w:val="24"/>
                <w:highlight w:val="none"/>
                <w:lang w:val="en-US" w:eastAsia="zh-CN"/>
              </w:rPr>
            </w:pPr>
            <w:r>
              <w:rPr>
                <w:rFonts w:hint="eastAsia" w:ascii="Times New Roman" w:hAnsi="Times New Roman" w:eastAsia="宋体" w:cs="Times New Roman"/>
                <w:bCs/>
                <w:snapToGrid w:val="0"/>
                <w:kern w:val="0"/>
                <w:sz w:val="24"/>
                <w:szCs w:val="24"/>
                <w:highlight w:val="none"/>
                <w:lang w:val="en-US" w:eastAsia="zh-CN"/>
              </w:rPr>
              <w:t>噪声监测方法/依据见表5-5。</w:t>
            </w:r>
          </w:p>
          <w:p>
            <w:pPr>
              <w:tabs>
                <w:tab w:val="left" w:pos="2130"/>
              </w:tabs>
              <w:snapToGrid w:val="0"/>
              <w:jc w:val="center"/>
              <w:rPr>
                <w:rFonts w:hint="default" w:ascii="Times New Roman" w:hAnsi="Times New Roman" w:cs="Times New Roman" w:eastAsiaTheme="minorEastAsia"/>
                <w:b/>
                <w:snapToGrid w:val="0"/>
                <w:kern w:val="0"/>
                <w:sz w:val="21"/>
                <w:szCs w:val="21"/>
                <w:highlight w:val="none"/>
                <w:lang w:val="en-US" w:eastAsia="zh-CN"/>
              </w:rPr>
            </w:pPr>
            <w:r>
              <w:rPr>
                <w:rFonts w:hint="eastAsia" w:ascii="Times New Roman" w:hAnsi="Times New Roman" w:cs="Times New Roman" w:eastAsiaTheme="minorEastAsia"/>
                <w:b/>
                <w:snapToGrid w:val="0"/>
                <w:kern w:val="0"/>
                <w:sz w:val="21"/>
                <w:szCs w:val="21"/>
                <w:highlight w:val="none"/>
                <w:lang w:val="en-US" w:eastAsia="zh-CN"/>
              </w:rPr>
              <w:t>表5-5   噪声监测方法/依据表</w:t>
            </w:r>
          </w:p>
          <w:tbl>
            <w:tblPr>
              <w:tblStyle w:val="11"/>
              <w:tblW w:w="8851" w:type="dxa"/>
              <w:tblInd w:w="0" w:type="dxa"/>
              <w:tblLayout w:type="fixed"/>
              <w:tblCellMar>
                <w:top w:w="0" w:type="dxa"/>
                <w:left w:w="0" w:type="dxa"/>
                <w:bottom w:w="0" w:type="dxa"/>
                <w:right w:w="0" w:type="dxa"/>
              </w:tblCellMar>
            </w:tblPr>
            <w:tblGrid>
              <w:gridCol w:w="2492"/>
              <w:gridCol w:w="1589"/>
              <w:gridCol w:w="1589"/>
              <w:gridCol w:w="1"/>
              <w:gridCol w:w="229"/>
              <w:gridCol w:w="1359"/>
              <w:gridCol w:w="1592"/>
            </w:tblGrid>
            <w:tr>
              <w:tblPrEx>
                <w:tblLayout w:type="fixed"/>
                <w:tblCellMar>
                  <w:top w:w="0" w:type="dxa"/>
                  <w:left w:w="0" w:type="dxa"/>
                  <w:bottom w:w="0" w:type="dxa"/>
                  <w:right w:w="0" w:type="dxa"/>
                </w:tblCellMar>
              </w:tblPrEx>
              <w:trPr>
                <w:trHeight w:val="340" w:hRule="atLeast"/>
              </w:trPr>
              <w:tc>
                <w:tcPr>
                  <w:tcW w:w="24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eastAsia="宋体" w:cs="Times New Roman"/>
                      <w:i w:val="0"/>
                      <w:color w:val="auto"/>
                      <w:kern w:val="0"/>
                      <w:sz w:val="24"/>
                      <w:szCs w:val="24"/>
                      <w:highlight w:val="none"/>
                      <w:u w:val="none"/>
                      <w:lang w:val="en-US" w:eastAsia="zh-CN" w:bidi="ar"/>
                    </w:rPr>
                  </w:pPr>
                  <w:r>
                    <w:rPr>
                      <w:rFonts w:hint="default"/>
                      <w:b/>
                      <w:bCs/>
                      <w:highlight w:val="none"/>
                      <w:lang w:val="en-US" w:eastAsia="zh-CN"/>
                    </w:rPr>
                    <w:t>监测项目</w:t>
                  </w:r>
                </w:p>
              </w:tc>
              <w:tc>
                <w:tcPr>
                  <w:tcW w:w="3408"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s="Times New Roman"/>
                      <w:b w:val="0"/>
                      <w:bCs/>
                      <w:color w:val="auto"/>
                      <w:sz w:val="24"/>
                      <w:szCs w:val="24"/>
                      <w:highlight w:val="none"/>
                      <w:lang w:eastAsia="zh-CN"/>
                    </w:rPr>
                  </w:pPr>
                  <w:r>
                    <w:rPr>
                      <w:rFonts w:hint="default"/>
                      <w:b/>
                      <w:bCs/>
                      <w:highlight w:val="none"/>
                      <w:lang w:val="en-US" w:eastAsia="zh-CN"/>
                    </w:rPr>
                    <w:t>监测依据</w:t>
                  </w:r>
                </w:p>
              </w:tc>
              <w:tc>
                <w:tcPr>
                  <w:tcW w:w="295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s="Times New Roman"/>
                      <w:b w:val="0"/>
                      <w:bCs/>
                      <w:color w:val="auto"/>
                      <w:sz w:val="24"/>
                      <w:szCs w:val="24"/>
                      <w:highlight w:val="none"/>
                      <w:lang w:eastAsia="zh-CN"/>
                    </w:rPr>
                  </w:pPr>
                  <w:r>
                    <w:rPr>
                      <w:rFonts w:hint="default"/>
                      <w:b/>
                      <w:bCs/>
                      <w:highlight w:val="none"/>
                      <w:lang w:val="en-US" w:eastAsia="zh-CN"/>
                    </w:rPr>
                    <w:t>仪器名称/型号</w:t>
                  </w:r>
                </w:p>
              </w:tc>
            </w:tr>
            <w:tr>
              <w:tblPrEx>
                <w:tblLayout w:type="fixed"/>
                <w:tblCellMar>
                  <w:top w:w="0" w:type="dxa"/>
                  <w:left w:w="0" w:type="dxa"/>
                  <w:bottom w:w="0" w:type="dxa"/>
                  <w:right w:w="0" w:type="dxa"/>
                </w:tblCellMar>
              </w:tblPrEx>
              <w:trPr>
                <w:trHeight w:val="340" w:hRule="atLeast"/>
              </w:trPr>
              <w:tc>
                <w:tcPr>
                  <w:tcW w:w="24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eastAsia" w:eastAsia="宋体" w:cs="Times New Roman"/>
                      <w:i w:val="0"/>
                      <w:color w:val="auto"/>
                      <w:kern w:val="0"/>
                      <w:sz w:val="24"/>
                      <w:szCs w:val="24"/>
                      <w:highlight w:val="none"/>
                      <w:u w:val="none"/>
                      <w:lang w:val="en-US" w:eastAsia="zh-CN" w:bidi="ar"/>
                    </w:rPr>
                  </w:pPr>
                  <w:r>
                    <w:rPr>
                      <w:rFonts w:hint="eastAsia"/>
                      <w:highlight w:val="none"/>
                    </w:rPr>
                    <w:t>环境噪声</w:t>
                  </w:r>
                </w:p>
              </w:tc>
              <w:tc>
                <w:tcPr>
                  <w:tcW w:w="3408"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eastAsia"/>
                      <w:highlight w:val="none"/>
                    </w:rPr>
                  </w:pPr>
                  <w:r>
                    <w:rPr>
                      <w:rFonts w:hint="eastAsia"/>
                      <w:highlight w:val="none"/>
                    </w:rPr>
                    <w:t>《声环境质量标准》</w:t>
                  </w:r>
                </w:p>
                <w:p>
                  <w:pPr>
                    <w:widowControl/>
                    <w:ind w:right="-134" w:rightChars="0"/>
                    <w:jc w:val="center"/>
                    <w:textAlignment w:val="center"/>
                    <w:rPr>
                      <w:rFonts w:hint="eastAsia" w:cs="Times New Roman"/>
                      <w:b w:val="0"/>
                      <w:bCs/>
                      <w:color w:val="auto"/>
                      <w:sz w:val="24"/>
                      <w:szCs w:val="24"/>
                      <w:highlight w:val="none"/>
                      <w:lang w:eastAsia="zh-CN"/>
                    </w:rPr>
                  </w:pPr>
                  <w:r>
                    <w:rPr>
                      <w:rFonts w:hint="eastAsia"/>
                      <w:highlight w:val="none"/>
                    </w:rPr>
                    <w:t>GB 3096-2008</w:t>
                  </w:r>
                  <w:r>
                    <w:rPr>
                      <w:rFonts w:hint="eastAsia"/>
                      <w:highlight w:val="none"/>
                    </w:rPr>
                    <w:tab/>
                  </w:r>
                </w:p>
              </w:tc>
              <w:tc>
                <w:tcPr>
                  <w:tcW w:w="295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eastAsia" w:cs="Times New Roman"/>
                      <w:b w:val="0"/>
                      <w:bCs/>
                      <w:color w:val="auto"/>
                      <w:sz w:val="24"/>
                      <w:szCs w:val="24"/>
                      <w:highlight w:val="none"/>
                      <w:lang w:eastAsia="zh-CN"/>
                    </w:rPr>
                  </w:pPr>
                  <w:r>
                    <w:rPr>
                      <w:rFonts w:hint="default"/>
                      <w:highlight w:val="none"/>
                      <w:lang w:val="en-US" w:eastAsia="zh-CN"/>
                    </w:rPr>
                    <w:t>声级校准仪AWA5688型（TYJC-YQ-024-F）</w:t>
                  </w:r>
                </w:p>
              </w:tc>
            </w:tr>
            <w:tr>
              <w:tblPrEx>
                <w:tblLayout w:type="fixed"/>
                <w:tblCellMar>
                  <w:top w:w="0" w:type="dxa"/>
                  <w:left w:w="0" w:type="dxa"/>
                  <w:bottom w:w="0" w:type="dxa"/>
                  <w:right w:w="0" w:type="dxa"/>
                </w:tblCellMar>
              </w:tblPrEx>
              <w:trPr>
                <w:trHeight w:val="340" w:hRule="atLeast"/>
              </w:trPr>
              <w:tc>
                <w:tcPr>
                  <w:tcW w:w="24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eastAsia" w:ascii="Times New Roman" w:hAnsi="Times New Roman" w:cs="Times New Roman"/>
                      <w:highlight w:val="none"/>
                    </w:rPr>
                  </w:pPr>
                  <w:r>
                    <w:rPr>
                      <w:rFonts w:hint="default" w:ascii="Times New Roman" w:hAnsi="Times New Roman" w:cs="Times New Roman"/>
                      <w:highlight w:val="none"/>
                      <w:lang w:val="en-US" w:eastAsia="zh-CN"/>
                    </w:rPr>
                    <w:t>厂界噪声</w:t>
                  </w:r>
                </w:p>
              </w:tc>
              <w:tc>
                <w:tcPr>
                  <w:tcW w:w="3408"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《工业企业厂界环境噪声排放标准》</w:t>
                  </w:r>
                </w:p>
                <w:p>
                  <w:pPr>
                    <w:widowControl/>
                    <w:ind w:right="-134" w:rightChars="0"/>
                    <w:jc w:val="center"/>
                    <w:textAlignment w:val="center"/>
                    <w:rPr>
                      <w:rFonts w:hint="eastAsia" w:ascii="Times New Roman" w:hAnsi="Times New Roman" w:cs="Times New Roman"/>
                      <w:highlight w:val="none"/>
                    </w:rPr>
                  </w:pPr>
                  <w:r>
                    <w:rPr>
                      <w:rFonts w:hint="default" w:ascii="Times New Roman" w:hAnsi="Times New Roman" w:cs="Times New Roman"/>
                      <w:highlight w:val="none"/>
                      <w:lang w:val="en-US" w:eastAsia="zh-CN"/>
                    </w:rPr>
                    <w:t>GB 12348-2008</w:t>
                  </w:r>
                </w:p>
              </w:tc>
              <w:tc>
                <w:tcPr>
                  <w:tcW w:w="295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声级校准仪AWA5688型（TYJC-YQ-024-F）</w:t>
                  </w:r>
                </w:p>
              </w:tc>
            </w:tr>
            <w:tr>
              <w:tblPrEx>
                <w:tblLayout w:type="fixed"/>
                <w:tblCellMar>
                  <w:top w:w="0" w:type="dxa"/>
                  <w:left w:w="0" w:type="dxa"/>
                  <w:bottom w:w="0" w:type="dxa"/>
                  <w:right w:w="0" w:type="dxa"/>
                </w:tblCellMar>
              </w:tblPrEx>
              <w:trPr>
                <w:trHeight w:val="340" w:hRule="atLeast"/>
              </w:trPr>
              <w:tc>
                <w:tcPr>
                  <w:tcW w:w="24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eastAsia" w:ascii="Times New Roman" w:hAnsi="Times New Roman" w:cs="Times New Roman"/>
                      <w:highlight w:val="none"/>
                      <w:lang w:val="en-US" w:eastAsia="zh-CN"/>
                    </w:rPr>
                  </w:pPr>
                  <w:r>
                    <w:rPr>
                      <w:rFonts w:hint="default" w:ascii="Times New Roman" w:hAnsi="Times New Roman" w:cs="Times New Roman"/>
                      <w:highlight w:val="none"/>
                      <w:lang w:val="en-US" w:eastAsia="zh-CN"/>
                    </w:rPr>
                    <w:t>校准仪器</w:t>
                  </w:r>
                  <w:r>
                    <w:rPr>
                      <w:rFonts w:hint="eastAsia" w:ascii="Times New Roman" w:hAnsi="Times New Roman" w:cs="Times New Roman"/>
                      <w:highlight w:val="none"/>
                      <w:lang w:val="en-US" w:eastAsia="zh-CN"/>
                    </w:rPr>
                    <w:t>型号、名称、</w:t>
                  </w:r>
                </w:p>
                <w:p>
                  <w:pPr>
                    <w:widowControl/>
                    <w:ind w:right="-134" w:rightChars="0"/>
                    <w:jc w:val="center"/>
                    <w:textAlignment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编号及有效期</w:t>
                  </w:r>
                </w:p>
              </w:tc>
              <w:tc>
                <w:tcPr>
                  <w:tcW w:w="635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eastAsia" w:ascii="Times New Roman" w:hAnsi="Times New Roman" w:cs="Times New Roman"/>
                      <w:highlight w:val="none"/>
                      <w:lang w:eastAsia="zh-CN"/>
                    </w:rPr>
                  </w:pPr>
                  <w:r>
                    <w:rPr>
                      <w:rFonts w:hint="default" w:ascii="Times New Roman" w:hAnsi="Times New Roman" w:cs="Times New Roman"/>
                      <w:highlight w:val="none"/>
                    </w:rPr>
                    <w:t>AWA6221B声校准器</w:t>
                  </w:r>
                  <w:r>
                    <w:rPr>
                      <w:rFonts w:hint="eastAsia" w:ascii="Times New Roman" w:hAnsi="Times New Roman" w:cs="Times New Roman"/>
                      <w:highlight w:val="none"/>
                      <w:lang w:eastAsia="zh-CN"/>
                    </w:rPr>
                    <w:t>（</w:t>
                  </w:r>
                  <w:r>
                    <w:rPr>
                      <w:rFonts w:hint="default" w:ascii="Times New Roman" w:hAnsi="Times New Roman" w:cs="Times New Roman"/>
                      <w:highlight w:val="none"/>
                    </w:rPr>
                    <w:t>TYJC-YQ-037</w:t>
                  </w:r>
                  <w:r>
                    <w:rPr>
                      <w:rFonts w:hint="eastAsia" w:ascii="Times New Roman" w:hAnsi="Times New Roman" w:cs="Times New Roman"/>
                      <w:highlight w:val="none"/>
                      <w:lang w:val="en-US" w:eastAsia="zh-CN"/>
                    </w:rPr>
                    <w:t>-C</w:t>
                  </w:r>
                  <w:r>
                    <w:rPr>
                      <w:rFonts w:hint="eastAsia" w:ascii="Times New Roman" w:hAnsi="Times New Roman" w:cs="Times New Roman"/>
                      <w:highlight w:val="none"/>
                      <w:lang w:eastAsia="zh-CN"/>
                    </w:rPr>
                    <w:t>）</w:t>
                  </w:r>
                </w:p>
                <w:p>
                  <w:pPr>
                    <w:widowControl/>
                    <w:ind w:right="-134" w:rightChars="0"/>
                    <w:jc w:val="center"/>
                    <w:textAlignment w:val="center"/>
                    <w:rPr>
                      <w:rFonts w:hint="default" w:ascii="Times New Roman" w:hAnsi="Times New Roman" w:cs="Times New Roman"/>
                      <w:highlight w:val="none"/>
                    </w:rPr>
                  </w:pPr>
                  <w:r>
                    <w:rPr>
                      <w:rFonts w:hint="eastAsia" w:ascii="Times New Roman" w:hAnsi="Times New Roman" w:cs="Times New Roman"/>
                      <w:highlight w:val="none"/>
                      <w:lang w:eastAsia="zh-CN"/>
                    </w:rPr>
                    <w:t>有效期：</w:t>
                  </w:r>
                  <w:r>
                    <w:rPr>
                      <w:rFonts w:hint="default" w:ascii="Times New Roman" w:hAnsi="Times New Roman" w:cs="Times New Roman"/>
                      <w:highlight w:val="none"/>
                    </w:rPr>
                    <w:t>2020.07.11</w:t>
                  </w:r>
                </w:p>
              </w:tc>
            </w:tr>
            <w:tr>
              <w:tblPrEx>
                <w:tblLayout w:type="fixed"/>
                <w:tblCellMar>
                  <w:top w:w="0" w:type="dxa"/>
                  <w:left w:w="0" w:type="dxa"/>
                  <w:bottom w:w="0" w:type="dxa"/>
                  <w:right w:w="0" w:type="dxa"/>
                </w:tblCellMar>
              </w:tblPrEx>
              <w:trPr>
                <w:trHeight w:val="340" w:hRule="atLeast"/>
              </w:trPr>
              <w:tc>
                <w:tcPr>
                  <w:tcW w:w="24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被校准仪器名称、型号、</w:t>
                  </w:r>
                </w:p>
                <w:p>
                  <w:pPr>
                    <w:widowControl/>
                    <w:ind w:right="-134" w:rightChars="0"/>
                    <w:jc w:val="center"/>
                    <w:textAlignment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名称及有效期</w:t>
                  </w:r>
                </w:p>
              </w:tc>
              <w:tc>
                <w:tcPr>
                  <w:tcW w:w="635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eastAsia" w:ascii="Times New Roman" w:hAnsi="Times New Roman" w:cs="Times New Roman"/>
                      <w:highlight w:val="none"/>
                      <w:lang w:eastAsia="zh-CN"/>
                    </w:rPr>
                  </w:pPr>
                  <w:r>
                    <w:rPr>
                      <w:rFonts w:hint="default" w:ascii="Times New Roman" w:hAnsi="Times New Roman" w:cs="Times New Roman"/>
                      <w:highlight w:val="none"/>
                    </w:rPr>
                    <w:t>AWA5688型多功能声级计</w:t>
                  </w:r>
                  <w:r>
                    <w:rPr>
                      <w:rFonts w:hint="eastAsia" w:ascii="Times New Roman" w:hAnsi="Times New Roman" w:cs="Times New Roman"/>
                      <w:highlight w:val="none"/>
                      <w:lang w:eastAsia="zh-CN"/>
                    </w:rPr>
                    <w:t>（TYJC-YQ-024-</w:t>
                  </w:r>
                  <w:r>
                    <w:rPr>
                      <w:rFonts w:hint="eastAsia" w:ascii="Times New Roman" w:hAnsi="Times New Roman" w:cs="Times New Roman"/>
                      <w:highlight w:val="none"/>
                      <w:lang w:val="en-US" w:eastAsia="zh-CN"/>
                    </w:rPr>
                    <w:t>F</w:t>
                  </w:r>
                  <w:r>
                    <w:rPr>
                      <w:rFonts w:hint="eastAsia" w:ascii="Times New Roman" w:hAnsi="Times New Roman" w:cs="Times New Roman"/>
                      <w:highlight w:val="none"/>
                      <w:lang w:eastAsia="zh-CN"/>
                    </w:rPr>
                    <w:t>）</w:t>
                  </w:r>
                </w:p>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eastAsia="zh-CN"/>
                    </w:rPr>
                    <w:t>有效期：</w:t>
                  </w:r>
                  <w:r>
                    <w:rPr>
                      <w:rFonts w:hint="eastAsia" w:ascii="Times New Roman" w:hAnsi="Times New Roman" w:cs="Times New Roman"/>
                      <w:highlight w:val="none"/>
                      <w:lang w:val="en-US" w:eastAsia="zh-CN"/>
                    </w:rPr>
                    <w:t>2020.08.31</w:t>
                  </w:r>
                </w:p>
              </w:tc>
            </w:tr>
            <w:tr>
              <w:tblPrEx>
                <w:tblLayout w:type="fixed"/>
                <w:tblCellMar>
                  <w:top w:w="0" w:type="dxa"/>
                  <w:left w:w="0" w:type="dxa"/>
                  <w:bottom w:w="0" w:type="dxa"/>
                  <w:right w:w="0" w:type="dxa"/>
                </w:tblCellMar>
              </w:tblPrEx>
              <w:trPr>
                <w:trHeight w:val="340" w:hRule="atLeast"/>
              </w:trPr>
              <w:tc>
                <w:tcPr>
                  <w:tcW w:w="2492"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rPr>
                  </w:pPr>
                  <w:r>
                    <w:rPr>
                      <w:rFonts w:hint="default" w:ascii="Times New Roman" w:hAnsi="Times New Roman" w:cs="Times New Roman"/>
                      <w:highlight w:val="none"/>
                      <w:lang w:val="en-US" w:eastAsia="zh-CN"/>
                    </w:rPr>
                    <w:t>校准日期</w:t>
                  </w:r>
                </w:p>
              </w:tc>
              <w:tc>
                <w:tcPr>
                  <w:tcW w:w="317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2019.11.11</w:t>
                  </w:r>
                </w:p>
              </w:tc>
              <w:tc>
                <w:tcPr>
                  <w:tcW w:w="318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2019.11.12</w:t>
                  </w:r>
                </w:p>
              </w:tc>
            </w:tr>
            <w:tr>
              <w:tblPrEx>
                <w:tblLayout w:type="fixed"/>
                <w:tblCellMar>
                  <w:top w:w="0" w:type="dxa"/>
                  <w:left w:w="0" w:type="dxa"/>
                  <w:bottom w:w="0" w:type="dxa"/>
                  <w:right w:w="0" w:type="dxa"/>
                </w:tblCellMar>
              </w:tblPrEx>
              <w:trPr>
                <w:trHeight w:val="340" w:hRule="atLeast"/>
              </w:trPr>
              <w:tc>
                <w:tcPr>
                  <w:tcW w:w="249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rPr>
                  </w:pPr>
                  <w:r>
                    <w:rPr>
                      <w:rFonts w:hint="default" w:ascii="Times New Roman" w:hAnsi="Times New Roman" w:cs="Times New Roman"/>
                      <w:highlight w:val="none"/>
                      <w:lang w:val="en-US" w:eastAsia="zh-CN"/>
                    </w:rPr>
                    <w:t>标准示值（</w:t>
                  </w:r>
                  <w:r>
                    <w:rPr>
                      <w:rFonts w:hint="default" w:ascii="Times New Roman" w:hAnsi="Times New Roman" w:cs="Times New Roman"/>
                      <w:highlight w:val="none"/>
                    </w:rPr>
                    <w:t>dB</w:t>
                  </w:r>
                  <w:r>
                    <w:rPr>
                      <w:rFonts w:hint="default" w:ascii="Times New Roman" w:hAnsi="Times New Roman" w:cs="Times New Roman"/>
                      <w:highlight w:val="none"/>
                      <w:lang w:val="en-US" w:eastAsia="zh-CN"/>
                    </w:rPr>
                    <w:t>）</w:t>
                  </w:r>
                </w:p>
              </w:tc>
              <w:tc>
                <w:tcPr>
                  <w:tcW w:w="1589"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94.0</w:t>
                  </w:r>
                </w:p>
              </w:tc>
              <w:tc>
                <w:tcPr>
                  <w:tcW w:w="15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94.0</w:t>
                  </w:r>
                </w:p>
              </w:tc>
              <w:tc>
                <w:tcPr>
                  <w:tcW w:w="158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94.0</w:t>
                  </w:r>
                </w:p>
              </w:tc>
              <w:tc>
                <w:tcPr>
                  <w:tcW w:w="15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94.0</w:t>
                  </w:r>
                </w:p>
              </w:tc>
            </w:tr>
            <w:tr>
              <w:tblPrEx>
                <w:tblLayout w:type="fixed"/>
                <w:tblCellMar>
                  <w:top w:w="0" w:type="dxa"/>
                  <w:left w:w="0" w:type="dxa"/>
                  <w:bottom w:w="0" w:type="dxa"/>
                  <w:right w:w="0" w:type="dxa"/>
                </w:tblCellMar>
              </w:tblPrEx>
              <w:trPr>
                <w:trHeight w:val="340" w:hRule="atLeast"/>
              </w:trPr>
              <w:tc>
                <w:tcPr>
                  <w:tcW w:w="2492"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rPr>
                  </w:pPr>
                  <w:r>
                    <w:rPr>
                      <w:rFonts w:hint="eastAsia" w:ascii="Times New Roman" w:hAnsi="Times New Roman" w:cs="Times New Roman"/>
                      <w:highlight w:val="none"/>
                      <w:lang w:val="en-US" w:eastAsia="zh-CN"/>
                    </w:rPr>
                    <w:t>测量前</w:t>
                  </w:r>
                  <w:r>
                    <w:rPr>
                      <w:rFonts w:hint="default" w:ascii="Times New Roman" w:hAnsi="Times New Roman" w:cs="Times New Roman"/>
                      <w:highlight w:val="none"/>
                      <w:lang w:val="en-US" w:eastAsia="zh-CN"/>
                    </w:rPr>
                    <w:t>仪器示值（</w:t>
                  </w:r>
                  <w:r>
                    <w:rPr>
                      <w:rFonts w:hint="default" w:ascii="Times New Roman" w:hAnsi="Times New Roman" w:cs="Times New Roman"/>
                      <w:highlight w:val="none"/>
                    </w:rPr>
                    <w:t>dB</w:t>
                  </w:r>
                  <w:r>
                    <w:rPr>
                      <w:rFonts w:hint="default" w:ascii="Times New Roman" w:hAnsi="Times New Roman" w:cs="Times New Roman"/>
                      <w:highlight w:val="none"/>
                      <w:lang w:val="en-US" w:eastAsia="zh-CN"/>
                    </w:rPr>
                    <w:t>）</w:t>
                  </w:r>
                </w:p>
              </w:tc>
              <w:tc>
                <w:tcPr>
                  <w:tcW w:w="15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93.8</w:t>
                  </w:r>
                </w:p>
              </w:tc>
              <w:tc>
                <w:tcPr>
                  <w:tcW w:w="15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93.7</w:t>
                  </w:r>
                </w:p>
              </w:tc>
              <w:tc>
                <w:tcPr>
                  <w:tcW w:w="158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93.7</w:t>
                  </w:r>
                </w:p>
              </w:tc>
              <w:tc>
                <w:tcPr>
                  <w:tcW w:w="15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93.8</w:t>
                  </w:r>
                </w:p>
              </w:tc>
            </w:tr>
            <w:tr>
              <w:tblPrEx>
                <w:tblLayout w:type="fixed"/>
                <w:tblCellMar>
                  <w:top w:w="0" w:type="dxa"/>
                  <w:left w:w="0" w:type="dxa"/>
                  <w:bottom w:w="0" w:type="dxa"/>
                  <w:right w:w="0" w:type="dxa"/>
                </w:tblCellMar>
              </w:tblPrEx>
              <w:trPr>
                <w:trHeight w:val="340" w:hRule="atLeast"/>
              </w:trPr>
              <w:tc>
                <w:tcPr>
                  <w:tcW w:w="24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测量后</w:t>
                  </w:r>
                  <w:r>
                    <w:rPr>
                      <w:rFonts w:hint="default" w:ascii="Times New Roman" w:hAnsi="Times New Roman" w:cs="Times New Roman"/>
                      <w:highlight w:val="none"/>
                      <w:lang w:val="en-US" w:eastAsia="zh-CN"/>
                    </w:rPr>
                    <w:t>仪器示值（</w:t>
                  </w:r>
                  <w:r>
                    <w:rPr>
                      <w:rFonts w:hint="default" w:ascii="Times New Roman" w:hAnsi="Times New Roman" w:cs="Times New Roman"/>
                      <w:highlight w:val="none"/>
                    </w:rPr>
                    <w:t>dB</w:t>
                  </w:r>
                  <w:r>
                    <w:rPr>
                      <w:rFonts w:hint="default" w:ascii="Times New Roman" w:hAnsi="Times New Roman" w:cs="Times New Roman"/>
                      <w:highlight w:val="none"/>
                      <w:lang w:val="en-US" w:eastAsia="zh-CN"/>
                    </w:rPr>
                    <w:t>）</w:t>
                  </w:r>
                </w:p>
              </w:tc>
              <w:tc>
                <w:tcPr>
                  <w:tcW w:w="15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93.9</w:t>
                  </w:r>
                </w:p>
              </w:tc>
              <w:tc>
                <w:tcPr>
                  <w:tcW w:w="15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93.8</w:t>
                  </w:r>
                </w:p>
              </w:tc>
              <w:tc>
                <w:tcPr>
                  <w:tcW w:w="158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93.8</w:t>
                  </w:r>
                </w:p>
              </w:tc>
              <w:tc>
                <w:tcPr>
                  <w:tcW w:w="15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93.9</w:t>
                  </w:r>
                </w:p>
              </w:tc>
            </w:tr>
            <w:tr>
              <w:tblPrEx>
                <w:tblLayout w:type="fixed"/>
                <w:tblCellMar>
                  <w:top w:w="0" w:type="dxa"/>
                  <w:left w:w="0" w:type="dxa"/>
                  <w:bottom w:w="0" w:type="dxa"/>
                  <w:right w:w="0" w:type="dxa"/>
                </w:tblCellMar>
              </w:tblPrEx>
              <w:trPr>
                <w:trHeight w:val="340" w:hRule="atLeast"/>
              </w:trPr>
              <w:tc>
                <w:tcPr>
                  <w:tcW w:w="24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rPr>
                  </w:pPr>
                  <w:r>
                    <w:rPr>
                      <w:rFonts w:hint="default" w:ascii="Times New Roman" w:hAnsi="Times New Roman" w:cs="Times New Roman"/>
                      <w:highlight w:val="none"/>
                      <w:lang w:val="en-US" w:eastAsia="zh-CN"/>
                    </w:rPr>
                    <w:t>误差范围（</w:t>
                  </w:r>
                  <w:r>
                    <w:rPr>
                      <w:rFonts w:hint="default" w:ascii="Times New Roman" w:hAnsi="Times New Roman" w:cs="Times New Roman"/>
                      <w:highlight w:val="none"/>
                    </w:rPr>
                    <w:t>dB</w:t>
                  </w:r>
                  <w:r>
                    <w:rPr>
                      <w:rFonts w:hint="default" w:ascii="Times New Roman" w:hAnsi="Times New Roman" w:cs="Times New Roman"/>
                      <w:highlight w:val="none"/>
                      <w:lang w:val="en-US" w:eastAsia="zh-CN"/>
                    </w:rPr>
                    <w:t>）</w:t>
                  </w:r>
                </w:p>
              </w:tc>
              <w:tc>
                <w:tcPr>
                  <w:tcW w:w="15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0.1</w:t>
                  </w:r>
                </w:p>
              </w:tc>
              <w:tc>
                <w:tcPr>
                  <w:tcW w:w="15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0.2</w:t>
                  </w:r>
                </w:p>
              </w:tc>
              <w:tc>
                <w:tcPr>
                  <w:tcW w:w="158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0.2</w:t>
                  </w:r>
                </w:p>
              </w:tc>
              <w:tc>
                <w:tcPr>
                  <w:tcW w:w="15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0.1</w:t>
                  </w:r>
                </w:p>
              </w:tc>
            </w:tr>
            <w:tr>
              <w:tblPrEx>
                <w:tblLayout w:type="fixed"/>
                <w:tblCellMar>
                  <w:top w:w="0" w:type="dxa"/>
                  <w:left w:w="0" w:type="dxa"/>
                  <w:bottom w:w="0" w:type="dxa"/>
                  <w:right w:w="0" w:type="dxa"/>
                </w:tblCellMar>
              </w:tblPrEx>
              <w:trPr>
                <w:trHeight w:val="340" w:hRule="atLeast"/>
              </w:trPr>
              <w:tc>
                <w:tcPr>
                  <w:tcW w:w="24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rPr>
                  </w:pPr>
                  <w:r>
                    <w:rPr>
                      <w:rFonts w:hint="default" w:ascii="Times New Roman" w:hAnsi="Times New Roman" w:cs="Times New Roman"/>
                      <w:highlight w:val="none"/>
                      <w:lang w:val="en-US" w:eastAsia="zh-CN"/>
                    </w:rPr>
                    <w:t>允许误差范围（</w:t>
                  </w:r>
                  <w:r>
                    <w:rPr>
                      <w:rFonts w:hint="default" w:ascii="Times New Roman" w:hAnsi="Times New Roman" w:cs="Times New Roman"/>
                      <w:highlight w:val="none"/>
                    </w:rPr>
                    <w:t>dB</w:t>
                  </w:r>
                  <w:r>
                    <w:rPr>
                      <w:rFonts w:hint="default" w:ascii="Times New Roman" w:hAnsi="Times New Roman" w:cs="Times New Roman"/>
                      <w:highlight w:val="none"/>
                      <w:lang w:val="en-US" w:eastAsia="zh-CN"/>
                    </w:rPr>
                    <w:t>）</w:t>
                  </w:r>
                </w:p>
              </w:tc>
              <w:tc>
                <w:tcPr>
                  <w:tcW w:w="15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r>
                    <w:rPr>
                      <w:rFonts w:hint="eastAsia" w:cs="Times New Roman"/>
                      <w:highlight w:val="none"/>
                      <w:lang w:val="en-US" w:eastAsia="zh-CN"/>
                    </w:rPr>
                    <w:t>0.5</w:t>
                  </w:r>
                </w:p>
              </w:tc>
              <w:tc>
                <w:tcPr>
                  <w:tcW w:w="15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r>
                    <w:rPr>
                      <w:rFonts w:hint="eastAsia" w:cs="Times New Roman"/>
                      <w:highlight w:val="none"/>
                      <w:lang w:val="en-US" w:eastAsia="zh-CN"/>
                    </w:rPr>
                    <w:t>0.5</w:t>
                  </w:r>
                </w:p>
              </w:tc>
              <w:tc>
                <w:tcPr>
                  <w:tcW w:w="158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r>
                    <w:rPr>
                      <w:rFonts w:hint="eastAsia" w:cs="Times New Roman"/>
                      <w:highlight w:val="none"/>
                      <w:lang w:val="en-US" w:eastAsia="zh-CN"/>
                    </w:rPr>
                    <w:t>0.5</w:t>
                  </w:r>
                </w:p>
              </w:tc>
              <w:tc>
                <w:tcPr>
                  <w:tcW w:w="15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r>
                    <w:rPr>
                      <w:rFonts w:hint="eastAsia" w:cs="Times New Roman"/>
                      <w:highlight w:val="none"/>
                      <w:lang w:val="en-US" w:eastAsia="zh-CN"/>
                    </w:rPr>
                    <w:t>0.5</w:t>
                  </w:r>
                </w:p>
              </w:tc>
            </w:tr>
            <w:tr>
              <w:tblPrEx>
                <w:tblLayout w:type="fixed"/>
                <w:tblCellMar>
                  <w:top w:w="0" w:type="dxa"/>
                  <w:left w:w="0" w:type="dxa"/>
                  <w:bottom w:w="0" w:type="dxa"/>
                  <w:right w:w="0" w:type="dxa"/>
                </w:tblCellMar>
              </w:tblPrEx>
              <w:trPr>
                <w:trHeight w:val="340" w:hRule="atLeast"/>
              </w:trPr>
              <w:tc>
                <w:tcPr>
                  <w:tcW w:w="24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rPr>
                  </w:pPr>
                  <w:r>
                    <w:rPr>
                      <w:rFonts w:hint="default" w:ascii="Times New Roman" w:hAnsi="Times New Roman" w:cs="Times New Roman"/>
                      <w:highlight w:val="none"/>
                      <w:lang w:val="en-US" w:eastAsia="zh-CN"/>
                    </w:rPr>
                    <w:t>结论</w:t>
                  </w:r>
                </w:p>
              </w:tc>
              <w:tc>
                <w:tcPr>
                  <w:tcW w:w="15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rPr>
                  </w:pPr>
                  <w:r>
                    <w:rPr>
                      <w:rFonts w:hint="default" w:ascii="Times New Roman" w:hAnsi="Times New Roman" w:cs="Times New Roman"/>
                      <w:highlight w:val="none"/>
                      <w:lang w:val="en-US" w:eastAsia="zh-CN"/>
                    </w:rPr>
                    <w:t>合格</w:t>
                  </w:r>
                </w:p>
              </w:tc>
              <w:tc>
                <w:tcPr>
                  <w:tcW w:w="15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合格</w:t>
                  </w:r>
                </w:p>
              </w:tc>
              <w:tc>
                <w:tcPr>
                  <w:tcW w:w="158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合格</w:t>
                  </w:r>
                </w:p>
              </w:tc>
              <w:tc>
                <w:tcPr>
                  <w:tcW w:w="15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right="-134" w:rightChars="0"/>
                    <w:jc w:val="center"/>
                    <w:textAlignment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合格</w:t>
                  </w:r>
                </w:p>
              </w:tc>
            </w:tr>
          </w:tbl>
          <w:p>
            <w:pPr>
              <w:pStyle w:val="4"/>
              <w:keepNext w:val="0"/>
              <w:keepLines w:val="0"/>
              <w:pageBreakBefore w:val="0"/>
              <w:widowControl w:val="0"/>
              <w:kinsoku/>
              <w:wordWrap/>
              <w:overflowPunct/>
              <w:topLinePunct w:val="0"/>
              <w:autoSpaceDE/>
              <w:autoSpaceDN/>
              <w:bidi w:val="0"/>
              <w:adjustRightInd/>
              <w:snapToGrid/>
              <w:spacing w:before="469" w:beforeLines="100" w:after="0" w:line="360" w:lineRule="auto"/>
              <w:ind w:right="0" w:firstLine="480" w:firstLineChars="200"/>
              <w:jc w:val="both"/>
              <w:textAlignment w:val="auto"/>
              <w:outlineLvl w:val="9"/>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环境噪声测量按照《声环境质量标准》（GB 3096-2008）的规定进行。噪声测量仪器符合国家相应的标准及技术要求，并在检定有效期内，监测前后均对使用仪器进行标准校准，校准示值偏差不大于0.5dB</w:t>
            </w:r>
            <w:r>
              <w:rPr>
                <w:rFonts w:hint="eastAsia" w:ascii="Times New Roman" w:hAnsi="Times New Roman" w:cs="Times New Roman" w:eastAsiaTheme="minorEastAsia"/>
                <w:sz w:val="24"/>
                <w:szCs w:val="24"/>
                <w:highlight w:val="none"/>
                <w:lang w:eastAsia="zh-CN"/>
              </w:rPr>
              <w:t>，</w:t>
            </w:r>
            <w:r>
              <w:rPr>
                <w:rFonts w:hint="default" w:ascii="Times New Roman" w:hAnsi="Times New Roman" w:cs="Times New Roman" w:eastAsiaTheme="minorEastAsia"/>
                <w:sz w:val="24"/>
                <w:szCs w:val="24"/>
                <w:highlight w:val="none"/>
              </w:rPr>
              <w:t>若大于0.5dB测试数据无效。监测过程中噪声仪应加放风罩。在符合标准规定的气象条件下进行监测，选择在风速小于5m/s，无雨雪的天气中测量。</w:t>
            </w:r>
          </w:p>
          <w:p>
            <w:pPr>
              <w:spacing w:line="360" w:lineRule="auto"/>
              <w:ind w:firstLine="420" w:firstLineChars="200"/>
              <w:rPr>
                <w:rFonts w:hint="eastAsia"/>
                <w:highlight w:val="none"/>
                <w:lang w:val="zh-CN" w:eastAsia="zh-CN"/>
              </w:rPr>
            </w:pPr>
          </w:p>
          <w:p>
            <w:pPr>
              <w:pStyle w:val="2"/>
              <w:rPr>
                <w:rFonts w:hint="eastAsia"/>
                <w:highlight w:val="none"/>
                <w:lang w:val="zh-CN" w:eastAsia="zh-CN"/>
              </w:rPr>
            </w:pPr>
          </w:p>
          <w:p>
            <w:pPr>
              <w:pStyle w:val="2"/>
              <w:rPr>
                <w:rFonts w:hint="eastAsia"/>
                <w:highlight w:val="none"/>
                <w:lang w:val="zh-CN" w:eastAsia="zh-CN"/>
              </w:rPr>
            </w:pPr>
          </w:p>
        </w:tc>
      </w:tr>
    </w:tbl>
    <w:p>
      <w:pPr>
        <w:pStyle w:val="3"/>
        <w:rPr>
          <w:szCs w:val="21"/>
          <w:highlight w:val="none"/>
        </w:rPr>
        <w:sectPr>
          <w:pgSz w:w="11906" w:h="16838"/>
          <w:pgMar w:top="1417" w:right="1417" w:bottom="1417" w:left="1417" w:header="1361" w:footer="1134" w:gutter="0"/>
          <w:pgBorders>
            <w:top w:val="none" w:sz="0" w:space="0"/>
            <w:left w:val="none" w:sz="0" w:space="0"/>
            <w:bottom w:val="none" w:sz="0" w:space="0"/>
            <w:right w:val="none" w:sz="0" w:space="0"/>
          </w:pgBorders>
          <w:pgNumType w:fmt="decimal"/>
          <w:cols w:space="720" w:num="1"/>
          <w:docGrid w:linePitch="467" w:charSpace="4710"/>
        </w:sectPr>
      </w:pPr>
      <w:r>
        <w:rPr>
          <w:szCs w:val="21"/>
          <w:highlight w:val="none"/>
        </w:rPr>
        <w:br w:type="page"/>
      </w:r>
    </w:p>
    <w:p>
      <w:pPr>
        <w:pStyle w:val="3"/>
        <w:rPr>
          <w:rFonts w:hint="eastAsia" w:eastAsia="宋体"/>
          <w:highlight w:val="none"/>
          <w:lang w:val="en-US" w:eastAsia="zh-CN"/>
        </w:rPr>
      </w:pPr>
      <w:bookmarkStart w:id="107" w:name="_Toc1671_WPSOffice_Level1"/>
      <w:r>
        <w:rPr>
          <w:rFonts w:hint="eastAsia"/>
          <w:highlight w:val="none"/>
        </w:rPr>
        <w:t>表</w:t>
      </w:r>
      <w:r>
        <w:rPr>
          <w:rFonts w:hint="eastAsia"/>
          <w:highlight w:val="none"/>
          <w:lang w:eastAsia="zh-CN"/>
        </w:rPr>
        <w:t>六</w:t>
      </w:r>
      <w:r>
        <w:rPr>
          <w:rFonts w:hint="eastAsia" w:ascii="Times New Roman" w:hAnsi="Times New Roman" w:cs="Times New Roman"/>
          <w:highlight w:val="none"/>
          <w:lang w:val="en-US" w:eastAsia="zh-CN"/>
        </w:rPr>
        <w:t xml:space="preserve"> 验收监测内容</w:t>
      </w:r>
      <w:bookmarkEnd w:id="107"/>
    </w:p>
    <w:tbl>
      <w:tblPr>
        <w:tblStyle w:val="11"/>
        <w:tblW w:w="907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077" w:type="dxa"/>
            <w:tcBorders>
              <w:top w:val="single" w:color="auto" w:sz="4" w:space="0"/>
              <w:left w:val="single" w:color="auto" w:sz="4" w:space="0"/>
              <w:bottom w:val="single" w:color="auto" w:sz="4" w:space="0"/>
              <w:right w:val="single" w:color="auto" w:sz="4" w:space="0"/>
            </w:tcBorders>
            <w:noWrap w:val="0"/>
            <w:vAlign w:val="center"/>
          </w:tcPr>
          <w:p>
            <w:pPr>
              <w:pStyle w:val="4"/>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hAnsi="宋体"/>
                <w:b/>
                <w:sz w:val="24"/>
                <w:highlight w:val="none"/>
                <w:u w:val="none"/>
              </w:rPr>
            </w:pPr>
            <w:bookmarkStart w:id="108" w:name="_Toc18532"/>
            <w:r>
              <w:rPr>
                <w:rFonts w:hint="eastAsia" w:hAnsi="宋体"/>
                <w:b/>
                <w:sz w:val="24"/>
                <w:highlight w:val="none"/>
                <w:u w:val="none"/>
                <w:lang w:eastAsia="zh-CN"/>
              </w:rPr>
              <w:t>一、</w:t>
            </w:r>
            <w:r>
              <w:rPr>
                <w:rFonts w:hint="eastAsia" w:hAnsi="宋体"/>
                <w:b/>
                <w:sz w:val="24"/>
                <w:highlight w:val="none"/>
                <w:u w:val="none"/>
              </w:rPr>
              <w:t>环境保护设施调试运行效果</w:t>
            </w:r>
            <w:bookmarkEnd w:id="108"/>
          </w:p>
          <w:p>
            <w:pPr>
              <w:spacing w:line="360" w:lineRule="auto"/>
              <w:ind w:firstLine="480" w:firstLineChars="200"/>
              <w:rPr>
                <w:rFonts w:hint="eastAsia" w:ascii="Times New Roman" w:hAnsi="Times New Roman" w:eastAsia="宋体" w:cs="Times New Roman"/>
                <w:bCs/>
                <w:snapToGrid w:val="0"/>
                <w:kern w:val="0"/>
                <w:sz w:val="24"/>
                <w:szCs w:val="24"/>
                <w:highlight w:val="none"/>
                <w:lang w:val="en-US" w:eastAsia="zh-CN"/>
              </w:rPr>
            </w:pPr>
            <w:r>
              <w:rPr>
                <w:rFonts w:hint="eastAsia" w:ascii="Times New Roman" w:hAnsi="Times New Roman" w:eastAsia="宋体" w:cs="Times New Roman"/>
                <w:bCs/>
                <w:snapToGrid w:val="0"/>
                <w:kern w:val="0"/>
                <w:sz w:val="24"/>
                <w:szCs w:val="24"/>
                <w:highlight w:val="none"/>
                <w:lang w:val="en-US" w:eastAsia="zh-CN"/>
              </w:rPr>
              <w:t>该项目具体监测内容见表6-1。</w:t>
            </w:r>
          </w:p>
          <w:p>
            <w:pPr>
              <w:tabs>
                <w:tab w:val="left" w:pos="2130"/>
              </w:tabs>
              <w:snapToGrid w:val="0"/>
              <w:jc w:val="center"/>
              <w:rPr>
                <w:rFonts w:hint="eastAsia" w:ascii="Times New Roman" w:hAnsi="Times New Roman" w:cs="Times New Roman" w:eastAsiaTheme="minorEastAsia"/>
                <w:b/>
                <w:snapToGrid w:val="0"/>
                <w:kern w:val="0"/>
                <w:sz w:val="21"/>
                <w:szCs w:val="21"/>
                <w:highlight w:val="none"/>
                <w:lang w:val="en-US" w:eastAsia="zh-CN"/>
              </w:rPr>
            </w:pPr>
            <w:bookmarkStart w:id="109" w:name="_Toc19056"/>
            <w:bookmarkStart w:id="110" w:name="_Toc23150"/>
            <w:bookmarkStart w:id="111" w:name="_Toc24444"/>
            <w:r>
              <w:rPr>
                <w:rFonts w:hint="eastAsia" w:ascii="Times New Roman" w:hAnsi="Times New Roman" w:cs="Times New Roman" w:eastAsiaTheme="minorEastAsia"/>
                <w:b/>
                <w:snapToGrid w:val="0"/>
                <w:kern w:val="0"/>
                <w:sz w:val="21"/>
                <w:szCs w:val="21"/>
                <w:highlight w:val="none"/>
                <w:lang w:val="en-US" w:eastAsia="zh-CN"/>
              </w:rPr>
              <w:t>表6-1  项目竣工验收监测内容表</w:t>
            </w:r>
            <w:bookmarkEnd w:id="109"/>
            <w:bookmarkEnd w:id="110"/>
            <w:bookmarkEnd w:id="111"/>
          </w:p>
          <w:tbl>
            <w:tblPr>
              <w:tblStyle w:val="12"/>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3025"/>
              <w:gridCol w:w="2483"/>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91"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b/>
                      <w:bCs w:val="0"/>
                      <w:color w:val="000000"/>
                      <w:sz w:val="21"/>
                      <w:szCs w:val="21"/>
                      <w:highlight w:val="none"/>
                      <w:vertAlign w:val="baseline"/>
                      <w:lang w:val="en-US" w:eastAsia="zh-CN"/>
                    </w:rPr>
                  </w:pPr>
                  <w:r>
                    <w:rPr>
                      <w:rFonts w:hint="eastAsia"/>
                      <w:b/>
                      <w:bCs w:val="0"/>
                      <w:color w:val="000000"/>
                      <w:sz w:val="21"/>
                      <w:szCs w:val="21"/>
                      <w:highlight w:val="none"/>
                      <w:lang w:val="en-US" w:eastAsia="zh-CN"/>
                    </w:rPr>
                    <w:t>监测内容</w:t>
                  </w:r>
                </w:p>
              </w:tc>
              <w:tc>
                <w:tcPr>
                  <w:tcW w:w="3025"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b/>
                      <w:bCs w:val="0"/>
                      <w:color w:val="000000"/>
                      <w:sz w:val="21"/>
                      <w:szCs w:val="21"/>
                      <w:highlight w:val="none"/>
                      <w:vertAlign w:val="baseline"/>
                      <w:lang w:val="en-US" w:eastAsia="zh-CN"/>
                    </w:rPr>
                  </w:pPr>
                  <w:r>
                    <w:rPr>
                      <w:rFonts w:hint="eastAsia"/>
                      <w:b/>
                      <w:bCs w:val="0"/>
                      <w:color w:val="000000"/>
                      <w:sz w:val="21"/>
                      <w:szCs w:val="21"/>
                      <w:highlight w:val="none"/>
                      <w:vertAlign w:val="baseline"/>
                      <w:lang w:val="en-US" w:eastAsia="zh-CN"/>
                    </w:rPr>
                    <w:t>监测点位</w:t>
                  </w:r>
                </w:p>
              </w:tc>
              <w:tc>
                <w:tcPr>
                  <w:tcW w:w="2483"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b/>
                      <w:bCs w:val="0"/>
                      <w:color w:val="000000"/>
                      <w:sz w:val="21"/>
                      <w:szCs w:val="21"/>
                      <w:highlight w:val="none"/>
                      <w:vertAlign w:val="baseline"/>
                      <w:lang w:val="en-US" w:eastAsia="zh-CN"/>
                    </w:rPr>
                  </w:pPr>
                  <w:r>
                    <w:rPr>
                      <w:rFonts w:hint="eastAsia"/>
                      <w:b/>
                      <w:bCs w:val="0"/>
                      <w:color w:val="000000"/>
                      <w:sz w:val="21"/>
                      <w:szCs w:val="21"/>
                      <w:highlight w:val="none"/>
                      <w:vertAlign w:val="baseline"/>
                      <w:lang w:val="en-US" w:eastAsia="zh-CN"/>
                    </w:rPr>
                    <w:t>监测项目</w:t>
                  </w:r>
                </w:p>
              </w:tc>
              <w:tc>
                <w:tcPr>
                  <w:tcW w:w="2052"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b/>
                      <w:bCs w:val="0"/>
                      <w:color w:val="000000"/>
                      <w:sz w:val="21"/>
                      <w:szCs w:val="21"/>
                      <w:highlight w:val="none"/>
                      <w:vertAlign w:val="baseline"/>
                      <w:lang w:val="en-US" w:eastAsia="zh-CN"/>
                    </w:rPr>
                  </w:pPr>
                  <w:r>
                    <w:rPr>
                      <w:rFonts w:hint="eastAsia"/>
                      <w:b/>
                      <w:bCs w:val="0"/>
                      <w:color w:val="000000"/>
                      <w:sz w:val="21"/>
                      <w:szCs w:val="21"/>
                      <w:highlight w:val="none"/>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91"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b w:val="0"/>
                      <w:bCs/>
                      <w:color w:val="000000"/>
                      <w:sz w:val="21"/>
                      <w:szCs w:val="21"/>
                      <w:highlight w:val="none"/>
                      <w:vertAlign w:val="baseline"/>
                      <w:lang w:val="en-US" w:eastAsia="zh-CN"/>
                    </w:rPr>
                  </w:pPr>
                  <w:r>
                    <w:rPr>
                      <w:rFonts w:hint="eastAsia"/>
                      <w:b w:val="0"/>
                      <w:bCs/>
                      <w:color w:val="000000"/>
                      <w:sz w:val="21"/>
                      <w:szCs w:val="21"/>
                      <w:highlight w:val="none"/>
                      <w:vertAlign w:val="baseline"/>
                      <w:lang w:val="en-US" w:eastAsia="zh-CN"/>
                    </w:rPr>
                    <w:t>无组织废气</w:t>
                  </w:r>
                </w:p>
              </w:tc>
              <w:tc>
                <w:tcPr>
                  <w:tcW w:w="3025"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b w:val="0"/>
                      <w:bCs/>
                      <w:color w:val="000000"/>
                      <w:sz w:val="21"/>
                      <w:szCs w:val="21"/>
                      <w:highlight w:val="none"/>
                      <w:vertAlign w:val="baseline"/>
                      <w:lang w:val="en-US" w:eastAsia="zh-CN"/>
                    </w:rPr>
                  </w:pPr>
                  <w:r>
                    <w:rPr>
                      <w:rFonts w:hint="eastAsia"/>
                      <w:b w:val="0"/>
                      <w:bCs/>
                      <w:color w:val="000000"/>
                      <w:sz w:val="21"/>
                      <w:szCs w:val="21"/>
                      <w:highlight w:val="none"/>
                      <w:vertAlign w:val="baseline"/>
                      <w:lang w:val="en-US" w:eastAsia="zh-CN"/>
                    </w:rPr>
                    <w:t>Q1上风向，Q2下风向，Q3下风向，Q4油气回收装置排放口</w:t>
                  </w:r>
                </w:p>
              </w:tc>
              <w:tc>
                <w:tcPr>
                  <w:tcW w:w="2483"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b w:val="0"/>
                      <w:bCs/>
                      <w:color w:val="000000"/>
                      <w:sz w:val="21"/>
                      <w:szCs w:val="21"/>
                      <w:highlight w:val="none"/>
                      <w:vertAlign w:val="baseline"/>
                      <w:lang w:val="en-US" w:eastAsia="zh-CN"/>
                    </w:rPr>
                  </w:pPr>
                  <w:r>
                    <w:rPr>
                      <w:rFonts w:hint="eastAsia"/>
                      <w:b w:val="0"/>
                      <w:bCs/>
                      <w:color w:val="000000"/>
                      <w:sz w:val="21"/>
                      <w:szCs w:val="21"/>
                      <w:highlight w:val="none"/>
                      <w:vertAlign w:val="baseline"/>
                      <w:lang w:val="en-US" w:eastAsia="zh-CN"/>
                    </w:rPr>
                    <w:t>非甲烷总烃</w:t>
                  </w:r>
                </w:p>
              </w:tc>
              <w:tc>
                <w:tcPr>
                  <w:tcW w:w="2052" w:type="dxa"/>
                  <w:tcBorders>
                    <w:tl2br w:val="nil"/>
                    <w:tr2bl w:val="nil"/>
                  </w:tcBorders>
                  <w:noWrap w:val="0"/>
                  <w:vAlign w:val="center"/>
                </w:tcPr>
                <w:p>
                  <w:pPr>
                    <w:pStyle w:val="9"/>
                    <w:widowControl w:val="0"/>
                    <w:spacing w:line="240" w:lineRule="auto"/>
                    <w:ind w:firstLine="0" w:firstLineChars="0"/>
                    <w:rPr>
                      <w:rFonts w:hint="eastAsia"/>
                      <w:b w:val="0"/>
                      <w:bCs/>
                      <w:color w:val="000000"/>
                      <w:sz w:val="21"/>
                      <w:szCs w:val="21"/>
                      <w:highlight w:val="none"/>
                      <w:vertAlign w:val="baseline"/>
                      <w:lang w:val="en-US" w:eastAsia="zh-CN"/>
                    </w:rPr>
                  </w:pPr>
                  <w:r>
                    <w:rPr>
                      <w:rFonts w:hint="default" w:ascii="Times New Roman" w:hAnsi="Times New Roman" w:cs="Times New Roman" w:eastAsiaTheme="minorEastAsia"/>
                      <w:highlight w:val="none"/>
                    </w:rPr>
                    <w:t>连续监测2天；每天监测4次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91"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b w:val="0"/>
                      <w:bCs/>
                      <w:color w:val="000000"/>
                      <w:sz w:val="21"/>
                      <w:szCs w:val="21"/>
                      <w:highlight w:val="none"/>
                      <w:vertAlign w:val="baseline"/>
                      <w:lang w:val="en-US" w:eastAsia="zh-CN"/>
                    </w:rPr>
                  </w:pPr>
                  <w:r>
                    <w:rPr>
                      <w:rFonts w:hint="eastAsia"/>
                      <w:b w:val="0"/>
                      <w:bCs/>
                      <w:color w:val="000000"/>
                      <w:sz w:val="21"/>
                      <w:szCs w:val="21"/>
                      <w:highlight w:val="none"/>
                      <w:vertAlign w:val="baseline"/>
                      <w:lang w:val="en-US" w:eastAsia="zh-CN"/>
                    </w:rPr>
                    <w:t>厂界噪声</w:t>
                  </w:r>
                </w:p>
              </w:tc>
              <w:tc>
                <w:tcPr>
                  <w:tcW w:w="3025"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b w:val="0"/>
                      <w:bCs/>
                      <w:color w:val="000000"/>
                      <w:sz w:val="21"/>
                      <w:szCs w:val="21"/>
                      <w:highlight w:val="none"/>
                      <w:vertAlign w:val="baseline"/>
                      <w:lang w:val="en-US" w:eastAsia="zh-CN"/>
                    </w:rPr>
                  </w:pPr>
                  <w:r>
                    <w:rPr>
                      <w:rFonts w:hint="eastAsia"/>
                      <w:b w:val="0"/>
                      <w:bCs/>
                      <w:color w:val="000000"/>
                      <w:sz w:val="21"/>
                      <w:szCs w:val="21"/>
                      <w:highlight w:val="none"/>
                      <w:vertAlign w:val="baseline"/>
                      <w:lang w:val="en-US" w:eastAsia="zh-CN"/>
                    </w:rPr>
                    <w:t>厂界</w:t>
                  </w:r>
                  <w:r>
                    <w:rPr>
                      <w:rFonts w:hint="eastAsia" w:cs="宋体"/>
                      <w:b w:val="0"/>
                      <w:bCs/>
                      <w:color w:val="000000"/>
                      <w:sz w:val="21"/>
                      <w:szCs w:val="21"/>
                      <w:highlight w:val="none"/>
                      <w:vertAlign w:val="baseline"/>
                      <w:lang w:val="en-US" w:eastAsia="zh-CN"/>
                    </w:rPr>
                    <w:t>N1~N4</w:t>
                  </w:r>
                </w:p>
              </w:tc>
              <w:tc>
                <w:tcPr>
                  <w:tcW w:w="2483"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b w:val="0"/>
                      <w:bCs/>
                      <w:color w:val="000000"/>
                      <w:sz w:val="21"/>
                      <w:szCs w:val="21"/>
                      <w:highlight w:val="none"/>
                      <w:vertAlign w:val="baseline"/>
                      <w:lang w:val="en-US" w:eastAsia="zh-CN"/>
                    </w:rPr>
                  </w:pPr>
                  <w:r>
                    <w:rPr>
                      <w:rFonts w:hint="eastAsia"/>
                      <w:b w:val="0"/>
                      <w:bCs/>
                      <w:color w:val="000000"/>
                      <w:sz w:val="21"/>
                      <w:szCs w:val="21"/>
                      <w:highlight w:val="none"/>
                      <w:vertAlign w:val="baseline"/>
                      <w:lang w:val="en-US" w:eastAsia="zh-CN"/>
                    </w:rPr>
                    <w:t>等效连续A声级Leq（A）</w:t>
                  </w:r>
                </w:p>
              </w:tc>
              <w:tc>
                <w:tcPr>
                  <w:tcW w:w="2052" w:type="dxa"/>
                  <w:tcBorders>
                    <w:tl2br w:val="nil"/>
                    <w:tr2bl w:val="nil"/>
                  </w:tcBorders>
                  <w:noWrap w:val="0"/>
                  <w:vAlign w:val="center"/>
                </w:tcPr>
                <w:p>
                  <w:pPr>
                    <w:pStyle w:val="9"/>
                    <w:widowControl w:val="0"/>
                    <w:spacing w:line="240" w:lineRule="auto"/>
                    <w:ind w:firstLine="0" w:firstLineChars="0"/>
                    <w:rPr>
                      <w:rFonts w:hint="eastAsia"/>
                      <w:b w:val="0"/>
                      <w:bCs/>
                      <w:color w:val="000000"/>
                      <w:sz w:val="21"/>
                      <w:szCs w:val="21"/>
                      <w:highlight w:val="none"/>
                      <w:vertAlign w:val="baseline"/>
                      <w:lang w:val="en-US" w:eastAsia="zh-CN"/>
                    </w:rPr>
                  </w:pPr>
                  <w:r>
                    <w:rPr>
                      <w:rFonts w:hint="default" w:ascii="Times New Roman" w:hAnsi="Times New Roman" w:cs="Times New Roman" w:eastAsiaTheme="minorEastAsia"/>
                      <w:highlight w:val="none"/>
                    </w:rPr>
                    <w:t>连续监测2天；每天昼、夜间各监测一次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51" w:type="dxa"/>
                  <w:gridSpan w:val="4"/>
                  <w:tcBorders>
                    <w:tl2br w:val="nil"/>
                    <w:tr2bl w:val="nil"/>
                  </w:tcBorders>
                  <w:noWrap w:val="0"/>
                  <w:vAlign w:val="center"/>
                </w:tcPr>
                <w:p>
                  <w:pPr>
                    <w:pStyle w:val="17"/>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center"/>
                    <w:textAlignment w:val="auto"/>
                    <w:outlineLvl w:val="9"/>
                    <w:rPr>
                      <w:rFonts w:hint="eastAsia"/>
                      <w:b/>
                      <w:bCs/>
                      <w:color w:val="auto"/>
                      <w:highlight w:val="none"/>
                      <w:lang w:val="en-US" w:eastAsia="zh-CN"/>
                    </w:rPr>
                  </w:pPr>
                  <w:r>
                    <w:rPr>
                      <w:highlight w:val="none"/>
                    </w:rPr>
                    <w:drawing>
                      <wp:inline distT="0" distB="0" distL="114300" distR="114300">
                        <wp:extent cx="5478780" cy="3204845"/>
                        <wp:effectExtent l="9525" t="9525" r="17145" b="2413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27"/>
                                <a:stretch>
                                  <a:fillRect/>
                                </a:stretch>
                              </pic:blipFill>
                              <pic:spPr>
                                <a:xfrm>
                                  <a:off x="0" y="0"/>
                                  <a:ext cx="5478780" cy="3204845"/>
                                </a:xfrm>
                                <a:prstGeom prst="rect">
                                  <a:avLst/>
                                </a:prstGeom>
                                <a:noFill/>
                                <a:ln>
                                  <a:solidFill>
                                    <a:schemeClr val="tx1"/>
                                  </a:solidFill>
                                </a:ln>
                              </pic:spPr>
                            </pic:pic>
                          </a:graphicData>
                        </a:graphic>
                      </wp:inline>
                    </w:drawing>
                  </w:r>
                </w:p>
                <w:p>
                  <w:pPr>
                    <w:pStyle w:val="17"/>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jc w:val="center"/>
                    <w:textAlignment w:val="auto"/>
                    <w:outlineLvl w:val="9"/>
                    <w:rPr>
                      <w:rFonts w:hint="eastAsia"/>
                      <w:b w:val="0"/>
                      <w:bCs/>
                      <w:color w:val="000000"/>
                      <w:sz w:val="21"/>
                      <w:szCs w:val="21"/>
                      <w:highlight w:val="none"/>
                      <w:vertAlign w:val="baseline"/>
                      <w:lang w:val="en-US" w:eastAsia="zh-CN"/>
                    </w:rPr>
                  </w:pPr>
                  <w:r>
                    <w:rPr>
                      <w:rFonts w:hint="eastAsia" w:ascii="Times New Roman" w:hAnsi="Times New Roman" w:eastAsia="宋体" w:cs="Times New Roman"/>
                      <w:b/>
                      <w:snapToGrid w:val="0"/>
                      <w:kern w:val="0"/>
                      <w:sz w:val="21"/>
                      <w:szCs w:val="24"/>
                      <w:highlight w:val="none"/>
                      <w:lang w:val="en-US" w:eastAsia="zh-CN" w:bidi="ar-SA"/>
                    </w:rPr>
                    <w:t>图6-1   项目监测点位布置图</w:t>
                  </w:r>
                </w:p>
              </w:tc>
            </w:tr>
          </w:tbl>
          <w:p>
            <w:pPr>
              <w:pStyle w:val="4"/>
              <w:keepNext w:val="0"/>
              <w:keepLines w:val="0"/>
              <w:pageBreakBefore w:val="0"/>
              <w:widowControl w:val="0"/>
              <w:kinsoku/>
              <w:wordWrap/>
              <w:overflowPunct/>
              <w:topLinePunct w:val="0"/>
              <w:autoSpaceDE w:val="0"/>
              <w:autoSpaceDN w:val="0"/>
              <w:bidi w:val="0"/>
              <w:adjustRightInd/>
              <w:snapToGrid/>
              <w:spacing w:before="469" w:beforeLines="100" w:line="360" w:lineRule="auto"/>
              <w:textAlignment w:val="auto"/>
              <w:rPr>
                <w:rFonts w:hint="eastAsia" w:hAnsi="宋体"/>
                <w:b/>
                <w:sz w:val="24"/>
                <w:highlight w:val="none"/>
                <w:u w:val="none"/>
                <w:lang w:eastAsia="zh-CN"/>
              </w:rPr>
            </w:pPr>
            <w:bookmarkStart w:id="112" w:name="_Toc15449"/>
            <w:r>
              <w:rPr>
                <w:rFonts w:hint="eastAsia" w:hAnsi="宋体"/>
                <w:b/>
                <w:sz w:val="24"/>
                <w:highlight w:val="none"/>
                <w:u w:val="none"/>
                <w:lang w:eastAsia="zh-CN"/>
              </w:rPr>
              <w:t>二、</w:t>
            </w:r>
            <w:r>
              <w:rPr>
                <w:rFonts w:hint="eastAsia" w:hAnsi="宋体"/>
                <w:b/>
                <w:sz w:val="24"/>
                <w:highlight w:val="none"/>
                <w:u w:val="none"/>
              </w:rPr>
              <w:t>环境质量监测</w:t>
            </w:r>
            <w:bookmarkEnd w:id="112"/>
          </w:p>
          <w:p>
            <w:pPr>
              <w:keepNext w:val="0"/>
              <w:keepLines w:val="0"/>
              <w:pageBreakBefore w:val="0"/>
              <w:widowControl w:val="0"/>
              <w:numPr>
                <w:ilvl w:val="0"/>
                <w:numId w:val="0"/>
              </w:numPr>
              <w:kinsoku/>
              <w:wordWrap/>
              <w:overflowPunct/>
              <w:topLinePunct w:val="0"/>
              <w:autoSpaceDE/>
              <w:autoSpaceDN/>
              <w:bidi w:val="0"/>
              <w:adjustRightInd/>
              <w:snapToGrid/>
              <w:spacing w:before="120" w:after="120"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Times New Roman" w:hAnsi="Times New Roman" w:eastAsia="宋体" w:cs="Times New Roman"/>
                <w:bCs/>
                <w:snapToGrid w:val="0"/>
                <w:kern w:val="0"/>
                <w:sz w:val="24"/>
                <w:szCs w:val="24"/>
                <w:highlight w:val="none"/>
                <w:lang w:val="en-US" w:eastAsia="zh-CN"/>
              </w:rPr>
              <w:t>站内工艺设施装置与周边环境敏感点的距离情况见下表6-2。</w:t>
            </w:r>
          </w:p>
          <w:p>
            <w:pPr>
              <w:tabs>
                <w:tab w:val="left" w:pos="2130"/>
              </w:tabs>
              <w:snapToGrid w:val="0"/>
              <w:jc w:val="center"/>
              <w:rPr>
                <w:rFonts w:hint="eastAsia" w:ascii="Times New Roman" w:hAnsi="Times New Roman" w:cs="Times New Roman" w:eastAsiaTheme="minorEastAsia"/>
                <w:b/>
                <w:snapToGrid w:val="0"/>
                <w:kern w:val="0"/>
                <w:sz w:val="21"/>
                <w:szCs w:val="21"/>
                <w:highlight w:val="none"/>
                <w:lang w:val="en-US" w:eastAsia="zh-CN"/>
              </w:rPr>
            </w:pPr>
            <w:r>
              <w:rPr>
                <w:rFonts w:hint="eastAsia" w:ascii="Times New Roman" w:hAnsi="Times New Roman" w:cs="Times New Roman" w:eastAsiaTheme="minorEastAsia"/>
                <w:b/>
                <w:snapToGrid w:val="0"/>
                <w:kern w:val="0"/>
                <w:sz w:val="21"/>
                <w:szCs w:val="21"/>
                <w:highlight w:val="none"/>
                <w:lang w:val="en-US" w:eastAsia="zh-CN"/>
              </w:rPr>
              <w:t>表6-2   加油站站内工艺设施与重点保护对象的距离</w:t>
            </w:r>
          </w:p>
          <w:tbl>
            <w:tblPr>
              <w:tblStyle w:val="11"/>
              <w:tblW w:w="88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4111"/>
              <w:gridCol w:w="2655"/>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66" w:type="dxa"/>
                  <w:noWrap w:val="0"/>
                  <w:vAlign w:val="center"/>
                </w:tcPr>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序号</w:t>
                  </w:r>
                </w:p>
              </w:tc>
              <w:tc>
                <w:tcPr>
                  <w:tcW w:w="4111" w:type="dxa"/>
                  <w:noWrap w:val="0"/>
                  <w:vAlign w:val="center"/>
                </w:tcPr>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检查项目</w:t>
                  </w:r>
                </w:p>
              </w:tc>
              <w:tc>
                <w:tcPr>
                  <w:tcW w:w="2655" w:type="dxa"/>
                  <w:noWrap w:val="0"/>
                  <w:vAlign w:val="center"/>
                </w:tcPr>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检查情况</w:t>
                  </w:r>
                </w:p>
              </w:tc>
              <w:tc>
                <w:tcPr>
                  <w:tcW w:w="1319" w:type="dxa"/>
                  <w:noWrap w:val="0"/>
                  <w:vAlign w:val="center"/>
                </w:tcPr>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4111" w:type="dxa"/>
                  <w:noWrap w:val="0"/>
                  <w:vAlign w:val="center"/>
                </w:tcPr>
                <w:p>
                  <w:pPr>
                    <w:widowControl/>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居民区、商业中心、公园等人口密集区域</w:t>
                  </w:r>
                </w:p>
              </w:tc>
              <w:tc>
                <w:tcPr>
                  <w:tcW w:w="265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居民区</w:t>
                  </w:r>
                </w:p>
              </w:tc>
              <w:tc>
                <w:tcPr>
                  <w:tcW w:w="1319"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4111" w:type="dxa"/>
                  <w:noWrap w:val="0"/>
                  <w:vAlign w:val="center"/>
                </w:tcPr>
                <w:p>
                  <w:pPr>
                    <w:widowControl/>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学校、医院、影剧院、体育场（馆）等公共设施</w:t>
                  </w:r>
                </w:p>
              </w:tc>
              <w:tc>
                <w:tcPr>
                  <w:tcW w:w="265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周边无此类设施</w:t>
                  </w:r>
                </w:p>
              </w:tc>
              <w:tc>
                <w:tcPr>
                  <w:tcW w:w="131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4111" w:type="dxa"/>
                  <w:noWrap w:val="0"/>
                  <w:vAlign w:val="center"/>
                </w:tcPr>
                <w:p>
                  <w:pPr>
                    <w:widowControl/>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供水水源、水厂及水源保护区</w:t>
                  </w:r>
                </w:p>
              </w:tc>
              <w:tc>
                <w:tcPr>
                  <w:tcW w:w="265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周边无此类保护区</w:t>
                  </w:r>
                </w:p>
              </w:tc>
              <w:tc>
                <w:tcPr>
                  <w:tcW w:w="131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4111" w:type="dxa"/>
                  <w:noWrap w:val="0"/>
                  <w:vAlign w:val="center"/>
                </w:tcPr>
                <w:p>
                  <w:pPr>
                    <w:widowControl/>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车站、码头（按照国家规定，经批准，专门从事危险化学品装卸作业的除外）、机场以及公路、铁路、水路交通干线、地铁风亭及出入口</w:t>
                  </w:r>
                </w:p>
              </w:tc>
              <w:tc>
                <w:tcPr>
                  <w:tcW w:w="265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公路</w:t>
                  </w:r>
                </w:p>
              </w:tc>
              <w:tc>
                <w:tcPr>
                  <w:tcW w:w="131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与公路距离符合规范要求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4111" w:type="dxa"/>
                  <w:noWrap w:val="0"/>
                  <w:vAlign w:val="center"/>
                </w:tcPr>
                <w:p>
                  <w:pPr>
                    <w:widowControl/>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基本农田保护区、畜牧区、渔业水域和种子、种畜、水产苗种生产基地</w:t>
                  </w:r>
                </w:p>
              </w:tc>
              <w:tc>
                <w:tcPr>
                  <w:tcW w:w="265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周边无此类区域</w:t>
                  </w:r>
                </w:p>
              </w:tc>
              <w:tc>
                <w:tcPr>
                  <w:tcW w:w="131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4111" w:type="dxa"/>
                  <w:noWrap w:val="0"/>
                  <w:vAlign w:val="center"/>
                </w:tcPr>
                <w:p>
                  <w:pPr>
                    <w:widowControl/>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河流、湖泊、风景名胜区和自然保护区</w:t>
                  </w:r>
                </w:p>
              </w:tc>
              <w:tc>
                <w:tcPr>
                  <w:tcW w:w="2655" w:type="dxa"/>
                  <w:noWrap w:val="0"/>
                  <w:vAlign w:val="center"/>
                </w:tcPr>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赤水河</w:t>
                  </w:r>
                </w:p>
              </w:tc>
              <w:tc>
                <w:tcPr>
                  <w:tcW w:w="131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4111" w:type="dxa"/>
                  <w:noWrap w:val="0"/>
                  <w:vAlign w:val="center"/>
                </w:tcPr>
                <w:p>
                  <w:pPr>
                    <w:widowControl/>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军事禁区、军事管理区</w:t>
                  </w:r>
                </w:p>
              </w:tc>
              <w:tc>
                <w:tcPr>
                  <w:tcW w:w="265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周边无此类区域</w:t>
                  </w:r>
                </w:p>
              </w:tc>
              <w:tc>
                <w:tcPr>
                  <w:tcW w:w="131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4111" w:type="dxa"/>
                  <w:noWrap w:val="0"/>
                  <w:vAlign w:val="center"/>
                </w:tcPr>
                <w:p>
                  <w:pPr>
                    <w:widowControl/>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法律、行政法规规定予以保护的其他区域</w:t>
                  </w:r>
                </w:p>
              </w:tc>
              <w:tc>
                <w:tcPr>
                  <w:tcW w:w="265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周边无此类区域</w:t>
                  </w:r>
                </w:p>
              </w:tc>
              <w:tc>
                <w:tcPr>
                  <w:tcW w:w="131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符合要求</w:t>
                  </w:r>
                </w:p>
              </w:tc>
            </w:tr>
          </w:tbl>
          <w:p>
            <w:pPr>
              <w:tabs>
                <w:tab w:val="left" w:pos="924"/>
              </w:tabs>
              <w:adjustRightInd w:val="0"/>
              <w:snapToGrid w:val="0"/>
              <w:spacing w:line="360" w:lineRule="auto"/>
              <w:ind w:firstLine="420" w:firstLineChars="200"/>
              <w:rPr>
                <w:rFonts w:hint="eastAsia"/>
                <w:highlight w:val="none"/>
                <w:lang w:val="zh-CN" w:eastAsia="zh-CN"/>
              </w:rPr>
            </w:pPr>
          </w:p>
          <w:p>
            <w:pPr>
              <w:pStyle w:val="2"/>
              <w:rPr>
                <w:rFonts w:hint="eastAsia"/>
                <w:highlight w:val="none"/>
                <w:lang w:val="zh-CN" w:eastAsia="zh-CN"/>
              </w:rPr>
            </w:pPr>
          </w:p>
          <w:p>
            <w:pPr>
              <w:pStyle w:val="2"/>
              <w:rPr>
                <w:rFonts w:hint="eastAsia"/>
                <w:highlight w:val="none"/>
                <w:lang w:val="zh-CN" w:eastAsia="zh-CN"/>
              </w:rPr>
            </w:pPr>
          </w:p>
          <w:p>
            <w:pPr>
              <w:rPr>
                <w:rFonts w:hint="eastAsia"/>
                <w:highlight w:val="none"/>
                <w:lang w:val="zh-CN" w:eastAsia="zh-CN"/>
              </w:rPr>
            </w:pPr>
          </w:p>
          <w:p>
            <w:pPr>
              <w:pStyle w:val="2"/>
              <w:rPr>
                <w:rFonts w:hint="eastAsia"/>
                <w:highlight w:val="none"/>
                <w:lang w:val="zh-CN" w:eastAsia="zh-CN"/>
              </w:rPr>
            </w:pPr>
          </w:p>
          <w:p>
            <w:pPr>
              <w:rPr>
                <w:rFonts w:hint="eastAsia"/>
                <w:highlight w:val="none"/>
                <w:lang w:val="zh-CN" w:eastAsia="zh-CN"/>
              </w:rPr>
            </w:pPr>
          </w:p>
          <w:p>
            <w:pPr>
              <w:pStyle w:val="2"/>
              <w:rPr>
                <w:rFonts w:hint="eastAsia"/>
                <w:highlight w:val="none"/>
                <w:lang w:val="zh-CN" w:eastAsia="zh-CN"/>
              </w:rPr>
            </w:pPr>
          </w:p>
          <w:p>
            <w:pPr>
              <w:rPr>
                <w:rFonts w:hint="eastAsia"/>
                <w:highlight w:val="none"/>
                <w:lang w:val="zh-CN" w:eastAsia="zh-CN"/>
              </w:rPr>
            </w:pPr>
          </w:p>
          <w:p>
            <w:pPr>
              <w:pStyle w:val="2"/>
              <w:rPr>
                <w:rFonts w:hint="eastAsia"/>
                <w:highlight w:val="none"/>
                <w:lang w:val="zh-CN" w:eastAsia="zh-CN"/>
              </w:rPr>
            </w:pPr>
          </w:p>
          <w:p>
            <w:pPr>
              <w:rPr>
                <w:rFonts w:hint="eastAsia"/>
                <w:highlight w:val="none"/>
                <w:lang w:val="zh-CN" w:eastAsia="zh-CN"/>
              </w:rPr>
            </w:pPr>
          </w:p>
          <w:p>
            <w:pPr>
              <w:rPr>
                <w:rFonts w:hint="eastAsia"/>
                <w:highlight w:val="none"/>
                <w:lang w:val="zh-CN" w:eastAsia="zh-CN"/>
              </w:rPr>
            </w:pPr>
          </w:p>
          <w:p>
            <w:pPr>
              <w:pStyle w:val="2"/>
              <w:rPr>
                <w:rFonts w:hint="eastAsia"/>
                <w:highlight w:val="none"/>
                <w:lang w:val="zh-CN" w:eastAsia="zh-CN"/>
              </w:rPr>
            </w:pPr>
          </w:p>
        </w:tc>
      </w:tr>
    </w:tbl>
    <w:p>
      <w:pPr>
        <w:pStyle w:val="3"/>
        <w:rPr>
          <w:szCs w:val="21"/>
          <w:highlight w:val="none"/>
        </w:rPr>
        <w:sectPr>
          <w:pgSz w:w="11906" w:h="16838"/>
          <w:pgMar w:top="1417" w:right="1417" w:bottom="1417" w:left="1417" w:header="1361" w:footer="1134" w:gutter="0"/>
          <w:pgBorders>
            <w:top w:val="none" w:sz="0" w:space="0"/>
            <w:left w:val="none" w:sz="0" w:space="0"/>
            <w:bottom w:val="none" w:sz="0" w:space="0"/>
            <w:right w:val="none" w:sz="0" w:space="0"/>
          </w:pgBorders>
          <w:pgNumType w:fmt="decimal"/>
          <w:cols w:space="720" w:num="1"/>
          <w:docGrid w:linePitch="467" w:charSpace="4710"/>
        </w:sectPr>
      </w:pPr>
      <w:r>
        <w:rPr>
          <w:szCs w:val="21"/>
          <w:highlight w:val="none"/>
        </w:rPr>
        <w:br w:type="page"/>
      </w:r>
    </w:p>
    <w:p>
      <w:pPr>
        <w:pStyle w:val="3"/>
        <w:rPr>
          <w:rFonts w:hint="default"/>
          <w:highlight w:val="none"/>
          <w:lang w:val="en-US" w:eastAsia="zh-CN"/>
        </w:rPr>
      </w:pPr>
      <w:bookmarkStart w:id="113" w:name="_Toc30201_WPSOffice_Level1"/>
      <w:r>
        <w:rPr>
          <w:rFonts w:hint="eastAsia"/>
          <w:highlight w:val="none"/>
        </w:rPr>
        <w:t>表</w:t>
      </w:r>
      <w:r>
        <w:rPr>
          <w:rFonts w:hint="eastAsia"/>
          <w:highlight w:val="none"/>
          <w:lang w:eastAsia="zh-CN"/>
        </w:rPr>
        <w:t>七</w:t>
      </w:r>
      <w:r>
        <w:rPr>
          <w:rFonts w:hint="eastAsia"/>
          <w:highlight w:val="none"/>
          <w:lang w:val="en-US" w:eastAsia="zh-CN"/>
        </w:rPr>
        <w:t xml:space="preserve"> 验收监测期间生产工况记录及验收监测结果</w:t>
      </w:r>
      <w:bookmarkEnd w:id="113"/>
    </w:p>
    <w:tbl>
      <w:tblPr>
        <w:tblStyle w:val="11"/>
        <w:tblW w:w="907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077" w:type="dxa"/>
            <w:tcBorders>
              <w:top w:val="single" w:color="auto" w:sz="4" w:space="0"/>
              <w:left w:val="single" w:color="auto" w:sz="4" w:space="0"/>
              <w:bottom w:val="single" w:color="auto" w:sz="4" w:space="0"/>
              <w:right w:val="single" w:color="auto" w:sz="4" w:space="0"/>
            </w:tcBorders>
            <w:noWrap w:val="0"/>
            <w:vAlign w:val="center"/>
          </w:tcPr>
          <w:p>
            <w:pPr>
              <w:pStyle w:val="4"/>
              <w:keepNext w:val="0"/>
              <w:keepLines w:val="0"/>
              <w:pageBreakBefore w:val="0"/>
              <w:widowControl w:val="0"/>
              <w:kinsoku/>
              <w:wordWrap/>
              <w:overflowPunct/>
              <w:topLinePunct w:val="0"/>
              <w:autoSpaceDE w:val="0"/>
              <w:autoSpaceDN w:val="0"/>
              <w:bidi w:val="0"/>
              <w:adjustRightInd/>
              <w:snapToGrid/>
              <w:spacing w:before="0" w:line="360" w:lineRule="auto"/>
              <w:textAlignment w:val="auto"/>
              <w:rPr>
                <w:rFonts w:hint="eastAsia" w:hAnsi="宋体"/>
                <w:b/>
                <w:sz w:val="28"/>
                <w:szCs w:val="28"/>
                <w:highlight w:val="none"/>
                <w:u w:val="none"/>
                <w:lang w:val="zh-CN" w:eastAsia="zh-CN"/>
              </w:rPr>
            </w:pPr>
            <w:r>
              <w:rPr>
                <w:rFonts w:hint="eastAsia" w:hAnsi="宋体"/>
                <w:b/>
                <w:sz w:val="28"/>
                <w:szCs w:val="28"/>
                <w:highlight w:val="none"/>
                <w:u w:val="none"/>
                <w:lang w:val="en-US" w:eastAsia="zh-CN"/>
              </w:rPr>
              <w:t>验收监测期间生产工况记录</w:t>
            </w:r>
          </w:p>
          <w:p>
            <w:pPr>
              <w:spacing w:line="360" w:lineRule="auto"/>
              <w:ind w:firstLine="480" w:firstLineChars="200"/>
              <w:rPr>
                <w:rFonts w:hint="default" w:ascii="Times New Roman" w:hAnsi="Times New Roman" w:cs="Times New Roman"/>
                <w:sz w:val="24"/>
                <w:szCs w:val="24"/>
                <w:highlight w:val="none"/>
                <w:vertAlign w:val="baseline"/>
                <w:lang w:val="en-US" w:eastAsia="zh-CN"/>
              </w:rPr>
            </w:pPr>
            <w:r>
              <w:rPr>
                <w:rFonts w:hint="default" w:ascii="Times New Roman" w:hAnsi="Times New Roman" w:cs="Times New Roman"/>
                <w:sz w:val="24"/>
                <w:szCs w:val="24"/>
                <w:highlight w:val="none"/>
                <w:vertAlign w:val="baseline"/>
                <w:lang w:val="en-US" w:eastAsia="zh-CN"/>
              </w:rPr>
              <w:t>在验收监测期间，项目处于调试阶段，项目主体工程工况稳定、各项环保设施正常运行。若出现异常情况立即通知监测人员停止监测，以确保监测数据的有效性和准确性。现场调试期间工况统计表见表</w:t>
            </w:r>
            <w:r>
              <w:rPr>
                <w:rFonts w:hint="eastAsia" w:ascii="Times New Roman" w:hAnsi="Times New Roman" w:cs="Times New Roman"/>
                <w:sz w:val="24"/>
                <w:szCs w:val="24"/>
                <w:highlight w:val="none"/>
                <w:vertAlign w:val="baseline"/>
                <w:lang w:val="en-US" w:eastAsia="zh-CN"/>
              </w:rPr>
              <w:t>7-1</w:t>
            </w:r>
            <w:r>
              <w:rPr>
                <w:rFonts w:hint="default" w:ascii="Times New Roman" w:hAnsi="Times New Roman" w:cs="Times New Roman"/>
                <w:sz w:val="24"/>
                <w:szCs w:val="24"/>
                <w:highlight w:val="none"/>
                <w:vertAlign w:val="baseline"/>
                <w:lang w:val="en-US" w:eastAsia="zh-CN"/>
              </w:rPr>
              <w:t>。</w:t>
            </w:r>
          </w:p>
          <w:p>
            <w:pPr>
              <w:tabs>
                <w:tab w:val="left" w:pos="2130"/>
              </w:tabs>
              <w:snapToGrid w:val="0"/>
              <w:jc w:val="center"/>
              <w:rPr>
                <w:rFonts w:hint="default" w:ascii="Times New Roman" w:hAnsi="Times New Roman" w:cs="Times New Roman" w:eastAsiaTheme="minorEastAsia"/>
                <w:b/>
                <w:snapToGrid w:val="0"/>
                <w:kern w:val="0"/>
                <w:sz w:val="21"/>
                <w:szCs w:val="21"/>
                <w:highlight w:val="none"/>
                <w:lang w:val="en-US" w:eastAsia="zh-CN"/>
              </w:rPr>
            </w:pPr>
            <w:r>
              <w:rPr>
                <w:rFonts w:hint="default" w:ascii="Times New Roman" w:hAnsi="Times New Roman" w:cs="Times New Roman" w:eastAsiaTheme="minorEastAsia"/>
                <w:b/>
                <w:snapToGrid w:val="0"/>
                <w:kern w:val="0"/>
                <w:sz w:val="21"/>
                <w:szCs w:val="21"/>
                <w:highlight w:val="none"/>
                <w:lang w:val="en-US" w:eastAsia="zh-CN"/>
              </w:rPr>
              <w:t>表</w:t>
            </w:r>
            <w:r>
              <w:rPr>
                <w:rFonts w:hint="eastAsia" w:ascii="Times New Roman" w:hAnsi="Times New Roman" w:cs="Times New Roman" w:eastAsiaTheme="minorEastAsia"/>
                <w:b/>
                <w:snapToGrid w:val="0"/>
                <w:kern w:val="0"/>
                <w:sz w:val="21"/>
                <w:szCs w:val="21"/>
                <w:highlight w:val="none"/>
                <w:lang w:val="en-US" w:eastAsia="zh-CN"/>
              </w:rPr>
              <w:t>7-1</w:t>
            </w:r>
            <w:r>
              <w:rPr>
                <w:rFonts w:hint="default" w:ascii="Times New Roman" w:hAnsi="Times New Roman" w:cs="Times New Roman" w:eastAsiaTheme="minorEastAsia"/>
                <w:b/>
                <w:snapToGrid w:val="0"/>
                <w:kern w:val="0"/>
                <w:sz w:val="21"/>
                <w:szCs w:val="21"/>
                <w:highlight w:val="none"/>
                <w:lang w:val="en-US" w:eastAsia="zh-CN"/>
              </w:rPr>
              <w:t xml:space="preserve">  </w:t>
            </w:r>
            <w:r>
              <w:rPr>
                <w:rFonts w:hint="eastAsia" w:cs="Times New Roman" w:eastAsiaTheme="minorEastAsia"/>
                <w:b/>
                <w:snapToGrid w:val="0"/>
                <w:kern w:val="0"/>
                <w:sz w:val="21"/>
                <w:szCs w:val="21"/>
                <w:highlight w:val="none"/>
                <w:lang w:val="en-US" w:eastAsia="zh-CN"/>
              </w:rPr>
              <w:t>华洲</w:t>
            </w:r>
            <w:r>
              <w:rPr>
                <w:rFonts w:hint="default" w:ascii="Times New Roman" w:hAnsi="Times New Roman" w:cs="Times New Roman" w:eastAsiaTheme="minorEastAsia"/>
                <w:b/>
                <w:snapToGrid w:val="0"/>
                <w:kern w:val="0"/>
                <w:sz w:val="21"/>
                <w:szCs w:val="21"/>
                <w:highlight w:val="none"/>
                <w:lang w:val="en-US" w:eastAsia="zh-CN"/>
              </w:rPr>
              <w:t>服务区</w:t>
            </w:r>
            <w:r>
              <w:rPr>
                <w:rFonts w:hint="eastAsia" w:cs="Times New Roman" w:eastAsiaTheme="minorEastAsia"/>
                <w:b/>
                <w:snapToGrid w:val="0"/>
                <w:kern w:val="0"/>
                <w:sz w:val="21"/>
                <w:szCs w:val="21"/>
                <w:highlight w:val="none"/>
                <w:lang w:val="en-US" w:eastAsia="zh-CN"/>
              </w:rPr>
              <w:t>西</w:t>
            </w:r>
            <w:r>
              <w:rPr>
                <w:rFonts w:hint="default" w:ascii="Times New Roman" w:hAnsi="Times New Roman" w:cs="Times New Roman" w:eastAsiaTheme="minorEastAsia"/>
                <w:b/>
                <w:snapToGrid w:val="0"/>
                <w:kern w:val="0"/>
                <w:sz w:val="21"/>
                <w:szCs w:val="21"/>
                <w:highlight w:val="none"/>
                <w:lang w:val="en-US" w:eastAsia="zh-CN"/>
              </w:rPr>
              <w:t>加油站日报表</w:t>
            </w:r>
          </w:p>
          <w:tbl>
            <w:tblPr>
              <w:tblStyle w:val="12"/>
              <w:tblW w:w="88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1476"/>
              <w:gridCol w:w="1770"/>
              <w:gridCol w:w="1770"/>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64"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日期</w:t>
                  </w:r>
                </w:p>
              </w:tc>
              <w:tc>
                <w:tcPr>
                  <w:tcW w:w="147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油品名称</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设计加油量</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实际加油量</w:t>
                  </w:r>
                </w:p>
              </w:tc>
              <w:tc>
                <w:tcPr>
                  <w:tcW w:w="17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负荷比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64"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2019年</w:t>
                  </w:r>
                  <w:r>
                    <w:rPr>
                      <w:rFonts w:hint="eastAsia" w:cs="Times New Roman"/>
                      <w:sz w:val="21"/>
                      <w:szCs w:val="21"/>
                      <w:highlight w:val="none"/>
                      <w:vertAlign w:val="baseline"/>
                      <w:lang w:val="en-US" w:eastAsia="zh-CN"/>
                    </w:rPr>
                    <w:t>11</w:t>
                  </w:r>
                  <w:r>
                    <w:rPr>
                      <w:rFonts w:hint="default" w:ascii="Times New Roman" w:hAnsi="Times New Roman" w:cs="Times New Roman"/>
                      <w:sz w:val="21"/>
                      <w:szCs w:val="21"/>
                      <w:highlight w:val="none"/>
                      <w:vertAlign w:val="baseline"/>
                      <w:lang w:val="en-US" w:eastAsia="zh-CN"/>
                    </w:rPr>
                    <w:t>月</w:t>
                  </w:r>
                  <w:r>
                    <w:rPr>
                      <w:rFonts w:hint="eastAsia" w:cs="Times New Roman"/>
                      <w:sz w:val="21"/>
                      <w:szCs w:val="21"/>
                      <w:highlight w:val="none"/>
                      <w:vertAlign w:val="baseline"/>
                      <w:lang w:val="en-US" w:eastAsia="zh-CN"/>
                    </w:rPr>
                    <w:t>11</w:t>
                  </w:r>
                  <w:r>
                    <w:rPr>
                      <w:rFonts w:hint="default" w:ascii="Times New Roman" w:hAnsi="Times New Roman" w:cs="Times New Roman"/>
                      <w:sz w:val="21"/>
                      <w:szCs w:val="21"/>
                      <w:highlight w:val="none"/>
                      <w:vertAlign w:val="baseline"/>
                      <w:lang w:val="en-US" w:eastAsia="zh-CN"/>
                    </w:rPr>
                    <w:t>日</w:t>
                  </w:r>
                </w:p>
              </w:tc>
              <w:tc>
                <w:tcPr>
                  <w:tcW w:w="147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汽油</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2.74</w:t>
                  </w:r>
                  <w:r>
                    <w:rPr>
                      <w:rFonts w:hint="default" w:ascii="Times New Roman" w:hAnsi="Times New Roman" w:cs="Times New Roman"/>
                      <w:sz w:val="21"/>
                      <w:szCs w:val="21"/>
                      <w:highlight w:val="none"/>
                      <w:vertAlign w:val="baseline"/>
                      <w:lang w:val="en-US" w:eastAsia="zh-CN"/>
                    </w:rPr>
                    <w:t>吨</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2.15</w:t>
                  </w:r>
                  <w:r>
                    <w:rPr>
                      <w:rFonts w:hint="default" w:ascii="Times New Roman" w:hAnsi="Times New Roman" w:cs="Times New Roman"/>
                      <w:sz w:val="21"/>
                      <w:szCs w:val="21"/>
                      <w:highlight w:val="none"/>
                      <w:vertAlign w:val="baseline"/>
                      <w:lang w:val="en-US" w:eastAsia="zh-CN"/>
                    </w:rPr>
                    <w:t>吨</w:t>
                  </w:r>
                </w:p>
              </w:tc>
              <w:tc>
                <w:tcPr>
                  <w:tcW w:w="17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78.48</w:t>
                  </w:r>
                  <w:r>
                    <w:rPr>
                      <w:rFonts w:hint="default" w:ascii="Times New Roman" w:hAnsi="Times New Roman"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64"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p>
              </w:tc>
              <w:tc>
                <w:tcPr>
                  <w:tcW w:w="147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柴油</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5.48</w:t>
                  </w:r>
                  <w:r>
                    <w:rPr>
                      <w:rFonts w:hint="default" w:ascii="Times New Roman" w:hAnsi="Times New Roman" w:cs="Times New Roman"/>
                      <w:sz w:val="21"/>
                      <w:szCs w:val="21"/>
                      <w:highlight w:val="none"/>
                      <w:vertAlign w:val="baseline"/>
                      <w:lang w:val="en-US" w:eastAsia="zh-CN"/>
                    </w:rPr>
                    <w:t>吨</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4.63</w:t>
                  </w:r>
                  <w:r>
                    <w:rPr>
                      <w:rFonts w:hint="default" w:ascii="Times New Roman" w:hAnsi="Times New Roman" w:cs="Times New Roman"/>
                      <w:sz w:val="21"/>
                      <w:szCs w:val="21"/>
                      <w:highlight w:val="none"/>
                      <w:vertAlign w:val="baseline"/>
                      <w:lang w:val="en-US" w:eastAsia="zh-CN"/>
                    </w:rPr>
                    <w:t>吨</w:t>
                  </w:r>
                </w:p>
              </w:tc>
              <w:tc>
                <w:tcPr>
                  <w:tcW w:w="17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84.49</w:t>
                  </w:r>
                  <w:r>
                    <w:rPr>
                      <w:rFonts w:hint="default" w:ascii="Times New Roman" w:hAnsi="Times New Roman"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64"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2019年</w:t>
                  </w:r>
                  <w:r>
                    <w:rPr>
                      <w:rFonts w:hint="eastAsia" w:cs="Times New Roman"/>
                      <w:sz w:val="21"/>
                      <w:szCs w:val="21"/>
                      <w:highlight w:val="none"/>
                      <w:vertAlign w:val="baseline"/>
                      <w:lang w:val="en-US" w:eastAsia="zh-CN"/>
                    </w:rPr>
                    <w:t>11</w:t>
                  </w:r>
                  <w:r>
                    <w:rPr>
                      <w:rFonts w:hint="default" w:ascii="Times New Roman" w:hAnsi="Times New Roman" w:cs="Times New Roman"/>
                      <w:sz w:val="21"/>
                      <w:szCs w:val="21"/>
                      <w:highlight w:val="none"/>
                      <w:vertAlign w:val="baseline"/>
                      <w:lang w:val="en-US" w:eastAsia="zh-CN"/>
                    </w:rPr>
                    <w:t>月</w:t>
                  </w:r>
                  <w:r>
                    <w:rPr>
                      <w:rFonts w:hint="eastAsia" w:cs="Times New Roman"/>
                      <w:sz w:val="21"/>
                      <w:szCs w:val="21"/>
                      <w:highlight w:val="none"/>
                      <w:vertAlign w:val="baseline"/>
                      <w:lang w:val="en-US" w:eastAsia="zh-CN"/>
                    </w:rPr>
                    <w:t>12</w:t>
                  </w:r>
                  <w:r>
                    <w:rPr>
                      <w:rFonts w:hint="default" w:ascii="Times New Roman" w:hAnsi="Times New Roman" w:cs="Times New Roman"/>
                      <w:sz w:val="21"/>
                      <w:szCs w:val="21"/>
                      <w:highlight w:val="none"/>
                      <w:vertAlign w:val="baseline"/>
                      <w:lang w:val="en-US" w:eastAsia="zh-CN"/>
                    </w:rPr>
                    <w:t>日</w:t>
                  </w:r>
                </w:p>
              </w:tc>
              <w:tc>
                <w:tcPr>
                  <w:tcW w:w="147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汽油</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2.74</w:t>
                  </w:r>
                  <w:r>
                    <w:rPr>
                      <w:rFonts w:hint="default" w:ascii="Times New Roman" w:hAnsi="Times New Roman" w:cs="Times New Roman"/>
                      <w:sz w:val="21"/>
                      <w:szCs w:val="21"/>
                      <w:highlight w:val="none"/>
                      <w:vertAlign w:val="baseline"/>
                      <w:lang w:val="en-US" w:eastAsia="zh-CN"/>
                    </w:rPr>
                    <w:t>吨</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2.28</w:t>
                  </w:r>
                  <w:r>
                    <w:rPr>
                      <w:rFonts w:hint="default" w:ascii="Times New Roman" w:hAnsi="Times New Roman" w:cs="Times New Roman"/>
                      <w:sz w:val="21"/>
                      <w:szCs w:val="21"/>
                      <w:highlight w:val="none"/>
                      <w:vertAlign w:val="baseline"/>
                      <w:lang w:val="en-US" w:eastAsia="zh-CN"/>
                    </w:rPr>
                    <w:t>吨</w:t>
                  </w:r>
                </w:p>
              </w:tc>
              <w:tc>
                <w:tcPr>
                  <w:tcW w:w="17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83.21</w:t>
                  </w:r>
                  <w:r>
                    <w:rPr>
                      <w:rFonts w:hint="default" w:ascii="Times New Roman" w:hAnsi="Times New Roman"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64"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p>
              </w:tc>
              <w:tc>
                <w:tcPr>
                  <w:tcW w:w="147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柴油</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5.48</w:t>
                  </w:r>
                  <w:r>
                    <w:rPr>
                      <w:rFonts w:hint="default" w:ascii="Times New Roman" w:hAnsi="Times New Roman" w:cs="Times New Roman"/>
                      <w:sz w:val="21"/>
                      <w:szCs w:val="21"/>
                      <w:highlight w:val="none"/>
                      <w:vertAlign w:val="baseline"/>
                      <w:lang w:val="en-US" w:eastAsia="zh-CN"/>
                    </w:rPr>
                    <w:t>吨</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4.54</w:t>
                  </w:r>
                  <w:r>
                    <w:rPr>
                      <w:rFonts w:hint="default" w:ascii="Times New Roman" w:hAnsi="Times New Roman" w:cs="Times New Roman"/>
                      <w:sz w:val="21"/>
                      <w:szCs w:val="21"/>
                      <w:highlight w:val="none"/>
                      <w:vertAlign w:val="baseline"/>
                      <w:lang w:val="en-US" w:eastAsia="zh-CN"/>
                    </w:rPr>
                    <w:t>吨</w:t>
                  </w:r>
                </w:p>
              </w:tc>
              <w:tc>
                <w:tcPr>
                  <w:tcW w:w="17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82.85</w:t>
                  </w:r>
                  <w:r>
                    <w:rPr>
                      <w:rFonts w:hint="default" w:ascii="Times New Roman" w:hAnsi="Times New Roman" w:cs="Times New Roman"/>
                      <w:sz w:val="21"/>
                      <w:szCs w:val="21"/>
                      <w:highlight w:val="none"/>
                      <w:vertAlign w:val="baseline"/>
                      <w:lang w:val="en-US" w:eastAsia="zh-CN"/>
                    </w:rPr>
                    <w:t>%</w:t>
                  </w:r>
                </w:p>
              </w:tc>
            </w:tr>
          </w:tbl>
          <w:p>
            <w:pPr>
              <w:keepNext w:val="0"/>
              <w:keepLines w:val="0"/>
              <w:pageBreakBefore w:val="0"/>
              <w:widowControl w:val="0"/>
              <w:kinsoku/>
              <w:wordWrap/>
              <w:overflowPunct/>
              <w:topLinePunct w:val="0"/>
              <w:autoSpaceDE w:val="0"/>
              <w:autoSpaceDN w:val="0"/>
              <w:bidi w:val="0"/>
              <w:adjustRightInd/>
              <w:snapToGrid/>
              <w:spacing w:before="469" w:beforeLines="100" w:line="360" w:lineRule="auto"/>
              <w:ind w:firstLine="420" w:firstLineChars="200"/>
              <w:textAlignment w:val="auto"/>
              <w:rPr>
                <w:rFonts w:hint="eastAsia"/>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077" w:type="dxa"/>
            <w:tcBorders>
              <w:top w:val="single" w:color="auto" w:sz="4" w:space="0"/>
              <w:left w:val="single" w:color="auto" w:sz="4" w:space="0"/>
              <w:bottom w:val="single" w:color="auto" w:sz="4" w:space="0"/>
              <w:right w:val="single" w:color="auto" w:sz="4" w:space="0"/>
            </w:tcBorders>
            <w:noWrap w:val="0"/>
            <w:vAlign w:val="center"/>
          </w:tcPr>
          <w:p>
            <w:pPr>
              <w:pStyle w:val="4"/>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hAnsi="宋体"/>
                <w:b/>
                <w:sz w:val="28"/>
                <w:szCs w:val="28"/>
                <w:highlight w:val="none"/>
                <w:u w:val="none"/>
                <w:lang w:val="zh-CN" w:eastAsia="zh-CN"/>
              </w:rPr>
            </w:pPr>
            <w:r>
              <w:rPr>
                <w:rFonts w:hint="eastAsia" w:hAnsi="宋体"/>
                <w:b/>
                <w:sz w:val="28"/>
                <w:szCs w:val="28"/>
                <w:highlight w:val="none"/>
                <w:u w:val="none"/>
                <w:lang w:val="zh-CN" w:eastAsia="zh-CN"/>
              </w:rPr>
              <w:t>验收监测结果</w:t>
            </w:r>
          </w:p>
          <w:p>
            <w:pPr>
              <w:pStyle w:val="4"/>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hAnsi="宋体"/>
                <w:b/>
                <w:sz w:val="24"/>
                <w:highlight w:val="none"/>
                <w:u w:val="none"/>
                <w:lang w:val="en-US" w:eastAsia="zh-CN"/>
              </w:rPr>
            </w:pPr>
            <w:r>
              <w:rPr>
                <w:rFonts w:hint="eastAsia" w:hAnsi="宋体"/>
                <w:b/>
                <w:sz w:val="24"/>
                <w:highlight w:val="none"/>
                <w:u w:val="none"/>
                <w:lang w:val="en-US" w:eastAsia="zh-CN"/>
              </w:rPr>
              <w:t>一、环保设施处理效率监测结果</w:t>
            </w:r>
          </w:p>
          <w:p>
            <w:pPr>
              <w:tabs>
                <w:tab w:val="left" w:pos="924"/>
              </w:tabs>
              <w:adjustRightInd w:val="0"/>
              <w:snapToGrid w:val="0"/>
              <w:spacing w:line="360" w:lineRule="auto"/>
              <w:ind w:firstLine="480" w:firstLineChars="200"/>
              <w:jc w:val="left"/>
              <w:rPr>
                <w:rFonts w:hint="eastAsia" w:ascii="Times New Roman" w:hAnsi="Times New Roman" w:eastAsia="宋体" w:cs="Times New Roman"/>
                <w:bCs/>
                <w:snapToGrid w:val="0"/>
                <w:kern w:val="0"/>
                <w:sz w:val="24"/>
                <w:szCs w:val="24"/>
                <w:highlight w:val="none"/>
                <w:lang w:val="en-US" w:eastAsia="zh-CN"/>
              </w:rPr>
            </w:pPr>
            <w:r>
              <w:rPr>
                <w:rFonts w:hint="eastAsia" w:cs="Times New Roman"/>
                <w:bCs/>
                <w:snapToGrid w:val="0"/>
                <w:kern w:val="0"/>
                <w:sz w:val="24"/>
                <w:szCs w:val="24"/>
                <w:highlight w:val="none"/>
                <w:lang w:val="en-US" w:eastAsia="zh-CN"/>
              </w:rPr>
              <w:t>1</w:t>
            </w:r>
            <w:r>
              <w:rPr>
                <w:rFonts w:hint="eastAsia" w:ascii="Times New Roman" w:hAnsi="Times New Roman" w:eastAsia="宋体" w:cs="Times New Roman"/>
                <w:bCs/>
                <w:snapToGrid w:val="0"/>
                <w:kern w:val="0"/>
                <w:sz w:val="24"/>
                <w:szCs w:val="24"/>
                <w:highlight w:val="none"/>
                <w:lang w:val="en-US" w:eastAsia="zh-CN"/>
              </w:rPr>
              <w:t>、废气治理设施</w:t>
            </w:r>
          </w:p>
          <w:p>
            <w:pPr>
              <w:tabs>
                <w:tab w:val="left" w:pos="924"/>
              </w:tabs>
              <w:adjustRightInd w:val="0"/>
              <w:snapToGrid w:val="0"/>
              <w:spacing w:line="360" w:lineRule="auto"/>
              <w:ind w:firstLine="480" w:firstLineChars="200"/>
              <w:jc w:val="left"/>
              <w:rPr>
                <w:rFonts w:hint="default" w:ascii="Times New Roman" w:hAnsi="Times New Roman" w:eastAsia="宋体" w:cs="Times New Roman"/>
                <w:bCs/>
                <w:snapToGrid w:val="0"/>
                <w:kern w:val="0"/>
                <w:sz w:val="24"/>
                <w:szCs w:val="24"/>
                <w:highlight w:val="none"/>
                <w:lang w:val="en-US" w:eastAsia="zh-CN"/>
              </w:rPr>
            </w:pPr>
            <w:r>
              <w:rPr>
                <w:rFonts w:hint="default" w:ascii="Times New Roman" w:hAnsi="Times New Roman" w:eastAsia="宋体" w:cs="Times New Roman"/>
                <w:bCs/>
                <w:snapToGrid w:val="0"/>
                <w:kern w:val="0"/>
                <w:sz w:val="24"/>
                <w:szCs w:val="24"/>
                <w:highlight w:val="none"/>
                <w:lang w:val="en-US" w:eastAsia="zh-CN"/>
              </w:rPr>
              <w:t>本项目运营期产生的大气污染物主要为在油气灌装（卸油）、储存（静储）、加油等过程中挥发产生的油气（非甲烷总烃）</w:t>
            </w:r>
            <w:r>
              <w:rPr>
                <w:rFonts w:hint="eastAsia" w:ascii="Times New Roman" w:hAnsi="Times New Roman" w:eastAsia="宋体" w:cs="Times New Roman"/>
                <w:bCs/>
                <w:snapToGrid w:val="0"/>
                <w:kern w:val="0"/>
                <w:sz w:val="24"/>
                <w:szCs w:val="24"/>
                <w:highlight w:val="none"/>
                <w:lang w:val="en-US" w:eastAsia="zh-CN"/>
              </w:rPr>
              <w:t>，项目已配备三级油气回收装置</w:t>
            </w:r>
            <w:r>
              <w:rPr>
                <w:rFonts w:hint="eastAsia" w:cs="Times New Roman"/>
                <w:bCs/>
                <w:snapToGrid w:val="0"/>
                <w:kern w:val="0"/>
                <w:sz w:val="24"/>
                <w:szCs w:val="24"/>
                <w:highlight w:val="none"/>
                <w:lang w:val="en-US" w:eastAsia="zh-CN"/>
              </w:rPr>
              <w:t>，可实现废气达标排放</w:t>
            </w:r>
            <w:r>
              <w:rPr>
                <w:rFonts w:hint="eastAsia" w:ascii="Times New Roman" w:hAnsi="Times New Roman" w:eastAsia="宋体" w:cs="Times New Roman"/>
                <w:bCs/>
                <w:snapToGrid w:val="0"/>
                <w:kern w:val="0"/>
                <w:sz w:val="24"/>
                <w:szCs w:val="24"/>
                <w:highlight w:val="none"/>
                <w:lang w:val="en-US" w:eastAsia="zh-CN"/>
              </w:rPr>
              <w:t>。</w:t>
            </w:r>
          </w:p>
          <w:p>
            <w:pPr>
              <w:tabs>
                <w:tab w:val="left" w:pos="924"/>
              </w:tabs>
              <w:adjustRightInd w:val="0"/>
              <w:snapToGrid w:val="0"/>
              <w:spacing w:line="360" w:lineRule="auto"/>
              <w:ind w:firstLine="480" w:firstLineChars="200"/>
              <w:jc w:val="left"/>
              <w:rPr>
                <w:rFonts w:hint="eastAsia" w:ascii="Times New Roman" w:hAnsi="Times New Roman" w:eastAsia="宋体" w:cs="Times New Roman"/>
                <w:bCs/>
                <w:snapToGrid w:val="0"/>
                <w:kern w:val="0"/>
                <w:sz w:val="24"/>
                <w:szCs w:val="24"/>
                <w:highlight w:val="none"/>
                <w:lang w:val="en-US" w:eastAsia="zh-CN"/>
              </w:rPr>
            </w:pPr>
            <w:r>
              <w:rPr>
                <w:rFonts w:hint="eastAsia" w:cs="Times New Roman"/>
                <w:bCs/>
                <w:snapToGrid w:val="0"/>
                <w:kern w:val="0"/>
                <w:sz w:val="24"/>
                <w:szCs w:val="24"/>
                <w:highlight w:val="none"/>
                <w:lang w:val="en-US" w:eastAsia="zh-CN"/>
              </w:rPr>
              <w:t>2</w:t>
            </w:r>
            <w:r>
              <w:rPr>
                <w:rFonts w:hint="eastAsia" w:ascii="Times New Roman" w:hAnsi="Times New Roman" w:eastAsia="宋体" w:cs="Times New Roman"/>
                <w:bCs/>
                <w:snapToGrid w:val="0"/>
                <w:kern w:val="0"/>
                <w:sz w:val="24"/>
                <w:szCs w:val="24"/>
                <w:highlight w:val="none"/>
                <w:lang w:val="en-US" w:eastAsia="zh-CN"/>
              </w:rPr>
              <w:t>、废水治理设施</w:t>
            </w:r>
          </w:p>
          <w:p>
            <w:pPr>
              <w:adjustRightInd w:val="0"/>
              <w:snapToGrid w:val="0"/>
              <w:spacing w:line="360" w:lineRule="auto"/>
              <w:ind w:firstLine="480" w:firstLineChars="200"/>
              <w:rPr>
                <w:rFonts w:hint="eastAsia" w:ascii="Times New Roman" w:hAnsi="Times New Roman" w:cs="Times New Roman"/>
                <w:snapToGrid w:val="0"/>
                <w:kern w:val="0"/>
                <w:sz w:val="24"/>
                <w:szCs w:val="24"/>
                <w:highlight w:val="none"/>
                <w:lang w:eastAsia="zh-CN"/>
              </w:rPr>
            </w:pPr>
            <w:r>
              <w:rPr>
                <w:rFonts w:hint="eastAsia"/>
                <w:snapToGrid w:val="0"/>
                <w:kern w:val="0"/>
                <w:sz w:val="24"/>
                <w:szCs w:val="24"/>
                <w:highlight w:val="none"/>
              </w:rPr>
              <w:t>本</w:t>
            </w:r>
            <w:r>
              <w:rPr>
                <w:rFonts w:hint="eastAsia" w:ascii="Times New Roman" w:hAnsi="Times New Roman" w:cs="Times New Roman"/>
                <w:snapToGrid w:val="0"/>
                <w:kern w:val="0"/>
                <w:sz w:val="24"/>
                <w:szCs w:val="24"/>
                <w:highlight w:val="none"/>
              </w:rPr>
              <w:t>项目排水采用雨污分流，加油岛四周设雨水收集沟槽，雨水经隔油池处理后排入场外排水渠，最终进入赤水河</w:t>
            </w:r>
            <w:r>
              <w:rPr>
                <w:rFonts w:hint="eastAsia" w:ascii="Times New Roman" w:hAnsi="Times New Roman" w:cs="Times New Roman"/>
                <w:snapToGrid w:val="0"/>
                <w:kern w:val="0"/>
                <w:sz w:val="24"/>
                <w:szCs w:val="24"/>
                <w:highlight w:val="none"/>
                <w:lang w:eastAsia="zh-CN"/>
              </w:rPr>
              <w:t>。</w:t>
            </w:r>
          </w:p>
          <w:p>
            <w:pPr>
              <w:adjustRightInd w:val="0"/>
              <w:snapToGrid w:val="0"/>
              <w:spacing w:line="360" w:lineRule="auto"/>
              <w:ind w:firstLine="480" w:firstLineChars="200"/>
              <w:rPr>
                <w:rFonts w:hint="eastAsia" w:ascii="宋体" w:hAnsi="宋体" w:eastAsia="宋体" w:cs="宋体"/>
                <w:b w:val="0"/>
                <w:color w:val="auto"/>
                <w:kern w:val="24"/>
                <w:sz w:val="24"/>
                <w:szCs w:val="21"/>
                <w:highlight w:val="none"/>
                <w:lang w:val="en-US" w:eastAsia="zh-CN" w:bidi="ar-SA"/>
              </w:rPr>
            </w:pPr>
            <w:r>
              <w:rPr>
                <w:rFonts w:hint="eastAsia" w:ascii="Times New Roman" w:hAnsi="Times New Roman" w:cs="Times New Roman"/>
                <w:snapToGrid w:val="0"/>
                <w:kern w:val="0"/>
                <w:sz w:val="24"/>
                <w:szCs w:val="24"/>
                <w:highlight w:val="none"/>
              </w:rPr>
              <w:t>项目场地冲洗废水经隔油池处理后和生活污水一并进入渭南至玉山高速公路华州服务区一体化埋地式中水回用膜处理统</w:t>
            </w:r>
            <w:r>
              <w:rPr>
                <w:rFonts w:hint="eastAsia" w:ascii="Times New Roman" w:hAnsi="Times New Roman" w:cs="Times New Roman"/>
                <w:snapToGrid w:val="0"/>
                <w:kern w:val="0"/>
                <w:sz w:val="24"/>
                <w:szCs w:val="24"/>
                <w:highlight w:val="none"/>
                <w:lang w:eastAsia="zh-CN"/>
              </w:rPr>
              <w:t>一</w:t>
            </w:r>
            <w:r>
              <w:rPr>
                <w:rFonts w:hint="eastAsia" w:ascii="Times New Roman" w:hAnsi="Times New Roman" w:cs="Times New Roman"/>
                <w:snapToGrid w:val="0"/>
                <w:kern w:val="0"/>
                <w:sz w:val="24"/>
                <w:szCs w:val="24"/>
                <w:highlight w:val="none"/>
              </w:rPr>
              <w:t>处理后回用于服务区厕所用水和服务区绿化用水</w:t>
            </w:r>
            <w:r>
              <w:rPr>
                <w:rFonts w:hint="eastAsia" w:ascii="Times New Roman" w:hAnsi="Times New Roman" w:cs="Times New Roman"/>
                <w:snapToGrid w:val="0"/>
                <w:kern w:val="0"/>
                <w:sz w:val="24"/>
                <w:szCs w:val="24"/>
                <w:highlight w:val="none"/>
                <w:lang w:eastAsia="zh-CN"/>
              </w:rPr>
              <w:t>，</w:t>
            </w:r>
            <w:r>
              <w:rPr>
                <w:rFonts w:hint="eastAsia" w:ascii="宋体" w:hAnsi="宋体" w:eastAsia="宋体" w:cs="宋体"/>
                <w:b w:val="0"/>
                <w:color w:val="auto"/>
                <w:kern w:val="24"/>
                <w:sz w:val="24"/>
                <w:szCs w:val="21"/>
                <w:highlight w:val="none"/>
                <w:lang w:val="en-US" w:eastAsia="zh-CN" w:bidi="ar-SA"/>
              </w:rPr>
              <w:t>不外排。</w:t>
            </w:r>
          </w:p>
          <w:p>
            <w:pPr>
              <w:tabs>
                <w:tab w:val="left" w:pos="924"/>
              </w:tabs>
              <w:adjustRightInd w:val="0"/>
              <w:snapToGrid w:val="0"/>
              <w:spacing w:line="360" w:lineRule="auto"/>
              <w:ind w:firstLine="480" w:firstLineChars="200"/>
              <w:jc w:val="left"/>
              <w:rPr>
                <w:rFonts w:hint="eastAsia" w:ascii="Times New Roman" w:hAnsi="Times New Roman" w:eastAsia="宋体" w:cs="Times New Roman"/>
                <w:bCs/>
                <w:snapToGrid w:val="0"/>
                <w:kern w:val="0"/>
                <w:sz w:val="24"/>
                <w:szCs w:val="24"/>
                <w:highlight w:val="none"/>
                <w:lang w:val="en-US" w:eastAsia="zh-CN"/>
              </w:rPr>
            </w:pPr>
            <w:r>
              <w:rPr>
                <w:rFonts w:hint="eastAsia" w:ascii="Times New Roman" w:hAnsi="Times New Roman" w:eastAsia="宋体" w:cs="Times New Roman"/>
                <w:bCs/>
                <w:snapToGrid w:val="0"/>
                <w:kern w:val="0"/>
                <w:sz w:val="24"/>
                <w:szCs w:val="24"/>
                <w:highlight w:val="none"/>
                <w:lang w:val="en-US" w:eastAsia="zh-CN"/>
              </w:rPr>
              <w:t>3、噪声治理设施</w:t>
            </w:r>
          </w:p>
          <w:p>
            <w:pPr>
              <w:tabs>
                <w:tab w:val="left" w:pos="924"/>
              </w:tabs>
              <w:adjustRightInd w:val="0"/>
              <w:snapToGrid w:val="0"/>
              <w:spacing w:line="360" w:lineRule="auto"/>
              <w:ind w:firstLine="480" w:firstLineChars="200"/>
              <w:jc w:val="left"/>
              <w:rPr>
                <w:rFonts w:hint="default"/>
                <w:highlight w:val="none"/>
                <w:lang w:val="en-US" w:eastAsia="zh-CN"/>
              </w:rPr>
            </w:pPr>
            <w:r>
              <w:rPr>
                <w:snapToGrid w:val="0"/>
                <w:color w:val="000000"/>
                <w:kern w:val="0"/>
                <w:sz w:val="24"/>
                <w:szCs w:val="24"/>
                <w:highlight w:val="none"/>
              </w:rPr>
              <w:t>本项目运营期噪声主要为潜油泵、加油机及进出车辆产生的噪声。其中潜油泵置于地下，隔声效果良好；加油机的噪声</w:t>
            </w:r>
            <w:r>
              <w:rPr>
                <w:bCs/>
                <w:snapToGrid w:val="0"/>
                <w:kern w:val="0"/>
                <w:sz w:val="24"/>
                <w:szCs w:val="24"/>
                <w:highlight w:val="none"/>
              </w:rPr>
              <w:t>充分利用</w:t>
            </w:r>
            <w:r>
              <w:rPr>
                <w:rFonts w:hint="eastAsia"/>
                <w:bCs/>
                <w:snapToGrid w:val="0"/>
                <w:kern w:val="0"/>
                <w:sz w:val="24"/>
                <w:szCs w:val="24"/>
                <w:highlight w:val="none"/>
                <w:lang w:eastAsia="zh-CN"/>
              </w:rPr>
              <w:t>项目周围</w:t>
            </w:r>
            <w:r>
              <w:rPr>
                <w:bCs/>
                <w:snapToGrid w:val="0"/>
                <w:kern w:val="0"/>
                <w:sz w:val="24"/>
                <w:szCs w:val="24"/>
                <w:highlight w:val="none"/>
              </w:rPr>
              <w:t>建构筑物、绿化带阻隔声波传播，减少对周围声环境的影响</w:t>
            </w:r>
            <w:r>
              <w:rPr>
                <w:rFonts w:hint="eastAsia"/>
                <w:bCs/>
                <w:snapToGrid w:val="0"/>
                <w:kern w:val="0"/>
                <w:sz w:val="24"/>
                <w:szCs w:val="24"/>
                <w:highlight w:val="none"/>
                <w:lang w:eastAsia="zh-CN"/>
              </w:rPr>
              <w:t>；</w:t>
            </w:r>
            <w:r>
              <w:rPr>
                <w:rFonts w:hint="default" w:ascii="Times New Roman" w:hAnsi="Times New Roman" w:eastAsia="宋体" w:cs="Times New Roman"/>
                <w:bCs/>
                <w:snapToGrid w:val="0"/>
                <w:kern w:val="0"/>
                <w:sz w:val="24"/>
                <w:szCs w:val="24"/>
                <w:highlight w:val="none"/>
                <w:lang w:val="en-US" w:eastAsia="zh-CN"/>
              </w:rPr>
              <w:t>出入区域内来往的机动车严格管理，采取车辆进站时减速、禁止鸣笛、加油时车辆熄火和平稳启动等措施</w:t>
            </w:r>
            <w:r>
              <w:rPr>
                <w:rFonts w:hint="eastAsia" w:ascii="Times New Roman" w:hAnsi="Times New Roman" w:eastAsia="宋体" w:cs="Times New Roman"/>
                <w:bCs/>
                <w:snapToGrid w:val="0"/>
                <w:kern w:val="0"/>
                <w:sz w:val="24"/>
                <w:szCs w:val="24"/>
                <w:highlight w:val="none"/>
                <w:lang w:val="en-US" w:eastAsia="zh-CN"/>
              </w:rPr>
              <w:t>。</w:t>
            </w:r>
          </w:p>
          <w:p>
            <w:pPr>
              <w:pStyle w:val="4"/>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hAnsi="宋体"/>
                <w:b/>
                <w:sz w:val="24"/>
                <w:highlight w:val="none"/>
                <w:u w:val="none"/>
                <w:lang w:val="en-US" w:eastAsia="zh-CN"/>
              </w:rPr>
            </w:pPr>
            <w:r>
              <w:rPr>
                <w:rFonts w:hint="eastAsia" w:hAnsi="宋体"/>
                <w:b/>
                <w:sz w:val="24"/>
                <w:highlight w:val="none"/>
                <w:u w:val="none"/>
                <w:lang w:val="en-US" w:eastAsia="zh-CN"/>
              </w:rPr>
              <w:t>二、污染物排放监测结果</w:t>
            </w:r>
          </w:p>
          <w:p>
            <w:pPr>
              <w:tabs>
                <w:tab w:val="left" w:pos="924"/>
              </w:tabs>
              <w:adjustRightInd w:val="0"/>
              <w:snapToGrid w:val="0"/>
              <w:spacing w:line="360" w:lineRule="auto"/>
              <w:ind w:firstLine="480" w:firstLineChars="200"/>
              <w:jc w:val="left"/>
              <w:rPr>
                <w:rFonts w:hint="default" w:ascii="Times New Roman" w:hAnsi="Times New Roman" w:eastAsia="宋体" w:cs="Times New Roman"/>
                <w:bCs/>
                <w:snapToGrid w:val="0"/>
                <w:kern w:val="0"/>
                <w:sz w:val="24"/>
                <w:szCs w:val="24"/>
                <w:highlight w:val="none"/>
                <w:lang w:val="en-US" w:eastAsia="zh-CN"/>
              </w:rPr>
            </w:pPr>
            <w:r>
              <w:rPr>
                <w:rFonts w:hint="eastAsia" w:ascii="Times New Roman" w:hAnsi="Times New Roman" w:eastAsia="宋体" w:cs="Times New Roman"/>
                <w:bCs/>
                <w:snapToGrid w:val="0"/>
                <w:kern w:val="0"/>
                <w:sz w:val="24"/>
                <w:szCs w:val="24"/>
                <w:highlight w:val="none"/>
                <w:lang w:val="en-US" w:eastAsia="zh-CN"/>
              </w:rPr>
              <w:t>项目委托陕西同元环境检测有限公司于201</w:t>
            </w:r>
            <w:r>
              <w:rPr>
                <w:rFonts w:hint="eastAsia" w:cs="Times New Roman"/>
                <w:bCs/>
                <w:snapToGrid w:val="0"/>
                <w:kern w:val="0"/>
                <w:sz w:val="24"/>
                <w:szCs w:val="24"/>
                <w:highlight w:val="none"/>
                <w:lang w:val="en-US" w:eastAsia="zh-CN"/>
              </w:rPr>
              <w:t>9</w:t>
            </w:r>
            <w:r>
              <w:rPr>
                <w:rFonts w:hint="eastAsia" w:ascii="Times New Roman" w:hAnsi="Times New Roman" w:eastAsia="宋体" w:cs="Times New Roman"/>
                <w:bCs/>
                <w:snapToGrid w:val="0"/>
                <w:kern w:val="0"/>
                <w:sz w:val="24"/>
                <w:szCs w:val="24"/>
                <w:highlight w:val="none"/>
                <w:lang w:val="en-US" w:eastAsia="zh-CN"/>
              </w:rPr>
              <w:t>年11月1</w:t>
            </w:r>
            <w:r>
              <w:rPr>
                <w:rFonts w:hint="eastAsia" w:cs="Times New Roman"/>
                <w:bCs/>
                <w:snapToGrid w:val="0"/>
                <w:kern w:val="0"/>
                <w:sz w:val="24"/>
                <w:szCs w:val="24"/>
                <w:highlight w:val="none"/>
                <w:lang w:val="en-US" w:eastAsia="zh-CN"/>
              </w:rPr>
              <w:t>1</w:t>
            </w:r>
            <w:r>
              <w:rPr>
                <w:rFonts w:hint="eastAsia" w:ascii="Times New Roman" w:hAnsi="Times New Roman" w:eastAsia="宋体" w:cs="Times New Roman"/>
                <w:bCs/>
                <w:snapToGrid w:val="0"/>
                <w:kern w:val="0"/>
                <w:sz w:val="24"/>
                <w:szCs w:val="24"/>
                <w:highlight w:val="none"/>
                <w:lang w:val="en-US" w:eastAsia="zh-CN"/>
              </w:rPr>
              <w:t>日～11月1</w:t>
            </w:r>
            <w:r>
              <w:rPr>
                <w:rFonts w:hint="eastAsia" w:cs="Times New Roman"/>
                <w:bCs/>
                <w:snapToGrid w:val="0"/>
                <w:kern w:val="0"/>
                <w:sz w:val="24"/>
                <w:szCs w:val="24"/>
                <w:highlight w:val="none"/>
                <w:lang w:val="en-US" w:eastAsia="zh-CN"/>
              </w:rPr>
              <w:t>2</w:t>
            </w:r>
            <w:r>
              <w:rPr>
                <w:rFonts w:hint="eastAsia" w:ascii="Times New Roman" w:hAnsi="Times New Roman" w:eastAsia="宋体" w:cs="Times New Roman"/>
                <w:bCs/>
                <w:snapToGrid w:val="0"/>
                <w:kern w:val="0"/>
                <w:sz w:val="24"/>
                <w:szCs w:val="24"/>
                <w:highlight w:val="none"/>
                <w:lang w:val="en-US" w:eastAsia="zh-CN"/>
              </w:rPr>
              <w:t>日对项目进行验收监测，并出具</w:t>
            </w:r>
            <w:r>
              <w:rPr>
                <w:rFonts w:hint="default" w:ascii="Times New Roman" w:hAnsi="Times New Roman" w:eastAsia="宋体" w:cs="Times New Roman"/>
                <w:bCs/>
                <w:snapToGrid w:val="0"/>
                <w:kern w:val="0"/>
                <w:sz w:val="24"/>
                <w:szCs w:val="24"/>
                <w:highlight w:val="none"/>
                <w:lang w:val="en-US" w:eastAsia="zh-CN"/>
              </w:rPr>
              <w:t>《</w:t>
            </w:r>
            <w:r>
              <w:rPr>
                <w:rFonts w:hint="eastAsia" w:ascii="Times New Roman" w:hAnsi="Times New Roman" w:eastAsia="宋体" w:cs="Times New Roman"/>
                <w:bCs/>
                <w:snapToGrid w:val="0"/>
                <w:kern w:val="0"/>
                <w:sz w:val="24"/>
                <w:szCs w:val="24"/>
                <w:highlight w:val="none"/>
                <w:lang w:val="en-US" w:eastAsia="zh-CN"/>
              </w:rPr>
              <w:t>陕西省石油化工工业贸易有限公司华州服务区</w:t>
            </w:r>
            <w:r>
              <w:rPr>
                <w:rFonts w:hint="eastAsia" w:ascii="Times New Roman" w:hAnsi="Times New Roman" w:cs="Times New Roman"/>
                <w:bCs/>
                <w:snapToGrid w:val="0"/>
                <w:kern w:val="0"/>
                <w:sz w:val="24"/>
                <w:szCs w:val="24"/>
                <w:highlight w:val="none"/>
                <w:lang w:val="en-US" w:eastAsia="zh-CN"/>
              </w:rPr>
              <w:t>西</w:t>
            </w:r>
            <w:r>
              <w:rPr>
                <w:rFonts w:hint="eastAsia" w:ascii="Times New Roman" w:hAnsi="Times New Roman" w:eastAsia="宋体" w:cs="Times New Roman"/>
                <w:bCs/>
                <w:snapToGrid w:val="0"/>
                <w:kern w:val="0"/>
                <w:sz w:val="24"/>
                <w:szCs w:val="24"/>
                <w:highlight w:val="none"/>
                <w:lang w:val="en-US" w:eastAsia="zh-CN"/>
              </w:rPr>
              <w:t>加油站项目</w:t>
            </w:r>
            <w:r>
              <w:rPr>
                <w:rFonts w:hint="default" w:ascii="Times New Roman" w:hAnsi="Times New Roman" w:eastAsia="宋体" w:cs="Times New Roman"/>
                <w:bCs/>
                <w:snapToGrid w:val="0"/>
                <w:kern w:val="0"/>
                <w:sz w:val="24"/>
                <w:szCs w:val="24"/>
                <w:highlight w:val="none"/>
                <w:lang w:val="en-US" w:eastAsia="zh-CN"/>
              </w:rPr>
              <w:t>》监测报告（</w:t>
            </w:r>
            <w:r>
              <w:rPr>
                <w:rFonts w:hint="eastAsia" w:ascii="Times New Roman" w:hAnsi="Times New Roman" w:eastAsia="宋体" w:cs="Times New Roman"/>
                <w:bCs/>
                <w:snapToGrid w:val="0"/>
                <w:kern w:val="0"/>
                <w:sz w:val="24"/>
                <w:szCs w:val="24"/>
                <w:highlight w:val="none"/>
                <w:lang w:val="en-US" w:eastAsia="zh-CN"/>
              </w:rPr>
              <w:t>同元监(现)字（201</w:t>
            </w:r>
            <w:r>
              <w:rPr>
                <w:rFonts w:hint="eastAsia" w:cs="Times New Roman"/>
                <w:bCs/>
                <w:snapToGrid w:val="0"/>
                <w:kern w:val="0"/>
                <w:sz w:val="24"/>
                <w:szCs w:val="24"/>
                <w:highlight w:val="none"/>
                <w:lang w:val="en-US" w:eastAsia="zh-CN"/>
              </w:rPr>
              <w:t>9</w:t>
            </w:r>
            <w:r>
              <w:rPr>
                <w:rFonts w:hint="eastAsia" w:ascii="Times New Roman" w:hAnsi="Times New Roman" w:eastAsia="宋体" w:cs="Times New Roman"/>
                <w:bCs/>
                <w:snapToGrid w:val="0"/>
                <w:kern w:val="0"/>
                <w:sz w:val="24"/>
                <w:szCs w:val="24"/>
                <w:highlight w:val="none"/>
                <w:lang w:val="en-US" w:eastAsia="zh-CN"/>
              </w:rPr>
              <w:t>）第</w:t>
            </w:r>
            <w:r>
              <w:rPr>
                <w:rFonts w:hint="eastAsia" w:cs="Times New Roman"/>
                <w:bCs/>
                <w:snapToGrid w:val="0"/>
                <w:kern w:val="0"/>
                <w:sz w:val="24"/>
                <w:szCs w:val="24"/>
                <w:highlight w:val="none"/>
                <w:lang w:val="en-US" w:eastAsia="zh-CN"/>
              </w:rPr>
              <w:t>235</w:t>
            </w:r>
            <w:r>
              <w:rPr>
                <w:rFonts w:hint="eastAsia" w:ascii="Times New Roman" w:hAnsi="Times New Roman" w:eastAsia="宋体" w:cs="Times New Roman"/>
                <w:bCs/>
                <w:snapToGrid w:val="0"/>
                <w:kern w:val="0"/>
                <w:sz w:val="24"/>
                <w:szCs w:val="24"/>
                <w:highlight w:val="none"/>
                <w:lang w:val="en-US" w:eastAsia="zh-CN"/>
              </w:rPr>
              <w:t>号</w:t>
            </w:r>
            <w:r>
              <w:rPr>
                <w:rFonts w:hint="default" w:ascii="Times New Roman" w:hAnsi="Times New Roman" w:eastAsia="宋体" w:cs="Times New Roman"/>
                <w:bCs/>
                <w:snapToGrid w:val="0"/>
                <w:kern w:val="0"/>
                <w:sz w:val="24"/>
                <w:szCs w:val="24"/>
                <w:highlight w:val="none"/>
                <w:lang w:val="en-US" w:eastAsia="zh-CN"/>
              </w:rPr>
              <w:t>）</w:t>
            </w:r>
            <w:r>
              <w:rPr>
                <w:rFonts w:hint="eastAsia" w:ascii="Times New Roman" w:hAnsi="Times New Roman" w:eastAsia="宋体" w:cs="Times New Roman"/>
                <w:bCs/>
                <w:snapToGrid w:val="0"/>
                <w:kern w:val="0"/>
                <w:sz w:val="24"/>
                <w:szCs w:val="24"/>
                <w:highlight w:val="none"/>
                <w:lang w:val="en-US" w:eastAsia="zh-CN"/>
              </w:rPr>
              <w:t>。</w:t>
            </w:r>
          </w:p>
          <w:p>
            <w:pPr>
              <w:numPr>
                <w:ilvl w:val="0"/>
                <w:numId w:val="5"/>
              </w:numPr>
              <w:adjustRightInd w:val="0"/>
              <w:snapToGrid w:val="0"/>
              <w:spacing w:line="360" w:lineRule="auto"/>
              <w:ind w:firstLine="480" w:firstLineChars="200"/>
              <w:rPr>
                <w:rFonts w:hint="eastAsia" w:ascii="Times New Roman" w:hAnsi="Times New Roman" w:eastAsia="宋体" w:cs="Times New Roman"/>
                <w:bCs/>
                <w:snapToGrid w:val="0"/>
                <w:kern w:val="0"/>
                <w:sz w:val="24"/>
                <w:szCs w:val="24"/>
                <w:highlight w:val="none"/>
                <w:lang w:val="en-US" w:eastAsia="zh-CN"/>
              </w:rPr>
            </w:pPr>
            <w:r>
              <w:rPr>
                <w:rFonts w:hint="eastAsia" w:ascii="Times New Roman" w:hAnsi="Times New Roman" w:eastAsia="宋体" w:cs="Times New Roman"/>
                <w:bCs/>
                <w:snapToGrid w:val="0"/>
                <w:kern w:val="0"/>
                <w:sz w:val="24"/>
                <w:szCs w:val="24"/>
                <w:highlight w:val="none"/>
                <w:lang w:val="en-US" w:eastAsia="zh-CN"/>
              </w:rPr>
              <w:t>废气</w:t>
            </w:r>
          </w:p>
          <w:p>
            <w:pPr>
              <w:tabs>
                <w:tab w:val="left" w:pos="924"/>
              </w:tabs>
              <w:adjustRightInd w:val="0"/>
              <w:snapToGrid w:val="0"/>
              <w:spacing w:line="360" w:lineRule="auto"/>
              <w:ind w:firstLine="480" w:firstLineChars="200"/>
              <w:jc w:val="left"/>
              <w:rPr>
                <w:rFonts w:hint="eastAsia" w:ascii="Times New Roman" w:hAnsi="Times New Roman" w:eastAsia="宋体" w:cs="Times New Roman"/>
                <w:bCs/>
                <w:snapToGrid w:val="0"/>
                <w:kern w:val="0"/>
                <w:sz w:val="24"/>
                <w:szCs w:val="24"/>
                <w:highlight w:val="none"/>
                <w:lang w:val="en-US" w:eastAsia="zh-CN"/>
              </w:rPr>
            </w:pPr>
            <w:r>
              <w:rPr>
                <w:rFonts w:hint="eastAsia" w:ascii="Times New Roman" w:hAnsi="Times New Roman" w:eastAsia="宋体" w:cs="Times New Roman"/>
                <w:bCs/>
                <w:snapToGrid w:val="0"/>
                <w:kern w:val="0"/>
                <w:sz w:val="24"/>
                <w:szCs w:val="24"/>
                <w:highlight w:val="none"/>
                <w:lang w:val="en-US" w:eastAsia="zh-CN"/>
              </w:rPr>
              <w:t>201</w:t>
            </w:r>
            <w:r>
              <w:rPr>
                <w:rFonts w:hint="eastAsia" w:cs="Times New Roman"/>
                <w:bCs/>
                <w:snapToGrid w:val="0"/>
                <w:kern w:val="0"/>
                <w:sz w:val="24"/>
                <w:szCs w:val="24"/>
                <w:highlight w:val="none"/>
                <w:lang w:val="en-US" w:eastAsia="zh-CN"/>
              </w:rPr>
              <w:t>9</w:t>
            </w:r>
            <w:r>
              <w:rPr>
                <w:rFonts w:hint="eastAsia" w:ascii="Times New Roman" w:hAnsi="Times New Roman" w:eastAsia="宋体" w:cs="Times New Roman"/>
                <w:bCs/>
                <w:snapToGrid w:val="0"/>
                <w:kern w:val="0"/>
                <w:sz w:val="24"/>
                <w:szCs w:val="24"/>
                <w:highlight w:val="none"/>
                <w:lang w:val="en-US" w:eastAsia="zh-CN"/>
              </w:rPr>
              <w:t>年11月1</w:t>
            </w:r>
            <w:r>
              <w:rPr>
                <w:rFonts w:hint="eastAsia" w:cs="Times New Roman"/>
                <w:bCs/>
                <w:snapToGrid w:val="0"/>
                <w:kern w:val="0"/>
                <w:sz w:val="24"/>
                <w:szCs w:val="24"/>
                <w:highlight w:val="none"/>
                <w:lang w:val="en-US" w:eastAsia="zh-CN"/>
              </w:rPr>
              <w:t>1</w:t>
            </w:r>
            <w:r>
              <w:rPr>
                <w:rFonts w:hint="eastAsia" w:ascii="Times New Roman" w:hAnsi="Times New Roman" w:eastAsia="宋体" w:cs="Times New Roman"/>
                <w:bCs/>
                <w:snapToGrid w:val="0"/>
                <w:kern w:val="0"/>
                <w:sz w:val="24"/>
                <w:szCs w:val="24"/>
                <w:highlight w:val="none"/>
                <w:lang w:val="en-US" w:eastAsia="zh-CN"/>
              </w:rPr>
              <w:t>日～11月1</w:t>
            </w:r>
            <w:r>
              <w:rPr>
                <w:rFonts w:hint="eastAsia" w:cs="Times New Roman"/>
                <w:bCs/>
                <w:snapToGrid w:val="0"/>
                <w:kern w:val="0"/>
                <w:sz w:val="24"/>
                <w:szCs w:val="24"/>
                <w:highlight w:val="none"/>
                <w:lang w:val="en-US" w:eastAsia="zh-CN"/>
              </w:rPr>
              <w:t>2</w:t>
            </w:r>
            <w:r>
              <w:rPr>
                <w:rFonts w:hint="eastAsia" w:ascii="Times New Roman" w:hAnsi="Times New Roman" w:eastAsia="宋体" w:cs="Times New Roman"/>
                <w:bCs/>
                <w:snapToGrid w:val="0"/>
                <w:kern w:val="0"/>
                <w:sz w:val="24"/>
                <w:szCs w:val="24"/>
                <w:highlight w:val="none"/>
                <w:lang w:val="en-US" w:eastAsia="zh-CN"/>
              </w:rPr>
              <w:t>日验收期间，项目各监测点</w:t>
            </w:r>
            <w:r>
              <w:rPr>
                <w:rFonts w:hint="default" w:ascii="Times New Roman" w:hAnsi="Times New Roman" w:eastAsia="宋体" w:cs="Times New Roman"/>
                <w:bCs/>
                <w:snapToGrid w:val="0"/>
                <w:kern w:val="0"/>
                <w:sz w:val="24"/>
                <w:szCs w:val="24"/>
                <w:highlight w:val="none"/>
                <w:lang w:val="en-US" w:eastAsia="zh-CN"/>
              </w:rPr>
              <w:t>无组织废气监控点非甲烷总烃浓度均符合《大气污染物综合排放标准》（GB16297-1996）表2中无组织排放监控浓度</w:t>
            </w:r>
            <w:r>
              <w:rPr>
                <w:rFonts w:hint="eastAsia" w:ascii="Times New Roman" w:hAnsi="Times New Roman" w:eastAsia="宋体" w:cstheme="minorBidi"/>
                <w:bCs/>
                <w:iCs/>
                <w:color w:val="auto"/>
                <w:sz w:val="24"/>
                <w:szCs w:val="32"/>
                <w:highlight w:val="none"/>
                <w:lang w:val="en-US" w:eastAsia="zh-CN" w:bidi="ar-SA"/>
              </w:rPr>
              <w:t>限值标</w:t>
            </w:r>
            <w:r>
              <w:rPr>
                <w:rFonts w:hint="eastAsia" w:cstheme="minorBidi"/>
                <w:bCs/>
                <w:iCs/>
                <w:color w:val="auto"/>
                <w:sz w:val="24"/>
                <w:szCs w:val="32"/>
                <w:highlight w:val="none"/>
                <w:lang w:val="en-US" w:eastAsia="zh-CN" w:bidi="ar-SA"/>
              </w:rPr>
              <w:t>准</w:t>
            </w:r>
            <w:r>
              <w:rPr>
                <w:rFonts w:hint="eastAsia" w:ascii="Times New Roman" w:hAnsi="Times New Roman" w:eastAsia="宋体" w:cs="Times New Roman"/>
                <w:bCs/>
                <w:snapToGrid w:val="0"/>
                <w:kern w:val="0"/>
                <w:sz w:val="24"/>
                <w:szCs w:val="24"/>
                <w:highlight w:val="none"/>
                <w:lang w:val="en-US" w:eastAsia="zh-CN"/>
              </w:rPr>
              <w:t>，油气回收装置排放口监控点非甲烷总烃浓度符合《加油站大气污染物排放标准》（GB20952-2007）</w:t>
            </w:r>
            <w:r>
              <w:rPr>
                <w:rFonts w:hint="eastAsia" w:ascii="Times New Roman" w:hAnsi="Times New Roman" w:eastAsia="宋体" w:cstheme="minorBidi"/>
                <w:bCs/>
                <w:iCs/>
                <w:color w:val="auto"/>
                <w:sz w:val="24"/>
                <w:szCs w:val="32"/>
                <w:highlight w:val="none"/>
                <w:lang w:val="en-US" w:eastAsia="zh-CN" w:bidi="ar-SA"/>
              </w:rPr>
              <w:t>限值标</w:t>
            </w:r>
            <w:r>
              <w:rPr>
                <w:rFonts w:hint="eastAsia" w:cstheme="minorBidi"/>
                <w:bCs/>
                <w:iCs/>
                <w:color w:val="auto"/>
                <w:sz w:val="24"/>
                <w:szCs w:val="32"/>
                <w:highlight w:val="none"/>
                <w:lang w:val="en-US" w:eastAsia="zh-CN" w:bidi="ar-SA"/>
              </w:rPr>
              <w:t>准</w:t>
            </w:r>
            <w:r>
              <w:rPr>
                <w:rFonts w:hint="eastAsia" w:ascii="Times New Roman" w:hAnsi="Times New Roman" w:eastAsia="宋体" w:cs="Times New Roman"/>
                <w:bCs/>
                <w:snapToGrid w:val="0"/>
                <w:kern w:val="0"/>
                <w:sz w:val="24"/>
                <w:szCs w:val="24"/>
                <w:highlight w:val="none"/>
                <w:lang w:val="en-US" w:eastAsia="zh-CN"/>
              </w:rPr>
              <w:t>。验收期间，项目非甲烷总烃监测结果见下表7-</w:t>
            </w:r>
            <w:r>
              <w:rPr>
                <w:rFonts w:hint="eastAsia" w:cs="Times New Roman"/>
                <w:bCs/>
                <w:snapToGrid w:val="0"/>
                <w:kern w:val="0"/>
                <w:sz w:val="24"/>
                <w:szCs w:val="24"/>
                <w:highlight w:val="none"/>
                <w:lang w:val="en-US" w:eastAsia="zh-CN"/>
              </w:rPr>
              <w:t>2</w:t>
            </w:r>
            <w:r>
              <w:rPr>
                <w:rFonts w:hint="eastAsia" w:ascii="Times New Roman" w:hAnsi="Times New Roman" w:eastAsia="宋体" w:cs="Times New Roman"/>
                <w:bCs/>
                <w:snapToGrid w:val="0"/>
                <w:kern w:val="0"/>
                <w:sz w:val="24"/>
                <w:szCs w:val="24"/>
                <w:highlight w:val="none"/>
                <w:lang w:val="en-US" w:eastAsia="zh-CN"/>
              </w:rPr>
              <w:t>。</w:t>
            </w:r>
          </w:p>
          <w:p>
            <w:pPr>
              <w:tabs>
                <w:tab w:val="left" w:pos="2130"/>
              </w:tabs>
              <w:snapToGrid w:val="0"/>
              <w:jc w:val="center"/>
              <w:rPr>
                <w:rFonts w:hint="default" w:ascii="Times New Roman" w:hAnsi="Times New Roman" w:cs="Times New Roman" w:eastAsiaTheme="minorEastAsia"/>
                <w:b/>
                <w:snapToGrid w:val="0"/>
                <w:kern w:val="0"/>
                <w:sz w:val="21"/>
                <w:szCs w:val="21"/>
                <w:highlight w:val="none"/>
                <w:lang w:val="en-US" w:eastAsia="zh-CN"/>
              </w:rPr>
            </w:pPr>
            <w:r>
              <w:rPr>
                <w:rFonts w:hint="eastAsia" w:ascii="Times New Roman" w:hAnsi="Times New Roman" w:cs="Times New Roman" w:eastAsiaTheme="minorEastAsia"/>
                <w:b/>
                <w:snapToGrid w:val="0"/>
                <w:kern w:val="0"/>
                <w:sz w:val="21"/>
                <w:szCs w:val="21"/>
                <w:highlight w:val="none"/>
                <w:lang w:val="en-US" w:eastAsia="zh-CN"/>
              </w:rPr>
              <w:t>表7-</w:t>
            </w:r>
            <w:r>
              <w:rPr>
                <w:rFonts w:hint="eastAsia" w:cs="Times New Roman" w:eastAsiaTheme="minorEastAsia"/>
                <w:b/>
                <w:snapToGrid w:val="0"/>
                <w:kern w:val="0"/>
                <w:sz w:val="21"/>
                <w:szCs w:val="21"/>
                <w:highlight w:val="none"/>
                <w:lang w:val="en-US" w:eastAsia="zh-CN"/>
              </w:rPr>
              <w:t>2</w:t>
            </w:r>
            <w:r>
              <w:rPr>
                <w:rFonts w:hint="eastAsia" w:ascii="Times New Roman" w:hAnsi="Times New Roman" w:cs="Times New Roman" w:eastAsiaTheme="minorEastAsia"/>
                <w:b/>
                <w:snapToGrid w:val="0"/>
                <w:kern w:val="0"/>
                <w:sz w:val="21"/>
                <w:szCs w:val="21"/>
                <w:highlight w:val="none"/>
                <w:lang w:val="en-US" w:eastAsia="zh-CN"/>
              </w:rPr>
              <w:t xml:space="preserve">   非甲烷总烃监测结果        单位：mg/m</w:t>
            </w:r>
            <w:r>
              <w:rPr>
                <w:rFonts w:hint="eastAsia" w:ascii="Times New Roman" w:hAnsi="Times New Roman" w:cs="Times New Roman" w:eastAsiaTheme="minorEastAsia"/>
                <w:b/>
                <w:snapToGrid w:val="0"/>
                <w:kern w:val="0"/>
                <w:sz w:val="21"/>
                <w:szCs w:val="21"/>
                <w:highlight w:val="none"/>
                <w:vertAlign w:val="superscript"/>
                <w:lang w:val="en-US" w:eastAsia="zh-CN"/>
              </w:rPr>
              <w:t>3</w:t>
            </w:r>
          </w:p>
          <w:tbl>
            <w:tblPr>
              <w:tblStyle w:val="11"/>
              <w:tblW w:w="88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214"/>
              <w:gridCol w:w="929"/>
              <w:gridCol w:w="1071"/>
              <w:gridCol w:w="875"/>
              <w:gridCol w:w="635"/>
              <w:gridCol w:w="867"/>
              <w:gridCol w:w="5"/>
              <w:gridCol w:w="862"/>
              <w:gridCol w:w="5"/>
              <w:gridCol w:w="862"/>
              <w:gridCol w:w="4"/>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restart"/>
                  <w:noWrap w:val="0"/>
                  <w:vAlign w:val="center"/>
                </w:tcPr>
                <w:p>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监</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测点位</w:t>
                  </w:r>
                </w:p>
              </w:tc>
              <w:tc>
                <w:tcPr>
                  <w:tcW w:w="1214" w:type="dxa"/>
                  <w:vMerge w:val="restart"/>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监测时间</w:t>
                  </w:r>
                </w:p>
              </w:tc>
              <w:tc>
                <w:tcPr>
                  <w:tcW w:w="929" w:type="dxa"/>
                  <w:vMerge w:val="restart"/>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气温（℃）</w:t>
                  </w:r>
                </w:p>
              </w:tc>
              <w:tc>
                <w:tcPr>
                  <w:tcW w:w="1071" w:type="dxa"/>
                  <w:vMerge w:val="restart"/>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气压(kPa)</w:t>
                  </w:r>
                </w:p>
              </w:tc>
              <w:tc>
                <w:tcPr>
                  <w:tcW w:w="875" w:type="dxa"/>
                  <w:vMerge w:val="restart"/>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风速（</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m/s</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635" w:type="dxa"/>
                  <w:vMerge w:val="restart"/>
                  <w:noWrap w:val="0"/>
                  <w:vAlign w:val="center"/>
                </w:tcPr>
                <w:p>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风向</w:t>
                  </w:r>
                </w:p>
              </w:tc>
              <w:tc>
                <w:tcPr>
                  <w:tcW w:w="3471" w:type="dxa"/>
                  <w:gridSpan w:val="7"/>
                  <w:noWrap w:val="0"/>
                  <w:vAlign w:val="center"/>
                </w:tcPr>
                <w:p>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continue"/>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p>
              </w:tc>
              <w:tc>
                <w:tcPr>
                  <w:tcW w:w="1214" w:type="dxa"/>
                  <w:vMerge w:val="continue"/>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p>
              </w:tc>
              <w:tc>
                <w:tcPr>
                  <w:tcW w:w="929" w:type="dxa"/>
                  <w:vMerge w:val="continue"/>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p>
              </w:tc>
              <w:tc>
                <w:tcPr>
                  <w:tcW w:w="1071" w:type="dxa"/>
                  <w:vMerge w:val="continue"/>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p>
              </w:tc>
              <w:tc>
                <w:tcPr>
                  <w:tcW w:w="875" w:type="dxa"/>
                  <w:vMerge w:val="continue"/>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p>
              </w:tc>
              <w:tc>
                <w:tcPr>
                  <w:tcW w:w="635" w:type="dxa"/>
                  <w:vMerge w:val="continue"/>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p>
              </w:tc>
              <w:tc>
                <w:tcPr>
                  <w:tcW w:w="867" w:type="dxa"/>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第一次</w:t>
                  </w:r>
                </w:p>
              </w:tc>
              <w:tc>
                <w:tcPr>
                  <w:tcW w:w="867" w:type="dxa"/>
                  <w:gridSpan w:val="2"/>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第二次</w:t>
                  </w:r>
                </w:p>
              </w:tc>
              <w:tc>
                <w:tcPr>
                  <w:tcW w:w="867" w:type="dxa"/>
                  <w:gridSpan w:val="2"/>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第三次</w:t>
                  </w:r>
                </w:p>
              </w:tc>
              <w:tc>
                <w:tcPr>
                  <w:tcW w:w="870" w:type="dxa"/>
                  <w:gridSpan w:val="2"/>
                  <w:noWrap w:val="0"/>
                  <w:vAlign w:val="center"/>
                </w:tcPr>
                <w:p>
                  <w:pPr>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Q1上风向</w:t>
                  </w:r>
                </w:p>
              </w:tc>
              <w:tc>
                <w:tcPr>
                  <w:tcW w:w="1214"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2019.11.11</w:t>
                  </w:r>
                </w:p>
              </w:tc>
              <w:tc>
                <w:tcPr>
                  <w:tcW w:w="929"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6.4-11.2</w:t>
                  </w:r>
                </w:p>
              </w:tc>
              <w:tc>
                <w:tcPr>
                  <w:tcW w:w="107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93.7-94.1</w:t>
                  </w:r>
                </w:p>
              </w:tc>
              <w:tc>
                <w:tcPr>
                  <w:tcW w:w="8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1.9-2.4</w:t>
                  </w:r>
                </w:p>
              </w:tc>
              <w:tc>
                <w:tcPr>
                  <w:tcW w:w="63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NE</w:t>
                  </w:r>
                </w:p>
              </w:tc>
              <w:tc>
                <w:tcPr>
                  <w:tcW w:w="872"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0.46</w:t>
                  </w:r>
                </w:p>
              </w:tc>
              <w:tc>
                <w:tcPr>
                  <w:tcW w:w="867"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0.38</w:t>
                  </w:r>
                </w:p>
              </w:tc>
              <w:tc>
                <w:tcPr>
                  <w:tcW w:w="866"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0.34</w:t>
                  </w:r>
                </w:p>
              </w:tc>
              <w:tc>
                <w:tcPr>
                  <w:tcW w:w="866"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continue"/>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1214"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2019.11.12</w:t>
                  </w:r>
                </w:p>
              </w:tc>
              <w:tc>
                <w:tcPr>
                  <w:tcW w:w="929"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6.5-13.5</w:t>
                  </w:r>
                </w:p>
              </w:tc>
              <w:tc>
                <w:tcPr>
                  <w:tcW w:w="107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93.8-94.1</w:t>
                  </w:r>
                </w:p>
              </w:tc>
              <w:tc>
                <w:tcPr>
                  <w:tcW w:w="8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1.6-2.1</w:t>
                  </w:r>
                </w:p>
              </w:tc>
              <w:tc>
                <w:tcPr>
                  <w:tcW w:w="63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NE</w:t>
                  </w:r>
                </w:p>
              </w:tc>
              <w:tc>
                <w:tcPr>
                  <w:tcW w:w="872"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0.37</w:t>
                  </w:r>
                </w:p>
              </w:tc>
              <w:tc>
                <w:tcPr>
                  <w:tcW w:w="867"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0.39</w:t>
                  </w:r>
                </w:p>
              </w:tc>
              <w:tc>
                <w:tcPr>
                  <w:tcW w:w="866"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0.48</w:t>
                  </w:r>
                </w:p>
              </w:tc>
              <w:tc>
                <w:tcPr>
                  <w:tcW w:w="866"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restart"/>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Q2下风向</w:t>
                  </w:r>
                </w:p>
              </w:tc>
              <w:tc>
                <w:tcPr>
                  <w:tcW w:w="1214"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2019.11.11</w:t>
                  </w:r>
                </w:p>
              </w:tc>
              <w:tc>
                <w:tcPr>
                  <w:tcW w:w="929"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6.1-13.1</w:t>
                  </w:r>
                </w:p>
              </w:tc>
              <w:tc>
                <w:tcPr>
                  <w:tcW w:w="107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93.7-94.1</w:t>
                  </w:r>
                </w:p>
              </w:tc>
              <w:tc>
                <w:tcPr>
                  <w:tcW w:w="8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1.7-2.6</w:t>
                  </w:r>
                </w:p>
              </w:tc>
              <w:tc>
                <w:tcPr>
                  <w:tcW w:w="63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NE</w:t>
                  </w:r>
                </w:p>
              </w:tc>
              <w:tc>
                <w:tcPr>
                  <w:tcW w:w="872"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0.58</w:t>
                  </w:r>
                </w:p>
              </w:tc>
              <w:tc>
                <w:tcPr>
                  <w:tcW w:w="867"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0.51</w:t>
                  </w:r>
                </w:p>
              </w:tc>
              <w:tc>
                <w:tcPr>
                  <w:tcW w:w="866"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0.49</w:t>
                  </w:r>
                </w:p>
              </w:tc>
              <w:tc>
                <w:tcPr>
                  <w:tcW w:w="866"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continue"/>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1214"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2019.11.12</w:t>
                  </w:r>
                </w:p>
              </w:tc>
              <w:tc>
                <w:tcPr>
                  <w:tcW w:w="929"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5.3-13.9</w:t>
                  </w:r>
                </w:p>
              </w:tc>
              <w:tc>
                <w:tcPr>
                  <w:tcW w:w="107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93.8-94.9</w:t>
                  </w:r>
                </w:p>
              </w:tc>
              <w:tc>
                <w:tcPr>
                  <w:tcW w:w="8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1.8-2.2</w:t>
                  </w:r>
                </w:p>
              </w:tc>
              <w:tc>
                <w:tcPr>
                  <w:tcW w:w="63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NE</w:t>
                  </w:r>
                </w:p>
              </w:tc>
              <w:tc>
                <w:tcPr>
                  <w:tcW w:w="872"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0.50</w:t>
                  </w:r>
                </w:p>
              </w:tc>
              <w:tc>
                <w:tcPr>
                  <w:tcW w:w="867"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0.62</w:t>
                  </w:r>
                </w:p>
              </w:tc>
              <w:tc>
                <w:tcPr>
                  <w:tcW w:w="866"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0.68</w:t>
                  </w:r>
                </w:p>
              </w:tc>
              <w:tc>
                <w:tcPr>
                  <w:tcW w:w="866"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Q3下风向</w:t>
                  </w:r>
                </w:p>
              </w:tc>
              <w:tc>
                <w:tcPr>
                  <w:tcW w:w="1214"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2019.11.11</w:t>
                  </w:r>
                </w:p>
              </w:tc>
              <w:tc>
                <w:tcPr>
                  <w:tcW w:w="929"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6.2-13.2</w:t>
                  </w:r>
                </w:p>
              </w:tc>
              <w:tc>
                <w:tcPr>
                  <w:tcW w:w="107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93.7-94.1</w:t>
                  </w:r>
                </w:p>
              </w:tc>
              <w:tc>
                <w:tcPr>
                  <w:tcW w:w="8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2.0-2.4</w:t>
                  </w:r>
                </w:p>
              </w:tc>
              <w:tc>
                <w:tcPr>
                  <w:tcW w:w="63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NE</w:t>
                  </w:r>
                </w:p>
              </w:tc>
              <w:tc>
                <w:tcPr>
                  <w:tcW w:w="872"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0.59</w:t>
                  </w:r>
                </w:p>
              </w:tc>
              <w:tc>
                <w:tcPr>
                  <w:tcW w:w="867"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0.48</w:t>
                  </w:r>
                </w:p>
              </w:tc>
              <w:tc>
                <w:tcPr>
                  <w:tcW w:w="866"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0.52</w:t>
                  </w:r>
                </w:p>
              </w:tc>
              <w:tc>
                <w:tcPr>
                  <w:tcW w:w="866"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continue"/>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1214"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2019.11.12</w:t>
                  </w:r>
                </w:p>
              </w:tc>
              <w:tc>
                <w:tcPr>
                  <w:tcW w:w="929"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5.4-14.0</w:t>
                  </w:r>
                </w:p>
              </w:tc>
              <w:tc>
                <w:tcPr>
                  <w:tcW w:w="107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93.8-94.9</w:t>
                  </w:r>
                </w:p>
              </w:tc>
              <w:tc>
                <w:tcPr>
                  <w:tcW w:w="8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1.4-2.2</w:t>
                  </w:r>
                </w:p>
              </w:tc>
              <w:tc>
                <w:tcPr>
                  <w:tcW w:w="63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NE</w:t>
                  </w:r>
                </w:p>
              </w:tc>
              <w:tc>
                <w:tcPr>
                  <w:tcW w:w="872"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0.51</w:t>
                  </w:r>
                </w:p>
              </w:tc>
              <w:tc>
                <w:tcPr>
                  <w:tcW w:w="867"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0.49</w:t>
                  </w:r>
                </w:p>
              </w:tc>
              <w:tc>
                <w:tcPr>
                  <w:tcW w:w="866"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0.57</w:t>
                  </w:r>
                </w:p>
              </w:tc>
              <w:tc>
                <w:tcPr>
                  <w:tcW w:w="866"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656"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Q4油气回收装置排放口</w:t>
                  </w:r>
                </w:p>
              </w:tc>
              <w:tc>
                <w:tcPr>
                  <w:tcW w:w="1214"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2019.11.11</w:t>
                  </w:r>
                </w:p>
              </w:tc>
              <w:tc>
                <w:tcPr>
                  <w:tcW w:w="929"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6.0-13.1</w:t>
                  </w:r>
                </w:p>
              </w:tc>
              <w:tc>
                <w:tcPr>
                  <w:tcW w:w="107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93.7-94.1</w:t>
                  </w:r>
                </w:p>
              </w:tc>
              <w:tc>
                <w:tcPr>
                  <w:tcW w:w="8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2.1-2.4</w:t>
                  </w:r>
                </w:p>
              </w:tc>
              <w:tc>
                <w:tcPr>
                  <w:tcW w:w="63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NE</w:t>
                  </w:r>
                </w:p>
              </w:tc>
              <w:tc>
                <w:tcPr>
                  <w:tcW w:w="872"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0.68</w:t>
                  </w:r>
                </w:p>
              </w:tc>
              <w:tc>
                <w:tcPr>
                  <w:tcW w:w="867"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0.72</w:t>
                  </w:r>
                </w:p>
              </w:tc>
              <w:tc>
                <w:tcPr>
                  <w:tcW w:w="866"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0.61</w:t>
                  </w:r>
                </w:p>
              </w:tc>
              <w:tc>
                <w:tcPr>
                  <w:tcW w:w="866"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6" w:type="dxa"/>
                  <w:vMerge w:val="continue"/>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1214"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2019.11.12</w:t>
                  </w:r>
                </w:p>
              </w:tc>
              <w:tc>
                <w:tcPr>
                  <w:tcW w:w="929"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5.2-13.9</w:t>
                  </w:r>
                </w:p>
              </w:tc>
              <w:tc>
                <w:tcPr>
                  <w:tcW w:w="1071"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93.8-94.9</w:t>
                  </w:r>
                </w:p>
              </w:tc>
              <w:tc>
                <w:tcPr>
                  <w:tcW w:w="87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1.5-2.3</w:t>
                  </w:r>
                </w:p>
              </w:tc>
              <w:tc>
                <w:tcPr>
                  <w:tcW w:w="635"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NE</w:t>
                  </w:r>
                </w:p>
              </w:tc>
              <w:tc>
                <w:tcPr>
                  <w:tcW w:w="872"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0.63</w:t>
                  </w:r>
                </w:p>
              </w:tc>
              <w:tc>
                <w:tcPr>
                  <w:tcW w:w="867"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0.58</w:t>
                  </w:r>
                </w:p>
              </w:tc>
              <w:tc>
                <w:tcPr>
                  <w:tcW w:w="866" w:type="dxa"/>
                  <w:gridSpan w:val="2"/>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0.67</w:t>
                  </w:r>
                </w:p>
              </w:tc>
              <w:tc>
                <w:tcPr>
                  <w:tcW w:w="866"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0.70</w:t>
                  </w:r>
                </w:p>
              </w:tc>
            </w:tr>
          </w:tbl>
          <w:p>
            <w:pPr>
              <w:keepNext w:val="0"/>
              <w:keepLines w:val="0"/>
              <w:pageBreakBefore w:val="0"/>
              <w:widowControl w:val="0"/>
              <w:tabs>
                <w:tab w:val="left" w:pos="924"/>
              </w:tabs>
              <w:kinsoku/>
              <w:wordWrap/>
              <w:overflowPunct/>
              <w:topLinePunct w:val="0"/>
              <w:autoSpaceDE/>
              <w:autoSpaceDN/>
              <w:bidi w:val="0"/>
              <w:adjustRightInd w:val="0"/>
              <w:snapToGrid w:val="0"/>
              <w:spacing w:before="469" w:beforeLines="100" w:line="360" w:lineRule="auto"/>
              <w:ind w:firstLine="480" w:firstLineChars="200"/>
              <w:jc w:val="left"/>
              <w:textAlignment w:val="auto"/>
              <w:rPr>
                <w:rFonts w:hint="eastAsia" w:ascii="Times New Roman" w:hAnsi="Times New Roman" w:eastAsia="宋体" w:cs="Times New Roman"/>
                <w:bCs/>
                <w:snapToGrid w:val="0"/>
                <w:kern w:val="0"/>
                <w:sz w:val="24"/>
                <w:szCs w:val="24"/>
                <w:highlight w:val="none"/>
                <w:lang w:val="en-US" w:eastAsia="zh-CN"/>
              </w:rPr>
            </w:pPr>
            <w:r>
              <w:rPr>
                <w:rFonts w:hint="eastAsia" w:cs="Times New Roman"/>
                <w:bCs/>
                <w:snapToGrid w:val="0"/>
                <w:kern w:val="0"/>
                <w:sz w:val="24"/>
                <w:szCs w:val="24"/>
                <w:highlight w:val="none"/>
                <w:lang w:val="en-US" w:eastAsia="zh-CN"/>
              </w:rPr>
              <w:t>2</w:t>
            </w:r>
            <w:r>
              <w:rPr>
                <w:rFonts w:hint="eastAsia" w:ascii="Times New Roman" w:hAnsi="Times New Roman" w:eastAsia="宋体" w:cs="Times New Roman"/>
                <w:bCs/>
                <w:snapToGrid w:val="0"/>
                <w:kern w:val="0"/>
                <w:sz w:val="24"/>
                <w:szCs w:val="24"/>
                <w:highlight w:val="none"/>
                <w:lang w:val="en-US" w:eastAsia="zh-CN"/>
              </w:rPr>
              <w:t>、厂界噪声</w:t>
            </w:r>
          </w:p>
          <w:p>
            <w:pPr>
              <w:tabs>
                <w:tab w:val="left" w:pos="924"/>
              </w:tabs>
              <w:adjustRightInd w:val="0"/>
              <w:snapToGrid w:val="0"/>
              <w:spacing w:line="360" w:lineRule="auto"/>
              <w:ind w:firstLine="480" w:firstLineChars="200"/>
              <w:jc w:val="left"/>
              <w:rPr>
                <w:rFonts w:hint="eastAsia" w:ascii="Times New Roman" w:hAnsi="Times New Roman" w:eastAsia="宋体" w:cs="Times New Roman"/>
                <w:bCs/>
                <w:snapToGrid w:val="0"/>
                <w:kern w:val="0"/>
                <w:sz w:val="24"/>
                <w:szCs w:val="24"/>
                <w:highlight w:val="none"/>
                <w:lang w:val="en-US" w:eastAsia="zh-CN"/>
              </w:rPr>
            </w:pPr>
            <w:r>
              <w:rPr>
                <w:rFonts w:hint="eastAsia" w:ascii="Times New Roman" w:hAnsi="Times New Roman" w:eastAsia="宋体" w:cs="Times New Roman"/>
                <w:bCs/>
                <w:snapToGrid w:val="0"/>
                <w:kern w:val="0"/>
                <w:sz w:val="24"/>
                <w:szCs w:val="24"/>
                <w:highlight w:val="none"/>
                <w:lang w:val="en-US" w:eastAsia="zh-CN"/>
              </w:rPr>
              <w:t>201</w:t>
            </w:r>
            <w:r>
              <w:rPr>
                <w:rFonts w:hint="eastAsia" w:cs="Times New Roman"/>
                <w:bCs/>
                <w:snapToGrid w:val="0"/>
                <w:kern w:val="0"/>
                <w:sz w:val="24"/>
                <w:szCs w:val="24"/>
                <w:highlight w:val="none"/>
                <w:lang w:val="en-US" w:eastAsia="zh-CN"/>
              </w:rPr>
              <w:t>9</w:t>
            </w:r>
            <w:r>
              <w:rPr>
                <w:rFonts w:hint="eastAsia" w:ascii="Times New Roman" w:hAnsi="Times New Roman" w:eastAsia="宋体" w:cs="Times New Roman"/>
                <w:bCs/>
                <w:snapToGrid w:val="0"/>
                <w:kern w:val="0"/>
                <w:sz w:val="24"/>
                <w:szCs w:val="24"/>
                <w:highlight w:val="none"/>
                <w:lang w:val="en-US" w:eastAsia="zh-CN"/>
              </w:rPr>
              <w:t>年11月1</w:t>
            </w:r>
            <w:r>
              <w:rPr>
                <w:rFonts w:hint="eastAsia" w:cs="Times New Roman"/>
                <w:bCs/>
                <w:snapToGrid w:val="0"/>
                <w:kern w:val="0"/>
                <w:sz w:val="24"/>
                <w:szCs w:val="24"/>
                <w:highlight w:val="none"/>
                <w:lang w:val="en-US" w:eastAsia="zh-CN"/>
              </w:rPr>
              <w:t>1</w:t>
            </w:r>
            <w:r>
              <w:rPr>
                <w:rFonts w:hint="eastAsia" w:ascii="Times New Roman" w:hAnsi="Times New Roman" w:eastAsia="宋体" w:cs="Times New Roman"/>
                <w:bCs/>
                <w:snapToGrid w:val="0"/>
                <w:kern w:val="0"/>
                <w:sz w:val="24"/>
                <w:szCs w:val="24"/>
                <w:highlight w:val="none"/>
                <w:lang w:val="en-US" w:eastAsia="zh-CN"/>
              </w:rPr>
              <w:t>日～11月1</w:t>
            </w:r>
            <w:r>
              <w:rPr>
                <w:rFonts w:hint="eastAsia" w:cs="Times New Roman"/>
                <w:bCs/>
                <w:snapToGrid w:val="0"/>
                <w:kern w:val="0"/>
                <w:sz w:val="24"/>
                <w:szCs w:val="24"/>
                <w:highlight w:val="none"/>
                <w:lang w:val="en-US" w:eastAsia="zh-CN"/>
              </w:rPr>
              <w:t>2</w:t>
            </w:r>
            <w:r>
              <w:rPr>
                <w:rFonts w:hint="eastAsia" w:ascii="Times New Roman" w:hAnsi="Times New Roman" w:eastAsia="宋体" w:cs="Times New Roman"/>
                <w:bCs/>
                <w:snapToGrid w:val="0"/>
                <w:kern w:val="0"/>
                <w:sz w:val="24"/>
                <w:szCs w:val="24"/>
                <w:highlight w:val="none"/>
                <w:lang w:val="en-US" w:eastAsia="zh-CN"/>
              </w:rPr>
              <w:t>日</w:t>
            </w:r>
            <w:r>
              <w:rPr>
                <w:rFonts w:hint="default" w:ascii="Times New Roman" w:hAnsi="Times New Roman" w:eastAsia="宋体" w:cs="Times New Roman"/>
                <w:bCs/>
                <w:snapToGrid w:val="0"/>
                <w:kern w:val="0"/>
                <w:sz w:val="24"/>
                <w:szCs w:val="24"/>
                <w:highlight w:val="none"/>
                <w:lang w:val="en-US" w:eastAsia="zh-CN"/>
              </w:rPr>
              <w:t>验收监测期间，项目厂界</w:t>
            </w:r>
            <w:r>
              <w:rPr>
                <w:rFonts w:hint="eastAsia" w:eastAsia="宋体" w:cs="Times New Roman"/>
                <w:color w:val="auto"/>
                <w:sz w:val="24"/>
                <w:szCs w:val="24"/>
                <w:highlight w:val="none"/>
                <w:lang w:val="en-US" w:eastAsia="zh-CN"/>
              </w:rPr>
              <w:t>N</w:t>
            </w:r>
            <w:r>
              <w:rPr>
                <w:rFonts w:hint="eastAsia" w:ascii="Times New Roman" w:hAnsi="Times New Roman" w:eastAsia="宋体" w:cs="Times New Roman"/>
                <w:bCs/>
                <w:snapToGrid w:val="0"/>
                <w:kern w:val="0"/>
                <w:sz w:val="24"/>
                <w:szCs w:val="24"/>
                <w:highlight w:val="none"/>
                <w:lang w:val="en-US" w:eastAsia="zh-CN"/>
              </w:rPr>
              <w:t>3西厂界</w:t>
            </w:r>
            <w:r>
              <w:rPr>
                <w:rFonts w:hint="default" w:ascii="Times New Roman" w:hAnsi="Times New Roman" w:eastAsia="宋体" w:cs="Times New Roman"/>
                <w:bCs/>
                <w:snapToGrid w:val="0"/>
                <w:kern w:val="0"/>
                <w:sz w:val="24"/>
                <w:szCs w:val="24"/>
                <w:highlight w:val="none"/>
                <w:lang w:val="en-US" w:eastAsia="zh-CN"/>
              </w:rPr>
              <w:t>监测点昼夜间噪声测定值均符合《工业企业厂界环境噪声排放标准》（GB 12348-2008）中的2类标准</w:t>
            </w:r>
            <w:r>
              <w:rPr>
                <w:rFonts w:hint="eastAsia" w:cs="Times New Roman"/>
                <w:bCs/>
                <w:snapToGrid w:val="0"/>
                <w:kern w:val="0"/>
                <w:sz w:val="24"/>
                <w:szCs w:val="24"/>
                <w:highlight w:val="none"/>
                <w:lang w:val="en-US" w:eastAsia="zh-CN"/>
              </w:rPr>
              <w:t>；</w:t>
            </w:r>
            <w:r>
              <w:rPr>
                <w:rFonts w:hint="eastAsia" w:eastAsia="宋体" w:cs="Times New Roman"/>
                <w:color w:val="auto"/>
                <w:sz w:val="24"/>
                <w:szCs w:val="24"/>
                <w:highlight w:val="none"/>
                <w:lang w:val="en-US" w:eastAsia="zh-CN"/>
              </w:rPr>
              <w:t>N</w:t>
            </w:r>
            <w:r>
              <w:rPr>
                <w:rFonts w:hint="eastAsia" w:cs="Times New Roman"/>
                <w:bCs/>
                <w:snapToGrid w:val="0"/>
                <w:kern w:val="0"/>
                <w:sz w:val="24"/>
                <w:szCs w:val="24"/>
                <w:highlight w:val="none"/>
                <w:lang w:val="en-US" w:eastAsia="zh-CN"/>
              </w:rPr>
              <w:t>1东</w:t>
            </w:r>
            <w:r>
              <w:rPr>
                <w:rFonts w:hint="eastAsia" w:ascii="Times New Roman" w:hAnsi="Times New Roman" w:eastAsia="宋体" w:cs="Times New Roman"/>
                <w:bCs/>
                <w:snapToGrid w:val="0"/>
                <w:kern w:val="0"/>
                <w:sz w:val="24"/>
                <w:szCs w:val="24"/>
                <w:highlight w:val="none"/>
                <w:lang w:val="en-US" w:eastAsia="zh-CN"/>
              </w:rPr>
              <w:t>厂界</w:t>
            </w:r>
            <w:r>
              <w:rPr>
                <w:rFonts w:hint="eastAsia" w:cs="Times New Roman"/>
                <w:bCs/>
                <w:snapToGrid w:val="0"/>
                <w:kern w:val="0"/>
                <w:sz w:val="24"/>
                <w:szCs w:val="24"/>
                <w:highlight w:val="none"/>
                <w:lang w:val="en-US" w:eastAsia="zh-CN"/>
              </w:rPr>
              <w:t>、</w:t>
            </w:r>
            <w:r>
              <w:rPr>
                <w:rFonts w:hint="eastAsia" w:eastAsia="宋体" w:cs="Times New Roman"/>
                <w:color w:val="auto"/>
                <w:sz w:val="24"/>
                <w:szCs w:val="24"/>
                <w:highlight w:val="none"/>
                <w:lang w:val="en-US" w:eastAsia="zh-CN"/>
              </w:rPr>
              <w:t>N</w:t>
            </w:r>
            <w:r>
              <w:rPr>
                <w:rFonts w:hint="eastAsia" w:ascii="Times New Roman" w:hAnsi="Times New Roman" w:eastAsia="宋体" w:cs="Times New Roman"/>
                <w:bCs/>
                <w:snapToGrid w:val="0"/>
                <w:kern w:val="0"/>
                <w:sz w:val="24"/>
                <w:szCs w:val="24"/>
                <w:highlight w:val="none"/>
                <w:lang w:val="en-US" w:eastAsia="zh-CN"/>
              </w:rPr>
              <w:t>2南厂界</w:t>
            </w:r>
            <w:r>
              <w:rPr>
                <w:rFonts w:hint="default" w:ascii="Times New Roman" w:hAnsi="Times New Roman" w:eastAsia="宋体" w:cs="Times New Roman"/>
                <w:bCs/>
                <w:snapToGrid w:val="0"/>
                <w:kern w:val="0"/>
                <w:sz w:val="24"/>
                <w:szCs w:val="24"/>
                <w:highlight w:val="none"/>
                <w:lang w:val="en-US" w:eastAsia="zh-CN"/>
              </w:rPr>
              <w:t>、</w:t>
            </w:r>
            <w:r>
              <w:rPr>
                <w:rFonts w:hint="eastAsia" w:eastAsia="宋体" w:cs="Times New Roman"/>
                <w:color w:val="auto"/>
                <w:sz w:val="24"/>
                <w:szCs w:val="24"/>
                <w:highlight w:val="none"/>
                <w:lang w:val="en-US" w:eastAsia="zh-CN"/>
              </w:rPr>
              <w:t>N4北厂界监测点昼夜间噪声测定值均符合《工业企业厂界环境噪声排放标准》（GB 12348-2008）中的</w:t>
            </w:r>
            <w:r>
              <w:rPr>
                <w:rFonts w:hint="eastAsia" w:cs="Times New Roman"/>
                <w:color w:val="auto"/>
                <w:sz w:val="24"/>
                <w:szCs w:val="24"/>
                <w:highlight w:val="none"/>
                <w:lang w:val="en-US" w:eastAsia="zh-CN"/>
              </w:rPr>
              <w:t>4</w:t>
            </w:r>
            <w:r>
              <w:rPr>
                <w:rFonts w:hint="eastAsia" w:eastAsia="宋体" w:cs="Times New Roman"/>
                <w:color w:val="auto"/>
                <w:sz w:val="24"/>
                <w:szCs w:val="24"/>
                <w:highlight w:val="none"/>
                <w:lang w:val="en-US" w:eastAsia="zh-CN"/>
              </w:rPr>
              <w:t>类标准</w:t>
            </w:r>
            <w:r>
              <w:rPr>
                <w:rFonts w:hint="eastAsia" w:cs="Times New Roman"/>
                <w:color w:val="auto"/>
                <w:sz w:val="24"/>
                <w:szCs w:val="24"/>
                <w:highlight w:val="none"/>
                <w:lang w:val="en-US" w:eastAsia="zh-CN"/>
              </w:rPr>
              <w:t>。</w:t>
            </w:r>
            <w:r>
              <w:rPr>
                <w:rFonts w:hint="default" w:ascii="Times New Roman" w:hAnsi="Times New Roman" w:eastAsia="宋体" w:cs="Times New Roman"/>
                <w:bCs/>
                <w:snapToGrid w:val="0"/>
                <w:kern w:val="0"/>
                <w:sz w:val="24"/>
                <w:szCs w:val="24"/>
                <w:highlight w:val="none"/>
                <w:lang w:val="en-US" w:eastAsia="zh-CN"/>
              </w:rPr>
              <w:t>监测结果见表</w:t>
            </w:r>
            <w:r>
              <w:rPr>
                <w:rFonts w:hint="eastAsia" w:ascii="Times New Roman" w:hAnsi="Times New Roman" w:eastAsia="宋体" w:cs="Times New Roman"/>
                <w:bCs/>
                <w:snapToGrid w:val="0"/>
                <w:kern w:val="0"/>
                <w:sz w:val="24"/>
                <w:szCs w:val="24"/>
                <w:highlight w:val="none"/>
                <w:lang w:val="en-US" w:eastAsia="zh-CN"/>
              </w:rPr>
              <w:t>7-</w:t>
            </w:r>
            <w:r>
              <w:rPr>
                <w:rFonts w:hint="eastAsia" w:cs="Times New Roman"/>
                <w:bCs/>
                <w:snapToGrid w:val="0"/>
                <w:kern w:val="0"/>
                <w:sz w:val="24"/>
                <w:szCs w:val="24"/>
                <w:highlight w:val="none"/>
                <w:lang w:val="en-US" w:eastAsia="zh-CN"/>
              </w:rPr>
              <w:t>4</w:t>
            </w:r>
            <w:r>
              <w:rPr>
                <w:rFonts w:hint="default" w:ascii="Times New Roman" w:hAnsi="Times New Roman" w:eastAsia="宋体" w:cs="Times New Roman"/>
                <w:bCs/>
                <w:snapToGrid w:val="0"/>
                <w:kern w:val="0"/>
                <w:sz w:val="24"/>
                <w:szCs w:val="24"/>
                <w:highlight w:val="none"/>
                <w:lang w:val="en-US" w:eastAsia="zh-CN"/>
              </w:rPr>
              <w:t>。</w:t>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highlight w:val="none"/>
                <w:lang w:val="en-US" w:eastAsia="zh-CN"/>
              </w:rPr>
            </w:pPr>
            <w:r>
              <w:rPr>
                <w:rFonts w:hint="default" w:ascii="Times New Roman" w:hAnsi="Times New Roman" w:cs="Times New Roman" w:eastAsiaTheme="minorEastAsia"/>
                <w:b/>
                <w:snapToGrid w:val="0"/>
                <w:kern w:val="0"/>
                <w:sz w:val="21"/>
                <w:szCs w:val="21"/>
                <w:highlight w:val="none"/>
                <w:lang w:val="en-US" w:eastAsia="zh-CN"/>
              </w:rPr>
              <w:t>表</w:t>
            </w:r>
            <w:r>
              <w:rPr>
                <w:rFonts w:hint="eastAsia" w:ascii="Times New Roman" w:hAnsi="Times New Roman" w:cs="Times New Roman" w:eastAsiaTheme="minorEastAsia"/>
                <w:b/>
                <w:snapToGrid w:val="0"/>
                <w:kern w:val="0"/>
                <w:sz w:val="21"/>
                <w:szCs w:val="21"/>
                <w:highlight w:val="none"/>
                <w:lang w:val="en-US" w:eastAsia="zh-CN"/>
              </w:rPr>
              <w:t>7-4</w:t>
            </w:r>
            <w:r>
              <w:rPr>
                <w:rFonts w:hint="default" w:ascii="Times New Roman" w:hAnsi="Times New Roman" w:cs="Times New Roman" w:eastAsiaTheme="minorEastAsia"/>
                <w:b/>
                <w:snapToGrid w:val="0"/>
                <w:kern w:val="0"/>
                <w:sz w:val="21"/>
                <w:szCs w:val="21"/>
                <w:highlight w:val="none"/>
                <w:lang w:val="en-US" w:eastAsia="zh-CN"/>
              </w:rPr>
              <w:t xml:space="preserve"> </w:t>
            </w:r>
            <w:r>
              <w:rPr>
                <w:rFonts w:hint="eastAsia" w:ascii="Times New Roman" w:hAnsi="Times New Roman" w:cs="Times New Roman" w:eastAsiaTheme="minorEastAsia"/>
                <w:b/>
                <w:snapToGrid w:val="0"/>
                <w:kern w:val="0"/>
                <w:sz w:val="21"/>
                <w:szCs w:val="21"/>
                <w:highlight w:val="none"/>
                <w:lang w:val="en-US" w:eastAsia="zh-CN"/>
              </w:rPr>
              <w:t xml:space="preserve">  </w:t>
            </w:r>
            <w:r>
              <w:rPr>
                <w:rFonts w:hint="default" w:ascii="Times New Roman" w:hAnsi="Times New Roman" w:cs="Times New Roman" w:eastAsiaTheme="minorEastAsia"/>
                <w:b/>
                <w:snapToGrid w:val="0"/>
                <w:kern w:val="0"/>
                <w:sz w:val="21"/>
                <w:szCs w:val="21"/>
                <w:highlight w:val="none"/>
                <w:lang w:val="en-US" w:eastAsia="zh-CN"/>
              </w:rPr>
              <w:t>厂界噪声监测结</w:t>
            </w:r>
            <w:r>
              <w:rPr>
                <w:rFonts w:hint="eastAsia" w:ascii="Times New Roman" w:hAnsi="Times New Roman" w:cs="Times New Roman" w:eastAsiaTheme="minorEastAsia"/>
                <w:b/>
                <w:snapToGrid w:val="0"/>
                <w:kern w:val="0"/>
                <w:sz w:val="21"/>
                <w:szCs w:val="21"/>
                <w:highlight w:val="none"/>
                <w:lang w:val="en-US" w:eastAsia="zh-CN"/>
              </w:rPr>
              <w:t>果     单位：dB（A）</w:t>
            </w:r>
          </w:p>
          <w:tbl>
            <w:tblPr>
              <w:tblStyle w:val="11"/>
              <w:tblW w:w="88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2"/>
              <w:gridCol w:w="1797"/>
              <w:gridCol w:w="1797"/>
              <w:gridCol w:w="1797"/>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1902" w:type="dxa"/>
                  <w:vMerge w:val="restart"/>
                  <w:vAlign w:val="center"/>
                </w:tcPr>
                <w:p>
                  <w:pPr>
                    <w:jc w:val="center"/>
                    <w:rPr>
                      <w:rFonts w:hint="default" w:ascii="Times New Roman" w:hAnsi="Times New Roman" w:eastAsia="宋体" w:cs="Times New Roman"/>
                      <w:b/>
                      <w:bCs/>
                      <w:color w:val="auto"/>
                      <w:sz w:val="21"/>
                      <w:szCs w:val="21"/>
                      <w:highlight w:val="none"/>
                      <w:lang w:val="en-US" w:eastAsia="zh-CN"/>
                    </w:rPr>
                  </w:pPr>
                  <w:bookmarkStart w:id="114" w:name="_Toc15771"/>
                  <w:bookmarkStart w:id="115" w:name="_Toc4215"/>
                  <w:bookmarkStart w:id="116" w:name="_Toc32286"/>
                  <w:r>
                    <w:rPr>
                      <w:rFonts w:hint="default" w:ascii="Times New Roman" w:hAnsi="Times New Roman" w:eastAsia="宋体" w:cs="Times New Roman"/>
                      <w:b/>
                      <w:bCs/>
                      <w:color w:val="auto"/>
                      <w:sz w:val="21"/>
                      <w:szCs w:val="21"/>
                      <w:highlight w:val="none"/>
                      <w:lang w:val="en-US" w:eastAsia="zh-CN"/>
                    </w:rPr>
                    <w:t>监测点位</w:t>
                  </w:r>
                </w:p>
              </w:tc>
              <w:tc>
                <w:tcPr>
                  <w:tcW w:w="6949" w:type="dxa"/>
                  <w:gridSpan w:val="4"/>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1902" w:type="dxa"/>
                  <w:vMerge w:val="continue"/>
                  <w:vAlign w:val="center"/>
                </w:tcPr>
                <w:p>
                  <w:pPr>
                    <w:jc w:val="center"/>
                    <w:rPr>
                      <w:rFonts w:hint="default" w:ascii="Times New Roman" w:hAnsi="Times New Roman" w:eastAsia="宋体" w:cs="Times New Roman"/>
                      <w:b/>
                      <w:bCs/>
                      <w:color w:val="auto"/>
                      <w:sz w:val="21"/>
                      <w:szCs w:val="21"/>
                      <w:highlight w:val="none"/>
                      <w:lang w:val="en-US" w:eastAsia="zh-CN"/>
                    </w:rPr>
                  </w:pPr>
                </w:p>
              </w:tc>
              <w:tc>
                <w:tcPr>
                  <w:tcW w:w="3594" w:type="dxa"/>
                  <w:gridSpan w:val="2"/>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201</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.11.1</w:t>
                  </w:r>
                  <w:r>
                    <w:rPr>
                      <w:rFonts w:hint="eastAsia" w:ascii="Times New Roman" w:hAnsi="Times New Roman" w:eastAsia="宋体" w:cs="Times New Roman"/>
                      <w:b/>
                      <w:bCs/>
                      <w:color w:val="auto"/>
                      <w:sz w:val="21"/>
                      <w:szCs w:val="21"/>
                      <w:highlight w:val="none"/>
                      <w:lang w:val="en-US" w:eastAsia="zh-CN"/>
                    </w:rPr>
                    <w:t>1</w:t>
                  </w:r>
                </w:p>
              </w:tc>
              <w:tc>
                <w:tcPr>
                  <w:tcW w:w="3355" w:type="dxa"/>
                  <w:gridSpan w:val="2"/>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201</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.11.1</w:t>
                  </w:r>
                  <w:r>
                    <w:rPr>
                      <w:rFonts w:hint="eastAsia" w:ascii="Times New Roman" w:hAnsi="Times New Roman" w:eastAsia="宋体" w:cs="Times New Roman"/>
                      <w:b/>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1902" w:type="dxa"/>
                  <w:vMerge w:val="continue"/>
                  <w:vAlign w:val="center"/>
                </w:tcPr>
                <w:p>
                  <w:pPr>
                    <w:jc w:val="center"/>
                    <w:rPr>
                      <w:rFonts w:hint="default" w:ascii="Times New Roman" w:hAnsi="Times New Roman" w:eastAsia="宋体" w:cs="Times New Roman"/>
                      <w:b/>
                      <w:bCs/>
                      <w:color w:val="auto"/>
                      <w:sz w:val="21"/>
                      <w:szCs w:val="21"/>
                      <w:highlight w:val="none"/>
                      <w:lang w:val="en-US" w:eastAsia="zh-CN"/>
                    </w:rPr>
                  </w:pPr>
                </w:p>
              </w:tc>
              <w:tc>
                <w:tcPr>
                  <w:tcW w:w="1797" w:type="dxa"/>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昼间dB（A）</w:t>
                  </w:r>
                </w:p>
              </w:tc>
              <w:tc>
                <w:tcPr>
                  <w:tcW w:w="1797" w:type="dxa"/>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夜间dB（A）</w:t>
                  </w:r>
                </w:p>
              </w:tc>
              <w:tc>
                <w:tcPr>
                  <w:tcW w:w="1797" w:type="dxa"/>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昼间dB（A）</w:t>
                  </w:r>
                </w:p>
              </w:tc>
              <w:tc>
                <w:tcPr>
                  <w:tcW w:w="1558" w:type="dxa"/>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2"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N1</w:t>
                  </w:r>
                  <w:r>
                    <w:rPr>
                      <w:rFonts w:hint="default" w:ascii="Times New Roman" w:hAnsi="Times New Roman" w:eastAsia="宋体" w:cs="Times New Roman"/>
                      <w:color w:val="auto"/>
                      <w:sz w:val="21"/>
                      <w:szCs w:val="21"/>
                      <w:highlight w:val="none"/>
                      <w:lang w:val="en-US" w:eastAsia="zh-CN"/>
                    </w:rPr>
                    <w:t>东厂界</w:t>
                  </w:r>
                </w:p>
              </w:tc>
              <w:tc>
                <w:tcPr>
                  <w:tcW w:w="179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w:t>
                  </w:r>
                </w:p>
              </w:tc>
              <w:tc>
                <w:tcPr>
                  <w:tcW w:w="179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c>
                <w:tcPr>
                  <w:tcW w:w="179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w:t>
                  </w:r>
                </w:p>
              </w:tc>
              <w:tc>
                <w:tcPr>
                  <w:tcW w:w="1558"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2"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lang w:val="en-US" w:eastAsia="zh-CN"/>
                    </w:rPr>
                    <w:t>2南厂界</w:t>
                  </w:r>
                </w:p>
              </w:tc>
              <w:tc>
                <w:tcPr>
                  <w:tcW w:w="179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w:t>
                  </w:r>
                </w:p>
              </w:tc>
              <w:tc>
                <w:tcPr>
                  <w:tcW w:w="179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179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w:t>
                  </w:r>
                </w:p>
              </w:tc>
              <w:tc>
                <w:tcPr>
                  <w:tcW w:w="1558"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2"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lang w:val="en-US" w:eastAsia="zh-CN"/>
                    </w:rPr>
                    <w:t>3西厂界</w:t>
                  </w:r>
                </w:p>
              </w:tc>
              <w:tc>
                <w:tcPr>
                  <w:tcW w:w="179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c>
                <w:tcPr>
                  <w:tcW w:w="179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w:t>
                  </w:r>
                </w:p>
              </w:tc>
              <w:tc>
                <w:tcPr>
                  <w:tcW w:w="179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w:t>
                  </w:r>
                </w:p>
              </w:tc>
              <w:tc>
                <w:tcPr>
                  <w:tcW w:w="1558"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02"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lang w:val="en-US" w:eastAsia="zh-CN"/>
                    </w:rPr>
                    <w:t>4北厂界</w:t>
                  </w:r>
                </w:p>
              </w:tc>
              <w:tc>
                <w:tcPr>
                  <w:tcW w:w="179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w:t>
                  </w:r>
                </w:p>
              </w:tc>
              <w:tc>
                <w:tcPr>
                  <w:tcW w:w="179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c>
                <w:tcPr>
                  <w:tcW w:w="179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w:t>
                  </w:r>
                </w:p>
              </w:tc>
              <w:tc>
                <w:tcPr>
                  <w:tcW w:w="1558"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r>
            <w:bookmarkEnd w:id="114"/>
            <w:bookmarkEnd w:id="115"/>
            <w:bookmarkEnd w:id="116"/>
          </w:tbl>
          <w:p>
            <w:pPr>
              <w:pStyle w:val="4"/>
              <w:keepNext w:val="0"/>
              <w:keepLines w:val="0"/>
              <w:pageBreakBefore w:val="0"/>
              <w:widowControl w:val="0"/>
              <w:kinsoku/>
              <w:wordWrap/>
              <w:overflowPunct/>
              <w:topLinePunct w:val="0"/>
              <w:autoSpaceDE w:val="0"/>
              <w:autoSpaceDN w:val="0"/>
              <w:bidi w:val="0"/>
              <w:adjustRightInd/>
              <w:snapToGrid/>
              <w:spacing w:before="469" w:beforeLines="100" w:line="360" w:lineRule="auto"/>
              <w:textAlignment w:val="auto"/>
              <w:rPr>
                <w:rFonts w:hint="eastAsia" w:hAnsi="宋体"/>
                <w:b/>
                <w:sz w:val="24"/>
                <w:highlight w:val="none"/>
                <w:u w:val="none"/>
                <w:lang w:val="en-US" w:eastAsia="zh-CN"/>
              </w:rPr>
            </w:pPr>
            <w:r>
              <w:rPr>
                <w:rFonts w:hint="eastAsia"/>
                <w:b/>
                <w:sz w:val="24"/>
                <w:highlight w:val="none"/>
                <w:u w:val="none"/>
                <w:lang w:val="en-US" w:eastAsia="zh-CN"/>
              </w:rPr>
              <w:t>三、</w:t>
            </w:r>
            <w:r>
              <w:rPr>
                <w:rFonts w:hint="eastAsia" w:hAnsi="宋体"/>
                <w:b/>
                <w:sz w:val="24"/>
                <w:highlight w:val="none"/>
                <w:u w:val="none"/>
                <w:lang w:val="en-US" w:eastAsia="zh-CN"/>
              </w:rPr>
              <w:t>工程建设对环境的影响</w:t>
            </w:r>
          </w:p>
          <w:p>
            <w:pPr>
              <w:keepNext w:val="0"/>
              <w:keepLines w:val="0"/>
              <w:pageBreakBefore w:val="0"/>
              <w:widowControl w:val="0"/>
              <w:numPr>
                <w:ilvl w:val="0"/>
                <w:numId w:val="0"/>
              </w:numPr>
              <w:tabs>
                <w:tab w:val="left" w:pos="924"/>
              </w:tabs>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cs="Times New Roman"/>
                <w:bCs/>
                <w:snapToGrid w:val="0"/>
                <w:kern w:val="0"/>
                <w:sz w:val="24"/>
                <w:szCs w:val="24"/>
                <w:highlight w:val="none"/>
                <w:lang w:val="en-US" w:eastAsia="zh-CN"/>
              </w:rPr>
            </w:pPr>
            <w:r>
              <w:rPr>
                <w:rFonts w:hint="eastAsia" w:cs="Times New Roman"/>
                <w:bCs/>
                <w:snapToGrid w:val="0"/>
                <w:kern w:val="0"/>
                <w:sz w:val="24"/>
                <w:szCs w:val="24"/>
                <w:highlight w:val="none"/>
                <w:lang w:val="en-US" w:eastAsia="zh-CN"/>
              </w:rPr>
              <w:t>1、废气排放</w:t>
            </w:r>
          </w:p>
          <w:p>
            <w:pPr>
              <w:keepNext w:val="0"/>
              <w:keepLines w:val="0"/>
              <w:pageBreakBefore w:val="0"/>
              <w:widowControl w:val="0"/>
              <w:numPr>
                <w:ilvl w:val="0"/>
                <w:numId w:val="0"/>
              </w:numPr>
              <w:tabs>
                <w:tab w:val="left" w:pos="924"/>
              </w:tabs>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Cs/>
                <w:snapToGrid w:val="0"/>
                <w:kern w:val="0"/>
                <w:sz w:val="24"/>
                <w:szCs w:val="24"/>
                <w:highlight w:val="none"/>
                <w:lang w:val="en-US" w:eastAsia="zh-CN"/>
              </w:rPr>
            </w:pPr>
            <w:r>
              <w:rPr>
                <w:rFonts w:hint="default" w:ascii="Times New Roman" w:hAnsi="Times New Roman" w:eastAsia="宋体" w:cs="Times New Roman"/>
                <w:bCs/>
                <w:snapToGrid w:val="0"/>
                <w:kern w:val="0"/>
                <w:sz w:val="24"/>
                <w:szCs w:val="24"/>
                <w:highlight w:val="none"/>
                <w:lang w:val="en-US" w:eastAsia="zh-CN"/>
              </w:rPr>
              <w:t>站区内非甲烷总烃</w:t>
            </w:r>
            <w:r>
              <w:rPr>
                <w:rFonts w:hint="eastAsia" w:ascii="Times New Roman" w:hAnsi="Times New Roman" w:eastAsia="宋体" w:cs="Times New Roman"/>
                <w:bCs/>
                <w:snapToGrid w:val="0"/>
                <w:kern w:val="0"/>
                <w:sz w:val="24"/>
                <w:szCs w:val="24"/>
                <w:highlight w:val="none"/>
                <w:lang w:val="en-US" w:eastAsia="zh-CN"/>
              </w:rPr>
              <w:t>符合</w:t>
            </w:r>
            <w:r>
              <w:rPr>
                <w:rFonts w:hint="default" w:ascii="Times New Roman" w:hAnsi="Times New Roman" w:eastAsia="宋体" w:cs="Times New Roman"/>
                <w:bCs/>
                <w:snapToGrid w:val="0"/>
                <w:kern w:val="0"/>
                <w:sz w:val="24"/>
                <w:szCs w:val="24"/>
                <w:highlight w:val="none"/>
                <w:lang w:val="en-US" w:eastAsia="zh-CN"/>
              </w:rPr>
              <w:t>《大气污染物综合排放标准》表2中无组织排放监控浓度</w:t>
            </w:r>
            <w:r>
              <w:rPr>
                <w:rFonts w:hint="eastAsia" w:ascii="Times New Roman" w:hAnsi="Times New Roman" w:eastAsia="宋体" w:cstheme="minorBidi"/>
                <w:bCs/>
                <w:iCs/>
                <w:color w:val="auto"/>
                <w:sz w:val="24"/>
                <w:szCs w:val="32"/>
                <w:highlight w:val="none"/>
                <w:lang w:val="en-US" w:eastAsia="zh-CN" w:bidi="ar-SA"/>
              </w:rPr>
              <w:t>限值标</w:t>
            </w:r>
            <w:r>
              <w:rPr>
                <w:rFonts w:hint="eastAsia" w:cstheme="minorBidi"/>
                <w:bCs/>
                <w:iCs/>
                <w:color w:val="auto"/>
                <w:sz w:val="24"/>
                <w:szCs w:val="32"/>
                <w:highlight w:val="none"/>
                <w:lang w:val="en-US" w:eastAsia="zh-CN" w:bidi="ar-SA"/>
              </w:rPr>
              <w:t>准</w:t>
            </w:r>
            <w:r>
              <w:rPr>
                <w:rFonts w:hint="eastAsia" w:ascii="Times New Roman" w:hAnsi="Times New Roman" w:eastAsia="宋体" w:cs="Times New Roman"/>
                <w:bCs/>
                <w:snapToGrid w:val="0"/>
                <w:kern w:val="0"/>
                <w:sz w:val="24"/>
                <w:szCs w:val="24"/>
                <w:highlight w:val="none"/>
                <w:lang w:val="en-US" w:eastAsia="zh-CN"/>
              </w:rPr>
              <w:t>；油气回收装置排放口</w:t>
            </w:r>
            <w:r>
              <w:rPr>
                <w:rFonts w:hint="default" w:ascii="Times New Roman" w:hAnsi="Times New Roman" w:eastAsia="宋体" w:cs="Times New Roman"/>
                <w:bCs/>
                <w:snapToGrid w:val="0"/>
                <w:kern w:val="0"/>
                <w:sz w:val="24"/>
                <w:szCs w:val="24"/>
                <w:highlight w:val="none"/>
                <w:lang w:val="en-US" w:eastAsia="zh-CN"/>
              </w:rPr>
              <w:t>非甲烷总烃</w:t>
            </w:r>
            <w:r>
              <w:rPr>
                <w:rFonts w:hint="eastAsia" w:ascii="Times New Roman" w:hAnsi="Times New Roman" w:eastAsia="宋体" w:cs="Times New Roman"/>
                <w:bCs/>
                <w:snapToGrid w:val="0"/>
                <w:kern w:val="0"/>
                <w:sz w:val="24"/>
                <w:szCs w:val="24"/>
                <w:highlight w:val="none"/>
                <w:lang w:val="en-US" w:eastAsia="zh-CN"/>
              </w:rPr>
              <w:t>符合《加油站大气污染物排放标准》（GB20957-2007）</w:t>
            </w:r>
            <w:r>
              <w:rPr>
                <w:rFonts w:hint="eastAsia" w:ascii="Times New Roman" w:hAnsi="Times New Roman" w:eastAsia="宋体" w:cstheme="minorBidi"/>
                <w:bCs/>
                <w:iCs/>
                <w:color w:val="auto"/>
                <w:sz w:val="24"/>
                <w:szCs w:val="32"/>
                <w:highlight w:val="none"/>
                <w:lang w:val="en-US" w:eastAsia="zh-CN" w:bidi="ar-SA"/>
              </w:rPr>
              <w:t>限值标</w:t>
            </w:r>
            <w:r>
              <w:rPr>
                <w:rFonts w:hint="eastAsia" w:cstheme="minorBidi"/>
                <w:bCs/>
                <w:iCs/>
                <w:color w:val="auto"/>
                <w:sz w:val="24"/>
                <w:szCs w:val="32"/>
                <w:highlight w:val="none"/>
                <w:lang w:val="en-US" w:eastAsia="zh-CN" w:bidi="ar-SA"/>
              </w:rPr>
              <w:t>准</w:t>
            </w:r>
            <w:r>
              <w:rPr>
                <w:rFonts w:hint="eastAsia" w:ascii="Times New Roman" w:hAnsi="Times New Roman" w:eastAsia="宋体" w:cs="Times New Roman"/>
                <w:bCs/>
                <w:snapToGrid w:val="0"/>
                <w:kern w:val="0"/>
                <w:sz w:val="24"/>
                <w:szCs w:val="24"/>
                <w:highlight w:val="none"/>
                <w:lang w:val="en-US" w:eastAsia="zh-CN"/>
              </w:rPr>
              <w:t>。</w:t>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eastAsiaTheme="minorEastAsia"/>
                <w:b/>
                <w:snapToGrid w:val="0"/>
                <w:kern w:val="0"/>
                <w:sz w:val="21"/>
                <w:szCs w:val="21"/>
                <w:highlight w:val="none"/>
                <w:lang w:val="en-US" w:eastAsia="zh-CN"/>
              </w:rPr>
            </w:pPr>
            <w:r>
              <w:rPr>
                <w:rFonts w:hint="default" w:ascii="Times New Roman" w:hAnsi="Times New Roman" w:cs="Times New Roman" w:eastAsiaTheme="minorEastAsia"/>
                <w:b/>
                <w:snapToGrid w:val="0"/>
                <w:kern w:val="0"/>
                <w:sz w:val="21"/>
                <w:szCs w:val="21"/>
                <w:highlight w:val="none"/>
                <w:lang w:val="en-US" w:eastAsia="zh-CN"/>
              </w:rPr>
              <w:t>表</w:t>
            </w:r>
            <w:r>
              <w:rPr>
                <w:rFonts w:hint="eastAsia" w:ascii="Times New Roman" w:hAnsi="Times New Roman" w:cs="Times New Roman" w:eastAsiaTheme="minorEastAsia"/>
                <w:b/>
                <w:snapToGrid w:val="0"/>
                <w:kern w:val="0"/>
                <w:sz w:val="21"/>
                <w:szCs w:val="21"/>
                <w:highlight w:val="none"/>
                <w:lang w:val="en-US" w:eastAsia="zh-CN"/>
              </w:rPr>
              <w:t xml:space="preserve">7-5  </w:t>
            </w:r>
            <w:r>
              <w:rPr>
                <w:rFonts w:hint="default" w:ascii="Times New Roman" w:hAnsi="Times New Roman" w:cs="Times New Roman" w:eastAsiaTheme="minorEastAsia"/>
                <w:b/>
                <w:snapToGrid w:val="0"/>
                <w:kern w:val="0"/>
                <w:sz w:val="21"/>
                <w:szCs w:val="21"/>
                <w:highlight w:val="none"/>
                <w:lang w:val="en-US" w:eastAsia="zh-CN"/>
              </w:rPr>
              <w:t>项目废气排放标准（单位：mg/m</w:t>
            </w:r>
            <w:r>
              <w:rPr>
                <w:rFonts w:hint="default" w:ascii="Times New Roman" w:hAnsi="Times New Roman" w:cs="Times New Roman" w:eastAsiaTheme="minorEastAsia"/>
                <w:b/>
                <w:snapToGrid w:val="0"/>
                <w:kern w:val="0"/>
                <w:sz w:val="21"/>
                <w:szCs w:val="21"/>
                <w:highlight w:val="none"/>
                <w:vertAlign w:val="superscript"/>
                <w:lang w:val="en-US" w:eastAsia="zh-CN"/>
              </w:rPr>
              <w:t>3</w:t>
            </w:r>
            <w:r>
              <w:rPr>
                <w:rFonts w:hint="default" w:ascii="Times New Roman" w:hAnsi="Times New Roman" w:cs="Times New Roman" w:eastAsiaTheme="minorEastAsia"/>
                <w:b/>
                <w:snapToGrid w:val="0"/>
                <w:kern w:val="0"/>
                <w:sz w:val="21"/>
                <w:szCs w:val="21"/>
                <w:highlight w:val="none"/>
                <w:lang w:val="en-US" w:eastAsia="zh-CN"/>
              </w:rPr>
              <w:t>）</w:t>
            </w:r>
          </w:p>
          <w:tbl>
            <w:tblPr>
              <w:tblStyle w:val="11"/>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2839"/>
              <w:gridCol w:w="4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9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83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排放浓度限值</w:t>
                  </w:r>
                </w:p>
              </w:tc>
              <w:tc>
                <w:tcPr>
                  <w:tcW w:w="462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90" w:type="dxa"/>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283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462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w:t>
                  </w:r>
                </w:p>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（GB16297-1996）表2</w:t>
                  </w:r>
                  <w:r>
                    <w:rPr>
                      <w:rFonts w:hint="default" w:ascii="Times New Roman" w:hAnsi="Times New Roman" w:eastAsia="宋体" w:cs="Times New Roman"/>
                      <w:color w:val="auto"/>
                      <w:sz w:val="21"/>
                      <w:szCs w:val="21"/>
                      <w:highlight w:val="none"/>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90"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83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25g/m</w:t>
                  </w:r>
                  <w:r>
                    <w:rPr>
                      <w:rFonts w:hint="default" w:ascii="Times New Roman" w:hAnsi="Times New Roman" w:eastAsia="宋体" w:cs="Times New Roman"/>
                      <w:color w:val="auto"/>
                      <w:sz w:val="21"/>
                      <w:szCs w:val="21"/>
                      <w:highlight w:val="none"/>
                      <w:vertAlign w:val="superscript"/>
                      <w:lang w:val="en-US" w:eastAsia="zh-CN"/>
                    </w:rPr>
                    <w:t>3</w:t>
                  </w:r>
                </w:p>
              </w:tc>
              <w:tc>
                <w:tcPr>
                  <w:tcW w:w="4622"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《加油站大气污染物排放标准》（</w:t>
                  </w:r>
                  <w:r>
                    <w:rPr>
                      <w:rFonts w:hint="default" w:ascii="Times New Roman" w:hAnsi="Times New Roman" w:eastAsia="宋体" w:cs="Times New Roman"/>
                      <w:color w:val="auto"/>
                      <w:sz w:val="21"/>
                      <w:szCs w:val="21"/>
                      <w:highlight w:val="none"/>
                      <w:lang w:val="en-US" w:eastAsia="zh-CN"/>
                    </w:rPr>
                    <w:t>GB20957-2007</w:t>
                  </w:r>
                  <w:r>
                    <w:rPr>
                      <w:rFonts w:hint="default" w:ascii="Times New Roman" w:hAnsi="Times New Roman" w:eastAsia="宋体" w:cs="Times New Roman"/>
                      <w:color w:val="auto"/>
                      <w:sz w:val="21"/>
                      <w:szCs w:val="21"/>
                      <w:highlight w:val="none"/>
                      <w:lang w:eastAsia="zh-CN"/>
                    </w:rPr>
                    <w:t>）</w:t>
                  </w:r>
                </w:p>
              </w:tc>
            </w:tr>
          </w:tbl>
          <w:p>
            <w:pPr>
              <w:keepNext w:val="0"/>
              <w:keepLines w:val="0"/>
              <w:pageBreakBefore w:val="0"/>
              <w:widowControl w:val="0"/>
              <w:numPr>
                <w:ilvl w:val="0"/>
                <w:numId w:val="5"/>
              </w:numPr>
              <w:tabs>
                <w:tab w:val="left" w:pos="924"/>
              </w:tabs>
              <w:kinsoku/>
              <w:wordWrap/>
              <w:overflowPunct/>
              <w:topLinePunct w:val="0"/>
              <w:autoSpaceDE/>
              <w:autoSpaceDN/>
              <w:bidi w:val="0"/>
              <w:adjustRightInd w:val="0"/>
              <w:snapToGrid w:val="0"/>
              <w:spacing w:before="469" w:beforeLines="100" w:line="360" w:lineRule="auto"/>
              <w:ind w:left="0" w:leftChars="0" w:firstLine="480" w:firstLineChars="200"/>
              <w:jc w:val="left"/>
              <w:textAlignment w:val="auto"/>
              <w:rPr>
                <w:rFonts w:hint="eastAsia" w:ascii="Times New Roman" w:hAnsi="Times New Roman" w:eastAsia="宋体" w:cs="Times New Roman"/>
                <w:bCs/>
                <w:snapToGrid w:val="0"/>
                <w:kern w:val="0"/>
                <w:sz w:val="24"/>
                <w:szCs w:val="24"/>
                <w:highlight w:val="none"/>
                <w:lang w:val="en-US" w:eastAsia="zh-CN"/>
              </w:rPr>
            </w:pPr>
            <w:r>
              <w:rPr>
                <w:rFonts w:hint="eastAsia" w:ascii="Times New Roman" w:hAnsi="Times New Roman" w:eastAsia="宋体" w:cs="Times New Roman"/>
                <w:bCs/>
                <w:snapToGrid w:val="0"/>
                <w:kern w:val="0"/>
                <w:sz w:val="24"/>
                <w:szCs w:val="24"/>
                <w:highlight w:val="none"/>
                <w:lang w:val="en-US" w:eastAsia="zh-CN"/>
              </w:rPr>
              <w:t>废水排放</w:t>
            </w:r>
          </w:p>
          <w:p>
            <w:pPr>
              <w:adjustRightInd w:val="0"/>
              <w:snapToGrid w:val="0"/>
              <w:spacing w:line="360" w:lineRule="auto"/>
              <w:ind w:firstLine="480" w:firstLineChars="200"/>
              <w:rPr>
                <w:rFonts w:hint="eastAsia" w:ascii="Times New Roman" w:hAnsi="Times New Roman" w:cs="Times New Roman"/>
                <w:snapToGrid w:val="0"/>
                <w:kern w:val="0"/>
                <w:sz w:val="24"/>
                <w:szCs w:val="24"/>
                <w:highlight w:val="none"/>
                <w:lang w:eastAsia="zh-CN"/>
              </w:rPr>
            </w:pPr>
            <w:r>
              <w:rPr>
                <w:rFonts w:hint="eastAsia"/>
                <w:snapToGrid w:val="0"/>
                <w:kern w:val="0"/>
                <w:sz w:val="24"/>
                <w:szCs w:val="24"/>
                <w:highlight w:val="none"/>
              </w:rPr>
              <w:t>本</w:t>
            </w:r>
            <w:r>
              <w:rPr>
                <w:rFonts w:hint="eastAsia" w:ascii="Times New Roman" w:hAnsi="Times New Roman" w:cs="Times New Roman"/>
                <w:snapToGrid w:val="0"/>
                <w:kern w:val="0"/>
                <w:sz w:val="24"/>
                <w:szCs w:val="24"/>
                <w:highlight w:val="none"/>
              </w:rPr>
              <w:t>项目排水采用雨污分流，加油岛四周设雨水收集沟槽，雨水经隔油池处理后排入场外排水渠，最终进入赤水河</w:t>
            </w:r>
            <w:r>
              <w:rPr>
                <w:rFonts w:hint="eastAsia" w:ascii="Times New Roman" w:hAnsi="Times New Roman" w:cs="Times New Roman"/>
                <w:snapToGrid w:val="0"/>
                <w:kern w:val="0"/>
                <w:sz w:val="24"/>
                <w:szCs w:val="24"/>
                <w:highlight w:val="none"/>
                <w:lang w:eastAsia="zh-CN"/>
              </w:rPr>
              <w:t>。</w:t>
            </w:r>
          </w:p>
          <w:p>
            <w:pPr>
              <w:adjustRightInd w:val="0"/>
              <w:snapToGrid w:val="0"/>
              <w:spacing w:line="360" w:lineRule="auto"/>
              <w:ind w:firstLine="480" w:firstLineChars="200"/>
              <w:rPr>
                <w:rFonts w:hint="eastAsia" w:ascii="宋体" w:hAnsi="宋体" w:eastAsia="宋体" w:cs="宋体"/>
                <w:b w:val="0"/>
                <w:color w:val="auto"/>
                <w:kern w:val="24"/>
                <w:sz w:val="24"/>
                <w:szCs w:val="21"/>
                <w:highlight w:val="none"/>
                <w:lang w:val="en-US" w:eastAsia="zh-CN" w:bidi="ar-SA"/>
              </w:rPr>
            </w:pPr>
            <w:r>
              <w:rPr>
                <w:rFonts w:hint="eastAsia" w:ascii="Times New Roman" w:hAnsi="Times New Roman" w:cs="Times New Roman"/>
                <w:snapToGrid w:val="0"/>
                <w:kern w:val="0"/>
                <w:sz w:val="24"/>
                <w:szCs w:val="24"/>
                <w:highlight w:val="none"/>
              </w:rPr>
              <w:t>项目场地冲洗废水经隔油池处理后和生活污水一并进入渭南至玉山高速公路华州服务区一体化埋地式中水回用膜处理统</w:t>
            </w:r>
            <w:r>
              <w:rPr>
                <w:rFonts w:hint="eastAsia" w:ascii="Times New Roman" w:hAnsi="Times New Roman" w:cs="Times New Roman"/>
                <w:snapToGrid w:val="0"/>
                <w:kern w:val="0"/>
                <w:sz w:val="24"/>
                <w:szCs w:val="24"/>
                <w:highlight w:val="none"/>
                <w:lang w:eastAsia="zh-CN"/>
              </w:rPr>
              <w:t>一</w:t>
            </w:r>
            <w:r>
              <w:rPr>
                <w:rFonts w:hint="eastAsia" w:ascii="Times New Roman" w:hAnsi="Times New Roman" w:cs="Times New Roman"/>
                <w:snapToGrid w:val="0"/>
                <w:kern w:val="0"/>
                <w:sz w:val="24"/>
                <w:szCs w:val="24"/>
                <w:highlight w:val="none"/>
              </w:rPr>
              <w:t>处理后回用于服务区厕所用水和服务区绿化用水</w:t>
            </w:r>
            <w:r>
              <w:rPr>
                <w:rFonts w:hint="eastAsia" w:ascii="Times New Roman" w:hAnsi="Times New Roman" w:cs="Times New Roman"/>
                <w:snapToGrid w:val="0"/>
                <w:kern w:val="0"/>
                <w:sz w:val="24"/>
                <w:szCs w:val="24"/>
                <w:highlight w:val="none"/>
                <w:lang w:eastAsia="zh-CN"/>
              </w:rPr>
              <w:t>，</w:t>
            </w:r>
            <w:r>
              <w:rPr>
                <w:rFonts w:hint="eastAsia" w:ascii="宋体" w:hAnsi="宋体" w:eastAsia="宋体" w:cs="宋体"/>
                <w:b w:val="0"/>
                <w:color w:val="auto"/>
                <w:kern w:val="24"/>
                <w:sz w:val="24"/>
                <w:szCs w:val="21"/>
                <w:highlight w:val="none"/>
                <w:lang w:val="en-US" w:eastAsia="zh-CN" w:bidi="ar-SA"/>
              </w:rPr>
              <w:t>不外排。</w:t>
            </w:r>
          </w:p>
          <w:p>
            <w:pPr>
              <w:keepNext w:val="0"/>
              <w:keepLines w:val="0"/>
              <w:pageBreakBefore w:val="0"/>
              <w:widowControl w:val="0"/>
              <w:tabs>
                <w:tab w:val="left" w:pos="92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snapToGrid w:val="0"/>
                <w:kern w:val="0"/>
                <w:sz w:val="24"/>
                <w:szCs w:val="24"/>
                <w:highlight w:val="none"/>
                <w:lang w:val="en-US" w:eastAsia="zh-CN"/>
              </w:rPr>
            </w:pPr>
            <w:r>
              <w:rPr>
                <w:rFonts w:hint="eastAsia" w:ascii="Times New Roman" w:hAnsi="Times New Roman" w:eastAsia="宋体" w:cs="Times New Roman"/>
                <w:bCs/>
                <w:snapToGrid w:val="0"/>
                <w:kern w:val="0"/>
                <w:sz w:val="24"/>
                <w:szCs w:val="24"/>
                <w:highlight w:val="none"/>
                <w:lang w:val="en-US" w:eastAsia="zh-CN"/>
              </w:rPr>
              <w:t>3、噪声排放</w:t>
            </w:r>
          </w:p>
          <w:p>
            <w:pPr>
              <w:tabs>
                <w:tab w:val="left" w:pos="924"/>
              </w:tabs>
              <w:adjustRightInd w:val="0"/>
              <w:snapToGrid w:val="0"/>
              <w:spacing w:line="360" w:lineRule="auto"/>
              <w:ind w:firstLine="480" w:firstLineChars="200"/>
              <w:jc w:val="left"/>
              <w:rPr>
                <w:rFonts w:hint="eastAsia" w:ascii="Times New Roman" w:hAnsi="Times New Roman" w:eastAsia="宋体" w:cs="Times New Roman"/>
                <w:bCs/>
                <w:snapToGrid w:val="0"/>
                <w:kern w:val="0"/>
                <w:sz w:val="24"/>
                <w:szCs w:val="24"/>
                <w:highlight w:val="none"/>
                <w:lang w:val="en-US" w:eastAsia="zh-CN"/>
              </w:rPr>
            </w:pPr>
            <w:r>
              <w:rPr>
                <w:rFonts w:hint="eastAsia" w:ascii="Times New Roman" w:hAnsi="Times New Roman" w:eastAsia="宋体" w:cs="Times New Roman"/>
                <w:bCs/>
                <w:snapToGrid w:val="0"/>
                <w:kern w:val="0"/>
                <w:sz w:val="24"/>
                <w:szCs w:val="24"/>
                <w:highlight w:val="none"/>
                <w:lang w:val="en-US" w:eastAsia="zh-CN"/>
              </w:rPr>
              <w:t>根据验收监测结果，项目验收监测期间，各高噪声设备经减振、隔声和距离衰减等措施后，项目厂界N3西厂界监测点昼夜间噪声测定值均符合《工业企业厂界环境噪声排放标准》（GB 12348-2008）中的2类标准；N1东厂界、N2南厂界、N4北厂界监测点昼夜间噪声测定值均符合《工业企业厂界环境噪声排放标准》（GB 12348-2008）中的4类标准。</w:t>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eastAsiaTheme="minorEastAsia"/>
                <w:b/>
                <w:snapToGrid w:val="0"/>
                <w:kern w:val="0"/>
                <w:sz w:val="21"/>
                <w:szCs w:val="21"/>
                <w:highlight w:val="none"/>
                <w:lang w:val="en-US" w:eastAsia="zh-CN"/>
              </w:rPr>
            </w:pPr>
            <w:r>
              <w:rPr>
                <w:rFonts w:hint="default" w:ascii="Times New Roman" w:hAnsi="Times New Roman" w:cs="Times New Roman" w:eastAsiaTheme="minorEastAsia"/>
                <w:b/>
                <w:snapToGrid w:val="0"/>
                <w:kern w:val="0"/>
                <w:sz w:val="21"/>
                <w:szCs w:val="21"/>
                <w:highlight w:val="none"/>
                <w:lang w:val="en-US" w:eastAsia="zh-CN"/>
              </w:rPr>
              <w:t>表</w:t>
            </w:r>
            <w:r>
              <w:rPr>
                <w:rFonts w:hint="eastAsia" w:ascii="Times New Roman" w:hAnsi="Times New Roman" w:cs="Times New Roman" w:eastAsiaTheme="minorEastAsia"/>
                <w:b/>
                <w:snapToGrid w:val="0"/>
                <w:kern w:val="0"/>
                <w:sz w:val="21"/>
                <w:szCs w:val="21"/>
                <w:highlight w:val="none"/>
                <w:lang w:val="en-US" w:eastAsia="zh-CN"/>
              </w:rPr>
              <w:t xml:space="preserve">7-6  </w:t>
            </w:r>
            <w:r>
              <w:rPr>
                <w:rFonts w:hint="default" w:ascii="Times New Roman" w:hAnsi="Times New Roman" w:cs="Times New Roman" w:eastAsiaTheme="minorEastAsia"/>
                <w:b/>
                <w:snapToGrid w:val="0"/>
                <w:kern w:val="0"/>
                <w:sz w:val="21"/>
                <w:szCs w:val="21"/>
                <w:highlight w:val="none"/>
                <w:lang w:val="en-US" w:eastAsia="zh-CN"/>
              </w:rPr>
              <w:t>工业企业厂界环境噪声排放标准（dB（A））</w:t>
            </w:r>
          </w:p>
          <w:tbl>
            <w:tblPr>
              <w:tblStyle w:val="11"/>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1"/>
              <w:gridCol w:w="2950"/>
              <w:gridCol w:w="2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95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类别</w:t>
                  </w:r>
                </w:p>
              </w:tc>
              <w:tc>
                <w:tcPr>
                  <w:tcW w:w="29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昼间</w:t>
                  </w:r>
                </w:p>
              </w:tc>
              <w:tc>
                <w:tcPr>
                  <w:tcW w:w="29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95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2类</w:t>
                  </w:r>
                </w:p>
              </w:tc>
              <w:tc>
                <w:tcPr>
                  <w:tcW w:w="29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60</w:t>
                  </w:r>
                </w:p>
              </w:tc>
              <w:tc>
                <w:tcPr>
                  <w:tcW w:w="29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95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4类</w:t>
                  </w:r>
                </w:p>
              </w:tc>
              <w:tc>
                <w:tcPr>
                  <w:tcW w:w="29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70</w:t>
                  </w:r>
                </w:p>
              </w:tc>
              <w:tc>
                <w:tcPr>
                  <w:tcW w:w="29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55</w:t>
                  </w:r>
                </w:p>
              </w:tc>
            </w:tr>
          </w:tbl>
          <w:p>
            <w:pPr>
              <w:rPr>
                <w:rFonts w:hint="eastAsia"/>
                <w:highlight w:val="none"/>
                <w:lang w:val="zh-CN" w:eastAsia="zh-CN"/>
              </w:rPr>
            </w:pPr>
          </w:p>
          <w:p>
            <w:pPr>
              <w:rPr>
                <w:rFonts w:hint="eastAsia"/>
                <w:highlight w:val="none"/>
                <w:lang w:val="zh-CN" w:eastAsia="zh-CN"/>
              </w:rPr>
            </w:pPr>
          </w:p>
        </w:tc>
      </w:tr>
    </w:tbl>
    <w:p>
      <w:pPr>
        <w:pStyle w:val="3"/>
        <w:rPr>
          <w:rFonts w:hint="default"/>
          <w:highlight w:val="none"/>
          <w:lang w:val="en-US" w:eastAsia="zh-CN"/>
        </w:rPr>
      </w:pPr>
      <w:bookmarkStart w:id="117" w:name="_Toc13842_WPSOffice_Level1"/>
      <w:r>
        <w:rPr>
          <w:rFonts w:hint="eastAsia"/>
          <w:highlight w:val="none"/>
        </w:rPr>
        <w:t>表</w:t>
      </w:r>
      <w:r>
        <w:rPr>
          <w:rFonts w:hint="eastAsia"/>
          <w:highlight w:val="none"/>
          <w:lang w:eastAsia="zh-CN"/>
        </w:rPr>
        <w:t>八</w:t>
      </w:r>
      <w:r>
        <w:rPr>
          <w:rFonts w:hint="eastAsia"/>
          <w:highlight w:val="none"/>
          <w:lang w:val="en-US" w:eastAsia="zh-CN"/>
        </w:rPr>
        <w:t xml:space="preserve"> 验收监测结论</w:t>
      </w:r>
      <w:bookmarkEnd w:id="117"/>
    </w:p>
    <w:tbl>
      <w:tblPr>
        <w:tblStyle w:val="11"/>
        <w:tblW w:w="907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9077"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val="0"/>
              <w:autoSpaceDN w:val="0"/>
              <w:bidi w:val="0"/>
              <w:adjustRightInd/>
              <w:snapToGrid/>
              <w:spacing w:before="0" w:beforeLines="0" w:beforeAutospacing="0" w:after="0" w:afterLines="0" w:afterAutospacing="0" w:line="360" w:lineRule="auto"/>
              <w:ind w:left="0" w:leftChars="0" w:right="0" w:firstLine="0" w:firstLineChars="0"/>
              <w:jc w:val="left"/>
              <w:textAlignment w:val="auto"/>
              <w:outlineLvl w:val="2"/>
              <w:rPr>
                <w:rFonts w:hint="default" w:ascii="Times New Roman" w:hAnsi="Times New Roman" w:eastAsia="宋体" w:cs="Times New Roman"/>
                <w:bCs/>
                <w:kern w:val="0"/>
                <w:sz w:val="24"/>
                <w:highlight w:val="none"/>
                <w:lang w:val="en-US" w:eastAsia="zh-CN" w:bidi="zh-CN"/>
              </w:rPr>
            </w:pPr>
            <w:r>
              <w:rPr>
                <w:rFonts w:hint="eastAsia" w:ascii="Times New Roman" w:hAnsi="Times New Roman" w:eastAsia="宋体" w:cs="Times New Roman"/>
                <w:bCs/>
                <w:kern w:val="0"/>
                <w:sz w:val="24"/>
                <w:highlight w:val="none"/>
                <w:lang w:val="en-US" w:eastAsia="zh-CN" w:bidi="zh-CN"/>
              </w:rPr>
              <w:t>一、</w:t>
            </w:r>
            <w:r>
              <w:rPr>
                <w:rFonts w:hint="default" w:ascii="Times New Roman" w:hAnsi="Times New Roman" w:eastAsia="宋体" w:cs="Times New Roman"/>
                <w:bCs/>
                <w:kern w:val="0"/>
                <w:sz w:val="24"/>
                <w:highlight w:val="none"/>
                <w:lang w:val="en-US" w:eastAsia="zh-CN" w:bidi="zh-CN"/>
              </w:rPr>
              <w:t>项目基本情况</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snapToGrid w:val="0"/>
                <w:kern w:val="0"/>
                <w:sz w:val="24"/>
                <w:highlight w:val="none"/>
              </w:rPr>
            </w:pPr>
            <w:r>
              <w:rPr>
                <w:rFonts w:hint="eastAsia"/>
                <w:snapToGrid w:val="0"/>
                <w:kern w:val="0"/>
                <w:sz w:val="24"/>
                <w:highlight w:val="none"/>
              </w:rPr>
              <w:t>华州</w:t>
            </w:r>
            <w:r>
              <w:rPr>
                <w:snapToGrid w:val="0"/>
                <w:kern w:val="0"/>
                <w:sz w:val="24"/>
                <w:highlight w:val="none"/>
              </w:rPr>
              <w:t>服务区</w:t>
            </w:r>
            <w:r>
              <w:rPr>
                <w:rFonts w:hint="eastAsia"/>
                <w:snapToGrid w:val="0"/>
                <w:kern w:val="0"/>
                <w:sz w:val="24"/>
                <w:highlight w:val="none"/>
                <w:lang w:eastAsia="zh-CN"/>
              </w:rPr>
              <w:t>西</w:t>
            </w:r>
            <w:r>
              <w:rPr>
                <w:rFonts w:hint="eastAsia"/>
                <w:snapToGrid w:val="0"/>
                <w:kern w:val="0"/>
                <w:sz w:val="24"/>
                <w:highlight w:val="none"/>
              </w:rPr>
              <w:t>加油站</w:t>
            </w:r>
            <w:r>
              <w:rPr>
                <w:snapToGrid w:val="0"/>
                <w:kern w:val="0"/>
                <w:sz w:val="24"/>
                <w:highlight w:val="none"/>
              </w:rPr>
              <w:t>位于</w:t>
            </w:r>
            <w:r>
              <w:rPr>
                <w:rFonts w:hint="eastAsia"/>
                <w:snapToGrid w:val="0"/>
                <w:kern w:val="0"/>
                <w:sz w:val="24"/>
                <w:highlight w:val="none"/>
                <w:lang w:val="zh-CN"/>
              </w:rPr>
              <w:t>渭南至玉山高速公路华州服务区西区</w:t>
            </w:r>
            <w:r>
              <w:rPr>
                <w:snapToGrid w:val="0"/>
                <w:kern w:val="0"/>
                <w:sz w:val="24"/>
                <w:highlight w:val="none"/>
              </w:rPr>
              <w:t>。</w:t>
            </w:r>
            <w:r>
              <w:rPr>
                <w:rFonts w:hint="eastAsia"/>
                <w:snapToGrid w:val="0"/>
                <w:kern w:val="0"/>
                <w:sz w:val="24"/>
                <w:highlight w:val="none"/>
              </w:rPr>
              <w:t>本项目租赁陕西高速公路服务有限责任公司华州服务区</w:t>
            </w:r>
            <w:r>
              <w:rPr>
                <w:rFonts w:hint="eastAsia"/>
                <w:snapToGrid w:val="0"/>
                <w:kern w:val="0"/>
                <w:sz w:val="24"/>
                <w:highlight w:val="none"/>
                <w:lang w:eastAsia="zh-CN"/>
              </w:rPr>
              <w:t>西</w:t>
            </w:r>
            <w:r>
              <w:rPr>
                <w:rFonts w:hint="eastAsia"/>
                <w:snapToGrid w:val="0"/>
                <w:kern w:val="0"/>
                <w:sz w:val="24"/>
                <w:highlight w:val="none"/>
              </w:rPr>
              <w:t>加油站进行改造运营。</w:t>
            </w:r>
            <w:r>
              <w:rPr>
                <w:snapToGrid w:val="0"/>
                <w:kern w:val="0"/>
                <w:sz w:val="24"/>
                <w:highlight w:val="none"/>
              </w:rPr>
              <w:t>项目占地面积</w:t>
            </w:r>
            <w:r>
              <w:rPr>
                <w:rFonts w:hint="eastAsia"/>
                <w:snapToGrid w:val="0"/>
                <w:kern w:val="0"/>
                <w:sz w:val="24"/>
                <w:highlight w:val="none"/>
              </w:rPr>
              <w:t>4355.05</w:t>
            </w:r>
            <w:r>
              <w:rPr>
                <w:snapToGrid w:val="0"/>
                <w:kern w:val="0"/>
                <w:sz w:val="24"/>
                <w:highlight w:val="none"/>
              </w:rPr>
              <w:t>m</w:t>
            </w:r>
            <w:r>
              <w:rPr>
                <w:snapToGrid w:val="0"/>
                <w:kern w:val="0"/>
                <w:sz w:val="24"/>
                <w:highlight w:val="none"/>
                <w:vertAlign w:val="superscript"/>
              </w:rPr>
              <w:t>2</w:t>
            </w:r>
            <w:r>
              <w:rPr>
                <w:snapToGrid w:val="0"/>
                <w:kern w:val="0"/>
                <w:sz w:val="24"/>
                <w:highlight w:val="none"/>
              </w:rPr>
              <w:t>，总投资</w:t>
            </w:r>
            <w:r>
              <w:rPr>
                <w:rFonts w:hint="eastAsia"/>
                <w:snapToGrid w:val="0"/>
                <w:kern w:val="0"/>
                <w:sz w:val="24"/>
                <w:highlight w:val="none"/>
              </w:rPr>
              <w:t>342.71</w:t>
            </w:r>
            <w:r>
              <w:rPr>
                <w:snapToGrid w:val="0"/>
                <w:kern w:val="0"/>
                <w:sz w:val="24"/>
                <w:highlight w:val="none"/>
              </w:rPr>
              <w:t>万元，本项目主要建设内容为：</w:t>
            </w:r>
            <w:r>
              <w:rPr>
                <w:rFonts w:hint="eastAsia"/>
                <w:snapToGrid w:val="0"/>
                <w:kern w:val="0"/>
                <w:sz w:val="24"/>
                <w:highlight w:val="none"/>
              </w:rPr>
              <w:t>本站</w:t>
            </w:r>
            <w:r>
              <w:rPr>
                <w:snapToGrid w:val="0"/>
                <w:kern w:val="0"/>
                <w:sz w:val="24"/>
                <w:highlight w:val="none"/>
              </w:rPr>
              <w:t>设</w:t>
            </w:r>
            <w:r>
              <w:rPr>
                <w:rFonts w:hint="eastAsia"/>
                <w:snapToGrid w:val="0"/>
                <w:kern w:val="0"/>
                <w:sz w:val="24"/>
                <w:highlight w:val="none"/>
              </w:rPr>
              <w:t>5</w:t>
            </w:r>
            <w:r>
              <w:rPr>
                <w:snapToGrid w:val="0"/>
                <w:kern w:val="0"/>
                <w:sz w:val="24"/>
                <w:highlight w:val="none"/>
              </w:rPr>
              <w:t>0m</w:t>
            </w:r>
            <w:r>
              <w:rPr>
                <w:snapToGrid w:val="0"/>
                <w:kern w:val="0"/>
                <w:sz w:val="24"/>
                <w:highlight w:val="none"/>
                <w:vertAlign w:val="superscript"/>
              </w:rPr>
              <w:t>3</w:t>
            </w:r>
            <w:r>
              <w:rPr>
                <w:snapToGrid w:val="0"/>
                <w:kern w:val="0"/>
                <w:sz w:val="24"/>
                <w:highlight w:val="none"/>
              </w:rPr>
              <w:t>SF双层储油罐</w:t>
            </w:r>
            <w:r>
              <w:rPr>
                <w:rFonts w:hint="eastAsia"/>
                <w:snapToGrid w:val="0"/>
                <w:kern w:val="0"/>
                <w:sz w:val="24"/>
                <w:highlight w:val="none"/>
              </w:rPr>
              <w:t>5</w:t>
            </w:r>
            <w:r>
              <w:rPr>
                <w:snapToGrid w:val="0"/>
                <w:kern w:val="0"/>
                <w:sz w:val="24"/>
                <w:highlight w:val="none"/>
              </w:rPr>
              <w:t>具（</w:t>
            </w:r>
            <w:r>
              <w:rPr>
                <w:rFonts w:hint="eastAsia"/>
                <w:snapToGrid w:val="0"/>
                <w:kern w:val="0"/>
                <w:sz w:val="24"/>
                <w:highlight w:val="none"/>
              </w:rPr>
              <w:t>2</w:t>
            </w:r>
            <w:r>
              <w:rPr>
                <w:snapToGrid w:val="0"/>
                <w:kern w:val="0"/>
                <w:sz w:val="24"/>
                <w:highlight w:val="none"/>
              </w:rPr>
              <w:t>汽</w:t>
            </w:r>
            <w:r>
              <w:rPr>
                <w:rFonts w:hint="eastAsia"/>
                <w:snapToGrid w:val="0"/>
                <w:kern w:val="0"/>
                <w:sz w:val="24"/>
                <w:highlight w:val="none"/>
              </w:rPr>
              <w:t>3</w:t>
            </w:r>
            <w:r>
              <w:rPr>
                <w:snapToGrid w:val="0"/>
                <w:kern w:val="0"/>
                <w:sz w:val="24"/>
                <w:highlight w:val="none"/>
              </w:rPr>
              <w:t>柴），总罐容</w:t>
            </w:r>
            <w:r>
              <w:rPr>
                <w:rFonts w:hint="eastAsia"/>
                <w:snapToGrid w:val="0"/>
                <w:kern w:val="0"/>
                <w:sz w:val="24"/>
                <w:highlight w:val="none"/>
              </w:rPr>
              <w:t>25</w:t>
            </w:r>
            <w:r>
              <w:rPr>
                <w:snapToGrid w:val="0"/>
                <w:kern w:val="0"/>
                <w:sz w:val="24"/>
                <w:highlight w:val="none"/>
              </w:rPr>
              <w:t>0m</w:t>
            </w:r>
            <w:r>
              <w:rPr>
                <w:snapToGrid w:val="0"/>
                <w:kern w:val="0"/>
                <w:sz w:val="24"/>
                <w:highlight w:val="none"/>
                <w:vertAlign w:val="superscript"/>
              </w:rPr>
              <w:t>3</w:t>
            </w:r>
            <w:r>
              <w:rPr>
                <w:snapToGrid w:val="0"/>
                <w:kern w:val="0"/>
                <w:sz w:val="24"/>
                <w:highlight w:val="none"/>
              </w:rPr>
              <w:t>，折合汽油容积1</w:t>
            </w:r>
            <w:r>
              <w:rPr>
                <w:rFonts w:hint="eastAsia"/>
                <w:snapToGrid w:val="0"/>
                <w:kern w:val="0"/>
                <w:sz w:val="24"/>
                <w:highlight w:val="none"/>
              </w:rPr>
              <w:t>7</w:t>
            </w:r>
            <w:r>
              <w:rPr>
                <w:snapToGrid w:val="0"/>
                <w:kern w:val="0"/>
                <w:sz w:val="24"/>
                <w:highlight w:val="none"/>
              </w:rPr>
              <w:t>5m</w:t>
            </w:r>
            <w:r>
              <w:rPr>
                <w:snapToGrid w:val="0"/>
                <w:kern w:val="0"/>
                <w:sz w:val="24"/>
                <w:highlight w:val="none"/>
                <w:vertAlign w:val="superscript"/>
              </w:rPr>
              <w:t>3</w:t>
            </w:r>
            <w:r>
              <w:rPr>
                <w:rFonts w:hint="eastAsia"/>
                <w:snapToGrid w:val="0"/>
                <w:kern w:val="0"/>
                <w:sz w:val="24"/>
                <w:highlight w:val="none"/>
              </w:rPr>
              <w:t>，</w:t>
            </w:r>
            <w:r>
              <w:rPr>
                <w:snapToGrid w:val="0"/>
                <w:kern w:val="0"/>
                <w:sz w:val="24"/>
                <w:highlight w:val="none"/>
              </w:rPr>
              <w:t>为</w:t>
            </w:r>
            <w:r>
              <w:rPr>
                <w:rFonts w:hint="eastAsia"/>
                <w:snapToGrid w:val="0"/>
                <w:kern w:val="0"/>
                <w:sz w:val="24"/>
                <w:highlight w:val="none"/>
              </w:rPr>
              <w:t>一</w:t>
            </w:r>
            <w:r>
              <w:rPr>
                <w:snapToGrid w:val="0"/>
                <w:kern w:val="0"/>
                <w:sz w:val="24"/>
                <w:highlight w:val="none"/>
              </w:rPr>
              <w:t>级加油站</w:t>
            </w:r>
            <w:r>
              <w:rPr>
                <w:rFonts w:hint="eastAsia"/>
                <w:snapToGrid w:val="0"/>
                <w:kern w:val="0"/>
                <w:sz w:val="24"/>
                <w:highlight w:val="none"/>
              </w:rPr>
              <w:t>。</w:t>
            </w:r>
            <w:r>
              <w:rPr>
                <w:snapToGrid w:val="0"/>
                <w:kern w:val="0"/>
                <w:sz w:val="24"/>
                <w:highlight w:val="none"/>
              </w:rPr>
              <w:t>新建型钢结构罩棚一座，面积为</w:t>
            </w:r>
            <w:r>
              <w:rPr>
                <w:rFonts w:hint="eastAsia"/>
                <w:snapToGrid w:val="0"/>
                <w:kern w:val="0"/>
                <w:sz w:val="24"/>
                <w:highlight w:val="none"/>
              </w:rPr>
              <w:t>956.80</w:t>
            </w:r>
            <w:r>
              <w:rPr>
                <w:snapToGrid w:val="0"/>
                <w:kern w:val="0"/>
                <w:sz w:val="24"/>
                <w:highlight w:val="none"/>
              </w:rPr>
              <w:t>m</w:t>
            </w:r>
            <w:r>
              <w:rPr>
                <w:snapToGrid w:val="0"/>
                <w:kern w:val="0"/>
                <w:sz w:val="24"/>
                <w:highlight w:val="none"/>
                <w:vertAlign w:val="superscript"/>
              </w:rPr>
              <w:t>2</w:t>
            </w:r>
            <w:r>
              <w:rPr>
                <w:snapToGrid w:val="0"/>
                <w:kern w:val="0"/>
                <w:sz w:val="24"/>
                <w:highlight w:val="none"/>
              </w:rPr>
              <w:t>；设</w:t>
            </w:r>
            <w:r>
              <w:rPr>
                <w:rFonts w:hint="eastAsia"/>
                <w:snapToGrid w:val="0"/>
                <w:kern w:val="0"/>
                <w:sz w:val="24"/>
                <w:highlight w:val="none"/>
              </w:rPr>
              <w:t>双枪柴油加油机4 台，四枪汽油加油机2 台；</w:t>
            </w:r>
            <w:r>
              <w:rPr>
                <w:snapToGrid w:val="0"/>
                <w:kern w:val="0"/>
                <w:sz w:val="24"/>
                <w:highlight w:val="none"/>
              </w:rPr>
              <w:t>新建一层</w:t>
            </w:r>
            <w:r>
              <w:rPr>
                <w:rFonts w:hint="eastAsia"/>
                <w:snapToGrid w:val="0"/>
                <w:kern w:val="0"/>
                <w:sz w:val="24"/>
                <w:highlight w:val="none"/>
              </w:rPr>
              <w:t>站房</w:t>
            </w:r>
            <w:r>
              <w:rPr>
                <w:snapToGrid w:val="0"/>
                <w:kern w:val="0"/>
                <w:sz w:val="24"/>
                <w:highlight w:val="none"/>
              </w:rPr>
              <w:t>，总建筑面积为</w:t>
            </w:r>
            <w:r>
              <w:rPr>
                <w:rFonts w:hint="eastAsia"/>
                <w:snapToGrid w:val="0"/>
                <w:kern w:val="0"/>
                <w:sz w:val="24"/>
                <w:highlight w:val="none"/>
              </w:rPr>
              <w:t>117.64</w:t>
            </w:r>
            <w:r>
              <w:rPr>
                <w:snapToGrid w:val="0"/>
                <w:kern w:val="0"/>
                <w:sz w:val="24"/>
                <w:highlight w:val="none"/>
              </w:rPr>
              <w:t>m</w:t>
            </w:r>
            <w:r>
              <w:rPr>
                <w:snapToGrid w:val="0"/>
                <w:kern w:val="0"/>
                <w:sz w:val="24"/>
                <w:highlight w:val="none"/>
                <w:vertAlign w:val="superscript"/>
              </w:rPr>
              <w:t>2</w:t>
            </w:r>
            <w:r>
              <w:rPr>
                <w:snapToGrid w:val="0"/>
                <w:kern w:val="0"/>
                <w:sz w:val="24"/>
                <w:highlight w:val="none"/>
              </w:rPr>
              <w:t>，设</w:t>
            </w:r>
            <w:r>
              <w:rPr>
                <w:rFonts w:hint="eastAsia"/>
                <w:snapToGrid w:val="0"/>
                <w:kern w:val="0"/>
                <w:sz w:val="24"/>
                <w:highlight w:val="none"/>
              </w:rPr>
              <w:t>办公室</w:t>
            </w:r>
            <w:r>
              <w:rPr>
                <w:snapToGrid w:val="0"/>
                <w:kern w:val="0"/>
                <w:sz w:val="24"/>
                <w:highlight w:val="none"/>
              </w:rPr>
              <w:t>、</w:t>
            </w:r>
            <w:r>
              <w:rPr>
                <w:rFonts w:hint="eastAsia"/>
                <w:snapToGrid w:val="0"/>
                <w:kern w:val="0"/>
                <w:sz w:val="24"/>
                <w:highlight w:val="none"/>
              </w:rPr>
              <w:t>营业厅</w:t>
            </w:r>
            <w:r>
              <w:rPr>
                <w:snapToGrid w:val="0"/>
                <w:kern w:val="0"/>
                <w:sz w:val="24"/>
                <w:highlight w:val="none"/>
              </w:rPr>
              <w:t>、配电间、卫生间、</w:t>
            </w:r>
            <w:r>
              <w:rPr>
                <w:rFonts w:hint="eastAsia"/>
                <w:snapToGrid w:val="0"/>
                <w:kern w:val="0"/>
                <w:sz w:val="24"/>
                <w:highlight w:val="none"/>
              </w:rPr>
              <w:t>库房</w:t>
            </w:r>
            <w:r>
              <w:rPr>
                <w:snapToGrid w:val="0"/>
                <w:kern w:val="0"/>
                <w:sz w:val="24"/>
                <w:highlight w:val="none"/>
              </w:rPr>
              <w:t>等。设卸油油气回收、加油油气回收（分散式）系统</w:t>
            </w:r>
            <w:r>
              <w:rPr>
                <w:rFonts w:hint="eastAsia"/>
                <w:snapToGrid w:val="0"/>
                <w:kern w:val="0"/>
                <w:sz w:val="24"/>
                <w:highlight w:val="none"/>
              </w:rPr>
              <w:t>及罐区小呼吸油气回收系统（</w:t>
            </w:r>
            <w:r>
              <w:rPr>
                <w:snapToGrid w:val="0"/>
                <w:kern w:val="0"/>
                <w:sz w:val="24"/>
                <w:highlight w:val="none"/>
              </w:rPr>
              <w:t>三次油气回收系统</w:t>
            </w:r>
            <w:r>
              <w:rPr>
                <w:rFonts w:hint="eastAsia"/>
                <w:snapToGrid w:val="0"/>
                <w:kern w:val="0"/>
                <w:sz w:val="24"/>
                <w:highlight w:val="none"/>
              </w:rPr>
              <w:t>）</w:t>
            </w:r>
            <w:r>
              <w:rPr>
                <w:snapToGrid w:val="0"/>
                <w:kern w:val="0"/>
                <w:sz w:val="24"/>
                <w:highlight w:val="none"/>
              </w:rPr>
              <w:t>。项目</w:t>
            </w:r>
            <w:r>
              <w:rPr>
                <w:rFonts w:hint="eastAsia"/>
                <w:snapToGrid w:val="0"/>
                <w:kern w:val="0"/>
                <w:sz w:val="24"/>
                <w:highlight w:val="none"/>
              </w:rPr>
              <w:t>完成后</w:t>
            </w:r>
            <w:r>
              <w:rPr>
                <w:snapToGrid w:val="0"/>
                <w:kern w:val="0"/>
                <w:sz w:val="24"/>
                <w:highlight w:val="none"/>
              </w:rPr>
              <w:t>预计年销售油品</w:t>
            </w:r>
            <w:r>
              <w:rPr>
                <w:rFonts w:hint="eastAsia"/>
                <w:snapToGrid w:val="0"/>
                <w:kern w:val="0"/>
                <w:sz w:val="24"/>
                <w:highlight w:val="none"/>
              </w:rPr>
              <w:t>3000</w:t>
            </w:r>
            <w:r>
              <w:rPr>
                <w:snapToGrid w:val="0"/>
                <w:kern w:val="0"/>
                <w:sz w:val="24"/>
                <w:highlight w:val="none"/>
              </w:rPr>
              <w:t>t，其中汽油</w:t>
            </w:r>
            <w:r>
              <w:rPr>
                <w:rFonts w:hint="eastAsia"/>
                <w:snapToGrid w:val="0"/>
                <w:kern w:val="0"/>
                <w:sz w:val="24"/>
                <w:highlight w:val="none"/>
              </w:rPr>
              <w:t>1000</w:t>
            </w:r>
            <w:r>
              <w:rPr>
                <w:snapToGrid w:val="0"/>
                <w:kern w:val="0"/>
                <w:sz w:val="24"/>
                <w:highlight w:val="none"/>
              </w:rPr>
              <w:t>t、柴油</w:t>
            </w:r>
            <w:r>
              <w:rPr>
                <w:rFonts w:hint="eastAsia"/>
                <w:snapToGrid w:val="0"/>
                <w:kern w:val="0"/>
                <w:sz w:val="24"/>
                <w:highlight w:val="none"/>
              </w:rPr>
              <w:t>2000</w:t>
            </w:r>
            <w:r>
              <w:rPr>
                <w:snapToGrid w:val="0"/>
                <w:kern w:val="0"/>
                <w:sz w:val="24"/>
                <w:highlight w:val="none"/>
              </w:rPr>
              <w:t>t。</w:t>
            </w:r>
          </w:p>
          <w:p>
            <w:pPr>
              <w:pStyle w:val="2"/>
              <w:keepNext w:val="0"/>
              <w:keepLines w:val="0"/>
              <w:pageBreakBefore w:val="0"/>
              <w:widowControl w:val="0"/>
              <w:kinsoku/>
              <w:wordWrap/>
              <w:overflowPunct/>
              <w:topLinePunct w:val="0"/>
              <w:autoSpaceDE w:val="0"/>
              <w:autoSpaceDN w:val="0"/>
              <w:bidi w:val="0"/>
              <w:adjustRightInd/>
              <w:snapToGrid/>
              <w:spacing w:before="0" w:beforeLines="0" w:beforeAutospacing="0" w:after="0" w:afterLines="0" w:afterAutospacing="0" w:line="360" w:lineRule="auto"/>
              <w:ind w:left="0" w:leftChars="0" w:right="0" w:firstLine="0" w:firstLineChars="0"/>
              <w:jc w:val="left"/>
              <w:textAlignment w:val="auto"/>
              <w:outlineLvl w:val="2"/>
              <w:rPr>
                <w:rFonts w:hint="default" w:ascii="Times New Roman" w:hAnsi="Times New Roman" w:eastAsia="宋体" w:cs="Times New Roman"/>
                <w:bCs/>
                <w:kern w:val="0"/>
                <w:sz w:val="24"/>
                <w:highlight w:val="none"/>
                <w:lang w:val="en-US" w:eastAsia="zh-CN" w:bidi="zh-CN"/>
              </w:rPr>
            </w:pPr>
            <w:r>
              <w:rPr>
                <w:rFonts w:hint="eastAsia" w:ascii="Times New Roman" w:hAnsi="Times New Roman" w:eastAsia="宋体" w:cs="Times New Roman"/>
                <w:bCs/>
                <w:kern w:val="0"/>
                <w:sz w:val="24"/>
                <w:highlight w:val="none"/>
                <w:lang w:val="en-US" w:eastAsia="zh-CN" w:bidi="zh-CN"/>
              </w:rPr>
              <w:t>二、</w:t>
            </w:r>
            <w:r>
              <w:rPr>
                <w:rFonts w:hint="default" w:ascii="Times New Roman" w:hAnsi="Times New Roman" w:eastAsia="宋体" w:cs="Times New Roman"/>
                <w:bCs/>
                <w:kern w:val="0"/>
                <w:sz w:val="24"/>
                <w:highlight w:val="none"/>
                <w:lang w:val="en-US" w:eastAsia="zh-CN" w:bidi="zh-CN"/>
              </w:rPr>
              <w:t>项目审批及三同时执行情况</w:t>
            </w:r>
          </w:p>
          <w:p>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snapToGrid w:val="0"/>
                <w:kern w:val="0"/>
                <w:sz w:val="24"/>
                <w:szCs w:val="22"/>
                <w:highlight w:val="none"/>
                <w:lang w:val="zh-CN" w:eastAsia="zh-CN" w:bidi="zh-CN"/>
              </w:rPr>
            </w:pPr>
            <w:r>
              <w:rPr>
                <w:rFonts w:hint="default" w:ascii="Times New Roman" w:hAnsi="Times New Roman" w:eastAsia="宋体" w:cs="Times New Roman"/>
                <w:snapToGrid w:val="0"/>
                <w:kern w:val="0"/>
                <w:sz w:val="24"/>
                <w:szCs w:val="22"/>
                <w:highlight w:val="none"/>
                <w:lang w:val="zh-CN" w:eastAsia="zh-CN" w:bidi="zh-CN"/>
              </w:rPr>
              <w:t>陕西省石油化工工业贸易有限公司</w:t>
            </w:r>
            <w:r>
              <w:rPr>
                <w:rFonts w:hint="default" w:ascii="Times New Roman" w:hAnsi="Times New Roman" w:eastAsia="宋体" w:cs="Times New Roman"/>
                <w:snapToGrid w:val="0"/>
                <w:kern w:val="0"/>
                <w:sz w:val="24"/>
                <w:szCs w:val="22"/>
                <w:highlight w:val="none"/>
                <w:lang w:val="en-US" w:eastAsia="zh-CN" w:bidi="zh-CN"/>
              </w:rPr>
              <w:t>于2019年</w:t>
            </w:r>
            <w:r>
              <w:rPr>
                <w:rFonts w:hint="eastAsia" w:ascii="Times New Roman" w:hAnsi="Times New Roman" w:cs="Times New Roman"/>
                <w:snapToGrid w:val="0"/>
                <w:kern w:val="0"/>
                <w:sz w:val="24"/>
                <w:szCs w:val="22"/>
                <w:highlight w:val="none"/>
                <w:lang w:val="en-US" w:eastAsia="zh-CN" w:bidi="zh-CN"/>
              </w:rPr>
              <w:t>8</w:t>
            </w:r>
            <w:r>
              <w:rPr>
                <w:rFonts w:hint="default" w:ascii="Times New Roman" w:hAnsi="Times New Roman" w:eastAsia="宋体" w:cs="Times New Roman"/>
                <w:snapToGrid w:val="0"/>
                <w:kern w:val="0"/>
                <w:sz w:val="24"/>
                <w:szCs w:val="22"/>
                <w:highlight w:val="none"/>
                <w:lang w:val="en-US" w:eastAsia="zh-CN" w:bidi="zh-CN"/>
              </w:rPr>
              <w:t>月委托宝鸡博源环境科技有限公司西安分公司编制完成了《陕西省石油化工工业贸易有限公司华州服务区</w:t>
            </w:r>
            <w:r>
              <w:rPr>
                <w:rFonts w:hint="eastAsia" w:ascii="Times New Roman" w:hAnsi="Times New Roman" w:cs="Times New Roman"/>
                <w:snapToGrid w:val="0"/>
                <w:kern w:val="0"/>
                <w:sz w:val="24"/>
                <w:szCs w:val="22"/>
                <w:highlight w:val="none"/>
                <w:lang w:val="en-US" w:eastAsia="zh-CN" w:bidi="zh-CN"/>
              </w:rPr>
              <w:t>西</w:t>
            </w:r>
            <w:r>
              <w:rPr>
                <w:rFonts w:hint="default" w:ascii="Times New Roman" w:hAnsi="Times New Roman" w:eastAsia="宋体" w:cs="Times New Roman"/>
                <w:snapToGrid w:val="0"/>
                <w:kern w:val="0"/>
                <w:sz w:val="24"/>
                <w:szCs w:val="22"/>
                <w:highlight w:val="none"/>
                <w:lang w:val="en-US" w:eastAsia="zh-CN" w:bidi="zh-CN"/>
              </w:rPr>
              <w:t>加油站项目》，</w:t>
            </w:r>
            <w:r>
              <w:rPr>
                <w:rFonts w:hint="eastAsia" w:ascii="Times New Roman" w:hAnsi="Times New Roman" w:cs="Times New Roman"/>
                <w:snapToGrid w:val="0"/>
                <w:kern w:val="0"/>
                <w:sz w:val="24"/>
                <w:szCs w:val="22"/>
                <w:highlight w:val="none"/>
                <w:lang w:val="zh-CN" w:eastAsia="zh-CN" w:bidi="zh-CN"/>
              </w:rPr>
              <w:t>渭南市华州区环境保护局</w:t>
            </w:r>
            <w:r>
              <w:rPr>
                <w:rFonts w:hint="default" w:ascii="Times New Roman" w:hAnsi="Times New Roman" w:eastAsia="宋体" w:cs="Times New Roman"/>
                <w:snapToGrid w:val="0"/>
                <w:kern w:val="0"/>
                <w:sz w:val="24"/>
                <w:szCs w:val="22"/>
                <w:highlight w:val="none"/>
                <w:lang w:val="zh-CN" w:eastAsia="zh-CN" w:bidi="zh-CN"/>
              </w:rPr>
              <w:t>于201</w:t>
            </w:r>
            <w:r>
              <w:rPr>
                <w:rFonts w:hint="default" w:ascii="Times New Roman" w:hAnsi="Times New Roman" w:eastAsia="宋体" w:cs="Times New Roman"/>
                <w:snapToGrid w:val="0"/>
                <w:kern w:val="0"/>
                <w:sz w:val="24"/>
                <w:szCs w:val="22"/>
                <w:highlight w:val="none"/>
                <w:lang w:val="en-US" w:eastAsia="zh-CN" w:bidi="zh-CN"/>
              </w:rPr>
              <w:t>9</w:t>
            </w:r>
            <w:r>
              <w:rPr>
                <w:rFonts w:hint="default" w:ascii="Times New Roman" w:hAnsi="Times New Roman" w:eastAsia="宋体" w:cs="Times New Roman"/>
                <w:snapToGrid w:val="0"/>
                <w:kern w:val="0"/>
                <w:sz w:val="24"/>
                <w:szCs w:val="22"/>
                <w:highlight w:val="none"/>
                <w:lang w:val="zh-CN" w:eastAsia="zh-CN" w:bidi="zh-CN"/>
              </w:rPr>
              <w:t>年</w:t>
            </w:r>
            <w:r>
              <w:rPr>
                <w:rFonts w:hint="eastAsia" w:ascii="Times New Roman" w:hAnsi="Times New Roman" w:cs="Times New Roman"/>
                <w:snapToGrid w:val="0"/>
                <w:kern w:val="0"/>
                <w:sz w:val="24"/>
                <w:szCs w:val="22"/>
                <w:highlight w:val="none"/>
                <w:lang w:val="en-US" w:eastAsia="zh-CN" w:bidi="zh-CN"/>
              </w:rPr>
              <w:t>10</w:t>
            </w:r>
            <w:r>
              <w:rPr>
                <w:rFonts w:hint="default" w:ascii="Times New Roman" w:hAnsi="Times New Roman" w:eastAsia="宋体" w:cs="Times New Roman"/>
                <w:snapToGrid w:val="0"/>
                <w:kern w:val="0"/>
                <w:sz w:val="24"/>
                <w:szCs w:val="22"/>
                <w:highlight w:val="none"/>
                <w:lang w:val="zh-CN" w:eastAsia="zh-CN" w:bidi="zh-CN"/>
              </w:rPr>
              <w:t>月</w:t>
            </w:r>
            <w:r>
              <w:rPr>
                <w:rFonts w:hint="eastAsia" w:ascii="Times New Roman" w:hAnsi="Times New Roman" w:cs="Times New Roman"/>
                <w:snapToGrid w:val="0"/>
                <w:kern w:val="0"/>
                <w:sz w:val="24"/>
                <w:szCs w:val="22"/>
                <w:highlight w:val="none"/>
                <w:lang w:val="en-US" w:eastAsia="zh-CN" w:bidi="zh-CN"/>
              </w:rPr>
              <w:t>29日</w:t>
            </w:r>
            <w:r>
              <w:rPr>
                <w:rFonts w:hint="default" w:ascii="Times New Roman" w:hAnsi="Times New Roman" w:eastAsia="宋体" w:cs="Times New Roman"/>
                <w:snapToGrid w:val="0"/>
                <w:kern w:val="0"/>
                <w:sz w:val="24"/>
                <w:szCs w:val="22"/>
                <w:highlight w:val="none"/>
                <w:lang w:val="zh-CN" w:eastAsia="zh-CN" w:bidi="zh-CN"/>
              </w:rPr>
              <w:t>以（</w:t>
            </w:r>
            <w:r>
              <w:rPr>
                <w:rFonts w:hint="eastAsia" w:ascii="Times New Roman" w:hAnsi="Times New Roman" w:cs="Times New Roman"/>
                <w:snapToGrid w:val="0"/>
                <w:kern w:val="0"/>
                <w:sz w:val="24"/>
                <w:szCs w:val="22"/>
                <w:highlight w:val="none"/>
                <w:lang w:val="zh-CN" w:eastAsia="zh-CN" w:bidi="zh-CN"/>
              </w:rPr>
              <w:t>渭华</w:t>
            </w:r>
            <w:r>
              <w:rPr>
                <w:rFonts w:hint="default" w:ascii="Times New Roman" w:hAnsi="Times New Roman" w:eastAsia="宋体" w:cs="Times New Roman"/>
                <w:snapToGrid w:val="0"/>
                <w:kern w:val="0"/>
                <w:sz w:val="24"/>
                <w:szCs w:val="22"/>
                <w:highlight w:val="none"/>
                <w:lang w:val="zh-CN" w:eastAsia="zh-CN" w:bidi="zh-CN"/>
              </w:rPr>
              <w:t>环</w:t>
            </w:r>
            <w:r>
              <w:rPr>
                <w:rFonts w:hint="eastAsia" w:ascii="Times New Roman" w:hAnsi="Times New Roman" w:cs="Times New Roman"/>
                <w:snapToGrid w:val="0"/>
                <w:kern w:val="0"/>
                <w:sz w:val="24"/>
                <w:szCs w:val="22"/>
                <w:highlight w:val="none"/>
                <w:lang w:val="zh-CN" w:eastAsia="zh-CN" w:bidi="zh-CN"/>
              </w:rPr>
              <w:t>审发</w:t>
            </w:r>
            <w:r>
              <w:rPr>
                <w:rFonts w:hint="default" w:ascii="Times New Roman" w:hAnsi="Times New Roman" w:eastAsia="宋体" w:cs="Times New Roman"/>
                <w:snapToGrid w:val="0"/>
                <w:kern w:val="0"/>
                <w:sz w:val="24"/>
                <w:szCs w:val="22"/>
                <w:highlight w:val="none"/>
                <w:lang w:val="zh-CN" w:eastAsia="zh-CN" w:bidi="zh-CN"/>
              </w:rPr>
              <w:t>〔201</w:t>
            </w:r>
            <w:r>
              <w:rPr>
                <w:rFonts w:hint="default" w:ascii="Times New Roman" w:hAnsi="Times New Roman" w:eastAsia="宋体" w:cs="Times New Roman"/>
                <w:snapToGrid w:val="0"/>
                <w:kern w:val="0"/>
                <w:sz w:val="24"/>
                <w:szCs w:val="22"/>
                <w:highlight w:val="none"/>
                <w:lang w:val="en-US" w:eastAsia="zh-CN" w:bidi="zh-CN"/>
              </w:rPr>
              <w:t>9</w:t>
            </w:r>
            <w:r>
              <w:rPr>
                <w:rFonts w:hint="default" w:ascii="Times New Roman" w:hAnsi="Times New Roman" w:eastAsia="宋体" w:cs="Times New Roman"/>
                <w:snapToGrid w:val="0"/>
                <w:kern w:val="0"/>
                <w:sz w:val="24"/>
                <w:szCs w:val="22"/>
                <w:highlight w:val="none"/>
                <w:lang w:val="zh-CN" w:eastAsia="zh-CN" w:bidi="zh-CN"/>
              </w:rPr>
              <w:t>〕</w:t>
            </w:r>
            <w:r>
              <w:rPr>
                <w:rFonts w:hint="eastAsia" w:ascii="Times New Roman" w:hAnsi="Times New Roman" w:cs="Times New Roman"/>
                <w:snapToGrid w:val="0"/>
                <w:kern w:val="0"/>
                <w:sz w:val="24"/>
                <w:szCs w:val="22"/>
                <w:highlight w:val="none"/>
                <w:lang w:val="en-US" w:eastAsia="zh-CN" w:bidi="zh-CN"/>
              </w:rPr>
              <w:t>25</w:t>
            </w:r>
            <w:r>
              <w:rPr>
                <w:rFonts w:hint="default" w:ascii="Times New Roman" w:hAnsi="Times New Roman" w:eastAsia="宋体" w:cs="Times New Roman"/>
                <w:snapToGrid w:val="0"/>
                <w:kern w:val="0"/>
                <w:sz w:val="24"/>
                <w:szCs w:val="22"/>
                <w:highlight w:val="none"/>
                <w:lang w:val="zh-CN" w:eastAsia="zh-CN" w:bidi="zh-CN"/>
              </w:rPr>
              <w:t>号）批复。</w:t>
            </w:r>
          </w:p>
          <w:p>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snapToGrid w:val="0"/>
                <w:kern w:val="0"/>
                <w:sz w:val="24"/>
                <w:szCs w:val="22"/>
                <w:highlight w:val="none"/>
                <w:lang w:val="zh-CN" w:eastAsia="zh-CN" w:bidi="zh-CN"/>
              </w:rPr>
            </w:pPr>
            <w:r>
              <w:rPr>
                <w:rFonts w:hint="default" w:ascii="Times New Roman" w:hAnsi="Times New Roman" w:eastAsia="宋体" w:cs="Times New Roman"/>
                <w:snapToGrid w:val="0"/>
                <w:kern w:val="0"/>
                <w:sz w:val="24"/>
                <w:szCs w:val="22"/>
                <w:highlight w:val="none"/>
                <w:lang w:val="zh-CN" w:eastAsia="zh-CN" w:bidi="zh-CN"/>
              </w:rPr>
              <w:t>项目按照环评及环评批复要求建设了固体废物环保设施，环保设施与主体工程同时设计、同时施工、同时投产使用。履行了各项环保手续及</w:t>
            </w:r>
            <w:r>
              <w:rPr>
                <w:rFonts w:hint="eastAsia" w:ascii="Times New Roman" w:hAnsi="Times New Roman" w:eastAsia="宋体" w:cs="Times New Roman"/>
                <w:snapToGrid w:val="0"/>
                <w:kern w:val="0"/>
                <w:sz w:val="24"/>
                <w:szCs w:val="22"/>
                <w:highlight w:val="none"/>
                <w:lang w:val="zh-CN" w:eastAsia="zh-CN" w:bidi="zh-CN"/>
              </w:rPr>
              <w:t>“</w:t>
            </w:r>
            <w:r>
              <w:rPr>
                <w:rFonts w:hint="default" w:ascii="Times New Roman" w:hAnsi="Times New Roman" w:eastAsia="宋体" w:cs="Times New Roman"/>
                <w:snapToGrid w:val="0"/>
                <w:kern w:val="0"/>
                <w:sz w:val="24"/>
                <w:szCs w:val="22"/>
                <w:highlight w:val="none"/>
                <w:lang w:val="zh-CN" w:eastAsia="zh-CN" w:bidi="zh-CN"/>
              </w:rPr>
              <w:t>三同时</w:t>
            </w:r>
            <w:r>
              <w:rPr>
                <w:rFonts w:hint="eastAsia" w:ascii="Times New Roman" w:hAnsi="Times New Roman" w:eastAsia="宋体" w:cs="Times New Roman"/>
                <w:snapToGrid w:val="0"/>
                <w:kern w:val="0"/>
                <w:sz w:val="24"/>
                <w:szCs w:val="22"/>
                <w:highlight w:val="none"/>
                <w:lang w:val="zh-CN" w:eastAsia="zh-CN" w:bidi="zh-CN"/>
              </w:rPr>
              <w:t>”</w:t>
            </w:r>
            <w:r>
              <w:rPr>
                <w:rFonts w:hint="default" w:ascii="Times New Roman" w:hAnsi="Times New Roman" w:eastAsia="宋体" w:cs="Times New Roman"/>
                <w:snapToGrid w:val="0"/>
                <w:kern w:val="0"/>
                <w:sz w:val="24"/>
                <w:szCs w:val="22"/>
                <w:highlight w:val="none"/>
                <w:lang w:val="zh-CN" w:eastAsia="zh-CN" w:bidi="zh-CN"/>
              </w:rPr>
              <w:t>制度。</w:t>
            </w:r>
          </w:p>
          <w:p>
            <w:pPr>
              <w:pStyle w:val="2"/>
              <w:keepNext w:val="0"/>
              <w:keepLines w:val="0"/>
              <w:pageBreakBefore w:val="0"/>
              <w:widowControl w:val="0"/>
              <w:kinsoku/>
              <w:wordWrap/>
              <w:overflowPunct/>
              <w:topLinePunct w:val="0"/>
              <w:autoSpaceDE w:val="0"/>
              <w:autoSpaceDN w:val="0"/>
              <w:bidi w:val="0"/>
              <w:adjustRightInd/>
              <w:snapToGrid/>
              <w:spacing w:before="0" w:beforeLines="0" w:beforeAutospacing="0" w:after="0" w:afterLines="0" w:afterAutospacing="0" w:line="360" w:lineRule="auto"/>
              <w:ind w:left="0" w:leftChars="0" w:right="0" w:firstLine="0" w:firstLineChars="0"/>
              <w:jc w:val="left"/>
              <w:textAlignment w:val="auto"/>
              <w:outlineLvl w:val="2"/>
              <w:rPr>
                <w:rFonts w:hint="default" w:ascii="Times New Roman" w:hAnsi="Times New Roman" w:eastAsia="宋体" w:cs="Times New Roman"/>
                <w:bCs/>
                <w:kern w:val="0"/>
                <w:sz w:val="24"/>
                <w:highlight w:val="none"/>
                <w:lang w:val="en-US" w:eastAsia="zh-CN" w:bidi="zh-CN"/>
              </w:rPr>
            </w:pPr>
            <w:r>
              <w:rPr>
                <w:rFonts w:hint="eastAsia" w:ascii="Times New Roman" w:hAnsi="Times New Roman" w:eastAsia="宋体" w:cs="Times New Roman"/>
                <w:bCs/>
                <w:kern w:val="0"/>
                <w:sz w:val="24"/>
                <w:highlight w:val="none"/>
                <w:lang w:val="en-US" w:eastAsia="zh-CN" w:bidi="zh-CN"/>
              </w:rPr>
              <w:t>三、</w:t>
            </w:r>
            <w:r>
              <w:rPr>
                <w:rFonts w:hint="default" w:ascii="Times New Roman" w:hAnsi="Times New Roman" w:eastAsia="宋体" w:cs="Times New Roman"/>
                <w:bCs/>
                <w:kern w:val="0"/>
                <w:sz w:val="24"/>
                <w:highlight w:val="none"/>
                <w:lang w:val="en-US" w:eastAsia="zh-CN" w:bidi="zh-CN"/>
              </w:rPr>
              <w:t>结论</w:t>
            </w:r>
          </w:p>
          <w:p>
            <w:pPr>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heme="minorBidi"/>
                <w:b w:val="0"/>
                <w:bCs/>
                <w:iCs/>
                <w:color w:val="auto"/>
                <w:kern w:val="0"/>
                <w:sz w:val="24"/>
                <w:szCs w:val="32"/>
                <w:highlight w:val="none"/>
                <w:lang w:val="en-US" w:eastAsia="zh-CN" w:bidi="ar-SA"/>
              </w:rPr>
            </w:pPr>
            <w:r>
              <w:rPr>
                <w:rFonts w:hint="eastAsia" w:ascii="Times New Roman" w:hAnsi="Times New Roman" w:eastAsia="宋体" w:cstheme="minorBidi"/>
                <w:b w:val="0"/>
                <w:bCs/>
                <w:iCs/>
                <w:color w:val="auto"/>
                <w:kern w:val="0"/>
                <w:sz w:val="24"/>
                <w:szCs w:val="32"/>
                <w:highlight w:val="none"/>
                <w:lang w:val="en-US" w:eastAsia="zh-CN" w:bidi="ar-SA"/>
              </w:rPr>
              <w:t>本项目采取的防治措施及治理效果见表</w:t>
            </w:r>
            <w:r>
              <w:rPr>
                <w:rFonts w:hint="eastAsia" w:cstheme="minorBidi"/>
                <w:b w:val="0"/>
                <w:bCs/>
                <w:iCs/>
                <w:color w:val="auto"/>
                <w:kern w:val="0"/>
                <w:sz w:val="24"/>
                <w:szCs w:val="32"/>
                <w:highlight w:val="none"/>
                <w:lang w:val="en-US" w:eastAsia="zh-CN" w:bidi="ar-SA"/>
              </w:rPr>
              <w:t>8-1。</w:t>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cs="Times New Roman" w:eastAsiaTheme="minorEastAsia"/>
                <w:b/>
                <w:snapToGrid w:val="0"/>
                <w:kern w:val="0"/>
                <w:sz w:val="21"/>
                <w:szCs w:val="21"/>
                <w:highlight w:val="none"/>
                <w:lang w:val="en-US" w:eastAsia="zh-CN"/>
              </w:rPr>
            </w:pPr>
            <w:r>
              <w:rPr>
                <w:rFonts w:hint="eastAsia" w:ascii="Times New Roman" w:hAnsi="Times New Roman" w:cs="Times New Roman" w:eastAsiaTheme="minorEastAsia"/>
                <w:b/>
                <w:snapToGrid w:val="0"/>
                <w:kern w:val="0"/>
                <w:sz w:val="21"/>
                <w:szCs w:val="21"/>
                <w:highlight w:val="none"/>
                <w:lang w:val="en-US" w:eastAsia="zh-CN"/>
              </w:rPr>
              <w:t>表8-1项目采取的防治措施及治理效果一览表</w:t>
            </w:r>
          </w:p>
          <w:tbl>
            <w:tblPr>
              <w:tblStyle w:val="12"/>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946"/>
              <w:gridCol w:w="1272"/>
              <w:gridCol w:w="1950"/>
              <w:gridCol w:w="3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32"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632" w:leftChars="0" w:right="0" w:rightChars="0" w:hanging="632" w:hangingChars="300"/>
                    <w:jc w:val="left"/>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mc:AlternateContent>
                      <mc:Choice Requires="wps">
                        <w:drawing>
                          <wp:anchor distT="0" distB="0" distL="114300" distR="114300" simplePos="0" relativeHeight="323450880" behindDoc="0" locked="0" layoutInCell="1" allowOverlap="1">
                            <wp:simplePos x="0" y="0"/>
                            <wp:positionH relativeFrom="column">
                              <wp:posOffset>-42545</wp:posOffset>
                            </wp:positionH>
                            <wp:positionV relativeFrom="paragraph">
                              <wp:posOffset>14605</wp:posOffset>
                            </wp:positionV>
                            <wp:extent cx="577215" cy="511810"/>
                            <wp:effectExtent l="3175" t="3810" r="10160" b="17780"/>
                            <wp:wrapNone/>
                            <wp:docPr id="155" name="直接连接符 155"/>
                            <wp:cNvGraphicFramePr/>
                            <a:graphic xmlns:a="http://schemas.openxmlformats.org/drawingml/2006/main">
                              <a:graphicData uri="http://schemas.microsoft.com/office/word/2010/wordprocessingShape">
                                <wps:wsp>
                                  <wps:cNvCnPr/>
                                  <wps:spPr>
                                    <a:xfrm>
                                      <a:off x="1073150" y="2148205"/>
                                      <a:ext cx="577215" cy="511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5pt;margin-top:1.15pt;height:40.3pt;width:45.45pt;z-index:323450880;mso-width-relative:page;mso-height-relative:page;" filled="f" stroked="t" coordsize="21600,21600" o:gfxdata="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81hX9UAAAAGAQAADwAAAAAAAAAB&#10;ACAAAAAiAAAAZHJzL2Rvd25yZXYueG1sUEsBAhQAFAAAAAgAh07iQL1SAjbaAQAAdwMAAA4AAAAA&#10;AAAAAQAgAAAAJAEAAGRycy9lMm9Eb2MueG1sUEsFBgAAAAAGAAYAWQEAAHAFAAAAAA==&#10;">
                            <v:fill on="f" focussize="0,0"/>
                            <v:stroke weight="0.5pt" color="#000000 [3200]" miterlimit="8" joinstyle="miter"/>
                            <v:imagedata o:title=""/>
                            <o:lock v:ext="edit" aspectratio="f"/>
                          </v:line>
                        </w:pict>
                      </mc:Fallback>
                    </mc:AlternateConten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内</w:t>
                  </w:r>
                  <w:r>
                    <w:rPr>
                      <w:rFonts w:hint="default" w:ascii="Times New Roman" w:hAnsi="Times New Roman" w:eastAsia="宋体" w:cs="Times New Roman"/>
                      <w:b/>
                      <w:bCs/>
                      <w:color w:val="auto"/>
                      <w:sz w:val="21"/>
                      <w:szCs w:val="21"/>
                      <w:highlight w:val="none"/>
                      <w:lang w:val="en-US" w:eastAsia="zh-CN"/>
                    </w:rPr>
                    <w:t>容</w:t>
                  </w:r>
                </w:p>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类型</w:t>
                  </w:r>
                </w:p>
              </w:tc>
              <w:tc>
                <w:tcPr>
                  <w:tcW w:w="946"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排放源</w:t>
                  </w:r>
                </w:p>
              </w:tc>
              <w:tc>
                <w:tcPr>
                  <w:tcW w:w="1272"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污染物名称</w:t>
                  </w:r>
                </w:p>
              </w:tc>
              <w:tc>
                <w:tcPr>
                  <w:tcW w:w="1950"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防治措施</w:t>
                  </w:r>
                </w:p>
              </w:tc>
              <w:tc>
                <w:tcPr>
                  <w:tcW w:w="3751"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32"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w:t>
                  </w:r>
                </w:p>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染物</w:t>
                  </w:r>
                </w:p>
              </w:tc>
              <w:tc>
                <w:tcPr>
                  <w:tcW w:w="946"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加油装置</w:t>
                  </w:r>
                </w:p>
              </w:tc>
              <w:tc>
                <w:tcPr>
                  <w:tcW w:w="1272"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非甲烷总烃</w:t>
                  </w:r>
                </w:p>
              </w:tc>
              <w:tc>
                <w:tcPr>
                  <w:tcW w:w="1950"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三次油气回收系统</w:t>
                  </w:r>
                </w:p>
              </w:tc>
              <w:tc>
                <w:tcPr>
                  <w:tcW w:w="3751"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非甲烷总烃浓度均符合《大气污染物综合排放标准》（GB16297-1996）中表 2 无组织排放监控浓度限值标准；油气回收装置排放口监控点非甲烷总烃浓度符合《加油站大气污染物排放标准》（GB20952-2007）限值标限值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932"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水污</w:t>
                  </w:r>
                </w:p>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染物</w:t>
                  </w:r>
                </w:p>
              </w:tc>
              <w:tc>
                <w:tcPr>
                  <w:tcW w:w="2218" w:type="dxa"/>
                  <w:gridSpan w:val="2"/>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生活污水和场地冲洗废水</w:t>
                  </w:r>
                </w:p>
              </w:tc>
              <w:tc>
                <w:tcPr>
                  <w:tcW w:w="1950"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1座4m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隔油池、依托华州服务区的污水处理设施</w:t>
                  </w:r>
                </w:p>
              </w:tc>
              <w:tc>
                <w:tcPr>
                  <w:tcW w:w="3751"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32" w:type="dxa"/>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7919" w:type="dxa"/>
                  <w:gridSpan w:val="4"/>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充分利用建构筑物、绿化带阻隔声波传播，以减轻噪声对环境的影响；周围和道路两侧加强绿化，以减少对周围声环境的影响。</w:t>
                  </w:r>
                </w:p>
              </w:tc>
            </w:tr>
          </w:tbl>
          <w:p>
            <w:pPr>
              <w:rPr>
                <w:rFonts w:hint="default"/>
                <w:highlight w:val="none"/>
                <w:lang w:val="en-US" w:eastAsia="zh-CN"/>
              </w:rPr>
            </w:pPr>
          </w:p>
          <w:p>
            <w:pPr>
              <w:pStyle w:val="17"/>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eastAsia="宋体" w:cs="Times New Roman"/>
                <w:color w:val="auto"/>
                <w:highlight w:val="none"/>
                <w:lang w:val="en-US" w:eastAsia="zh-CN"/>
              </w:rPr>
            </w:pPr>
            <w:bookmarkStart w:id="118" w:name="_Toc14553"/>
            <w:bookmarkStart w:id="119" w:name="_Toc21796"/>
            <w:bookmarkStart w:id="120" w:name="_Toc5718"/>
            <w:bookmarkStart w:id="121" w:name="_Toc13647"/>
            <w:r>
              <w:rPr>
                <w:rFonts w:hint="default" w:ascii="Times New Roman" w:hAnsi="Times New Roman" w:eastAsia="宋体" w:cs="Times New Roman"/>
                <w:color w:val="auto"/>
                <w:highlight w:val="none"/>
                <w:lang w:val="en-US" w:eastAsia="zh-CN"/>
              </w:rPr>
              <w:t>1、废气环境保护结论</w:t>
            </w:r>
            <w:bookmarkEnd w:id="118"/>
            <w:bookmarkEnd w:id="119"/>
          </w:p>
          <w:p>
            <w:pPr>
              <w:numPr>
                <w:ilvl w:val="0"/>
                <w:numId w:val="0"/>
              </w:numPr>
              <w:spacing w:line="360" w:lineRule="auto"/>
              <w:ind w:firstLine="480" w:firstLineChars="200"/>
              <w:rPr>
                <w:rFonts w:hint="default" w:ascii="Times New Roman" w:hAnsi="Times New Roman" w:eastAsia="宋体" w:cs="Times New Roman"/>
                <w:bCs/>
                <w:iCs/>
                <w:color w:val="auto"/>
                <w:sz w:val="24"/>
                <w:szCs w:val="32"/>
                <w:highlight w:val="none"/>
                <w:lang w:val="en-US" w:eastAsia="zh-CN" w:bidi="ar-SA"/>
              </w:rPr>
            </w:pPr>
            <w:r>
              <w:rPr>
                <w:rFonts w:hint="default" w:ascii="Times New Roman" w:hAnsi="Times New Roman" w:eastAsia="宋体" w:cs="Times New Roman"/>
                <w:bCs/>
                <w:iCs/>
                <w:color w:val="auto"/>
                <w:sz w:val="24"/>
                <w:szCs w:val="32"/>
                <w:highlight w:val="none"/>
                <w:lang w:val="en-US" w:eastAsia="zh-CN" w:bidi="ar-SA"/>
              </w:rPr>
              <w:t>本项目运营期产生的大气污染物主要为在油气灌装（卸油）、储存（静储）、加油等过程中挥发产生的油气（非甲烷总烃）。油气经油气回收装置处理后在厂区内呈无组织扩散，2019年11月11日～11月12日验收监测期间，项目厂界Q1～Q3无组织废气监控点非甲烷总烃浓度均符合《大气污染物综合排放标准》（GB16297-1996）中表 2 无组织排放监控浓度限值标准；Q4油气回收装置排放口监控点非甲烷总烃浓度符合《加油站大气污染物排放标准》（GB20952-2007）限值标准。</w:t>
            </w:r>
          </w:p>
          <w:p>
            <w:pPr>
              <w:pStyle w:val="17"/>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2、水环境保护结论</w:t>
            </w:r>
            <w:bookmarkEnd w:id="120"/>
            <w:bookmarkEnd w:id="121"/>
          </w:p>
          <w:p>
            <w:pPr>
              <w:adjustRightInd w:val="0"/>
              <w:snapToGrid w:val="0"/>
              <w:spacing w:line="360" w:lineRule="auto"/>
              <w:ind w:firstLine="480" w:firstLineChars="200"/>
              <w:rPr>
                <w:rFonts w:hint="default" w:ascii="Times New Roman" w:hAnsi="Times New Roman" w:eastAsia="宋体" w:cs="Times New Roman"/>
                <w:snapToGrid w:val="0"/>
                <w:kern w:val="0"/>
                <w:sz w:val="24"/>
                <w:szCs w:val="24"/>
                <w:highlight w:val="none"/>
                <w:lang w:eastAsia="zh-CN"/>
              </w:rPr>
            </w:pPr>
            <w:bookmarkStart w:id="122" w:name="_Toc14046"/>
            <w:bookmarkStart w:id="123" w:name="_Toc32152"/>
            <w:r>
              <w:rPr>
                <w:rFonts w:hint="default" w:ascii="Times New Roman" w:hAnsi="Times New Roman" w:eastAsia="宋体" w:cs="Times New Roman"/>
                <w:snapToGrid w:val="0"/>
                <w:kern w:val="0"/>
                <w:sz w:val="24"/>
                <w:szCs w:val="24"/>
                <w:highlight w:val="none"/>
              </w:rPr>
              <w:t>本项目排水采用雨污分流，加油岛四周设雨水收集沟槽，雨水经隔油池处理后排入场外排水渠，最终进入赤水河</w:t>
            </w:r>
            <w:r>
              <w:rPr>
                <w:rFonts w:hint="default" w:ascii="Times New Roman" w:hAnsi="Times New Roman" w:eastAsia="宋体" w:cs="Times New Roman"/>
                <w:snapToGrid w:val="0"/>
                <w:kern w:val="0"/>
                <w:sz w:val="24"/>
                <w:szCs w:val="24"/>
                <w:highlight w:val="none"/>
                <w:lang w:eastAsia="zh-CN"/>
              </w:rPr>
              <w:t>。</w:t>
            </w:r>
          </w:p>
          <w:p>
            <w:pPr>
              <w:adjustRightInd w:val="0"/>
              <w:snapToGrid w:val="0"/>
              <w:spacing w:line="360" w:lineRule="auto"/>
              <w:ind w:firstLine="480" w:firstLineChars="200"/>
              <w:rPr>
                <w:rFonts w:hint="default" w:ascii="Times New Roman" w:hAnsi="Times New Roman" w:eastAsia="宋体" w:cs="Times New Roman"/>
                <w:b w:val="0"/>
                <w:color w:val="auto"/>
                <w:kern w:val="24"/>
                <w:sz w:val="24"/>
                <w:szCs w:val="21"/>
                <w:highlight w:val="none"/>
                <w:lang w:val="en-US" w:eastAsia="zh-CN" w:bidi="ar-SA"/>
              </w:rPr>
            </w:pPr>
            <w:r>
              <w:rPr>
                <w:rFonts w:hint="default" w:ascii="Times New Roman" w:hAnsi="Times New Roman" w:eastAsia="宋体" w:cs="Times New Roman"/>
                <w:snapToGrid w:val="0"/>
                <w:kern w:val="0"/>
                <w:sz w:val="24"/>
                <w:szCs w:val="24"/>
                <w:highlight w:val="none"/>
              </w:rPr>
              <w:t>项目场地冲洗废水经隔油池处理后和生活污水一并进入渭南至玉山高速公路华州服务区一体化埋地式中水回用膜处理统</w:t>
            </w:r>
            <w:r>
              <w:rPr>
                <w:rFonts w:hint="default" w:ascii="Times New Roman" w:hAnsi="Times New Roman" w:eastAsia="宋体" w:cs="Times New Roman"/>
                <w:snapToGrid w:val="0"/>
                <w:kern w:val="0"/>
                <w:sz w:val="24"/>
                <w:szCs w:val="24"/>
                <w:highlight w:val="none"/>
                <w:lang w:eastAsia="zh-CN"/>
              </w:rPr>
              <w:t>一</w:t>
            </w:r>
            <w:r>
              <w:rPr>
                <w:rFonts w:hint="default" w:ascii="Times New Roman" w:hAnsi="Times New Roman" w:eastAsia="宋体" w:cs="Times New Roman"/>
                <w:snapToGrid w:val="0"/>
                <w:kern w:val="0"/>
                <w:sz w:val="24"/>
                <w:szCs w:val="24"/>
                <w:highlight w:val="none"/>
              </w:rPr>
              <w:t>处理后回用于服务区厕所用水和服务区绿化用水</w:t>
            </w:r>
            <w:r>
              <w:rPr>
                <w:rFonts w:hint="default" w:ascii="Times New Roman" w:hAnsi="Times New Roman" w:eastAsia="宋体" w:cs="Times New Roman"/>
                <w:snapToGrid w:val="0"/>
                <w:kern w:val="0"/>
                <w:sz w:val="24"/>
                <w:szCs w:val="24"/>
                <w:highlight w:val="none"/>
                <w:lang w:eastAsia="zh-CN"/>
              </w:rPr>
              <w:t>，</w:t>
            </w:r>
            <w:r>
              <w:rPr>
                <w:rFonts w:hint="default" w:ascii="Times New Roman" w:hAnsi="Times New Roman" w:eastAsia="宋体" w:cs="Times New Roman"/>
                <w:b w:val="0"/>
                <w:color w:val="auto"/>
                <w:kern w:val="24"/>
                <w:sz w:val="24"/>
                <w:szCs w:val="21"/>
                <w:highlight w:val="none"/>
                <w:lang w:val="en-US" w:eastAsia="zh-CN" w:bidi="ar-SA"/>
              </w:rPr>
              <w:t>不外排。</w:t>
            </w:r>
          </w:p>
          <w:p>
            <w:pPr>
              <w:pStyle w:val="17"/>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3、声环境保护结论</w:t>
            </w:r>
            <w:bookmarkEnd w:id="122"/>
            <w:bookmarkEnd w:id="123"/>
          </w:p>
          <w:p>
            <w:pPr>
              <w:numPr>
                <w:ilvl w:val="0"/>
                <w:numId w:val="0"/>
              </w:numPr>
              <w:spacing w:line="360" w:lineRule="auto"/>
              <w:ind w:firstLine="480" w:firstLineChars="200"/>
              <w:rPr>
                <w:rFonts w:hint="default" w:ascii="Times New Roman" w:hAnsi="Times New Roman" w:eastAsia="宋体" w:cs="Times New Roman"/>
                <w:bCs/>
                <w:iCs/>
                <w:color w:val="auto"/>
                <w:sz w:val="24"/>
                <w:szCs w:val="32"/>
                <w:highlight w:val="none"/>
                <w:lang w:val="en-US" w:eastAsia="zh-CN" w:bidi="ar-SA"/>
              </w:rPr>
            </w:pPr>
            <w:r>
              <w:rPr>
                <w:rFonts w:hint="default" w:ascii="Times New Roman" w:hAnsi="Times New Roman" w:eastAsia="宋体" w:cs="Times New Roman"/>
                <w:bCs/>
                <w:iCs/>
                <w:color w:val="auto"/>
                <w:sz w:val="24"/>
                <w:szCs w:val="32"/>
                <w:highlight w:val="none"/>
                <w:lang w:val="en-US" w:eastAsia="zh-CN" w:bidi="ar-SA"/>
              </w:rPr>
              <w:t>2019年11月11日～11月12日验收监测期间，</w:t>
            </w:r>
            <w:r>
              <w:rPr>
                <w:rFonts w:hint="default" w:ascii="Times New Roman" w:hAnsi="Times New Roman" w:eastAsia="宋体" w:cs="Times New Roman"/>
                <w:bCs/>
                <w:snapToGrid w:val="0"/>
                <w:kern w:val="0"/>
                <w:sz w:val="24"/>
                <w:szCs w:val="24"/>
                <w:highlight w:val="none"/>
                <w:lang w:val="en-US" w:eastAsia="zh-CN"/>
              </w:rPr>
              <w:t>项目厂界</w:t>
            </w:r>
            <w:r>
              <w:rPr>
                <w:rFonts w:hint="eastAsia" w:eastAsia="宋体" w:cs="Times New Roman"/>
                <w:color w:val="auto"/>
                <w:sz w:val="24"/>
                <w:szCs w:val="24"/>
                <w:highlight w:val="none"/>
                <w:lang w:val="en-US" w:eastAsia="zh-CN"/>
              </w:rPr>
              <w:t>N</w:t>
            </w:r>
            <w:r>
              <w:rPr>
                <w:rFonts w:hint="eastAsia" w:ascii="Times New Roman" w:hAnsi="Times New Roman" w:eastAsia="宋体" w:cs="Times New Roman"/>
                <w:bCs/>
                <w:snapToGrid w:val="0"/>
                <w:kern w:val="0"/>
                <w:sz w:val="24"/>
                <w:szCs w:val="24"/>
                <w:highlight w:val="none"/>
                <w:lang w:val="en-US" w:eastAsia="zh-CN"/>
              </w:rPr>
              <w:t>3西厂界</w:t>
            </w:r>
            <w:r>
              <w:rPr>
                <w:rFonts w:hint="default" w:ascii="Times New Roman" w:hAnsi="Times New Roman" w:eastAsia="宋体" w:cs="Times New Roman"/>
                <w:bCs/>
                <w:snapToGrid w:val="0"/>
                <w:kern w:val="0"/>
                <w:sz w:val="24"/>
                <w:szCs w:val="24"/>
                <w:highlight w:val="none"/>
                <w:lang w:val="en-US" w:eastAsia="zh-CN"/>
              </w:rPr>
              <w:t>监测点昼夜间噪声测定值均符合《工业企业厂界环境噪声排放标准》（GB 12348-2008）中的2类标准</w:t>
            </w:r>
            <w:r>
              <w:rPr>
                <w:rFonts w:hint="eastAsia" w:cs="Times New Roman"/>
                <w:bCs/>
                <w:snapToGrid w:val="0"/>
                <w:kern w:val="0"/>
                <w:sz w:val="24"/>
                <w:szCs w:val="24"/>
                <w:highlight w:val="none"/>
                <w:lang w:val="en-US" w:eastAsia="zh-CN"/>
              </w:rPr>
              <w:t>；</w:t>
            </w:r>
            <w:r>
              <w:rPr>
                <w:rFonts w:hint="eastAsia" w:eastAsia="宋体" w:cs="Times New Roman"/>
                <w:color w:val="auto"/>
                <w:sz w:val="24"/>
                <w:szCs w:val="24"/>
                <w:highlight w:val="none"/>
                <w:lang w:val="en-US" w:eastAsia="zh-CN"/>
              </w:rPr>
              <w:t>N</w:t>
            </w:r>
            <w:r>
              <w:rPr>
                <w:rFonts w:hint="eastAsia" w:cs="Times New Roman"/>
                <w:bCs/>
                <w:snapToGrid w:val="0"/>
                <w:kern w:val="0"/>
                <w:sz w:val="24"/>
                <w:szCs w:val="24"/>
                <w:highlight w:val="none"/>
                <w:lang w:val="en-US" w:eastAsia="zh-CN"/>
              </w:rPr>
              <w:t>1东</w:t>
            </w:r>
            <w:r>
              <w:rPr>
                <w:rFonts w:hint="eastAsia" w:ascii="Times New Roman" w:hAnsi="Times New Roman" w:eastAsia="宋体" w:cs="Times New Roman"/>
                <w:bCs/>
                <w:snapToGrid w:val="0"/>
                <w:kern w:val="0"/>
                <w:sz w:val="24"/>
                <w:szCs w:val="24"/>
                <w:highlight w:val="none"/>
                <w:lang w:val="en-US" w:eastAsia="zh-CN"/>
              </w:rPr>
              <w:t>厂界</w:t>
            </w:r>
            <w:r>
              <w:rPr>
                <w:rFonts w:hint="eastAsia" w:cs="Times New Roman"/>
                <w:bCs/>
                <w:snapToGrid w:val="0"/>
                <w:kern w:val="0"/>
                <w:sz w:val="24"/>
                <w:szCs w:val="24"/>
                <w:highlight w:val="none"/>
                <w:lang w:val="en-US" w:eastAsia="zh-CN"/>
              </w:rPr>
              <w:t>、</w:t>
            </w:r>
            <w:r>
              <w:rPr>
                <w:rFonts w:hint="eastAsia" w:eastAsia="宋体" w:cs="Times New Roman"/>
                <w:color w:val="auto"/>
                <w:sz w:val="24"/>
                <w:szCs w:val="24"/>
                <w:highlight w:val="none"/>
                <w:lang w:val="en-US" w:eastAsia="zh-CN"/>
              </w:rPr>
              <w:t>N</w:t>
            </w:r>
            <w:r>
              <w:rPr>
                <w:rFonts w:hint="eastAsia" w:ascii="Times New Roman" w:hAnsi="Times New Roman" w:eastAsia="宋体" w:cs="Times New Roman"/>
                <w:bCs/>
                <w:snapToGrid w:val="0"/>
                <w:kern w:val="0"/>
                <w:sz w:val="24"/>
                <w:szCs w:val="24"/>
                <w:highlight w:val="none"/>
                <w:lang w:val="en-US" w:eastAsia="zh-CN"/>
              </w:rPr>
              <w:t>2南厂界</w:t>
            </w:r>
            <w:r>
              <w:rPr>
                <w:rFonts w:hint="default" w:ascii="Times New Roman" w:hAnsi="Times New Roman" w:eastAsia="宋体" w:cs="Times New Roman"/>
                <w:bCs/>
                <w:snapToGrid w:val="0"/>
                <w:kern w:val="0"/>
                <w:sz w:val="24"/>
                <w:szCs w:val="24"/>
                <w:highlight w:val="none"/>
                <w:lang w:val="en-US" w:eastAsia="zh-CN"/>
              </w:rPr>
              <w:t>、</w:t>
            </w:r>
            <w:r>
              <w:rPr>
                <w:rFonts w:hint="eastAsia" w:eastAsia="宋体" w:cs="Times New Roman"/>
                <w:color w:val="auto"/>
                <w:sz w:val="24"/>
                <w:szCs w:val="24"/>
                <w:highlight w:val="none"/>
                <w:lang w:val="en-US" w:eastAsia="zh-CN"/>
              </w:rPr>
              <w:t>N4北厂界监测点昼夜间噪声测定值均符合《工业企业厂界环境噪声排放标准》（GB 12348-2008）中的</w:t>
            </w:r>
            <w:r>
              <w:rPr>
                <w:rFonts w:hint="eastAsia" w:cs="Times New Roman"/>
                <w:color w:val="auto"/>
                <w:sz w:val="24"/>
                <w:szCs w:val="24"/>
                <w:highlight w:val="none"/>
                <w:lang w:val="en-US" w:eastAsia="zh-CN"/>
              </w:rPr>
              <w:t>4</w:t>
            </w:r>
            <w:r>
              <w:rPr>
                <w:rFonts w:hint="eastAsia" w:eastAsia="宋体" w:cs="Times New Roman"/>
                <w:color w:val="auto"/>
                <w:sz w:val="24"/>
                <w:szCs w:val="24"/>
                <w:highlight w:val="none"/>
                <w:lang w:val="en-US" w:eastAsia="zh-CN"/>
              </w:rPr>
              <w:t>类标准</w:t>
            </w:r>
            <w:r>
              <w:rPr>
                <w:rFonts w:hint="eastAsia" w:cs="Times New Roman"/>
                <w:color w:val="auto"/>
                <w:sz w:val="24"/>
                <w:szCs w:val="24"/>
                <w:highlight w:val="none"/>
                <w:lang w:val="en-US" w:eastAsia="zh-CN"/>
              </w:rPr>
              <w:t>。</w:t>
            </w:r>
          </w:p>
          <w:p>
            <w:pPr>
              <w:pStyle w:val="17"/>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4、总结论</w:t>
            </w:r>
          </w:p>
          <w:p>
            <w:pPr>
              <w:keepNext w:val="0"/>
              <w:keepLines w:val="0"/>
              <w:pageBreakBefore w:val="0"/>
              <w:widowControl w:val="0"/>
              <w:numPr>
                <w:ilvl w:val="0"/>
                <w:numId w:val="0"/>
              </w:numPr>
              <w:tabs>
                <w:tab w:val="left" w:pos="924"/>
              </w:tabs>
              <w:kinsoku/>
              <w:wordWrap/>
              <w:overflowPunct/>
              <w:topLinePunct w:val="0"/>
              <w:autoSpaceDE/>
              <w:autoSpaceDN/>
              <w:bidi w:val="0"/>
              <w:adjustRightInd w:val="0"/>
              <w:snapToGrid w:val="0"/>
              <w:spacing w:line="360" w:lineRule="auto"/>
              <w:ind w:firstLine="456" w:firstLineChars="200"/>
              <w:jc w:val="left"/>
              <w:textAlignment w:val="auto"/>
              <w:rPr>
                <w:rFonts w:hint="eastAsia" w:ascii="Times New Roman" w:hAnsi="Times New Roman" w:eastAsia="宋体" w:cs="Times New Roman"/>
                <w:spacing w:val="-6"/>
                <w:kern w:val="0"/>
                <w:sz w:val="24"/>
                <w:szCs w:val="24"/>
                <w:highlight w:val="none"/>
                <w:lang w:val="en-US" w:eastAsia="zh-CN" w:bidi="zh-CN"/>
              </w:rPr>
            </w:pPr>
            <w:r>
              <w:rPr>
                <w:rFonts w:hint="eastAsia" w:ascii="Times New Roman" w:hAnsi="Times New Roman" w:eastAsia="宋体" w:cs="Times New Roman"/>
                <w:spacing w:val="-6"/>
                <w:kern w:val="0"/>
                <w:sz w:val="24"/>
                <w:szCs w:val="24"/>
                <w:highlight w:val="none"/>
                <w:lang w:val="en-US" w:eastAsia="zh-CN" w:bidi="zh-CN"/>
              </w:rPr>
              <w:t>综上所述，</w:t>
            </w:r>
            <w:r>
              <w:rPr>
                <w:rFonts w:hint="default" w:ascii="Times New Roman" w:hAnsi="Times New Roman" w:eastAsia="宋体" w:cs="Times New Roman"/>
                <w:spacing w:val="-6"/>
                <w:kern w:val="0"/>
                <w:sz w:val="24"/>
                <w:szCs w:val="24"/>
                <w:highlight w:val="none"/>
                <w:lang w:val="en-US" w:eastAsia="zh-CN" w:bidi="zh-CN"/>
              </w:rPr>
              <w:t>项目环境保护手</w:t>
            </w:r>
            <w:r>
              <w:rPr>
                <w:rFonts w:hint="eastAsia" w:ascii="Times New Roman" w:hAnsi="Times New Roman" w:eastAsia="宋体" w:cs="Times New Roman"/>
                <w:spacing w:val="-6"/>
                <w:kern w:val="0"/>
                <w:sz w:val="24"/>
                <w:szCs w:val="24"/>
                <w:highlight w:val="none"/>
                <w:lang w:val="en-US" w:eastAsia="zh-CN" w:bidi="zh-CN"/>
              </w:rPr>
              <w:t>续齐全，</w:t>
            </w:r>
            <w:r>
              <w:rPr>
                <w:rFonts w:hint="eastAsia" w:ascii="Times New Roman" w:hAnsi="Times New Roman" w:cs="Times New Roman"/>
                <w:spacing w:val="-6"/>
                <w:kern w:val="0"/>
                <w:sz w:val="24"/>
                <w:szCs w:val="24"/>
                <w:highlight w:val="none"/>
                <w:lang w:val="en-US" w:eastAsia="zh-CN" w:bidi="zh-CN"/>
              </w:rPr>
              <w:t>较好的落实了环保“三同时”制度，落实了生态与污染防治措施；根据现场检查及检测和项目竣工环境保护验收调查表结论，项目满足环评及批复要求，该项目可以通过竣工环境保护验收。</w:t>
            </w:r>
            <w:r>
              <w:rPr>
                <w:rFonts w:hint="eastAsia" w:ascii="Times New Roman" w:hAnsi="Times New Roman" w:eastAsia="宋体" w:cs="Times New Roman"/>
                <w:spacing w:val="-6"/>
                <w:kern w:val="0"/>
                <w:sz w:val="24"/>
                <w:szCs w:val="24"/>
                <w:highlight w:val="none"/>
                <w:lang w:val="en-US" w:eastAsia="zh-CN" w:bidi="zh-CN"/>
              </w:rPr>
              <w:t xml:space="preserve"> </w:t>
            </w:r>
          </w:p>
          <w:p>
            <w:pPr>
              <w:pStyle w:val="2"/>
              <w:keepNext w:val="0"/>
              <w:keepLines w:val="0"/>
              <w:pageBreakBefore w:val="0"/>
              <w:widowControl w:val="0"/>
              <w:kinsoku/>
              <w:wordWrap/>
              <w:overflowPunct/>
              <w:topLinePunct w:val="0"/>
              <w:autoSpaceDE w:val="0"/>
              <w:autoSpaceDN w:val="0"/>
              <w:bidi w:val="0"/>
              <w:adjustRightInd/>
              <w:snapToGrid/>
              <w:spacing w:before="0" w:beforeLines="0" w:beforeAutospacing="0" w:after="0" w:afterLines="0" w:afterAutospacing="0" w:line="360" w:lineRule="auto"/>
              <w:ind w:left="0" w:leftChars="0" w:right="0" w:firstLine="0" w:firstLineChars="0"/>
              <w:jc w:val="left"/>
              <w:textAlignment w:val="auto"/>
              <w:outlineLvl w:val="2"/>
              <w:rPr>
                <w:rFonts w:hint="default" w:ascii="Times New Roman" w:hAnsi="Times New Roman" w:eastAsia="宋体" w:cs="Times New Roman"/>
                <w:bCs/>
                <w:kern w:val="0"/>
                <w:sz w:val="24"/>
                <w:highlight w:val="none"/>
                <w:lang w:val="en-US" w:eastAsia="zh-CN" w:bidi="zh-CN"/>
              </w:rPr>
            </w:pPr>
            <w:r>
              <w:rPr>
                <w:rFonts w:hint="eastAsia" w:ascii="Times New Roman" w:hAnsi="Times New Roman" w:eastAsia="宋体" w:cs="Times New Roman"/>
                <w:bCs/>
                <w:kern w:val="0"/>
                <w:sz w:val="24"/>
                <w:highlight w:val="none"/>
                <w:lang w:val="en-US" w:eastAsia="zh-CN" w:bidi="zh-CN"/>
              </w:rPr>
              <w:t>四、</w:t>
            </w:r>
            <w:r>
              <w:rPr>
                <w:rFonts w:hint="default" w:ascii="Times New Roman" w:hAnsi="Times New Roman" w:eastAsia="宋体" w:cs="Times New Roman"/>
                <w:bCs/>
                <w:kern w:val="0"/>
                <w:sz w:val="24"/>
                <w:highlight w:val="none"/>
                <w:lang w:val="en-US" w:eastAsia="zh-CN" w:bidi="zh-CN"/>
              </w:rPr>
              <w:t>建议</w:t>
            </w:r>
          </w:p>
          <w:p>
            <w:pPr>
              <w:numPr>
                <w:ilvl w:val="0"/>
                <w:numId w:val="0"/>
              </w:numPr>
              <w:spacing w:line="360" w:lineRule="auto"/>
              <w:ind w:firstLine="480" w:firstLineChars="200"/>
              <w:rPr>
                <w:rFonts w:hint="default" w:ascii="Times New Roman" w:hAnsi="Times New Roman" w:eastAsia="宋体" w:cstheme="minorBidi"/>
                <w:bCs/>
                <w:iCs/>
                <w:color w:val="auto"/>
                <w:sz w:val="24"/>
                <w:szCs w:val="32"/>
                <w:highlight w:val="none"/>
                <w:lang w:val="en-US" w:eastAsia="zh-CN" w:bidi="ar-SA"/>
              </w:rPr>
            </w:pPr>
            <w:r>
              <w:rPr>
                <w:rFonts w:hint="eastAsia" w:ascii="Times New Roman" w:hAnsi="Times New Roman" w:cstheme="minorBidi"/>
                <w:bCs/>
                <w:iCs/>
                <w:color w:val="auto"/>
                <w:sz w:val="24"/>
                <w:szCs w:val="32"/>
                <w:highlight w:val="none"/>
                <w:lang w:val="en-US" w:eastAsia="zh-CN" w:bidi="ar-SA"/>
              </w:rPr>
              <w:t>1</w:t>
            </w:r>
            <w:r>
              <w:rPr>
                <w:rFonts w:hint="eastAsia" w:ascii="Times New Roman" w:hAnsi="Times New Roman" w:eastAsia="宋体" w:cstheme="minorBidi"/>
                <w:bCs/>
                <w:iCs/>
                <w:color w:val="auto"/>
                <w:sz w:val="24"/>
                <w:szCs w:val="32"/>
                <w:highlight w:val="none"/>
                <w:lang w:val="en-US" w:eastAsia="zh-CN" w:bidi="ar-SA"/>
              </w:rPr>
              <w:t>、</w:t>
            </w:r>
            <w:r>
              <w:rPr>
                <w:rFonts w:hint="default" w:ascii="Times New Roman" w:hAnsi="Times New Roman" w:eastAsia="宋体" w:cstheme="minorBidi"/>
                <w:bCs/>
                <w:iCs/>
                <w:color w:val="auto"/>
                <w:sz w:val="24"/>
                <w:szCs w:val="32"/>
                <w:highlight w:val="none"/>
                <w:lang w:val="en-US" w:eastAsia="zh-CN" w:bidi="ar-SA"/>
              </w:rPr>
              <w:t>建立健全环境管理机构，合理配备相应的人员配合环境保护主管部门的监督、管理工作。</w:t>
            </w:r>
          </w:p>
          <w:p>
            <w:pPr>
              <w:numPr>
                <w:ilvl w:val="0"/>
                <w:numId w:val="0"/>
              </w:numPr>
              <w:spacing w:line="360" w:lineRule="auto"/>
              <w:ind w:firstLine="480" w:firstLineChars="200"/>
              <w:rPr>
                <w:rFonts w:hint="default" w:ascii="Times New Roman" w:hAnsi="Times New Roman" w:eastAsia="宋体" w:cstheme="minorBidi"/>
                <w:bCs/>
                <w:iCs/>
                <w:color w:val="auto"/>
                <w:sz w:val="24"/>
                <w:szCs w:val="32"/>
                <w:highlight w:val="none"/>
                <w:lang w:val="en-US" w:eastAsia="zh-CN" w:bidi="ar-SA"/>
              </w:rPr>
            </w:pPr>
            <w:r>
              <w:rPr>
                <w:rFonts w:hint="eastAsia" w:ascii="Times New Roman" w:hAnsi="Times New Roman" w:eastAsia="宋体" w:cstheme="minorBidi"/>
                <w:bCs/>
                <w:iCs/>
                <w:color w:val="auto"/>
                <w:sz w:val="24"/>
                <w:szCs w:val="32"/>
                <w:highlight w:val="none"/>
                <w:lang w:val="en-US" w:eastAsia="zh-CN" w:bidi="ar-SA"/>
              </w:rPr>
              <w:t>2、</w:t>
            </w:r>
            <w:r>
              <w:rPr>
                <w:rFonts w:hint="default" w:ascii="Times New Roman" w:hAnsi="Times New Roman" w:eastAsia="宋体" w:cstheme="minorBidi"/>
                <w:bCs/>
                <w:iCs/>
                <w:color w:val="auto"/>
                <w:sz w:val="24"/>
                <w:szCs w:val="32"/>
                <w:highlight w:val="none"/>
                <w:lang w:val="en-US" w:eastAsia="zh-CN" w:bidi="ar-SA"/>
              </w:rPr>
              <w:t>对各项环保设施定期进行维护保养，确保其正常运行。</w:t>
            </w:r>
          </w:p>
          <w:p>
            <w:pPr>
              <w:numPr>
                <w:ilvl w:val="0"/>
                <w:numId w:val="0"/>
              </w:numPr>
              <w:spacing w:line="360" w:lineRule="auto"/>
              <w:ind w:firstLine="480" w:firstLineChars="200"/>
              <w:rPr>
                <w:rFonts w:hint="default" w:ascii="Times New Roman" w:hAnsi="Times New Roman" w:eastAsia="宋体" w:cstheme="minorBidi"/>
                <w:bCs/>
                <w:iCs/>
                <w:color w:val="auto"/>
                <w:sz w:val="24"/>
                <w:szCs w:val="32"/>
                <w:highlight w:val="none"/>
                <w:lang w:val="en-US" w:eastAsia="zh-CN" w:bidi="ar-SA"/>
              </w:rPr>
            </w:pPr>
            <w:r>
              <w:rPr>
                <w:rFonts w:hint="eastAsia" w:cstheme="minorBidi"/>
                <w:bCs/>
                <w:iCs/>
                <w:color w:val="auto"/>
                <w:sz w:val="24"/>
                <w:szCs w:val="32"/>
                <w:highlight w:val="none"/>
                <w:lang w:val="en-US" w:eastAsia="zh-CN" w:bidi="ar-SA"/>
              </w:rPr>
              <w:t>3</w:t>
            </w:r>
            <w:r>
              <w:rPr>
                <w:rFonts w:hint="eastAsia" w:ascii="Times New Roman" w:hAnsi="Times New Roman" w:cstheme="minorBidi"/>
                <w:bCs/>
                <w:iCs/>
                <w:color w:val="auto"/>
                <w:sz w:val="24"/>
                <w:szCs w:val="32"/>
                <w:highlight w:val="none"/>
                <w:lang w:val="en-US" w:eastAsia="zh-CN" w:bidi="ar-SA"/>
              </w:rPr>
              <w:t>、</w:t>
            </w:r>
            <w:r>
              <w:rPr>
                <w:rFonts w:hint="default" w:ascii="Times New Roman" w:hAnsi="Times New Roman" w:eastAsia="宋体" w:cstheme="minorBidi"/>
                <w:bCs/>
                <w:iCs/>
                <w:color w:val="auto"/>
                <w:sz w:val="24"/>
                <w:szCs w:val="32"/>
                <w:highlight w:val="none"/>
                <w:lang w:val="en-US" w:eastAsia="zh-CN" w:bidi="ar-SA"/>
              </w:rPr>
              <w:t>加油站设警示牌，进出站内车辆禁止鸣笛，减速慢行，以降低噪声影响。</w:t>
            </w:r>
          </w:p>
          <w:p>
            <w:pPr>
              <w:numPr>
                <w:ilvl w:val="0"/>
                <w:numId w:val="0"/>
              </w:numPr>
              <w:spacing w:line="360" w:lineRule="auto"/>
              <w:ind w:firstLine="480" w:firstLineChars="200"/>
              <w:rPr>
                <w:rFonts w:hint="default" w:ascii="Times New Roman" w:hAnsi="Times New Roman" w:eastAsia="宋体" w:cstheme="minorBidi"/>
                <w:bCs/>
                <w:iCs/>
                <w:color w:val="auto"/>
                <w:sz w:val="24"/>
                <w:szCs w:val="32"/>
                <w:highlight w:val="none"/>
                <w:lang w:val="en-US" w:eastAsia="zh-CN" w:bidi="ar-SA"/>
              </w:rPr>
            </w:pPr>
            <w:r>
              <w:rPr>
                <w:rFonts w:hint="eastAsia" w:cstheme="minorBidi"/>
                <w:bCs/>
                <w:iCs/>
                <w:color w:val="auto"/>
                <w:sz w:val="24"/>
                <w:szCs w:val="32"/>
                <w:highlight w:val="none"/>
                <w:lang w:val="en-US" w:eastAsia="zh-CN" w:bidi="ar-SA"/>
              </w:rPr>
              <w:t>4</w:t>
            </w:r>
            <w:r>
              <w:rPr>
                <w:rFonts w:hint="eastAsia" w:ascii="Times New Roman" w:hAnsi="Times New Roman" w:cstheme="minorBidi"/>
                <w:bCs/>
                <w:iCs/>
                <w:color w:val="auto"/>
                <w:sz w:val="24"/>
                <w:szCs w:val="32"/>
                <w:highlight w:val="none"/>
                <w:lang w:val="en-US" w:eastAsia="zh-CN" w:bidi="ar-SA"/>
              </w:rPr>
              <w:t>、</w:t>
            </w:r>
            <w:r>
              <w:rPr>
                <w:rFonts w:hint="default" w:ascii="Times New Roman" w:hAnsi="Times New Roman" w:eastAsia="宋体" w:cstheme="minorBidi"/>
                <w:bCs/>
                <w:iCs/>
                <w:color w:val="auto"/>
                <w:sz w:val="24"/>
                <w:szCs w:val="32"/>
                <w:highlight w:val="none"/>
                <w:lang w:val="en-US" w:eastAsia="zh-CN" w:bidi="ar-SA"/>
              </w:rPr>
              <w:t>夏季收、发油作业，避开中午高温时段，减少油气蒸发产生的废气。</w:t>
            </w:r>
          </w:p>
          <w:p>
            <w:pPr>
              <w:numPr>
                <w:ilvl w:val="0"/>
                <w:numId w:val="0"/>
              </w:numPr>
              <w:spacing w:line="360" w:lineRule="auto"/>
              <w:ind w:firstLine="480" w:firstLineChars="200"/>
              <w:rPr>
                <w:rFonts w:hint="default" w:ascii="Times New Roman" w:hAnsi="Times New Roman" w:eastAsia="宋体" w:cstheme="minorBidi"/>
                <w:bCs/>
                <w:iCs/>
                <w:color w:val="auto"/>
                <w:sz w:val="24"/>
                <w:szCs w:val="32"/>
                <w:highlight w:val="none"/>
                <w:lang w:val="en-US" w:eastAsia="zh-CN" w:bidi="ar-SA"/>
              </w:rPr>
            </w:pPr>
            <w:r>
              <w:rPr>
                <w:rFonts w:hint="eastAsia" w:cstheme="minorBidi"/>
                <w:bCs/>
                <w:iCs/>
                <w:color w:val="auto"/>
                <w:sz w:val="24"/>
                <w:szCs w:val="32"/>
                <w:highlight w:val="none"/>
                <w:lang w:val="en-US" w:eastAsia="zh-CN" w:bidi="ar-SA"/>
              </w:rPr>
              <w:t>5</w:t>
            </w:r>
            <w:r>
              <w:rPr>
                <w:rFonts w:hint="eastAsia" w:ascii="Times New Roman" w:hAnsi="Times New Roman" w:cstheme="minorBidi"/>
                <w:bCs/>
                <w:iCs/>
                <w:color w:val="auto"/>
                <w:sz w:val="24"/>
                <w:szCs w:val="32"/>
                <w:highlight w:val="none"/>
                <w:lang w:val="en-US" w:eastAsia="zh-CN" w:bidi="ar-SA"/>
              </w:rPr>
              <w:t>、</w:t>
            </w:r>
            <w:r>
              <w:rPr>
                <w:rFonts w:hint="default" w:ascii="Times New Roman" w:hAnsi="Times New Roman" w:eastAsia="宋体" w:cstheme="minorBidi"/>
                <w:bCs/>
                <w:iCs/>
                <w:color w:val="auto"/>
                <w:sz w:val="24"/>
                <w:szCs w:val="32"/>
                <w:highlight w:val="none"/>
                <w:lang w:val="en-US" w:eastAsia="zh-CN" w:bidi="ar-SA"/>
              </w:rPr>
              <w:t>加强加油站安全管理，减少跑、冒、滴、漏，同时站方应注意消防等工作，杜绝漏油、火灾等恶性事故的发生。定期进行员工培训及安全知识宣传，严格规范，定期检查，完善各类安全设备、设施，建立相应的风险管理制度和应急救援预案，减少事故发生率和降低事故发生的影响。</w:t>
            </w:r>
          </w:p>
          <w:p>
            <w:pPr>
              <w:pStyle w:val="2"/>
              <w:rPr>
                <w:rFonts w:hint="eastAsia"/>
                <w:highlight w:val="none"/>
                <w:lang w:val="zh-CN" w:eastAsia="zh-CN"/>
              </w:rPr>
            </w:pPr>
          </w:p>
          <w:p>
            <w:pPr>
              <w:rPr>
                <w:rFonts w:hint="eastAsia"/>
                <w:highlight w:val="none"/>
                <w:lang w:val="zh-CN" w:eastAsia="zh-CN"/>
              </w:rPr>
            </w:pPr>
          </w:p>
          <w:p>
            <w:pPr>
              <w:pStyle w:val="10"/>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pStyle w:val="9"/>
              <w:rPr>
                <w:rFonts w:hint="eastAsia"/>
                <w:highlight w:val="none"/>
                <w:lang w:val="zh-CN" w:eastAsia="zh-CN"/>
              </w:rPr>
            </w:pPr>
          </w:p>
          <w:p>
            <w:pPr>
              <w:rPr>
                <w:rFonts w:hint="eastAsia"/>
                <w:highlight w:val="none"/>
                <w:lang w:val="zh-CN" w:eastAsia="zh-CN"/>
              </w:rPr>
            </w:pPr>
          </w:p>
          <w:p>
            <w:pPr>
              <w:pStyle w:val="2"/>
              <w:rPr>
                <w:rFonts w:hint="eastAsia"/>
                <w:highlight w:val="none"/>
                <w:lang w:val="zh-CN" w:eastAsia="zh-CN"/>
              </w:rPr>
            </w:pPr>
          </w:p>
          <w:p>
            <w:pPr>
              <w:rPr>
                <w:rFonts w:hint="eastAsia"/>
                <w:highlight w:val="none"/>
                <w:lang w:val="zh-CN" w:eastAsia="zh-CN"/>
              </w:rPr>
            </w:pPr>
          </w:p>
          <w:p>
            <w:pPr>
              <w:pStyle w:val="2"/>
              <w:rPr>
                <w:rFonts w:hint="eastAsia"/>
                <w:highlight w:val="none"/>
                <w:lang w:val="zh-CN" w:eastAsia="zh-CN"/>
              </w:rPr>
            </w:pPr>
          </w:p>
          <w:p>
            <w:pPr>
              <w:rPr>
                <w:rFonts w:hint="eastAsia"/>
                <w:highlight w:val="none"/>
                <w:lang w:val="zh-CN" w:eastAsia="zh-CN"/>
              </w:rPr>
            </w:pPr>
          </w:p>
          <w:p>
            <w:pPr>
              <w:rPr>
                <w:rFonts w:hint="eastAsia"/>
                <w:highlight w:val="none"/>
                <w:lang w:val="zh-CN" w:eastAsia="zh-CN"/>
              </w:rPr>
            </w:pPr>
          </w:p>
        </w:tc>
      </w:tr>
    </w:tbl>
    <w:p>
      <w:pPr>
        <w:rPr>
          <w:rFonts w:hint="eastAsia"/>
          <w:highlight w:val="none"/>
        </w:rPr>
        <w:sectPr>
          <w:headerReference r:id="rId6" w:type="default"/>
          <w:pgSz w:w="11906" w:h="16838"/>
          <w:pgMar w:top="1417" w:right="1417" w:bottom="1417" w:left="1417" w:header="1361" w:footer="1134" w:gutter="0"/>
          <w:pgBorders>
            <w:top w:val="none" w:sz="0" w:space="0"/>
            <w:left w:val="none" w:sz="0" w:space="0"/>
            <w:bottom w:val="none" w:sz="0" w:space="0"/>
            <w:right w:val="none" w:sz="0" w:space="0"/>
          </w:pgBorders>
          <w:pgNumType w:fmt="decimal"/>
          <w:cols w:space="0" w:num="1"/>
          <w:rtlGutter w:val="0"/>
          <w:docGrid w:linePitch="467" w:charSpace="0"/>
        </w:sectPr>
      </w:pPr>
    </w:p>
    <w:p>
      <w:pPr>
        <w:spacing w:after="0" w:line="300" w:lineRule="exact"/>
        <w:jc w:val="center"/>
        <w:rPr>
          <w:rFonts w:eastAsia="黑体"/>
          <w:b/>
          <w:color w:val="000000"/>
          <w:sz w:val="21"/>
          <w:szCs w:val="21"/>
          <w:highlight w:val="none"/>
        </w:rPr>
      </w:pPr>
      <w:bookmarkStart w:id="124" w:name="_Toc24100_WPSOffice_Level1"/>
      <w:r>
        <w:rPr>
          <w:rFonts w:eastAsia="黑体"/>
          <w:b/>
          <w:color w:val="000000"/>
          <w:sz w:val="24"/>
          <w:szCs w:val="24"/>
          <w:highlight w:val="none"/>
        </w:rPr>
        <w:t>建设项目竣工环境保护</w:t>
      </w:r>
      <w:r>
        <w:rPr>
          <w:rFonts w:hint="eastAsia" w:eastAsia="黑体"/>
          <w:b/>
          <w:color w:val="000000"/>
          <w:sz w:val="24"/>
          <w:szCs w:val="24"/>
          <w:highlight w:val="none"/>
        </w:rPr>
        <w:t>“</w:t>
      </w:r>
      <w:r>
        <w:rPr>
          <w:rFonts w:eastAsia="黑体"/>
          <w:b/>
          <w:color w:val="000000"/>
          <w:sz w:val="24"/>
          <w:szCs w:val="24"/>
          <w:highlight w:val="none"/>
        </w:rPr>
        <w:t>三同时</w:t>
      </w:r>
      <w:r>
        <w:rPr>
          <w:rFonts w:hint="eastAsia" w:eastAsia="黑体"/>
          <w:b/>
          <w:color w:val="000000"/>
          <w:sz w:val="24"/>
          <w:szCs w:val="24"/>
          <w:highlight w:val="none"/>
        </w:rPr>
        <w:t>”</w:t>
      </w:r>
      <w:r>
        <w:rPr>
          <w:rFonts w:eastAsia="黑体"/>
          <w:b/>
          <w:color w:val="000000"/>
          <w:sz w:val="24"/>
          <w:szCs w:val="24"/>
          <w:highlight w:val="none"/>
        </w:rPr>
        <w:t>验收登记表</w:t>
      </w:r>
      <w:bookmarkEnd w:id="124"/>
    </w:p>
    <w:p>
      <w:pPr>
        <w:spacing w:after="0"/>
        <w:rPr>
          <w:rFonts w:ascii="宋体" w:hAnsi="宋体" w:eastAsia="宋体"/>
          <w:b/>
          <w:color w:val="000000"/>
          <w:sz w:val="20"/>
          <w:szCs w:val="20"/>
          <w:highlight w:val="none"/>
        </w:rPr>
      </w:pPr>
      <w:bookmarkStart w:id="125" w:name="_Toc18660_WPSOffice_Level1"/>
      <w:bookmarkStart w:id="126" w:name="_Toc12747_WPSOffice_Level1"/>
      <w:r>
        <w:rPr>
          <w:rFonts w:ascii="宋体" w:hAnsi="宋体" w:eastAsia="宋体"/>
          <w:b/>
          <w:color w:val="000000"/>
          <w:sz w:val="20"/>
          <w:szCs w:val="20"/>
          <w:highlight w:val="none"/>
        </w:rPr>
        <w:t>填表单位（盖章）</w:t>
      </w:r>
      <w:r>
        <w:rPr>
          <w:rFonts w:ascii="宋体" w:hAnsi="宋体" w:eastAsia="宋体"/>
          <w:b/>
          <w:color w:val="000000"/>
          <w:kern w:val="2"/>
          <w:sz w:val="20"/>
          <w:szCs w:val="20"/>
          <w:highlight w:val="none"/>
        </w:rPr>
        <w:t>：</w:t>
      </w:r>
      <w:r>
        <w:rPr>
          <w:rFonts w:ascii="宋体" w:hAnsi="宋体" w:eastAsia="宋体"/>
          <w:b/>
          <w:color w:val="000000"/>
          <w:sz w:val="20"/>
          <w:szCs w:val="20"/>
          <w:highlight w:val="none"/>
        </w:rPr>
        <w:t xml:space="preserve">                 </w:t>
      </w:r>
      <w:r>
        <w:rPr>
          <w:rFonts w:hint="eastAsia" w:ascii="宋体" w:hAnsi="宋体" w:eastAsia="宋体"/>
          <w:b/>
          <w:color w:val="000000"/>
          <w:sz w:val="20"/>
          <w:szCs w:val="20"/>
          <w:highlight w:val="none"/>
          <w:lang w:val="en-US" w:eastAsia="zh-CN"/>
        </w:rPr>
        <w:t xml:space="preserve">              </w:t>
      </w:r>
      <w:r>
        <w:rPr>
          <w:rFonts w:ascii="宋体" w:hAnsi="宋体" w:eastAsia="宋体"/>
          <w:b/>
          <w:color w:val="000000"/>
          <w:sz w:val="20"/>
          <w:szCs w:val="20"/>
          <w:highlight w:val="none"/>
        </w:rPr>
        <w:t xml:space="preserve"> 填表人（签字）：                      </w:t>
      </w:r>
      <w:r>
        <w:rPr>
          <w:rFonts w:hint="eastAsia" w:ascii="宋体" w:hAnsi="宋体" w:eastAsia="宋体"/>
          <w:b/>
          <w:color w:val="000000"/>
          <w:sz w:val="20"/>
          <w:szCs w:val="20"/>
          <w:highlight w:val="none"/>
          <w:lang w:val="en-US" w:eastAsia="zh-CN"/>
        </w:rPr>
        <w:t xml:space="preserve">    </w:t>
      </w:r>
      <w:r>
        <w:rPr>
          <w:rFonts w:ascii="宋体" w:hAnsi="宋体" w:eastAsia="宋体"/>
          <w:b/>
          <w:color w:val="000000"/>
          <w:sz w:val="20"/>
          <w:szCs w:val="20"/>
          <w:highlight w:val="none"/>
        </w:rPr>
        <w:t xml:space="preserve">        项目经办人（签字）：</w:t>
      </w:r>
      <w:bookmarkEnd w:id="125"/>
      <w:bookmarkEnd w:id="126"/>
    </w:p>
    <w:tbl>
      <w:tblPr>
        <w:tblStyle w:val="11"/>
        <w:tblW w:w="15080" w:type="dxa"/>
        <w:jc w:val="center"/>
        <w:tblInd w:w="-26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634"/>
        <w:gridCol w:w="660"/>
        <w:gridCol w:w="931"/>
        <w:gridCol w:w="1050"/>
        <w:gridCol w:w="929"/>
        <w:gridCol w:w="750"/>
        <w:gridCol w:w="1111"/>
        <w:gridCol w:w="921"/>
        <w:gridCol w:w="2236"/>
        <w:gridCol w:w="1635"/>
        <w:gridCol w:w="1027"/>
        <w:gridCol w:w="916"/>
        <w:gridCol w:w="7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exact"/>
          <w:jc w:val="center"/>
        </w:trPr>
        <w:tc>
          <w:tcPr>
            <w:tcW w:w="500" w:type="dxa"/>
            <w:vMerge w:val="restart"/>
            <w:noWrap w:val="0"/>
            <w:tcMar>
              <w:left w:w="57" w:type="dxa"/>
              <w:right w:w="57" w:type="dxa"/>
            </w:tcMar>
            <w:textDirection w:val="tbRlV"/>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ind w:left="113" w:right="113"/>
              <w:jc w:val="center"/>
              <w:textAlignment w:val="auto"/>
              <w:rPr>
                <w:rFonts w:hint="eastAsia" w:eastAsia="宋体"/>
                <w:b/>
                <w:color w:val="000000"/>
                <w:kern w:val="2"/>
                <w:sz w:val="15"/>
                <w:szCs w:val="15"/>
                <w:highlight w:val="none"/>
                <w:lang w:eastAsia="zh-CN"/>
              </w:rPr>
            </w:pPr>
            <w:r>
              <w:rPr>
                <w:rFonts w:hint="eastAsia"/>
                <w:b/>
                <w:color w:val="000000"/>
                <w:kern w:val="2"/>
                <w:sz w:val="15"/>
                <w:szCs w:val="15"/>
                <w:highlight w:val="none"/>
                <w:lang w:eastAsia="zh-CN"/>
              </w:rPr>
              <w:t>建设项目</w:t>
            </w: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项目名称</w:t>
            </w:r>
          </w:p>
        </w:tc>
        <w:tc>
          <w:tcPr>
            <w:tcW w:w="4320" w:type="dxa"/>
            <w:gridSpan w:val="5"/>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default" w:ascii="Times New Roman" w:hAnsi="Times New Roman" w:cs="Times New Roman" w:eastAsiaTheme="minorEastAsia"/>
                <w:color w:val="000000"/>
                <w:kern w:val="2"/>
                <w:sz w:val="15"/>
                <w:szCs w:val="15"/>
                <w:highlight w:val="none"/>
              </w:rPr>
              <w:t>陕西省石油化工工业贸易有限公司华州服务区</w:t>
            </w:r>
            <w:r>
              <w:rPr>
                <w:rFonts w:hint="eastAsia" w:cs="Times New Roman" w:eastAsiaTheme="minorEastAsia"/>
                <w:color w:val="000000"/>
                <w:kern w:val="2"/>
                <w:sz w:val="15"/>
                <w:szCs w:val="15"/>
                <w:highlight w:val="none"/>
                <w:lang w:eastAsia="zh-CN"/>
              </w:rPr>
              <w:t>西</w:t>
            </w:r>
            <w:r>
              <w:rPr>
                <w:rFonts w:hint="default" w:ascii="Times New Roman" w:hAnsi="Times New Roman" w:cs="Times New Roman" w:eastAsiaTheme="minorEastAsia"/>
                <w:color w:val="000000"/>
                <w:kern w:val="2"/>
                <w:sz w:val="15"/>
                <w:szCs w:val="15"/>
                <w:highlight w:val="none"/>
              </w:rPr>
              <w:t>加油站项目</w:t>
            </w:r>
          </w:p>
        </w:tc>
        <w:tc>
          <w:tcPr>
            <w:tcW w:w="203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rFonts w:hint="eastAsia"/>
                <w:b/>
                <w:color w:val="000000"/>
                <w:kern w:val="2"/>
                <w:sz w:val="15"/>
                <w:szCs w:val="15"/>
                <w:highlight w:val="none"/>
              </w:rPr>
              <w:t>项</w:t>
            </w:r>
            <w:r>
              <w:rPr>
                <w:b/>
                <w:color w:val="000000"/>
                <w:kern w:val="2"/>
                <w:sz w:val="15"/>
                <w:szCs w:val="15"/>
                <w:highlight w:val="none"/>
              </w:rPr>
              <w:t>目代码</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color w:val="000000"/>
                <w:kern w:val="2"/>
                <w:sz w:val="15"/>
                <w:szCs w:val="15"/>
                <w:highlight w:val="none"/>
              </w:rPr>
            </w:pPr>
            <w:r>
              <w:rPr>
                <w:b/>
                <w:color w:val="000000"/>
                <w:kern w:val="2"/>
                <w:sz w:val="15"/>
                <w:szCs w:val="15"/>
                <w:highlight w:val="none"/>
              </w:rPr>
              <w:t>建设地点</w:t>
            </w:r>
          </w:p>
        </w:tc>
        <w:tc>
          <w:tcPr>
            <w:tcW w:w="272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color w:val="000000"/>
                <w:kern w:val="2"/>
                <w:sz w:val="15"/>
                <w:szCs w:val="15"/>
                <w:highlight w:val="none"/>
              </w:rPr>
            </w:pPr>
            <w:r>
              <w:rPr>
                <w:rFonts w:hint="eastAsia" w:ascii="Times New Roman" w:hAnsi="Times New Roman" w:cs="Times New Roman" w:eastAsiaTheme="minorEastAsia"/>
                <w:color w:val="000000"/>
                <w:kern w:val="2"/>
                <w:sz w:val="15"/>
                <w:szCs w:val="15"/>
                <w:highlight w:val="none"/>
                <w:lang w:val="en-US" w:eastAsia="zh-CN" w:bidi="ar-SA"/>
              </w:rPr>
              <w:t>陕西省渭南市渭南至玉山高速公路华州服务区</w:t>
            </w:r>
            <w:r>
              <w:rPr>
                <w:rFonts w:hint="eastAsia" w:cs="Times New Roman" w:eastAsiaTheme="minorEastAsia"/>
                <w:color w:val="000000"/>
                <w:kern w:val="2"/>
                <w:sz w:val="15"/>
                <w:szCs w:val="15"/>
                <w:highlight w:val="none"/>
                <w:lang w:val="en-US" w:eastAsia="zh-CN" w:bidi="ar-SA"/>
              </w:rPr>
              <w:t>西</w:t>
            </w:r>
            <w:r>
              <w:rPr>
                <w:rFonts w:hint="eastAsia" w:ascii="Times New Roman" w:hAnsi="Times New Roman" w:cs="Times New Roman" w:eastAsiaTheme="minorEastAsia"/>
                <w:color w:val="000000"/>
                <w:kern w:val="2"/>
                <w:sz w:val="15"/>
                <w:szCs w:val="15"/>
                <w:highlight w:val="none"/>
                <w:lang w:val="en-US" w:eastAsia="zh-CN" w:bidi="ar-SA"/>
              </w:rPr>
              <w:t>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78" w:hRule="exact"/>
          <w:jc w:val="center"/>
        </w:trPr>
        <w:tc>
          <w:tcPr>
            <w:tcW w:w="500"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行业类别（分类管理</w:t>
            </w:r>
            <w:r>
              <w:rPr>
                <w:rFonts w:hint="eastAsia"/>
                <w:b/>
                <w:color w:val="000000"/>
                <w:kern w:val="2"/>
                <w:sz w:val="15"/>
                <w:szCs w:val="15"/>
                <w:highlight w:val="none"/>
              </w:rPr>
              <w:t>名录</w:t>
            </w:r>
            <w:r>
              <w:rPr>
                <w:b/>
                <w:color w:val="000000"/>
                <w:kern w:val="2"/>
                <w:sz w:val="15"/>
                <w:szCs w:val="15"/>
                <w:highlight w:val="none"/>
              </w:rPr>
              <w:t>）</w:t>
            </w:r>
          </w:p>
        </w:tc>
        <w:tc>
          <w:tcPr>
            <w:tcW w:w="4320" w:type="dxa"/>
            <w:gridSpan w:val="5"/>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eastAsia" w:ascii="Times New Roman" w:hAnsi="Times New Roman" w:cs="Times New Roman" w:eastAsiaTheme="minorEastAsia"/>
                <w:color w:val="000000"/>
                <w:kern w:val="2"/>
                <w:sz w:val="15"/>
                <w:szCs w:val="15"/>
                <w:highlight w:val="none"/>
                <w:lang w:val="en-US" w:eastAsia="zh-CN"/>
              </w:rPr>
              <w:t>124、</w:t>
            </w:r>
            <w:r>
              <w:rPr>
                <w:rFonts w:hint="eastAsia" w:ascii="Times New Roman" w:hAnsi="Times New Roman" w:cs="Times New Roman" w:eastAsiaTheme="minorEastAsia"/>
                <w:color w:val="000000"/>
                <w:kern w:val="2"/>
                <w:sz w:val="15"/>
                <w:szCs w:val="15"/>
                <w:highlight w:val="none"/>
                <w:lang w:eastAsia="zh-CN"/>
              </w:rPr>
              <w:t>加油、加气站</w:t>
            </w:r>
          </w:p>
        </w:tc>
        <w:tc>
          <w:tcPr>
            <w:tcW w:w="203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建设性质</w:t>
            </w:r>
          </w:p>
        </w:tc>
        <w:tc>
          <w:tcPr>
            <w:tcW w:w="3871"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b/>
                <w:color w:val="000000"/>
                <w:kern w:val="2"/>
                <w:sz w:val="15"/>
                <w:szCs w:val="15"/>
                <w:highlight w:val="none"/>
                <w:lang w:eastAsia="zh-CN"/>
              </w:rPr>
              <w:t>☑</w:t>
            </w:r>
            <w:r>
              <w:rPr>
                <w:b/>
                <w:color w:val="000000"/>
                <w:kern w:val="2"/>
                <w:sz w:val="15"/>
                <w:szCs w:val="15"/>
                <w:highlight w:val="none"/>
              </w:rPr>
              <w:t>新建  □ 改扩建  □技术改造</w:t>
            </w:r>
          </w:p>
        </w:tc>
        <w:tc>
          <w:tcPr>
            <w:tcW w:w="1027" w:type="dxa"/>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rFonts w:hint="eastAsia"/>
                <w:b/>
                <w:color w:val="000000"/>
                <w:kern w:val="2"/>
                <w:sz w:val="15"/>
                <w:szCs w:val="15"/>
                <w:highlight w:val="none"/>
              </w:rPr>
              <w:t>项目厂区中心经度/纬度</w:t>
            </w:r>
          </w:p>
        </w:tc>
        <w:tc>
          <w:tcPr>
            <w:tcW w:w="1696"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color w:val="000000"/>
                <w:kern w:val="2"/>
                <w:sz w:val="15"/>
                <w:szCs w:val="15"/>
                <w:highlight w:val="none"/>
              </w:rPr>
            </w:pPr>
            <w:r>
              <w:rPr>
                <w:rFonts w:hint="default" w:ascii="Times New Roman" w:hAnsi="Times New Roman" w:cs="Times New Roman" w:eastAsiaTheme="minorEastAsia"/>
                <w:color w:val="000000"/>
                <w:kern w:val="2"/>
                <w:sz w:val="15"/>
                <w:szCs w:val="15"/>
                <w:highlight w:val="none"/>
                <w:lang w:val="en-US" w:eastAsia="zh-CN" w:bidi="ar-SA"/>
              </w:rPr>
              <w:t>东经109.615365°、北纬34.419992°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exact"/>
          <w:jc w:val="center"/>
        </w:trPr>
        <w:tc>
          <w:tcPr>
            <w:tcW w:w="500"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设计生产能力</w:t>
            </w:r>
          </w:p>
        </w:tc>
        <w:tc>
          <w:tcPr>
            <w:tcW w:w="4320" w:type="dxa"/>
            <w:gridSpan w:val="5"/>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eastAsia" w:ascii="Times New Roman" w:hAnsi="Times New Roman" w:cs="Times New Roman" w:eastAsiaTheme="minorEastAsia"/>
                <w:color w:val="000000"/>
                <w:kern w:val="2"/>
                <w:sz w:val="15"/>
                <w:szCs w:val="15"/>
                <w:highlight w:val="none"/>
                <w:lang w:val="en-US" w:eastAsia="zh-CN"/>
              </w:rPr>
              <w:t>年销售油品3000t，其中汽油1000t，柴油2000t</w:t>
            </w:r>
          </w:p>
        </w:tc>
        <w:tc>
          <w:tcPr>
            <w:tcW w:w="2032" w:type="dxa"/>
            <w:gridSpan w:val="2"/>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实际生产能力</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afterLines="0" w:line="200" w:lineRule="exact"/>
              <w:ind w:left="0" w:leftChars="0" w:right="0" w:rightChars="0"/>
              <w:textAlignment w:val="auto"/>
              <w:outlineLvl w:val="9"/>
              <w:rPr>
                <w:b/>
                <w:color w:val="000000"/>
                <w:kern w:val="2"/>
                <w:sz w:val="15"/>
                <w:szCs w:val="15"/>
                <w:highlight w:val="none"/>
              </w:rPr>
            </w:pPr>
            <w:r>
              <w:rPr>
                <w:rFonts w:hint="eastAsia" w:ascii="Times New Roman" w:hAnsi="Times New Roman" w:cs="Times New Roman" w:eastAsiaTheme="minorEastAsia"/>
                <w:color w:val="000000"/>
                <w:kern w:val="2"/>
                <w:sz w:val="15"/>
                <w:szCs w:val="15"/>
                <w:highlight w:val="none"/>
                <w:lang w:val="en-US" w:eastAsia="zh-CN"/>
              </w:rPr>
              <w:t>年销售油品3000t，其中汽油1000t，柴油2000t</w:t>
            </w:r>
          </w:p>
        </w:tc>
        <w:tc>
          <w:tcPr>
            <w:tcW w:w="1635" w:type="dxa"/>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环评单位</w:t>
            </w:r>
          </w:p>
        </w:tc>
        <w:tc>
          <w:tcPr>
            <w:tcW w:w="2723" w:type="dxa"/>
            <w:gridSpan w:val="3"/>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both"/>
              <w:textAlignment w:val="auto"/>
              <w:outlineLvl w:val="9"/>
              <w:rPr>
                <w:color w:val="000000"/>
                <w:kern w:val="2"/>
                <w:sz w:val="15"/>
                <w:szCs w:val="15"/>
                <w:highlight w:val="none"/>
              </w:rPr>
            </w:pPr>
            <w:r>
              <w:rPr>
                <w:rFonts w:hint="eastAsia" w:ascii="Times New Roman" w:hAnsi="Times New Roman" w:cs="Times New Roman" w:eastAsiaTheme="minorEastAsia"/>
                <w:color w:val="000000"/>
                <w:kern w:val="2"/>
                <w:sz w:val="15"/>
                <w:szCs w:val="15"/>
                <w:highlight w:val="none"/>
                <w:lang w:val="en-US" w:eastAsia="zh-CN"/>
              </w:rPr>
              <w:t>宝鸡博源环境科技有限公司西安分公司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环评文件审批机关</w:t>
            </w:r>
          </w:p>
        </w:tc>
        <w:tc>
          <w:tcPr>
            <w:tcW w:w="4320" w:type="dxa"/>
            <w:gridSpan w:val="5"/>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eastAsia" w:ascii="Times New Roman" w:hAnsi="Times New Roman" w:cs="Times New Roman" w:eastAsiaTheme="minorEastAsia"/>
                <w:color w:val="000000"/>
                <w:kern w:val="2"/>
                <w:sz w:val="15"/>
                <w:szCs w:val="15"/>
                <w:highlight w:val="none"/>
                <w:lang w:val="en-US" w:eastAsia="zh-CN"/>
              </w:rPr>
              <w:t>渭南市华州区环境保护局</w:t>
            </w:r>
          </w:p>
        </w:tc>
        <w:tc>
          <w:tcPr>
            <w:tcW w:w="203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审批文号</w:t>
            </w:r>
          </w:p>
        </w:tc>
        <w:tc>
          <w:tcPr>
            <w:tcW w:w="2236" w:type="dxa"/>
            <w:noWrap w:val="0"/>
            <w:tcMar>
              <w:left w:w="57" w:type="dxa"/>
              <w:right w:w="57" w:type="dxa"/>
            </w:tcMar>
            <w:vAlign w:val="top"/>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eastAsia" w:ascii="Times New Roman" w:hAnsi="Times New Roman" w:cs="Times New Roman" w:eastAsiaTheme="minorEastAsia"/>
                <w:color w:val="000000"/>
                <w:kern w:val="2"/>
                <w:sz w:val="15"/>
                <w:szCs w:val="15"/>
                <w:highlight w:val="none"/>
                <w:lang w:val="en-US" w:eastAsia="zh-CN"/>
              </w:rPr>
              <w:t>渭华环审发</w:t>
            </w:r>
            <w:r>
              <w:rPr>
                <w:rFonts w:hint="default" w:ascii="Times New Roman" w:hAnsi="Times New Roman" w:cs="Times New Roman" w:eastAsiaTheme="minorEastAsia"/>
                <w:color w:val="000000"/>
                <w:kern w:val="2"/>
                <w:sz w:val="15"/>
                <w:szCs w:val="15"/>
                <w:highlight w:val="none"/>
                <w:lang w:val="en-US" w:eastAsia="zh-CN"/>
              </w:rPr>
              <w:t>[2019]</w:t>
            </w:r>
            <w:r>
              <w:rPr>
                <w:rFonts w:hint="eastAsia" w:ascii="Times New Roman" w:hAnsi="Times New Roman" w:cs="Times New Roman" w:eastAsiaTheme="minorEastAsia"/>
                <w:color w:val="000000"/>
                <w:kern w:val="2"/>
                <w:sz w:val="15"/>
                <w:szCs w:val="15"/>
                <w:highlight w:val="none"/>
                <w:lang w:val="en-US" w:eastAsia="zh-CN"/>
              </w:rPr>
              <w:t>2</w:t>
            </w:r>
            <w:r>
              <w:rPr>
                <w:rFonts w:hint="eastAsia" w:cs="Times New Roman" w:eastAsiaTheme="minorEastAsia"/>
                <w:color w:val="000000"/>
                <w:kern w:val="2"/>
                <w:sz w:val="15"/>
                <w:szCs w:val="15"/>
                <w:highlight w:val="none"/>
                <w:lang w:val="en-US" w:eastAsia="zh-CN"/>
              </w:rPr>
              <w:t>5</w:t>
            </w:r>
            <w:r>
              <w:rPr>
                <w:rFonts w:hint="default" w:ascii="Times New Roman" w:hAnsi="Times New Roman" w:cs="Times New Roman" w:eastAsiaTheme="minorEastAsia"/>
                <w:color w:val="000000"/>
                <w:kern w:val="2"/>
                <w:sz w:val="15"/>
                <w:szCs w:val="15"/>
                <w:highlight w:val="none"/>
                <w:lang w:val="en-US" w:eastAsia="zh-CN"/>
              </w:rPr>
              <w:t>号</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rFonts w:hint="eastAsia"/>
                <w:b/>
                <w:color w:val="000000"/>
                <w:kern w:val="2"/>
                <w:sz w:val="15"/>
                <w:szCs w:val="15"/>
                <w:highlight w:val="none"/>
              </w:rPr>
              <w:t>环评</w:t>
            </w:r>
            <w:r>
              <w:rPr>
                <w:b/>
                <w:color w:val="000000"/>
                <w:kern w:val="2"/>
                <w:sz w:val="15"/>
                <w:szCs w:val="15"/>
                <w:highlight w:val="none"/>
              </w:rPr>
              <w:t>文件</w:t>
            </w:r>
            <w:r>
              <w:rPr>
                <w:rFonts w:hint="eastAsia"/>
                <w:b/>
                <w:color w:val="000000"/>
                <w:kern w:val="2"/>
                <w:sz w:val="15"/>
                <w:szCs w:val="15"/>
                <w:highlight w:val="none"/>
              </w:rPr>
              <w:t>类型</w:t>
            </w:r>
          </w:p>
        </w:tc>
        <w:tc>
          <w:tcPr>
            <w:tcW w:w="2723" w:type="dxa"/>
            <w:gridSpan w:val="3"/>
            <w:noWrap w:val="0"/>
            <w:tcMar>
              <w:left w:w="57" w:type="dxa"/>
              <w:right w:w="57" w:type="dxa"/>
            </w:tcMar>
            <w:vAlign w:val="top"/>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default" w:ascii="Times New Roman" w:hAnsi="Times New Roman" w:cs="Times New Roman" w:eastAsiaTheme="minorEastAsia"/>
                <w:color w:val="000000"/>
                <w:kern w:val="2"/>
                <w:sz w:val="15"/>
                <w:szCs w:val="15"/>
                <w:highlight w:val="none"/>
                <w:lang w:val="en-US" w:eastAsia="zh-CN"/>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开工日期</w:t>
            </w:r>
          </w:p>
        </w:tc>
        <w:tc>
          <w:tcPr>
            <w:tcW w:w="4320" w:type="dxa"/>
            <w:gridSpan w:val="5"/>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default" w:ascii="Times New Roman" w:hAnsi="Times New Roman" w:cs="Times New Roman" w:eastAsiaTheme="minorEastAsia"/>
                <w:color w:val="000000"/>
                <w:kern w:val="2"/>
                <w:sz w:val="15"/>
                <w:szCs w:val="15"/>
                <w:highlight w:val="none"/>
                <w:lang w:val="en-US" w:eastAsia="zh-CN"/>
              </w:rPr>
              <w:t>201</w:t>
            </w:r>
            <w:r>
              <w:rPr>
                <w:rFonts w:hint="eastAsia" w:ascii="Times New Roman" w:hAnsi="Times New Roman" w:cs="Times New Roman" w:eastAsiaTheme="minorEastAsia"/>
                <w:color w:val="000000"/>
                <w:kern w:val="2"/>
                <w:sz w:val="15"/>
                <w:szCs w:val="15"/>
                <w:highlight w:val="none"/>
                <w:lang w:val="en-US" w:eastAsia="zh-CN"/>
              </w:rPr>
              <w:t>9</w:t>
            </w:r>
            <w:r>
              <w:rPr>
                <w:rFonts w:hint="default" w:ascii="Times New Roman" w:hAnsi="Times New Roman" w:cs="Times New Roman" w:eastAsiaTheme="minorEastAsia"/>
                <w:color w:val="000000"/>
                <w:kern w:val="2"/>
                <w:sz w:val="15"/>
                <w:szCs w:val="15"/>
                <w:highlight w:val="none"/>
                <w:lang w:val="en-US" w:eastAsia="zh-CN"/>
              </w:rPr>
              <w:t>.</w:t>
            </w:r>
            <w:r>
              <w:rPr>
                <w:rFonts w:hint="eastAsia" w:ascii="Times New Roman" w:hAnsi="Times New Roman" w:cs="Times New Roman" w:eastAsiaTheme="minorEastAsia"/>
                <w:color w:val="000000"/>
                <w:kern w:val="2"/>
                <w:sz w:val="15"/>
                <w:szCs w:val="15"/>
                <w:highlight w:val="none"/>
                <w:lang w:val="en-US" w:eastAsia="zh-CN"/>
              </w:rPr>
              <w:t>8</w:t>
            </w:r>
          </w:p>
        </w:tc>
        <w:tc>
          <w:tcPr>
            <w:tcW w:w="203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竣工日期</w:t>
            </w:r>
          </w:p>
        </w:tc>
        <w:tc>
          <w:tcPr>
            <w:tcW w:w="2236" w:type="dxa"/>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rFonts w:hint="default"/>
                <w:color w:val="000000"/>
                <w:kern w:val="2"/>
                <w:sz w:val="15"/>
                <w:szCs w:val="15"/>
                <w:highlight w:val="none"/>
                <w:lang w:val="en-US"/>
              </w:rPr>
            </w:pPr>
            <w:r>
              <w:rPr>
                <w:rFonts w:hint="default" w:ascii="Times New Roman" w:hAnsi="Times New Roman" w:cs="Times New Roman" w:eastAsiaTheme="minorEastAsia"/>
                <w:color w:val="000000"/>
                <w:kern w:val="2"/>
                <w:sz w:val="15"/>
                <w:szCs w:val="15"/>
                <w:highlight w:val="none"/>
                <w:lang w:val="en-US" w:eastAsia="zh-CN"/>
              </w:rPr>
              <w:t>201</w:t>
            </w:r>
            <w:r>
              <w:rPr>
                <w:rFonts w:hint="eastAsia" w:ascii="Times New Roman" w:hAnsi="Times New Roman" w:cs="Times New Roman" w:eastAsiaTheme="minorEastAsia"/>
                <w:color w:val="000000"/>
                <w:kern w:val="2"/>
                <w:sz w:val="15"/>
                <w:szCs w:val="15"/>
                <w:highlight w:val="none"/>
                <w:lang w:val="en-US" w:eastAsia="zh-CN"/>
              </w:rPr>
              <w:t>9</w:t>
            </w:r>
            <w:r>
              <w:rPr>
                <w:rFonts w:hint="default" w:ascii="Times New Roman" w:hAnsi="Times New Roman" w:cs="Times New Roman" w:eastAsiaTheme="minorEastAsia"/>
                <w:color w:val="000000"/>
                <w:kern w:val="2"/>
                <w:sz w:val="15"/>
                <w:szCs w:val="15"/>
                <w:highlight w:val="none"/>
                <w:lang w:val="en-US" w:eastAsia="zh-CN"/>
              </w:rPr>
              <w:t>.</w:t>
            </w:r>
            <w:r>
              <w:rPr>
                <w:rFonts w:hint="eastAsia" w:ascii="Times New Roman" w:hAnsi="Times New Roman" w:cs="Times New Roman" w:eastAsiaTheme="minorEastAsia"/>
                <w:color w:val="000000"/>
                <w:kern w:val="2"/>
                <w:sz w:val="15"/>
                <w:szCs w:val="15"/>
                <w:highlight w:val="none"/>
                <w:lang w:val="en-US" w:eastAsia="zh-CN"/>
              </w:rPr>
              <w:t>11</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rFonts w:hint="eastAsia"/>
                <w:b/>
                <w:color w:val="000000"/>
                <w:kern w:val="2"/>
                <w:sz w:val="15"/>
                <w:szCs w:val="15"/>
                <w:highlight w:val="none"/>
              </w:rPr>
              <w:t>排污许可证申领时间</w:t>
            </w:r>
          </w:p>
        </w:tc>
        <w:tc>
          <w:tcPr>
            <w:tcW w:w="2723" w:type="dxa"/>
            <w:gridSpan w:val="3"/>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exact"/>
          <w:jc w:val="center"/>
        </w:trPr>
        <w:tc>
          <w:tcPr>
            <w:tcW w:w="500"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环保设施设计单位</w:t>
            </w:r>
          </w:p>
        </w:tc>
        <w:tc>
          <w:tcPr>
            <w:tcW w:w="4320" w:type="dxa"/>
            <w:gridSpan w:val="5"/>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rFonts w:hint="eastAsia" w:eastAsia="宋体"/>
                <w:b w:val="0"/>
                <w:bCs/>
                <w:color w:val="000000"/>
                <w:sz w:val="15"/>
                <w:szCs w:val="15"/>
                <w:highlight w:val="none"/>
                <w:lang w:val="en-US" w:eastAsia="zh-CN"/>
              </w:rPr>
            </w:pPr>
            <w:r>
              <w:rPr>
                <w:rFonts w:hint="default" w:ascii="Times New Roman" w:hAnsi="Times New Roman" w:cs="Times New Roman" w:eastAsiaTheme="minorEastAsia"/>
                <w:b w:val="0"/>
                <w:bCs/>
                <w:color w:val="000000"/>
                <w:sz w:val="15"/>
                <w:szCs w:val="15"/>
                <w:highlight w:val="none"/>
                <w:lang w:val="en-US" w:eastAsia="zh-CN"/>
              </w:rPr>
              <w:t>陕西宇泰建筑设计有限公司</w:t>
            </w:r>
          </w:p>
        </w:tc>
        <w:tc>
          <w:tcPr>
            <w:tcW w:w="203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sz w:val="15"/>
                <w:szCs w:val="15"/>
                <w:highlight w:val="none"/>
              </w:rPr>
            </w:pPr>
            <w:r>
              <w:rPr>
                <w:b/>
                <w:color w:val="000000"/>
                <w:sz w:val="15"/>
                <w:szCs w:val="15"/>
                <w:highlight w:val="none"/>
              </w:rPr>
              <w:t>环保设施施工单位</w:t>
            </w:r>
          </w:p>
        </w:tc>
        <w:tc>
          <w:tcPr>
            <w:tcW w:w="2236" w:type="dxa"/>
            <w:noWrap w:val="0"/>
            <w:tcMar>
              <w:left w:w="57" w:type="dxa"/>
              <w:right w:w="57" w:type="dxa"/>
            </w:tcMar>
            <w:vAlign w:val="top"/>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both"/>
              <w:textAlignment w:val="auto"/>
              <w:outlineLvl w:val="9"/>
              <w:rPr>
                <w:rFonts w:hint="default"/>
                <w:color w:val="000000"/>
                <w:kern w:val="2"/>
                <w:sz w:val="15"/>
                <w:szCs w:val="15"/>
                <w:highlight w:val="none"/>
                <w:lang w:val="en-US"/>
              </w:rPr>
            </w:pPr>
            <w:r>
              <w:rPr>
                <w:rFonts w:hint="default" w:ascii="Times New Roman" w:hAnsi="Times New Roman" w:cs="Times New Roman" w:eastAsiaTheme="minorEastAsia"/>
                <w:b w:val="0"/>
                <w:bCs/>
                <w:color w:val="000000"/>
                <w:sz w:val="15"/>
                <w:szCs w:val="15"/>
                <w:highlight w:val="none"/>
                <w:lang w:val="en-US" w:eastAsia="zh-CN"/>
              </w:rPr>
              <w:t>延安三星建筑工程有限责任公司</w:t>
            </w:r>
            <w:r>
              <w:rPr>
                <w:rFonts w:hint="eastAsia" w:ascii="Times New Roman" w:hAnsi="Times New Roman" w:cs="Times New Roman" w:eastAsiaTheme="minorEastAsia"/>
                <w:b w:val="0"/>
                <w:bCs/>
                <w:color w:val="000000"/>
                <w:sz w:val="15"/>
                <w:szCs w:val="15"/>
                <w:highlight w:val="none"/>
                <w:lang w:val="en-US" w:eastAsia="zh-CN"/>
              </w:rPr>
              <w:t xml:space="preserve">                                                                     </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rFonts w:hint="eastAsia"/>
                <w:b/>
                <w:color w:val="000000"/>
                <w:kern w:val="2"/>
                <w:sz w:val="15"/>
                <w:szCs w:val="15"/>
                <w:highlight w:val="none"/>
              </w:rPr>
              <w:t>本工程排污许可证</w:t>
            </w:r>
            <w:r>
              <w:rPr>
                <w:b/>
                <w:color w:val="000000"/>
                <w:kern w:val="2"/>
                <w:sz w:val="15"/>
                <w:szCs w:val="15"/>
                <w:highlight w:val="none"/>
              </w:rPr>
              <w:t>编号</w:t>
            </w:r>
          </w:p>
        </w:tc>
        <w:tc>
          <w:tcPr>
            <w:tcW w:w="2723" w:type="dxa"/>
            <w:gridSpan w:val="3"/>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验收单位</w:t>
            </w:r>
          </w:p>
        </w:tc>
        <w:tc>
          <w:tcPr>
            <w:tcW w:w="4320" w:type="dxa"/>
            <w:gridSpan w:val="5"/>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b w:val="0"/>
                <w:bCs/>
                <w:color w:val="000000"/>
                <w:kern w:val="2"/>
                <w:sz w:val="15"/>
                <w:szCs w:val="15"/>
                <w:highlight w:val="none"/>
              </w:rPr>
            </w:pPr>
            <w:r>
              <w:rPr>
                <w:rFonts w:hint="default" w:ascii="Times New Roman" w:hAnsi="Times New Roman" w:cs="Times New Roman" w:eastAsiaTheme="minorEastAsia"/>
                <w:b w:val="0"/>
                <w:bCs/>
                <w:color w:val="000000"/>
                <w:kern w:val="2"/>
                <w:sz w:val="15"/>
                <w:szCs w:val="15"/>
                <w:highlight w:val="none"/>
                <w:lang w:val="en-US" w:eastAsia="zh-CN"/>
              </w:rPr>
              <w:t>西安海浪环保科技有限公司</w:t>
            </w:r>
          </w:p>
        </w:tc>
        <w:tc>
          <w:tcPr>
            <w:tcW w:w="203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环保设施监测单位</w:t>
            </w:r>
          </w:p>
        </w:tc>
        <w:tc>
          <w:tcPr>
            <w:tcW w:w="2236" w:type="dxa"/>
            <w:noWrap w:val="0"/>
            <w:tcMar>
              <w:left w:w="57" w:type="dxa"/>
              <w:right w:w="57" w:type="dxa"/>
            </w:tcMar>
            <w:vAlign w:val="top"/>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default" w:ascii="Times New Roman" w:hAnsi="Times New Roman" w:cs="Times New Roman" w:eastAsiaTheme="minorEastAsia"/>
                <w:color w:val="000000"/>
                <w:kern w:val="2"/>
                <w:sz w:val="15"/>
                <w:szCs w:val="15"/>
                <w:highlight w:val="none"/>
                <w:lang w:eastAsia="zh-CN"/>
              </w:rPr>
              <w:t>陕西同元环境检测有限公司</w:t>
            </w:r>
          </w:p>
        </w:tc>
        <w:tc>
          <w:tcPr>
            <w:tcW w:w="1635" w:type="dxa"/>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验收监测</w:t>
            </w:r>
            <w:r>
              <w:rPr>
                <w:rFonts w:hint="eastAsia"/>
                <w:b/>
                <w:color w:val="000000"/>
                <w:kern w:val="2"/>
                <w:sz w:val="15"/>
                <w:szCs w:val="15"/>
                <w:highlight w:val="none"/>
              </w:rPr>
              <w:t>时工况</w:t>
            </w:r>
          </w:p>
        </w:tc>
        <w:tc>
          <w:tcPr>
            <w:tcW w:w="2723" w:type="dxa"/>
            <w:gridSpan w:val="3"/>
            <w:noWrap w:val="0"/>
            <w:tcMar>
              <w:left w:w="57" w:type="dxa"/>
              <w:right w:w="57" w:type="dxa"/>
            </w:tcMar>
            <w:vAlign w:val="top"/>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default" w:ascii="Times New Roman" w:hAnsi="Times New Roman" w:cs="Times New Roman" w:eastAsiaTheme="minorEastAsia"/>
                <w:color w:val="000000"/>
                <w:kern w:val="2"/>
                <w:sz w:val="15"/>
                <w:szCs w:val="15"/>
                <w:highlight w:val="none"/>
                <w:lang w:val="en-US" w:eastAsia="zh-CN"/>
              </w:rPr>
              <w:t>正常运行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投资总概算（万元）</w:t>
            </w:r>
          </w:p>
        </w:tc>
        <w:tc>
          <w:tcPr>
            <w:tcW w:w="4320" w:type="dxa"/>
            <w:gridSpan w:val="5"/>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rFonts w:hint="default"/>
                <w:b w:val="0"/>
                <w:bCs/>
                <w:color w:val="000000"/>
                <w:kern w:val="2"/>
                <w:sz w:val="15"/>
                <w:szCs w:val="15"/>
                <w:highlight w:val="none"/>
                <w:lang w:val="en-US"/>
              </w:rPr>
            </w:pPr>
            <w:r>
              <w:rPr>
                <w:rFonts w:hint="eastAsia" w:ascii="Times New Roman" w:hAnsi="Times New Roman" w:cs="Times New Roman" w:eastAsiaTheme="minorEastAsia"/>
                <w:b w:val="0"/>
                <w:bCs/>
                <w:color w:val="000000"/>
                <w:kern w:val="2"/>
                <w:sz w:val="15"/>
                <w:szCs w:val="15"/>
                <w:highlight w:val="none"/>
                <w:lang w:val="en-US" w:eastAsia="zh-CN"/>
              </w:rPr>
              <w:t>342.71</w:t>
            </w:r>
          </w:p>
        </w:tc>
        <w:tc>
          <w:tcPr>
            <w:tcW w:w="2032" w:type="dxa"/>
            <w:gridSpan w:val="2"/>
            <w:noWrap w:val="0"/>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环保投资总概算（万元）</w:t>
            </w:r>
          </w:p>
        </w:tc>
        <w:tc>
          <w:tcPr>
            <w:tcW w:w="2236" w:type="dxa"/>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rFonts w:hint="default"/>
                <w:b/>
                <w:color w:val="000000"/>
                <w:kern w:val="2"/>
                <w:sz w:val="15"/>
                <w:szCs w:val="15"/>
                <w:highlight w:val="none"/>
                <w:lang w:val="en-US"/>
              </w:rPr>
            </w:pPr>
            <w:r>
              <w:rPr>
                <w:rFonts w:hint="eastAsia" w:ascii="Times New Roman" w:hAnsi="Times New Roman" w:cs="Times New Roman"/>
                <w:b w:val="0"/>
                <w:bCs/>
                <w:color w:val="000000"/>
                <w:kern w:val="2"/>
                <w:sz w:val="15"/>
                <w:szCs w:val="15"/>
                <w:highlight w:val="none"/>
                <w:lang w:val="en-US" w:eastAsia="zh-CN"/>
              </w:rPr>
              <w:t>77.</w:t>
            </w:r>
            <w:r>
              <w:rPr>
                <w:rFonts w:hint="eastAsia" w:cs="Times New Roman"/>
                <w:b w:val="0"/>
                <w:bCs/>
                <w:color w:val="000000"/>
                <w:kern w:val="2"/>
                <w:sz w:val="15"/>
                <w:szCs w:val="15"/>
                <w:highlight w:val="none"/>
                <w:lang w:val="en-US" w:eastAsia="zh-CN"/>
              </w:rPr>
              <w:t>8</w:t>
            </w:r>
          </w:p>
        </w:tc>
        <w:tc>
          <w:tcPr>
            <w:tcW w:w="1635" w:type="dxa"/>
            <w:noWrap w:val="0"/>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所占比例（%）</w:t>
            </w:r>
          </w:p>
        </w:tc>
        <w:tc>
          <w:tcPr>
            <w:tcW w:w="2723" w:type="dxa"/>
            <w:gridSpan w:val="3"/>
            <w:noWrap w:val="0"/>
            <w:tcMar>
              <w:left w:w="57" w:type="dxa"/>
              <w:right w:w="57" w:type="dxa"/>
            </w:tcMar>
            <w:vAlign w:val="center"/>
          </w:tcPr>
          <w:p>
            <w:pPr>
              <w:keepNext w:val="0"/>
              <w:keepLines w:val="0"/>
              <w:pageBreakBefore w:val="0"/>
              <w:widowControl w:val="0"/>
              <w:tabs>
                <w:tab w:val="left" w:pos="690"/>
              </w:tabs>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eastAsia" w:ascii="Times New Roman" w:hAnsi="Times New Roman" w:cs="Times New Roman" w:eastAsiaTheme="minorEastAsia"/>
                <w:color w:val="000000"/>
                <w:kern w:val="2"/>
                <w:sz w:val="15"/>
                <w:szCs w:val="15"/>
                <w:highlight w:val="none"/>
                <w:lang w:val="en-US" w:eastAsia="zh-CN"/>
              </w:rPr>
              <w:t>22.</w:t>
            </w:r>
            <w:r>
              <w:rPr>
                <w:rFonts w:hint="eastAsia" w:cs="Times New Roman" w:eastAsiaTheme="minorEastAsia"/>
                <w:color w:val="000000"/>
                <w:kern w:val="2"/>
                <w:sz w:val="15"/>
                <w:szCs w:val="15"/>
                <w:highlight w:val="none"/>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实际总投资</w:t>
            </w:r>
          </w:p>
        </w:tc>
        <w:tc>
          <w:tcPr>
            <w:tcW w:w="4320" w:type="dxa"/>
            <w:gridSpan w:val="5"/>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b w:val="0"/>
                <w:bCs/>
                <w:color w:val="000000"/>
                <w:kern w:val="2"/>
                <w:sz w:val="15"/>
                <w:szCs w:val="15"/>
                <w:highlight w:val="none"/>
              </w:rPr>
            </w:pPr>
            <w:r>
              <w:rPr>
                <w:rFonts w:hint="eastAsia" w:ascii="Times New Roman" w:hAnsi="Times New Roman" w:cs="Times New Roman" w:eastAsiaTheme="minorEastAsia"/>
                <w:b w:val="0"/>
                <w:bCs/>
                <w:color w:val="000000"/>
                <w:kern w:val="2"/>
                <w:sz w:val="15"/>
                <w:szCs w:val="15"/>
                <w:highlight w:val="none"/>
                <w:lang w:val="en-US" w:eastAsia="zh-CN"/>
              </w:rPr>
              <w:t>342.71</w:t>
            </w:r>
          </w:p>
        </w:tc>
        <w:tc>
          <w:tcPr>
            <w:tcW w:w="203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ind w:right="300"/>
              <w:textAlignment w:val="auto"/>
              <w:rPr>
                <w:b/>
                <w:color w:val="000000"/>
                <w:kern w:val="2"/>
                <w:sz w:val="15"/>
                <w:szCs w:val="15"/>
                <w:highlight w:val="none"/>
              </w:rPr>
            </w:pPr>
            <w:r>
              <w:rPr>
                <w:b/>
                <w:color w:val="000000"/>
                <w:kern w:val="2"/>
                <w:sz w:val="15"/>
                <w:szCs w:val="15"/>
                <w:highlight w:val="none"/>
              </w:rPr>
              <w:t>实际环保投资（万元）</w:t>
            </w:r>
          </w:p>
        </w:tc>
        <w:tc>
          <w:tcPr>
            <w:tcW w:w="2236" w:type="dxa"/>
            <w:noWrap w:val="0"/>
            <w:tcMar>
              <w:left w:w="57" w:type="dxa"/>
              <w:right w:w="57" w:type="dxa"/>
            </w:tcMar>
            <w:vAlign w:val="top"/>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eastAsia" w:ascii="Times New Roman" w:hAnsi="Times New Roman" w:cs="Times New Roman"/>
                <w:b w:val="0"/>
                <w:bCs/>
                <w:color w:val="000000"/>
                <w:kern w:val="2"/>
                <w:sz w:val="15"/>
                <w:szCs w:val="15"/>
                <w:highlight w:val="none"/>
                <w:lang w:val="en-US" w:eastAsia="zh-CN"/>
              </w:rPr>
              <w:t>77.</w:t>
            </w:r>
            <w:r>
              <w:rPr>
                <w:rFonts w:hint="eastAsia" w:cs="Times New Roman"/>
                <w:b w:val="0"/>
                <w:bCs/>
                <w:color w:val="000000"/>
                <w:kern w:val="2"/>
                <w:sz w:val="15"/>
                <w:szCs w:val="15"/>
                <w:highlight w:val="none"/>
                <w:lang w:val="en-US" w:eastAsia="zh-CN"/>
              </w:rPr>
              <w:t>8</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所占比例（%）</w:t>
            </w:r>
          </w:p>
        </w:tc>
        <w:tc>
          <w:tcPr>
            <w:tcW w:w="2723" w:type="dxa"/>
            <w:gridSpan w:val="3"/>
            <w:noWrap w:val="0"/>
            <w:tcMar>
              <w:left w:w="57" w:type="dxa"/>
              <w:right w:w="57" w:type="dxa"/>
            </w:tcMar>
            <w:vAlign w:val="top"/>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eastAsia" w:ascii="Times New Roman" w:hAnsi="Times New Roman" w:cs="Times New Roman" w:eastAsiaTheme="minorEastAsia"/>
                <w:color w:val="000000"/>
                <w:kern w:val="2"/>
                <w:sz w:val="15"/>
                <w:szCs w:val="15"/>
                <w:highlight w:val="none"/>
                <w:lang w:val="en-US" w:eastAsia="zh-CN"/>
              </w:rPr>
              <w:t>22.</w:t>
            </w:r>
            <w:r>
              <w:rPr>
                <w:rFonts w:hint="eastAsia" w:cs="Times New Roman" w:eastAsiaTheme="minorEastAsia"/>
                <w:color w:val="000000"/>
                <w:kern w:val="2"/>
                <w:sz w:val="15"/>
                <w:szCs w:val="15"/>
                <w:highlight w:val="none"/>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3" w:hRule="exact"/>
          <w:jc w:val="center"/>
        </w:trPr>
        <w:tc>
          <w:tcPr>
            <w:tcW w:w="500"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废水治理（万元）</w:t>
            </w: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21.5</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b/>
                <w:color w:val="000000"/>
                <w:kern w:val="2"/>
                <w:sz w:val="15"/>
                <w:szCs w:val="15"/>
                <w:highlight w:val="none"/>
              </w:rPr>
            </w:pPr>
            <w:r>
              <w:rPr>
                <w:b/>
                <w:color w:val="000000"/>
                <w:kern w:val="2"/>
                <w:sz w:val="15"/>
                <w:szCs w:val="15"/>
                <w:highlight w:val="none"/>
              </w:rPr>
              <w:t>废气治理（万元）</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36</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b/>
                <w:color w:val="000000"/>
                <w:kern w:val="2"/>
                <w:sz w:val="15"/>
                <w:szCs w:val="15"/>
                <w:highlight w:val="none"/>
              </w:rPr>
            </w:pPr>
            <w:r>
              <w:rPr>
                <w:b/>
                <w:color w:val="000000"/>
                <w:kern w:val="2"/>
                <w:sz w:val="15"/>
                <w:szCs w:val="15"/>
                <w:highlight w:val="none"/>
              </w:rPr>
              <w:t>噪声治理（万元）</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eastAsia="zh-CN"/>
              </w:rPr>
            </w:pPr>
            <w:r>
              <w:rPr>
                <w:rFonts w:hint="eastAsia"/>
                <w:color w:val="000000"/>
                <w:kern w:val="2"/>
                <w:sz w:val="15"/>
                <w:szCs w:val="15"/>
                <w:highlight w:val="none"/>
                <w:lang w:eastAsia="zh-CN"/>
              </w:rPr>
              <w:t>计入主体</w:t>
            </w:r>
          </w:p>
        </w:tc>
        <w:tc>
          <w:tcPr>
            <w:tcW w:w="203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color w:val="000000"/>
                <w:kern w:val="2"/>
                <w:sz w:val="15"/>
                <w:szCs w:val="15"/>
                <w:highlight w:val="none"/>
              </w:rPr>
            </w:pPr>
            <w:r>
              <w:rPr>
                <w:b/>
                <w:color w:val="000000"/>
                <w:kern w:val="2"/>
                <w:sz w:val="15"/>
                <w:szCs w:val="15"/>
                <w:highlight w:val="none"/>
              </w:rPr>
              <w:t>固</w:t>
            </w:r>
            <w:r>
              <w:rPr>
                <w:rFonts w:hint="eastAsia"/>
                <w:b/>
                <w:color w:val="000000"/>
                <w:kern w:val="2"/>
                <w:sz w:val="15"/>
                <w:szCs w:val="15"/>
                <w:highlight w:val="none"/>
              </w:rPr>
              <w:t>体</w:t>
            </w:r>
            <w:r>
              <w:rPr>
                <w:b/>
                <w:color w:val="000000"/>
                <w:kern w:val="2"/>
                <w:sz w:val="15"/>
                <w:szCs w:val="15"/>
                <w:highlight w:val="none"/>
              </w:rPr>
              <w:t>废</w:t>
            </w:r>
            <w:r>
              <w:rPr>
                <w:rFonts w:hint="eastAsia"/>
                <w:b/>
                <w:color w:val="000000"/>
                <w:kern w:val="2"/>
                <w:sz w:val="15"/>
                <w:szCs w:val="15"/>
                <w:highlight w:val="none"/>
              </w:rPr>
              <w:t>物</w:t>
            </w:r>
            <w:r>
              <w:rPr>
                <w:b/>
                <w:color w:val="000000"/>
                <w:kern w:val="2"/>
                <w:sz w:val="15"/>
                <w:szCs w:val="15"/>
                <w:highlight w:val="none"/>
              </w:rPr>
              <w:t>治理（万元）</w:t>
            </w:r>
          </w:p>
        </w:tc>
        <w:tc>
          <w:tcPr>
            <w:tcW w:w="2236" w:type="dxa"/>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rFonts w:hint="default"/>
                <w:color w:val="000000"/>
                <w:kern w:val="2"/>
                <w:sz w:val="15"/>
                <w:szCs w:val="15"/>
                <w:highlight w:val="none"/>
                <w:lang w:val="en-US"/>
              </w:rPr>
            </w:pPr>
            <w:r>
              <w:rPr>
                <w:rFonts w:hint="eastAsia" w:ascii="Times New Roman" w:hAnsi="Times New Roman" w:cs="Times New Roman" w:eastAsiaTheme="minorEastAsia"/>
                <w:color w:val="000000"/>
                <w:kern w:val="2"/>
                <w:sz w:val="15"/>
                <w:szCs w:val="15"/>
                <w:highlight w:val="none"/>
                <w:lang w:val="en-US" w:eastAsia="zh-CN"/>
              </w:rPr>
              <w:t>3.1</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绿化及生态（万元）</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2.2</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b/>
                <w:color w:val="000000"/>
                <w:kern w:val="2"/>
                <w:sz w:val="15"/>
                <w:szCs w:val="15"/>
                <w:highlight w:val="none"/>
              </w:rPr>
            </w:pPr>
            <w:r>
              <w:rPr>
                <w:b/>
                <w:color w:val="000000"/>
                <w:kern w:val="2"/>
                <w:sz w:val="15"/>
                <w:szCs w:val="15"/>
                <w:highlight w:val="none"/>
              </w:rPr>
              <w:t>其</w:t>
            </w:r>
            <w:r>
              <w:rPr>
                <w:rFonts w:hint="eastAsia"/>
                <w:b/>
                <w:color w:val="000000"/>
                <w:kern w:val="2"/>
                <w:sz w:val="15"/>
                <w:szCs w:val="15"/>
                <w:highlight w:val="none"/>
              </w:rPr>
              <w:t>他</w:t>
            </w:r>
            <w:r>
              <w:rPr>
                <w:b/>
                <w:color w:val="000000"/>
                <w:kern w:val="2"/>
                <w:sz w:val="15"/>
                <w:szCs w:val="15"/>
                <w:highlight w:val="none"/>
              </w:rPr>
              <w:t>（万元）</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jc w:val="center"/>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新增废水处理设施能力</w:t>
            </w:r>
          </w:p>
        </w:tc>
        <w:tc>
          <w:tcPr>
            <w:tcW w:w="4320" w:type="dxa"/>
            <w:gridSpan w:val="5"/>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2032" w:type="dxa"/>
            <w:gridSpan w:val="2"/>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新增废气处理设施能力</w:t>
            </w:r>
          </w:p>
        </w:tc>
        <w:tc>
          <w:tcPr>
            <w:tcW w:w="2236" w:type="dxa"/>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5" w:type="dxa"/>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年平均工作时</w:t>
            </w:r>
          </w:p>
        </w:tc>
        <w:tc>
          <w:tcPr>
            <w:tcW w:w="2723" w:type="dxa"/>
            <w:gridSpan w:val="3"/>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8" w:hRule="exact"/>
          <w:jc w:val="center"/>
        </w:trPr>
        <w:tc>
          <w:tcPr>
            <w:tcW w:w="213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b/>
                <w:color w:val="000000"/>
                <w:kern w:val="2"/>
                <w:sz w:val="15"/>
                <w:szCs w:val="15"/>
                <w:highlight w:val="none"/>
              </w:rPr>
            </w:pPr>
            <w:r>
              <w:rPr>
                <w:b/>
                <w:color w:val="000000"/>
                <w:kern w:val="2"/>
                <w:sz w:val="15"/>
                <w:szCs w:val="15"/>
                <w:highlight w:val="none"/>
              </w:rPr>
              <w:t>运营单位</w:t>
            </w:r>
          </w:p>
        </w:tc>
        <w:tc>
          <w:tcPr>
            <w:tcW w:w="3570" w:type="dxa"/>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2782"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b/>
                <w:color w:val="000000"/>
                <w:kern w:val="2"/>
                <w:sz w:val="15"/>
                <w:szCs w:val="15"/>
                <w:highlight w:val="none"/>
              </w:rPr>
            </w:pPr>
            <w:r>
              <w:rPr>
                <w:b/>
                <w:color w:val="000000"/>
                <w:kern w:val="2"/>
                <w:sz w:val="15"/>
                <w:szCs w:val="15"/>
                <w:highlight w:val="none"/>
              </w:rPr>
              <w:t>运营单位</w:t>
            </w:r>
            <w:r>
              <w:rPr>
                <w:rFonts w:hint="eastAsia"/>
                <w:b/>
                <w:color w:val="000000"/>
                <w:kern w:val="2"/>
                <w:sz w:val="15"/>
                <w:szCs w:val="15"/>
                <w:highlight w:val="none"/>
              </w:rPr>
              <w:t>社会统一信用代码</w:t>
            </w:r>
          </w:p>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b/>
                <w:color w:val="000000"/>
                <w:kern w:val="2"/>
                <w:sz w:val="15"/>
                <w:szCs w:val="15"/>
                <w:highlight w:val="none"/>
              </w:rPr>
              <w:t>（或组织机构代码）</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p>
        </w:tc>
        <w:tc>
          <w:tcPr>
            <w:tcW w:w="1635" w:type="dxa"/>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验收时间</w:t>
            </w:r>
          </w:p>
        </w:tc>
        <w:tc>
          <w:tcPr>
            <w:tcW w:w="272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default" w:ascii="Times New Roman" w:hAnsi="Times New Roman" w:cs="Times New Roman" w:eastAsiaTheme="minorEastAsia"/>
                <w:color w:val="000000"/>
                <w:kern w:val="2"/>
                <w:sz w:val="15"/>
                <w:szCs w:val="15"/>
                <w:highlight w:val="none"/>
                <w:lang w:val="en-US" w:eastAsia="zh-CN"/>
              </w:rPr>
              <w:t>2019.10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83" w:hRule="exact"/>
          <w:jc w:val="center"/>
        </w:trPr>
        <w:tc>
          <w:tcPr>
            <w:tcW w:w="500" w:type="dxa"/>
            <w:vMerge w:val="restar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rFonts w:eastAsia="黑体"/>
                <w:b/>
                <w:color w:val="000000"/>
                <w:spacing w:val="20"/>
                <w:kern w:val="2"/>
                <w:sz w:val="15"/>
                <w:szCs w:val="15"/>
                <w:highlight w:val="none"/>
              </w:rPr>
            </w:pPr>
            <w:r>
              <w:rPr>
                <w:rFonts w:eastAsia="黑体"/>
                <w:b/>
                <w:color w:val="000000"/>
                <w:spacing w:val="20"/>
                <w:kern w:val="2"/>
                <w:sz w:val="15"/>
                <w:szCs w:val="15"/>
                <w:highlight w:val="none"/>
              </w:rPr>
              <w:t>污染</w:t>
            </w:r>
          </w:p>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rFonts w:eastAsia="黑体"/>
                <w:b/>
                <w:color w:val="000000"/>
                <w:spacing w:val="20"/>
                <w:kern w:val="2"/>
                <w:sz w:val="15"/>
                <w:szCs w:val="15"/>
                <w:highlight w:val="none"/>
              </w:rPr>
            </w:pPr>
            <w:r>
              <w:rPr>
                <w:rFonts w:eastAsia="黑体"/>
                <w:b/>
                <w:color w:val="000000"/>
                <w:spacing w:val="20"/>
                <w:kern w:val="2"/>
                <w:sz w:val="15"/>
                <w:szCs w:val="15"/>
                <w:highlight w:val="none"/>
              </w:rPr>
              <w:t>物排</w:t>
            </w:r>
          </w:p>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rFonts w:eastAsia="黑体"/>
                <w:b/>
                <w:color w:val="000000"/>
                <w:spacing w:val="20"/>
                <w:kern w:val="2"/>
                <w:sz w:val="15"/>
                <w:szCs w:val="15"/>
                <w:highlight w:val="none"/>
              </w:rPr>
            </w:pPr>
            <w:r>
              <w:rPr>
                <w:rFonts w:eastAsia="黑体"/>
                <w:b/>
                <w:color w:val="000000"/>
                <w:spacing w:val="20"/>
                <w:kern w:val="2"/>
                <w:sz w:val="15"/>
                <w:szCs w:val="15"/>
                <w:highlight w:val="none"/>
              </w:rPr>
              <w:t>放达</w:t>
            </w:r>
          </w:p>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rFonts w:eastAsia="黑体"/>
                <w:b/>
                <w:color w:val="000000"/>
                <w:spacing w:val="20"/>
                <w:kern w:val="2"/>
                <w:sz w:val="15"/>
                <w:szCs w:val="15"/>
                <w:highlight w:val="none"/>
              </w:rPr>
            </w:pPr>
            <w:r>
              <w:rPr>
                <w:rFonts w:eastAsia="黑体"/>
                <w:b/>
                <w:color w:val="000000"/>
                <w:spacing w:val="20"/>
                <w:kern w:val="2"/>
                <w:sz w:val="15"/>
                <w:szCs w:val="15"/>
                <w:highlight w:val="none"/>
              </w:rPr>
              <w:t>标与</w:t>
            </w:r>
          </w:p>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rFonts w:eastAsia="黑体"/>
                <w:b/>
                <w:color w:val="000000"/>
                <w:spacing w:val="20"/>
                <w:kern w:val="2"/>
                <w:sz w:val="15"/>
                <w:szCs w:val="15"/>
                <w:highlight w:val="none"/>
              </w:rPr>
            </w:pPr>
            <w:r>
              <w:rPr>
                <w:rFonts w:eastAsia="黑体"/>
                <w:b/>
                <w:color w:val="000000"/>
                <w:spacing w:val="20"/>
                <w:kern w:val="2"/>
                <w:sz w:val="15"/>
                <w:szCs w:val="15"/>
                <w:highlight w:val="none"/>
              </w:rPr>
              <w:t>总量</w:t>
            </w:r>
          </w:p>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rFonts w:eastAsia="黑体"/>
                <w:b/>
                <w:color w:val="000000"/>
                <w:spacing w:val="20"/>
                <w:kern w:val="2"/>
                <w:sz w:val="15"/>
                <w:szCs w:val="15"/>
                <w:highlight w:val="none"/>
              </w:rPr>
            </w:pPr>
            <w:r>
              <w:rPr>
                <w:rFonts w:eastAsia="黑体"/>
                <w:b/>
                <w:color w:val="000000"/>
                <w:spacing w:val="20"/>
                <w:kern w:val="2"/>
                <w:sz w:val="15"/>
                <w:szCs w:val="15"/>
                <w:highlight w:val="none"/>
              </w:rPr>
              <w:t>控制（工</w:t>
            </w:r>
          </w:p>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rFonts w:eastAsia="黑体"/>
                <w:b/>
                <w:color w:val="000000"/>
                <w:spacing w:val="20"/>
                <w:kern w:val="2"/>
                <w:sz w:val="15"/>
                <w:szCs w:val="15"/>
                <w:highlight w:val="none"/>
              </w:rPr>
            </w:pPr>
            <w:r>
              <w:rPr>
                <w:rFonts w:eastAsia="黑体"/>
                <w:b/>
                <w:color w:val="000000"/>
                <w:spacing w:val="20"/>
                <w:kern w:val="2"/>
                <w:sz w:val="15"/>
                <w:szCs w:val="15"/>
                <w:highlight w:val="none"/>
              </w:rPr>
              <w:t>业建</w:t>
            </w:r>
          </w:p>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rFonts w:eastAsia="黑体"/>
                <w:b/>
                <w:color w:val="000000"/>
                <w:spacing w:val="20"/>
                <w:kern w:val="2"/>
                <w:sz w:val="15"/>
                <w:szCs w:val="15"/>
                <w:highlight w:val="none"/>
              </w:rPr>
            </w:pPr>
            <w:r>
              <w:rPr>
                <w:rFonts w:eastAsia="黑体"/>
                <w:b/>
                <w:color w:val="000000"/>
                <w:spacing w:val="20"/>
                <w:kern w:val="2"/>
                <w:sz w:val="15"/>
                <w:szCs w:val="15"/>
                <w:highlight w:val="none"/>
              </w:rPr>
              <w:t>设项</w:t>
            </w:r>
          </w:p>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rFonts w:eastAsia="黑体"/>
                <w:b/>
                <w:color w:val="000000"/>
                <w:spacing w:val="20"/>
                <w:kern w:val="2"/>
                <w:sz w:val="15"/>
                <w:szCs w:val="15"/>
                <w:highlight w:val="none"/>
              </w:rPr>
            </w:pPr>
            <w:r>
              <w:rPr>
                <w:rFonts w:eastAsia="黑体"/>
                <w:b/>
                <w:color w:val="000000"/>
                <w:spacing w:val="20"/>
                <w:kern w:val="2"/>
                <w:sz w:val="15"/>
                <w:szCs w:val="15"/>
                <w:highlight w:val="none"/>
              </w:rPr>
              <w:t>目详填）</w:t>
            </w: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r>
              <w:rPr>
                <w:b/>
                <w:color w:val="000000"/>
                <w:kern w:val="2"/>
                <w:sz w:val="15"/>
                <w:szCs w:val="15"/>
                <w:highlight w:val="none"/>
              </w:rPr>
              <w:t>污染物</w:t>
            </w: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原有排</w:t>
            </w:r>
          </w:p>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放量(1)</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本期工程实际排放浓度(2)</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本期工程允许排放浓度(3)</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本期工程产生量(4)</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本期工程自身削减量(5)</w:t>
            </w:r>
          </w:p>
        </w:tc>
        <w:tc>
          <w:tcPr>
            <w:tcW w:w="111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本期工程实际排放量(6)</w:t>
            </w:r>
          </w:p>
        </w:tc>
        <w:tc>
          <w:tcPr>
            <w:tcW w:w="92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b/>
                <w:color w:val="000000"/>
                <w:kern w:val="2"/>
                <w:sz w:val="15"/>
                <w:szCs w:val="15"/>
                <w:highlight w:val="none"/>
              </w:rPr>
            </w:pPr>
            <w:r>
              <w:rPr>
                <w:b/>
                <w:color w:val="000000"/>
                <w:kern w:val="2"/>
                <w:sz w:val="15"/>
                <w:szCs w:val="15"/>
                <w:highlight w:val="none"/>
              </w:rPr>
              <w:t>本期工程核定排放总量(7)</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本期工程“以新带老”削减量(8)</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全厂实际排放总量(9)</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全厂核定排放总量(10)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r>
              <w:rPr>
                <w:b/>
                <w:color w:val="000000"/>
                <w:kern w:val="2"/>
                <w:sz w:val="15"/>
                <w:szCs w:val="15"/>
                <w:highlight w:val="none"/>
              </w:rPr>
              <w:t>区域平衡替代削减量(11)</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rPr>
                <w:b/>
                <w:color w:val="000000"/>
                <w:kern w:val="2"/>
                <w:sz w:val="15"/>
                <w:szCs w:val="15"/>
                <w:highlight w:val="none"/>
              </w:rPr>
            </w:pPr>
            <w:r>
              <w:rPr>
                <w:b/>
                <w:color w:val="000000"/>
                <w:kern w:val="2"/>
                <w:sz w:val="15"/>
                <w:szCs w:val="15"/>
                <w:highlight w:val="none"/>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color w:val="000000"/>
                <w:kern w:val="2"/>
                <w:sz w:val="15"/>
                <w:szCs w:val="15"/>
                <w:highlight w:val="none"/>
              </w:rPr>
            </w:pPr>
            <w:r>
              <w:rPr>
                <w:b/>
                <w:color w:val="000000"/>
                <w:kern w:val="2"/>
                <w:sz w:val="15"/>
                <w:szCs w:val="15"/>
                <w:highlight w:val="none"/>
              </w:rPr>
              <w:t>废水</w:t>
            </w: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307.9</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307.9</w:t>
            </w:r>
          </w:p>
        </w:tc>
        <w:tc>
          <w:tcPr>
            <w:tcW w:w="111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92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b/>
                <w:color w:val="000000"/>
                <w:kern w:val="2"/>
                <w:sz w:val="15"/>
                <w:szCs w:val="15"/>
                <w:highlight w:val="none"/>
              </w:rPr>
            </w:pPr>
            <w:r>
              <w:rPr>
                <w:b/>
                <w:color w:val="000000"/>
                <w:kern w:val="2"/>
                <w:sz w:val="15"/>
                <w:szCs w:val="15"/>
                <w:highlight w:val="none"/>
              </w:rPr>
              <w:t>化学需氧量</w:t>
            </w: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111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92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b/>
                <w:color w:val="000000"/>
                <w:kern w:val="2"/>
                <w:sz w:val="15"/>
                <w:szCs w:val="15"/>
                <w:highlight w:val="none"/>
              </w:rPr>
            </w:pPr>
            <w:r>
              <w:rPr>
                <w:b/>
                <w:color w:val="000000"/>
                <w:kern w:val="2"/>
                <w:sz w:val="15"/>
                <w:szCs w:val="15"/>
                <w:highlight w:val="none"/>
              </w:rPr>
              <w:t>氨氮</w:t>
            </w: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111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92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b/>
                <w:color w:val="000000"/>
                <w:kern w:val="2"/>
                <w:sz w:val="15"/>
                <w:szCs w:val="15"/>
                <w:highlight w:val="none"/>
              </w:rPr>
            </w:pPr>
            <w:r>
              <w:rPr>
                <w:b/>
                <w:color w:val="000000"/>
                <w:kern w:val="2"/>
                <w:sz w:val="15"/>
                <w:szCs w:val="15"/>
                <w:highlight w:val="none"/>
              </w:rPr>
              <w:t>石油类</w:t>
            </w: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111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92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rFonts w:eastAsia="黑体"/>
                <w:b/>
                <w:color w:val="000000"/>
                <w:kern w:val="2"/>
                <w:sz w:val="15"/>
                <w:szCs w:val="15"/>
                <w:highlight w:val="none"/>
              </w:rPr>
            </w:pPr>
            <w:r>
              <w:rPr>
                <w:b/>
                <w:color w:val="000000"/>
                <w:kern w:val="2"/>
                <w:sz w:val="15"/>
                <w:szCs w:val="15"/>
                <w:highlight w:val="none"/>
              </w:rPr>
              <w:t>废气</w:t>
            </w: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p>
        </w:tc>
        <w:tc>
          <w:tcPr>
            <w:tcW w:w="929" w:type="dxa"/>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rFonts w:hint="default" w:eastAsia="宋体"/>
                <w:color w:val="000000"/>
                <w:kern w:val="2"/>
                <w:sz w:val="15"/>
                <w:szCs w:val="15"/>
                <w:highlight w:val="none"/>
                <w:lang w:val="en-US" w:eastAsia="zh-CN"/>
              </w:rPr>
            </w:pPr>
          </w:p>
        </w:tc>
        <w:tc>
          <w:tcPr>
            <w:tcW w:w="750" w:type="dxa"/>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p>
        </w:tc>
        <w:tc>
          <w:tcPr>
            <w:tcW w:w="1111" w:type="dxa"/>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eastAsia" w:ascii="Times New Roman" w:hAnsi="Times New Roman" w:cs="Times New Roman" w:eastAsiaTheme="minorEastAsia"/>
                <w:color w:val="000000"/>
                <w:kern w:val="2"/>
                <w:sz w:val="15"/>
                <w:szCs w:val="15"/>
                <w:highlight w:val="none"/>
                <w:lang w:val="en-US" w:eastAsia="zh-CN"/>
              </w:rPr>
              <w:t>0</w:t>
            </w:r>
          </w:p>
        </w:tc>
        <w:tc>
          <w:tcPr>
            <w:tcW w:w="921" w:type="dxa"/>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eastAsia" w:ascii="Times New Roman" w:hAnsi="Times New Roman" w:cs="Times New Roman" w:eastAsiaTheme="minorEastAsia"/>
                <w:color w:val="000000"/>
                <w:kern w:val="2"/>
                <w:sz w:val="15"/>
                <w:szCs w:val="15"/>
                <w:highlight w:val="none"/>
                <w:lang w:val="en-US" w:eastAsia="zh-CN"/>
              </w:rPr>
              <w:t>0</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635" w:type="dxa"/>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eastAsia" w:ascii="Times New Roman" w:hAnsi="Times New Roman" w:cs="Times New Roman" w:eastAsiaTheme="minorEastAsia"/>
                <w:color w:val="000000"/>
                <w:kern w:val="2"/>
                <w:sz w:val="15"/>
                <w:szCs w:val="15"/>
                <w:highlight w:val="none"/>
                <w:lang w:val="en-US" w:eastAsia="zh-CN"/>
              </w:rPr>
              <w:t>0</w:t>
            </w:r>
          </w:p>
        </w:tc>
        <w:tc>
          <w:tcPr>
            <w:tcW w:w="1027" w:type="dxa"/>
            <w:noWrap w:val="0"/>
            <w:tcMar>
              <w:left w:w="57" w:type="dxa"/>
              <w:right w:w="57" w:type="dxa"/>
            </w:tcMar>
            <w:vAlign w:val="center"/>
          </w:tcPr>
          <w:p>
            <w:pPr>
              <w:keepNext w:val="0"/>
              <w:keepLines w:val="0"/>
              <w:pageBreakBefore w:val="0"/>
              <w:widowControl w:val="0"/>
              <w:kinsoku/>
              <w:wordWrap/>
              <w:overflowPunct/>
              <w:topLinePunct w:val="0"/>
              <w:bidi w:val="0"/>
              <w:adjustRightInd/>
              <w:snapToGrid/>
              <w:spacing w:after="0" w:afterLines="0" w:line="200" w:lineRule="exact"/>
              <w:ind w:left="0" w:leftChars="0" w:right="0" w:rightChars="0"/>
              <w:jc w:val="center"/>
              <w:textAlignment w:val="auto"/>
              <w:outlineLvl w:val="9"/>
              <w:rPr>
                <w:color w:val="000000"/>
                <w:kern w:val="2"/>
                <w:sz w:val="15"/>
                <w:szCs w:val="15"/>
                <w:highlight w:val="none"/>
              </w:rPr>
            </w:pPr>
            <w:r>
              <w:rPr>
                <w:rFonts w:hint="eastAsia" w:ascii="Times New Roman" w:hAnsi="Times New Roman" w:cs="Times New Roman" w:eastAsiaTheme="minorEastAsia"/>
                <w:color w:val="000000"/>
                <w:kern w:val="2"/>
                <w:sz w:val="15"/>
                <w:szCs w:val="15"/>
                <w:highlight w:val="none"/>
                <w:lang w:val="en-US" w:eastAsia="zh-CN"/>
              </w:rPr>
              <w:t>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b/>
                <w:color w:val="000000"/>
                <w:kern w:val="2"/>
                <w:sz w:val="15"/>
                <w:szCs w:val="15"/>
                <w:highlight w:val="none"/>
              </w:rPr>
            </w:pPr>
            <w:r>
              <w:rPr>
                <w:b/>
                <w:color w:val="000000"/>
                <w:kern w:val="2"/>
                <w:sz w:val="15"/>
                <w:szCs w:val="15"/>
                <w:highlight w:val="none"/>
              </w:rPr>
              <w:t>二氧化硫</w:t>
            </w: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11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92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b/>
                <w:color w:val="000000"/>
                <w:kern w:val="2"/>
                <w:sz w:val="15"/>
                <w:szCs w:val="15"/>
                <w:highlight w:val="none"/>
              </w:rPr>
            </w:pPr>
            <w:r>
              <w:rPr>
                <w:b/>
                <w:color w:val="000000"/>
                <w:kern w:val="2"/>
                <w:sz w:val="15"/>
                <w:szCs w:val="15"/>
                <w:highlight w:val="none"/>
              </w:rPr>
              <w:t>烟尘</w:t>
            </w: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11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92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b/>
                <w:color w:val="000000"/>
                <w:kern w:val="2"/>
                <w:sz w:val="15"/>
                <w:szCs w:val="15"/>
                <w:highlight w:val="none"/>
              </w:rPr>
            </w:pPr>
            <w:r>
              <w:rPr>
                <w:b/>
                <w:color w:val="000000"/>
                <w:kern w:val="2"/>
                <w:sz w:val="15"/>
                <w:szCs w:val="15"/>
                <w:highlight w:val="none"/>
              </w:rPr>
              <w:t>工业粉尘</w:t>
            </w: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11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92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b/>
                <w:color w:val="000000"/>
                <w:kern w:val="2"/>
                <w:sz w:val="15"/>
                <w:szCs w:val="15"/>
                <w:highlight w:val="none"/>
              </w:rPr>
            </w:pPr>
            <w:r>
              <w:rPr>
                <w:b/>
                <w:color w:val="000000"/>
                <w:kern w:val="2"/>
                <w:sz w:val="15"/>
                <w:szCs w:val="15"/>
                <w:highlight w:val="none"/>
              </w:rPr>
              <w:t>氮氧化物</w:t>
            </w: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11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92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rFonts w:eastAsia="黑体"/>
                <w:b/>
                <w:color w:val="000000"/>
                <w:kern w:val="2"/>
                <w:sz w:val="15"/>
                <w:szCs w:val="15"/>
                <w:highlight w:val="none"/>
              </w:rPr>
            </w:pPr>
            <w:r>
              <w:rPr>
                <w:b/>
                <w:color w:val="000000"/>
                <w:kern w:val="2"/>
                <w:sz w:val="15"/>
                <w:szCs w:val="15"/>
                <w:highlight w:val="none"/>
              </w:rPr>
              <w:t>工业固体废物</w:t>
            </w: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11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92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vMerge w:val="restart"/>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jc w:val="both"/>
              <w:textAlignment w:val="auto"/>
              <w:rPr>
                <w:color w:val="000000"/>
                <w:kern w:val="2"/>
                <w:sz w:val="15"/>
                <w:szCs w:val="15"/>
                <w:highlight w:val="none"/>
              </w:rPr>
            </w:pPr>
            <w:r>
              <w:rPr>
                <w:b/>
                <w:color w:val="000000"/>
                <w:kern w:val="2"/>
                <w:sz w:val="15"/>
                <w:szCs w:val="15"/>
                <w:highlight w:val="none"/>
              </w:rPr>
              <w:t>与项目有关的其</w:t>
            </w:r>
            <w:r>
              <w:rPr>
                <w:rFonts w:hint="eastAsia"/>
                <w:b/>
                <w:color w:val="000000"/>
                <w:kern w:val="2"/>
                <w:sz w:val="15"/>
                <w:szCs w:val="15"/>
                <w:highlight w:val="none"/>
              </w:rPr>
              <w:t>他</w:t>
            </w:r>
            <w:r>
              <w:rPr>
                <w:b/>
                <w:color w:val="000000"/>
                <w:kern w:val="2"/>
                <w:sz w:val="15"/>
                <w:szCs w:val="15"/>
                <w:highlight w:val="none"/>
              </w:rPr>
              <w:t>特征污染物</w:t>
            </w: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11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92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default"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11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92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635"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jc w:val="center"/>
        </w:trPr>
        <w:tc>
          <w:tcPr>
            <w:tcW w:w="500"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color w:val="000000"/>
                <w:kern w:val="2"/>
                <w:sz w:val="15"/>
                <w:szCs w:val="15"/>
                <w:highlight w:val="none"/>
              </w:rPr>
            </w:pPr>
          </w:p>
        </w:tc>
        <w:tc>
          <w:tcPr>
            <w:tcW w:w="1634" w:type="dxa"/>
            <w:vMerge w:val="continue"/>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textAlignment w:val="auto"/>
              <w:rPr>
                <w:b/>
                <w:color w:val="000000"/>
                <w:kern w:val="2"/>
                <w:sz w:val="15"/>
                <w:szCs w:val="15"/>
                <w:highlight w:val="none"/>
              </w:rPr>
            </w:pPr>
          </w:p>
        </w:tc>
        <w:tc>
          <w:tcPr>
            <w:tcW w:w="66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31"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0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92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111" w:type="dxa"/>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rFonts w:hint="eastAsia" w:eastAsia="宋体"/>
                <w:color w:val="000000"/>
                <w:kern w:val="2"/>
                <w:sz w:val="15"/>
                <w:szCs w:val="15"/>
                <w:highlight w:val="none"/>
                <w:lang w:val="en-US" w:eastAsia="zh-CN"/>
              </w:rPr>
            </w:pPr>
            <w:r>
              <w:rPr>
                <w:rFonts w:hint="eastAsia"/>
                <w:color w:val="000000"/>
                <w:kern w:val="2"/>
                <w:sz w:val="15"/>
                <w:szCs w:val="15"/>
                <w:highlight w:val="none"/>
                <w:lang w:val="en-US" w:eastAsia="zh-CN"/>
              </w:rPr>
              <w:t>0</w:t>
            </w:r>
          </w:p>
        </w:tc>
        <w:tc>
          <w:tcPr>
            <w:tcW w:w="921" w:type="dxa"/>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223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1635" w:type="dxa"/>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1027" w:type="dxa"/>
            <w:noWrap w:val="0"/>
            <w:tcMar>
              <w:left w:w="57" w:type="dxa"/>
              <w:right w:w="57" w:type="dxa"/>
            </w:tcMar>
            <w:vAlign w:val="top"/>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0</w:t>
            </w:r>
          </w:p>
        </w:tc>
        <w:tc>
          <w:tcPr>
            <w:tcW w:w="916"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c>
          <w:tcPr>
            <w:tcW w:w="78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00" w:lineRule="exact"/>
              <w:jc w:val="center"/>
              <w:textAlignment w:val="auto"/>
              <w:rPr>
                <w:color w:val="000000"/>
                <w:kern w:val="2"/>
                <w:sz w:val="15"/>
                <w:szCs w:val="15"/>
                <w:highlight w:val="none"/>
              </w:rPr>
            </w:pPr>
            <w:r>
              <w:rPr>
                <w:rFonts w:hint="eastAsia"/>
                <w:color w:val="000000"/>
                <w:kern w:val="2"/>
                <w:sz w:val="15"/>
                <w:szCs w:val="15"/>
                <w:highlight w:val="none"/>
                <w:lang w:val="en-US" w:eastAsia="zh-CN"/>
              </w:rPr>
              <w:t>/</w:t>
            </w:r>
          </w:p>
        </w:tc>
      </w:tr>
    </w:tbl>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color w:val="000000"/>
          <w:sz w:val="15"/>
          <w:szCs w:val="15"/>
          <w:highlight w:val="none"/>
        </w:rPr>
        <w:sectPr>
          <w:pgSz w:w="16838" w:h="11906" w:orient="landscape"/>
          <w:pgMar w:top="0" w:right="1100" w:bottom="454" w:left="1100" w:header="851" w:footer="850" w:gutter="0"/>
          <w:pgNumType w:fmt="decimal"/>
          <w:cols w:space="425" w:num="1"/>
          <w:docGrid w:type="lines" w:linePitch="312" w:charSpace="0"/>
        </w:sectPr>
      </w:pPr>
      <w:r>
        <w:rPr>
          <w:b/>
          <w:color w:val="000000"/>
          <w:sz w:val="15"/>
          <w:szCs w:val="15"/>
          <w:highlight w:val="none"/>
        </w:rPr>
        <w:t>注</w:t>
      </w:r>
      <w:r>
        <w:rPr>
          <w:color w:val="000000"/>
          <w:sz w:val="15"/>
          <w:szCs w:val="15"/>
          <w:highlight w:val="none"/>
        </w:rPr>
        <w:t>：1、</w:t>
      </w:r>
      <w:r>
        <w:rPr>
          <w:color w:val="000000"/>
          <w:spacing w:val="-4"/>
          <w:sz w:val="15"/>
          <w:szCs w:val="15"/>
          <w:highlight w:val="none"/>
        </w:rPr>
        <w:t>排放增减量：（+）表示增加，（-）表示减少。2、(12)=(6)-(8)-(11)，（9）= (4)-(5)-(8)- (11) +（1）。3、计量单位：废水排放量——万吨/年；废气排放量——万标立方米/年；工业固体废物排放</w:t>
      </w:r>
      <w:r>
        <w:rPr>
          <w:color w:val="000000"/>
          <w:sz w:val="15"/>
          <w:szCs w:val="15"/>
          <w:highlight w:val="none"/>
        </w:rPr>
        <w:t>量——万吨/年；</w:t>
      </w:r>
    </w:p>
    <w:p>
      <w:pPr>
        <w:rPr>
          <w:highlight w:val="none"/>
        </w:rPr>
      </w:pPr>
    </w:p>
    <w:p>
      <w:pPr>
        <w:rPr>
          <w:highlight w:val="none"/>
        </w:rPr>
      </w:pPr>
    </w:p>
    <w:sectPr>
      <w:headerReference r:id="rId7" w:type="default"/>
      <w:pgSz w:w="16838" w:h="11906" w:orient="landscape"/>
      <w:pgMar w:top="1797" w:right="1440" w:bottom="851" w:left="1440"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Microsoft JhengHei">
    <w:panose1 w:val="020B0604030504040204"/>
    <w:charset w:val="88"/>
    <w:family w:val="swiss"/>
    <w:pitch w:val="default"/>
    <w:sig w:usb0="00000087" w:usb1="28AF4000" w:usb2="00000016" w:usb3="00000000" w:csb0="00100009"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both"/>
      <w:rPr>
        <w:rFonts w:hint="eastAsia"/>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tabs>
        <w:tab w:val="left" w:pos="1335"/>
      </w:tabs>
      <w:jc w:val="left"/>
      <w:rPr>
        <w:rFonts w:hint="eastAsia"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1F69DF"/>
    <w:multiLevelType w:val="singleLevel"/>
    <w:tmpl w:val="E01F69DF"/>
    <w:lvl w:ilvl="0" w:tentative="0">
      <w:start w:val="3"/>
      <w:numFmt w:val="chineseCounting"/>
      <w:suff w:val="nothing"/>
      <w:lvlText w:val="%1、"/>
      <w:lvlJc w:val="left"/>
      <w:rPr>
        <w:rFonts w:hint="eastAsia"/>
      </w:rPr>
    </w:lvl>
  </w:abstractNum>
  <w:abstractNum w:abstractNumId="1">
    <w:nsid w:val="2CF8C66E"/>
    <w:multiLevelType w:val="singleLevel"/>
    <w:tmpl w:val="2CF8C66E"/>
    <w:lvl w:ilvl="0" w:tentative="0">
      <w:start w:val="1"/>
      <w:numFmt w:val="decimal"/>
      <w:suff w:val="nothing"/>
      <w:lvlText w:val="%1、"/>
      <w:lvlJc w:val="left"/>
    </w:lvl>
  </w:abstractNum>
  <w:abstractNum w:abstractNumId="2">
    <w:nsid w:val="48641085"/>
    <w:multiLevelType w:val="singleLevel"/>
    <w:tmpl w:val="48641085"/>
    <w:lvl w:ilvl="0" w:tentative="0">
      <w:start w:val="1"/>
      <w:numFmt w:val="decimal"/>
      <w:suff w:val="nothing"/>
      <w:lvlText w:val="%1、"/>
      <w:lvlJc w:val="left"/>
    </w:lvl>
  </w:abstractNum>
  <w:abstractNum w:abstractNumId="3">
    <w:nsid w:val="50412874"/>
    <w:multiLevelType w:val="singleLevel"/>
    <w:tmpl w:val="50412874"/>
    <w:lvl w:ilvl="0" w:tentative="0">
      <w:start w:val="1"/>
      <w:numFmt w:val="decimal"/>
      <w:suff w:val="nothing"/>
      <w:lvlText w:val="%1、"/>
      <w:lvlJc w:val="left"/>
    </w:lvl>
  </w:abstractNum>
  <w:abstractNum w:abstractNumId="4">
    <w:nsid w:val="5702A232"/>
    <w:multiLevelType w:val="singleLevel"/>
    <w:tmpl w:val="5702A232"/>
    <w:lvl w:ilvl="0" w:tentative="0">
      <w:start w:val="1"/>
      <w:numFmt w:val="chineseCounting"/>
      <w:suff w:val="nothing"/>
      <w:lvlText w:val="%1、"/>
      <w:lvlJc w:val="left"/>
      <w:rPr>
        <w:rFonts w:hint="eastAsia"/>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6C0D4A"/>
    <w:rsid w:val="04F76FE6"/>
    <w:rsid w:val="05B32ED2"/>
    <w:rsid w:val="0A7942FC"/>
    <w:rsid w:val="14655E74"/>
    <w:rsid w:val="18EA3986"/>
    <w:rsid w:val="1E6C0D4A"/>
    <w:rsid w:val="22F6506F"/>
    <w:rsid w:val="2561471F"/>
    <w:rsid w:val="26AD32E6"/>
    <w:rsid w:val="274D64D8"/>
    <w:rsid w:val="31351559"/>
    <w:rsid w:val="3C512903"/>
    <w:rsid w:val="3D043FD5"/>
    <w:rsid w:val="4D47497C"/>
    <w:rsid w:val="56DF261F"/>
    <w:rsid w:val="573D753A"/>
    <w:rsid w:val="5E2712F4"/>
    <w:rsid w:val="607B6250"/>
    <w:rsid w:val="6A9B091B"/>
    <w:rsid w:val="6BD77131"/>
    <w:rsid w:val="6CE53EDF"/>
    <w:rsid w:val="6F9557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360" w:lineRule="auto"/>
      <w:outlineLvl w:val="0"/>
    </w:pPr>
    <w:rPr>
      <w:b/>
      <w:bCs/>
      <w:kern w:val="44"/>
      <w:sz w:val="32"/>
      <w:szCs w:val="44"/>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3">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1"/>
      <w:szCs w:val="21"/>
      <w:lang w:val="zh-CN" w:eastAsia="zh-CN" w:bidi="zh-CN"/>
    </w:rPr>
  </w:style>
  <w:style w:type="paragraph" w:styleId="5">
    <w:name w:val="Body Text Indent"/>
    <w:basedOn w:val="1"/>
    <w:qFormat/>
    <w:uiPriority w:val="0"/>
    <w:pPr>
      <w:spacing w:before="156" w:beforeLines="50" w:line="400" w:lineRule="exact"/>
      <w:ind w:firstLine="596" w:firstLineChars="213"/>
    </w:pPr>
    <w:rPr>
      <w:rFonts w:eastAsia="华文楷体"/>
      <w:sz w:val="28"/>
    </w:rPr>
  </w:style>
  <w:style w:type="paragraph" w:styleId="6">
    <w:name w:val="Plain Text"/>
    <w:basedOn w:val="1"/>
    <w:qFormat/>
    <w:uiPriority w:val="0"/>
    <w:rPr>
      <w:rFonts w:ascii="宋体" w:hAnsi="Courier New"/>
      <w:szCs w:val="20"/>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w:basedOn w:val="4"/>
    <w:semiHidden/>
    <w:qFormat/>
    <w:uiPriority w:val="0"/>
    <w:pPr>
      <w:spacing w:after="120"/>
      <w:ind w:firstLine="420" w:firstLineChars="100"/>
    </w:pPr>
  </w:style>
  <w:style w:type="paragraph" w:styleId="10">
    <w:name w:val="Body Text First Indent 2"/>
    <w:basedOn w:val="5"/>
    <w:next w:val="9"/>
    <w:qFormat/>
    <w:uiPriority w:val="0"/>
    <w:pPr>
      <w:spacing w:after="120" w:line="240" w:lineRule="auto"/>
      <w:ind w:left="420" w:leftChars="200" w:firstLine="420" w:firstLineChars="200"/>
    </w:pPr>
    <w:rPr>
      <w:rFonts w:ascii="Times New Roman"/>
      <w:sz w:val="21"/>
    </w:rPr>
  </w:style>
  <w:style w:type="table" w:styleId="12">
    <w:name w:val="Table Grid"/>
    <w:basedOn w:val="1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14">
    <w:name w:val="WPSOffice手动目录 1"/>
    <w:qFormat/>
    <w:uiPriority w:val="0"/>
    <w:pPr>
      <w:ind w:leftChars="0"/>
    </w:pPr>
    <w:rPr>
      <w:rFonts w:ascii="Calibri" w:hAnsi="Calibri" w:eastAsia="宋体" w:cs="Times New Roman"/>
      <w:sz w:val="20"/>
      <w:szCs w:val="20"/>
    </w:rPr>
  </w:style>
  <w:style w:type="paragraph" w:customStyle="1" w:styleId="15">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1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7">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wmf"/><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18fdcfc-3a36-4e17-b5e7-89313d1d03aa}"/>
        <w:style w:val=""/>
        <w:category>
          <w:name w:val="常规"/>
          <w:gallery w:val="placeholder"/>
        </w:category>
        <w:types>
          <w:type w:val="bbPlcHdr"/>
        </w:types>
        <w:behaviors>
          <w:behavior w:val="content"/>
        </w:behaviors>
        <w:description w:val=""/>
        <w:guid w:val="{518fdcfc-3a36-4e17-b5e7-89313d1d03aa}"/>
      </w:docPartPr>
      <w:docPartBody>
        <w:p>
          <w:r>
            <w:rPr>
              <w:color w:val="808080"/>
            </w:rPr>
            <w:t>单击此处输入文字。</w:t>
          </w:r>
        </w:p>
      </w:docPartBody>
    </w:docPart>
    <w:docPart>
      <w:docPartPr>
        <w:name w:val="{d9d5a80f-aae8-4e67-933c-7ec23af006cd}"/>
        <w:style w:val=""/>
        <w:category>
          <w:name w:val="常规"/>
          <w:gallery w:val="placeholder"/>
        </w:category>
        <w:types>
          <w:type w:val="bbPlcHdr"/>
        </w:types>
        <w:behaviors>
          <w:behavior w:val="content"/>
        </w:behaviors>
        <w:description w:val=""/>
        <w:guid w:val="{d9d5a80f-aae8-4e67-933c-7ec23af006cd}"/>
      </w:docPartPr>
      <w:docPartBody>
        <w:p>
          <w:r>
            <w:rPr>
              <w:color w:val="808080"/>
            </w:rPr>
            <w:t>单击此处输入文字。</w:t>
          </w:r>
        </w:p>
      </w:docPartBody>
    </w:docPart>
    <w:docPart>
      <w:docPartPr>
        <w:name w:val="{0e48e6a5-c5f3-4e84-bdf0-d5b251e817da}"/>
        <w:style w:val=""/>
        <w:category>
          <w:name w:val="常规"/>
          <w:gallery w:val="placeholder"/>
        </w:category>
        <w:types>
          <w:type w:val="bbPlcHdr"/>
        </w:types>
        <w:behaviors>
          <w:behavior w:val="content"/>
        </w:behaviors>
        <w:description w:val=""/>
        <w:guid w:val="{0e48e6a5-c5f3-4e84-bdf0-d5b251e817da}"/>
      </w:docPartPr>
      <w:docPartBody>
        <w:p>
          <w:r>
            <w:rPr>
              <w:color w:val="808080"/>
            </w:rPr>
            <w:t>单击此处输入文字。</w:t>
          </w:r>
        </w:p>
      </w:docPartBody>
    </w:docPart>
    <w:docPart>
      <w:docPartPr>
        <w:name w:val="{528ec680-0925-49a4-a66d-d0a5fab72aaf}"/>
        <w:style w:val=""/>
        <w:category>
          <w:name w:val="常规"/>
          <w:gallery w:val="placeholder"/>
        </w:category>
        <w:types>
          <w:type w:val="bbPlcHdr"/>
        </w:types>
        <w:behaviors>
          <w:behavior w:val="content"/>
        </w:behaviors>
        <w:description w:val=""/>
        <w:guid w:val="{528ec680-0925-49a4-a66d-d0a5fab72aaf}"/>
      </w:docPartPr>
      <w:docPartBody>
        <w:p>
          <w:r>
            <w:rPr>
              <w:color w:val="808080"/>
            </w:rPr>
            <w:t>单击此处输入文字。</w:t>
          </w:r>
        </w:p>
      </w:docPartBody>
    </w:docPart>
    <w:docPart>
      <w:docPartPr>
        <w:name w:val="{d47f8dc1-0964-4ca3-856f-0b846fd9a8b9}"/>
        <w:style w:val=""/>
        <w:category>
          <w:name w:val="常规"/>
          <w:gallery w:val="placeholder"/>
        </w:category>
        <w:types>
          <w:type w:val="bbPlcHdr"/>
        </w:types>
        <w:behaviors>
          <w:behavior w:val="content"/>
        </w:behaviors>
        <w:description w:val=""/>
        <w:guid w:val="{d47f8dc1-0964-4ca3-856f-0b846fd9a8b9}"/>
      </w:docPartPr>
      <w:docPartBody>
        <w:p>
          <w:r>
            <w:rPr>
              <w:color w:val="808080"/>
            </w:rPr>
            <w:t>单击此处输入文字。</w:t>
          </w:r>
        </w:p>
      </w:docPartBody>
    </w:docPart>
    <w:docPart>
      <w:docPartPr>
        <w:name w:val="{c513d965-d3d1-4301-99ca-3c7a15d233e2}"/>
        <w:style w:val=""/>
        <w:category>
          <w:name w:val="常规"/>
          <w:gallery w:val="placeholder"/>
        </w:category>
        <w:types>
          <w:type w:val="bbPlcHdr"/>
        </w:types>
        <w:behaviors>
          <w:behavior w:val="content"/>
        </w:behaviors>
        <w:description w:val=""/>
        <w:guid w:val="{c513d965-d3d1-4301-99ca-3c7a15d233e2}"/>
      </w:docPartPr>
      <w:docPartBody>
        <w:p>
          <w:r>
            <w:rPr>
              <w:color w:val="808080"/>
            </w:rPr>
            <w:t>单击此处输入文字。</w:t>
          </w:r>
        </w:p>
      </w:docPartBody>
    </w:docPart>
    <w:docPart>
      <w:docPartPr>
        <w:name w:val="{a6e18d09-2f19-4d37-85e3-30f4070537e0}"/>
        <w:style w:val=""/>
        <w:category>
          <w:name w:val="常规"/>
          <w:gallery w:val="placeholder"/>
        </w:category>
        <w:types>
          <w:type w:val="bbPlcHdr"/>
        </w:types>
        <w:behaviors>
          <w:behavior w:val="content"/>
        </w:behaviors>
        <w:description w:val=""/>
        <w:guid w:val="{a6e18d09-2f19-4d37-85e3-30f4070537e0}"/>
      </w:docPartPr>
      <w:docPartBody>
        <w:p>
          <w:r>
            <w:rPr>
              <w:color w:val="808080"/>
            </w:rPr>
            <w:t>单击此处输入文字。</w:t>
          </w:r>
        </w:p>
      </w:docPartBody>
    </w:docPart>
    <w:docPart>
      <w:docPartPr>
        <w:name w:val="{0b46bd4e-aa2d-4bed-86a1-df4d1d1b2e17}"/>
        <w:style w:val=""/>
        <w:category>
          <w:name w:val="常规"/>
          <w:gallery w:val="placeholder"/>
        </w:category>
        <w:types>
          <w:type w:val="bbPlcHdr"/>
        </w:types>
        <w:behaviors>
          <w:behavior w:val="content"/>
        </w:behaviors>
        <w:description w:val=""/>
        <w:guid w:val="{0b46bd4e-aa2d-4bed-86a1-df4d1d1b2e17}"/>
      </w:docPartPr>
      <w:docPartBody>
        <w:p>
          <w:r>
            <w:rPr>
              <w:color w:val="808080"/>
            </w:rPr>
            <w:t>单击此处输入文字。</w:t>
          </w:r>
        </w:p>
      </w:docPartBody>
    </w:docPart>
    <w:docPart>
      <w:docPartPr>
        <w:name w:val="{5bc9a9c3-9077-4b5b-aa64-91fe9e2a2fe7}"/>
        <w:style w:val=""/>
        <w:category>
          <w:name w:val="常规"/>
          <w:gallery w:val="placeholder"/>
        </w:category>
        <w:types>
          <w:type w:val="bbPlcHdr"/>
        </w:types>
        <w:behaviors>
          <w:behavior w:val="content"/>
        </w:behaviors>
        <w:description w:val=""/>
        <w:guid w:val="{5bc9a9c3-9077-4b5b-aa64-91fe9e2a2fe7}"/>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21325</Words>
  <Characters>24625</Characters>
  <Lines>0</Lines>
  <Paragraphs>0</Paragraphs>
  <TotalTime>43</TotalTime>
  <ScaleCrop>false</ScaleCrop>
  <LinksUpToDate>false</LinksUpToDate>
  <CharactersWithSpaces>25154</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2019-11-21T05:43:00Z</dcterms:created>
  <dc:creator>      他说</dc:creator>
  <cp:lastModifiedBy>      他说</cp:lastModifiedBy>
  <dcterms:modified xsi:type="dcterms:W3CDTF">2019-12-04T07:26:46Z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