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10"/>
        <w:ind w:left="0"/>
        <w:rPr>
          <w:rFonts w:ascii="Times New Roman"/>
          <w:sz w:val="16"/>
        </w:rPr>
      </w:pPr>
    </w:p>
    <w:p>
      <w:pPr>
        <w:spacing w:line="364" w:lineRule="auto" w:before="48"/>
        <w:ind w:left="407" w:right="495" w:firstLine="0"/>
        <w:jc w:val="center"/>
        <w:rPr>
          <w:b/>
          <w:sz w:val="48"/>
        </w:rPr>
      </w:pPr>
      <w:r>
        <w:rPr>
          <w:b/>
          <w:sz w:val="48"/>
        </w:rPr>
        <w:t>泾阳县日新现代农业园区</w:t>
      </w:r>
      <w:r>
        <w:rPr>
          <w:rFonts w:ascii="Times New Roman" w:eastAsia="Times New Roman"/>
          <w:b/>
          <w:sz w:val="48"/>
        </w:rPr>
        <w:t>60MWp</w:t>
      </w:r>
      <w:r>
        <w:rPr>
          <w:b/>
          <w:sz w:val="48"/>
        </w:rPr>
        <w:t>农光互补发电项目</w:t>
      </w:r>
    </w:p>
    <w:p>
      <w:pPr>
        <w:spacing w:before="2"/>
        <w:ind w:left="403" w:right="495" w:firstLine="0"/>
        <w:jc w:val="center"/>
        <w:rPr>
          <w:b/>
          <w:sz w:val="48"/>
        </w:rPr>
      </w:pPr>
      <w:r>
        <w:rPr>
          <w:b/>
          <w:sz w:val="48"/>
        </w:rPr>
        <w:t>生态环境影响评价专题</w:t>
      </w:r>
    </w:p>
    <w:p>
      <w:pPr>
        <w:pStyle w:val="BodyText"/>
        <w:ind w:left="0"/>
        <w:rPr>
          <w:b/>
          <w:sz w:val="48"/>
        </w:rPr>
      </w:pPr>
    </w:p>
    <w:p>
      <w:pPr>
        <w:pStyle w:val="BodyText"/>
        <w:ind w:left="0"/>
        <w:rPr>
          <w:b/>
          <w:sz w:val="48"/>
        </w:rPr>
      </w:pPr>
    </w:p>
    <w:p>
      <w:pPr>
        <w:pStyle w:val="BodyText"/>
        <w:ind w:left="0"/>
        <w:rPr>
          <w:b/>
          <w:sz w:val="48"/>
        </w:rPr>
      </w:pPr>
    </w:p>
    <w:p>
      <w:pPr>
        <w:pStyle w:val="BodyText"/>
        <w:ind w:left="0"/>
        <w:rPr>
          <w:b/>
          <w:sz w:val="48"/>
        </w:rPr>
      </w:pPr>
    </w:p>
    <w:p>
      <w:pPr>
        <w:pStyle w:val="BodyText"/>
        <w:ind w:left="0"/>
        <w:rPr>
          <w:b/>
          <w:sz w:val="48"/>
        </w:rPr>
      </w:pPr>
    </w:p>
    <w:p>
      <w:pPr>
        <w:pStyle w:val="BodyText"/>
        <w:ind w:left="0"/>
        <w:rPr>
          <w:b/>
          <w:sz w:val="48"/>
        </w:rPr>
      </w:pPr>
    </w:p>
    <w:p>
      <w:pPr>
        <w:pStyle w:val="BodyText"/>
        <w:ind w:left="0"/>
        <w:rPr>
          <w:b/>
          <w:sz w:val="48"/>
        </w:rPr>
      </w:pPr>
    </w:p>
    <w:p>
      <w:pPr>
        <w:pStyle w:val="BodyText"/>
        <w:ind w:left="0"/>
        <w:rPr>
          <w:b/>
          <w:sz w:val="48"/>
        </w:rPr>
      </w:pPr>
    </w:p>
    <w:p>
      <w:pPr>
        <w:pStyle w:val="BodyText"/>
        <w:ind w:left="0"/>
        <w:rPr>
          <w:b/>
          <w:sz w:val="48"/>
        </w:rPr>
      </w:pPr>
    </w:p>
    <w:p>
      <w:pPr>
        <w:pStyle w:val="BodyText"/>
        <w:ind w:left="0"/>
        <w:rPr>
          <w:b/>
          <w:sz w:val="48"/>
        </w:rPr>
      </w:pPr>
    </w:p>
    <w:p>
      <w:pPr>
        <w:spacing w:line="364" w:lineRule="auto" w:before="357"/>
        <w:ind w:left="1652" w:right="1753" w:firstLine="0"/>
        <w:jc w:val="center"/>
        <w:rPr>
          <w:sz w:val="32"/>
        </w:rPr>
      </w:pPr>
      <w:r>
        <w:rPr>
          <w:sz w:val="32"/>
        </w:rPr>
        <w:t>建设单位：泾阳捷茂能源科技有限公司编制日期：</w:t>
      </w:r>
      <w:r>
        <w:rPr>
          <w:rFonts w:ascii="Times New Roman" w:eastAsia="Times New Roman"/>
          <w:sz w:val="32"/>
        </w:rPr>
        <w:t>2020</w:t>
      </w:r>
      <w:r>
        <w:rPr>
          <w:sz w:val="32"/>
        </w:rPr>
        <w:t>年</w:t>
      </w:r>
      <w:r>
        <w:rPr>
          <w:rFonts w:ascii="Times New Roman" w:eastAsia="Times New Roman"/>
          <w:sz w:val="32"/>
        </w:rPr>
        <w:t>7</w:t>
      </w:r>
      <w:r>
        <w:rPr>
          <w:sz w:val="32"/>
        </w:rPr>
        <w:t>月</w:t>
      </w:r>
    </w:p>
    <w:p>
      <w:pPr>
        <w:spacing w:after="0" w:line="364" w:lineRule="auto"/>
        <w:jc w:val="center"/>
        <w:rPr>
          <w:sz w:val="32"/>
        </w:rPr>
        <w:sectPr>
          <w:type w:val="continuous"/>
          <w:pgSz w:w="11910" w:h="16840"/>
          <w:pgMar w:top="1580" w:bottom="280" w:left="1580" w:right="1480"/>
        </w:sectPr>
      </w:pPr>
    </w:p>
    <w:p>
      <w:pPr>
        <w:pStyle w:val="BodyText"/>
        <w:spacing w:before="4"/>
        <w:ind w:left="0"/>
        <w:rPr>
          <w:rFonts w:ascii="Times New Roman"/>
          <w:sz w:val="17"/>
        </w:rPr>
      </w:pPr>
    </w:p>
    <w:p>
      <w:pPr>
        <w:spacing w:after="0"/>
        <w:rPr>
          <w:rFonts w:ascii="Times New Roman"/>
          <w:sz w:val="17"/>
        </w:rPr>
        <w:sectPr>
          <w:pgSz w:w="11910" w:h="16840"/>
          <w:pgMar w:top="1580" w:bottom="280" w:left="1580" w:right="1480"/>
        </w:sectPr>
      </w:pPr>
    </w:p>
    <w:p>
      <w:pPr>
        <w:spacing w:before="22"/>
        <w:ind w:left="398" w:right="495" w:firstLine="0"/>
        <w:jc w:val="center"/>
        <w:rPr>
          <w:b/>
          <w:sz w:val="36"/>
        </w:rPr>
      </w:pPr>
      <w:r>
        <w:rPr>
          <w:b/>
          <w:sz w:val="36"/>
        </w:rPr>
        <w:t>目录</w:t>
      </w:r>
    </w:p>
    <w:p>
      <w:pPr>
        <w:spacing w:after="0"/>
        <w:jc w:val="center"/>
        <w:rPr>
          <w:sz w:val="36"/>
        </w:rPr>
        <w:sectPr>
          <w:pgSz w:w="11910" w:h="16840"/>
          <w:pgMar w:top="1480" w:bottom="1797" w:left="1580" w:right="1480"/>
        </w:sectPr>
      </w:pPr>
    </w:p>
    <w:sdt>
      <w:sdtPr>
        <w:docPartObj>
          <w:docPartGallery w:val="Table of Contents"/>
          <w:docPartUnique/>
        </w:docPartObj>
      </w:sdtPr>
      <w:sdtEndPr/>
      <w:sdtContent>
        <w:p>
          <w:pPr>
            <w:pStyle w:val="TOC1"/>
            <w:numPr>
              <w:ilvl w:val="0"/>
              <w:numId w:val="1"/>
            </w:numPr>
            <w:tabs>
              <w:tab w:pos="240" w:val="left" w:leader="none"/>
              <w:tab w:pos="8306" w:val="right" w:leader="dot"/>
            </w:tabs>
            <w:spacing w:line="240" w:lineRule="auto" w:before="251" w:after="0"/>
            <w:ind w:left="460" w:right="317" w:hanging="460"/>
            <w:jc w:val="right"/>
            <w:rPr>
              <w:rFonts w:ascii="Times New Roman" w:eastAsia="Times New Roman"/>
            </w:rPr>
          </w:pPr>
          <w:hyperlink w:history="true" w:anchor="_bookmark0">
            <w:r>
              <w:rPr/>
              <w:t>总则</w:t>
              <w:tab/>
            </w:r>
            <w:r>
              <w:rPr>
                <w:rFonts w:ascii="Times New Roman" w:eastAsia="Times New Roman"/>
              </w:rPr>
              <w:t>1</w:t>
            </w:r>
          </w:hyperlink>
        </w:p>
        <w:p>
          <w:pPr>
            <w:pStyle w:val="TOC2"/>
            <w:numPr>
              <w:ilvl w:val="1"/>
              <w:numId w:val="1"/>
            </w:numPr>
            <w:tabs>
              <w:tab w:pos="420" w:val="left" w:leader="none"/>
              <w:tab w:pos="7886" w:val="right" w:leader="dot"/>
            </w:tabs>
            <w:spacing w:line="240" w:lineRule="auto" w:before="317" w:after="0"/>
            <w:ind w:left="1060" w:right="317" w:hanging="1060"/>
            <w:jc w:val="right"/>
            <w:rPr>
              <w:rFonts w:ascii="Times New Roman" w:eastAsia="Times New Roman"/>
            </w:rPr>
          </w:pPr>
          <w:hyperlink w:history="true" w:anchor="_bookmark1">
            <w:r>
              <w:rPr/>
              <w:t>评价原则</w:t>
              <w:tab/>
            </w:r>
            <w:r>
              <w:rPr>
                <w:rFonts w:ascii="Times New Roman" w:eastAsia="Times New Roman"/>
              </w:rPr>
              <w:t>1</w:t>
            </w:r>
          </w:hyperlink>
        </w:p>
        <w:p>
          <w:pPr>
            <w:pStyle w:val="TOC2"/>
            <w:numPr>
              <w:ilvl w:val="1"/>
              <w:numId w:val="1"/>
            </w:numPr>
            <w:tabs>
              <w:tab w:pos="420" w:val="left" w:leader="none"/>
              <w:tab w:pos="7886" w:val="right" w:leader="dot"/>
            </w:tabs>
            <w:spacing w:line="240" w:lineRule="auto" w:before="316" w:after="0"/>
            <w:ind w:left="1060" w:right="317" w:hanging="1060"/>
            <w:jc w:val="right"/>
            <w:rPr>
              <w:rFonts w:ascii="Times New Roman" w:eastAsia="Times New Roman"/>
            </w:rPr>
          </w:pPr>
          <w:hyperlink w:history="true" w:anchor="_bookmark2">
            <w:r>
              <w:rPr/>
              <w:t>编制依据</w:t>
              <w:tab/>
            </w:r>
            <w:r>
              <w:rPr>
                <w:rFonts w:ascii="Times New Roman" w:eastAsia="Times New Roman"/>
              </w:rPr>
              <w:t>1</w:t>
            </w:r>
          </w:hyperlink>
        </w:p>
        <w:p>
          <w:pPr>
            <w:pStyle w:val="TOC1"/>
            <w:numPr>
              <w:ilvl w:val="0"/>
              <w:numId w:val="1"/>
            </w:numPr>
            <w:tabs>
              <w:tab w:pos="240" w:val="left" w:leader="none"/>
              <w:tab w:pos="8306" w:val="right" w:leader="dot"/>
            </w:tabs>
            <w:spacing w:line="240" w:lineRule="auto" w:before="317" w:after="0"/>
            <w:ind w:left="460" w:right="317" w:hanging="460"/>
            <w:jc w:val="right"/>
            <w:rPr>
              <w:rFonts w:ascii="Times New Roman" w:eastAsia="Times New Roman"/>
            </w:rPr>
          </w:pPr>
          <w:hyperlink w:history="true" w:anchor="_bookmark3">
            <w:r>
              <w:rPr/>
              <w:t>项目建设内容及规模</w:t>
              <w:tab/>
            </w:r>
            <w:r>
              <w:rPr>
                <w:rFonts w:ascii="Times New Roman" w:eastAsia="Times New Roman"/>
              </w:rPr>
              <w:t>2</w:t>
            </w:r>
          </w:hyperlink>
        </w:p>
        <w:p>
          <w:pPr>
            <w:pStyle w:val="TOC2"/>
            <w:numPr>
              <w:ilvl w:val="1"/>
              <w:numId w:val="1"/>
            </w:numPr>
            <w:tabs>
              <w:tab w:pos="420" w:val="left" w:leader="none"/>
              <w:tab w:pos="7886" w:val="right" w:leader="dot"/>
            </w:tabs>
            <w:spacing w:line="240" w:lineRule="auto" w:before="316" w:after="0"/>
            <w:ind w:left="1060" w:right="317" w:hanging="1060"/>
            <w:jc w:val="right"/>
            <w:rPr>
              <w:rFonts w:ascii="Times New Roman" w:eastAsia="Times New Roman"/>
            </w:rPr>
          </w:pPr>
          <w:hyperlink w:history="true" w:anchor="_bookmark4">
            <w:r>
              <w:rPr/>
              <w:t>项目概况</w:t>
              <w:tab/>
            </w:r>
            <w:r>
              <w:rPr>
                <w:rFonts w:ascii="Times New Roman" w:eastAsia="Times New Roman"/>
              </w:rPr>
              <w:t>2</w:t>
            </w:r>
          </w:hyperlink>
        </w:p>
        <w:p>
          <w:pPr>
            <w:pStyle w:val="TOC2"/>
            <w:numPr>
              <w:ilvl w:val="1"/>
              <w:numId w:val="1"/>
            </w:numPr>
            <w:tabs>
              <w:tab w:pos="420" w:val="left" w:leader="none"/>
              <w:tab w:pos="7886" w:val="right" w:leader="dot"/>
            </w:tabs>
            <w:spacing w:line="240" w:lineRule="auto" w:before="317" w:after="0"/>
            <w:ind w:left="1060" w:right="317" w:hanging="1060"/>
            <w:jc w:val="right"/>
            <w:rPr>
              <w:rFonts w:ascii="Times New Roman" w:eastAsia="Times New Roman"/>
            </w:rPr>
          </w:pPr>
          <w:hyperlink w:history="true" w:anchor="_bookmark5">
            <w:r>
              <w:rPr/>
              <w:t>项目占地情况</w:t>
              <w:tab/>
            </w:r>
            <w:r>
              <w:rPr>
                <w:rFonts w:ascii="Times New Roman" w:eastAsia="Times New Roman"/>
              </w:rPr>
              <w:t>3</w:t>
            </w:r>
          </w:hyperlink>
        </w:p>
        <w:p>
          <w:pPr>
            <w:pStyle w:val="TOC1"/>
            <w:numPr>
              <w:ilvl w:val="0"/>
              <w:numId w:val="1"/>
            </w:numPr>
            <w:tabs>
              <w:tab w:pos="240" w:val="left" w:leader="none"/>
              <w:tab w:pos="8306" w:val="right" w:leader="dot"/>
            </w:tabs>
            <w:spacing w:line="240" w:lineRule="auto" w:before="316" w:after="0"/>
            <w:ind w:left="460" w:right="317" w:hanging="460"/>
            <w:jc w:val="right"/>
            <w:rPr>
              <w:rFonts w:ascii="Times New Roman" w:eastAsia="Times New Roman"/>
            </w:rPr>
          </w:pPr>
          <w:hyperlink w:history="true" w:anchor="_bookmark6">
            <w:r>
              <w:rPr/>
              <w:t>评价工作等级和评价范围</w:t>
              <w:tab/>
            </w:r>
            <w:r>
              <w:rPr>
                <w:rFonts w:ascii="Times New Roman" w:eastAsia="Times New Roman"/>
              </w:rPr>
              <w:t>3</w:t>
            </w:r>
          </w:hyperlink>
        </w:p>
        <w:p>
          <w:pPr>
            <w:pStyle w:val="TOC2"/>
            <w:numPr>
              <w:ilvl w:val="1"/>
              <w:numId w:val="1"/>
            </w:numPr>
            <w:tabs>
              <w:tab w:pos="420" w:val="left" w:leader="none"/>
              <w:tab w:pos="7886" w:val="right" w:leader="dot"/>
            </w:tabs>
            <w:spacing w:line="240" w:lineRule="auto" w:before="317" w:after="0"/>
            <w:ind w:left="1060" w:right="317" w:hanging="1060"/>
            <w:jc w:val="right"/>
            <w:rPr>
              <w:rFonts w:ascii="Times New Roman" w:eastAsia="Times New Roman"/>
            </w:rPr>
          </w:pPr>
          <w:hyperlink w:history="true" w:anchor="_bookmark7">
            <w:r>
              <w:rPr/>
              <w:t>评价工作等级</w:t>
              <w:tab/>
            </w:r>
            <w:r>
              <w:rPr>
                <w:rFonts w:ascii="Times New Roman" w:eastAsia="Times New Roman"/>
              </w:rPr>
              <w:t>3</w:t>
            </w:r>
          </w:hyperlink>
        </w:p>
        <w:p>
          <w:pPr>
            <w:pStyle w:val="TOC2"/>
            <w:numPr>
              <w:ilvl w:val="1"/>
              <w:numId w:val="1"/>
            </w:numPr>
            <w:tabs>
              <w:tab w:pos="420" w:val="left" w:leader="none"/>
              <w:tab w:pos="7886" w:val="right" w:leader="dot"/>
            </w:tabs>
            <w:spacing w:line="240" w:lineRule="auto" w:before="316" w:after="0"/>
            <w:ind w:left="1060" w:right="317" w:hanging="1060"/>
            <w:jc w:val="right"/>
            <w:rPr>
              <w:rFonts w:ascii="Times New Roman" w:eastAsia="Times New Roman"/>
            </w:rPr>
          </w:pPr>
          <w:hyperlink w:history="true" w:anchor="_bookmark8">
            <w:r>
              <w:rPr/>
              <w:t>评价范围</w:t>
              <w:tab/>
            </w:r>
            <w:r>
              <w:rPr>
                <w:rFonts w:ascii="Times New Roman" w:eastAsia="Times New Roman"/>
              </w:rPr>
              <w:t>3</w:t>
            </w:r>
          </w:hyperlink>
        </w:p>
        <w:p>
          <w:pPr>
            <w:pStyle w:val="TOC2"/>
            <w:numPr>
              <w:ilvl w:val="1"/>
              <w:numId w:val="1"/>
            </w:numPr>
            <w:tabs>
              <w:tab w:pos="420" w:val="left" w:leader="none"/>
              <w:tab w:pos="7886" w:val="right" w:leader="dot"/>
            </w:tabs>
            <w:spacing w:line="240" w:lineRule="auto" w:before="317" w:after="0"/>
            <w:ind w:left="1060" w:right="317" w:hanging="1060"/>
            <w:jc w:val="right"/>
            <w:rPr>
              <w:rFonts w:ascii="Times New Roman" w:eastAsia="Times New Roman"/>
            </w:rPr>
          </w:pPr>
          <w:hyperlink w:history="true" w:anchor="_bookmark9">
            <w:r>
              <w:rPr/>
              <w:t>生态环境影响识别和评价因子筛选</w:t>
              <w:tab/>
            </w:r>
            <w:r>
              <w:rPr>
                <w:rFonts w:ascii="Times New Roman" w:eastAsia="Times New Roman"/>
              </w:rPr>
              <w:t>4</w:t>
            </w:r>
          </w:hyperlink>
        </w:p>
        <w:p>
          <w:pPr>
            <w:pStyle w:val="TOC1"/>
            <w:numPr>
              <w:ilvl w:val="0"/>
              <w:numId w:val="1"/>
            </w:numPr>
            <w:tabs>
              <w:tab w:pos="240" w:val="left" w:leader="none"/>
              <w:tab w:pos="8306" w:val="right" w:leader="dot"/>
            </w:tabs>
            <w:spacing w:line="240" w:lineRule="auto" w:before="316" w:after="0"/>
            <w:ind w:left="460" w:right="317" w:hanging="460"/>
            <w:jc w:val="right"/>
            <w:rPr>
              <w:rFonts w:ascii="Times New Roman" w:eastAsia="Times New Roman"/>
            </w:rPr>
          </w:pPr>
          <w:hyperlink w:history="true" w:anchor="_bookmark10">
            <w:r>
              <w:rPr/>
              <w:t>工程分析</w:t>
              <w:tab/>
            </w:r>
            <w:r>
              <w:rPr>
                <w:rFonts w:ascii="Times New Roman" w:eastAsia="Times New Roman"/>
              </w:rPr>
              <w:t>4</w:t>
            </w:r>
          </w:hyperlink>
        </w:p>
        <w:p>
          <w:pPr>
            <w:pStyle w:val="TOC1"/>
            <w:numPr>
              <w:ilvl w:val="0"/>
              <w:numId w:val="1"/>
            </w:numPr>
            <w:tabs>
              <w:tab w:pos="240" w:val="left" w:leader="none"/>
              <w:tab w:pos="8306" w:val="right" w:leader="dot"/>
            </w:tabs>
            <w:spacing w:line="240" w:lineRule="auto" w:before="317" w:after="0"/>
            <w:ind w:left="460" w:right="317" w:hanging="460"/>
            <w:jc w:val="right"/>
            <w:rPr>
              <w:rFonts w:ascii="Times New Roman" w:eastAsia="Times New Roman"/>
            </w:rPr>
          </w:pPr>
          <w:hyperlink w:history="true" w:anchor="_bookmark11">
            <w:r>
              <w:rPr/>
              <w:t>生态环境现状调查及评价</w:t>
              <w:tab/>
            </w:r>
            <w:r>
              <w:rPr>
                <w:rFonts w:ascii="Times New Roman" w:eastAsia="Times New Roman"/>
              </w:rPr>
              <w:t>5</w:t>
            </w:r>
          </w:hyperlink>
        </w:p>
        <w:p>
          <w:pPr>
            <w:pStyle w:val="TOC2"/>
            <w:numPr>
              <w:ilvl w:val="1"/>
              <w:numId w:val="1"/>
            </w:numPr>
            <w:tabs>
              <w:tab w:pos="420" w:val="left" w:leader="none"/>
              <w:tab w:pos="7886" w:val="right" w:leader="dot"/>
            </w:tabs>
            <w:spacing w:line="240" w:lineRule="auto" w:before="316" w:after="0"/>
            <w:ind w:left="1060" w:right="317" w:hanging="1060"/>
            <w:jc w:val="right"/>
            <w:rPr>
              <w:rFonts w:ascii="Times New Roman" w:eastAsia="Times New Roman"/>
            </w:rPr>
          </w:pPr>
          <w:hyperlink w:history="true" w:anchor="_bookmark12">
            <w:r>
              <w:rPr/>
              <w:t>生态环境调查评价范围</w:t>
              <w:tab/>
            </w:r>
            <w:r>
              <w:rPr>
                <w:rFonts w:ascii="Times New Roman" w:eastAsia="Times New Roman"/>
              </w:rPr>
              <w:t>5</w:t>
            </w:r>
          </w:hyperlink>
        </w:p>
        <w:p>
          <w:pPr>
            <w:pStyle w:val="TOC2"/>
            <w:numPr>
              <w:ilvl w:val="1"/>
              <w:numId w:val="1"/>
            </w:numPr>
            <w:tabs>
              <w:tab w:pos="420" w:val="left" w:leader="none"/>
              <w:tab w:pos="7886" w:val="right" w:leader="dot"/>
            </w:tabs>
            <w:spacing w:line="240" w:lineRule="auto" w:before="317" w:after="0"/>
            <w:ind w:left="1060" w:right="317" w:hanging="1060"/>
            <w:jc w:val="right"/>
            <w:rPr>
              <w:rFonts w:ascii="Times New Roman" w:eastAsia="Times New Roman"/>
            </w:rPr>
          </w:pPr>
          <w:hyperlink w:history="true" w:anchor="_bookmark13">
            <w:r>
              <w:rPr/>
              <w:t>遥感影像</w:t>
              <w:tab/>
            </w:r>
            <w:r>
              <w:rPr>
                <w:rFonts w:ascii="Times New Roman" w:eastAsia="Times New Roman"/>
              </w:rPr>
              <w:t>6</w:t>
            </w:r>
          </w:hyperlink>
        </w:p>
        <w:p>
          <w:pPr>
            <w:pStyle w:val="TOC2"/>
            <w:numPr>
              <w:ilvl w:val="1"/>
              <w:numId w:val="1"/>
            </w:numPr>
            <w:tabs>
              <w:tab w:pos="420" w:val="left" w:leader="none"/>
              <w:tab w:pos="7886" w:val="right" w:leader="dot"/>
            </w:tabs>
            <w:spacing w:line="240" w:lineRule="auto" w:before="316" w:after="0"/>
            <w:ind w:left="1060" w:right="317" w:hanging="1060"/>
            <w:jc w:val="right"/>
            <w:rPr>
              <w:rFonts w:ascii="Times New Roman" w:eastAsia="Times New Roman"/>
            </w:rPr>
          </w:pPr>
          <w:hyperlink w:history="true" w:anchor="_bookmark14">
            <w:r>
              <w:rPr/>
              <w:t>土地利用现状</w:t>
              <w:tab/>
            </w:r>
            <w:r>
              <w:rPr>
                <w:rFonts w:ascii="Times New Roman" w:eastAsia="Times New Roman"/>
              </w:rPr>
              <w:t>7</w:t>
            </w:r>
          </w:hyperlink>
        </w:p>
        <w:p>
          <w:pPr>
            <w:pStyle w:val="TOC2"/>
            <w:numPr>
              <w:ilvl w:val="1"/>
              <w:numId w:val="1"/>
            </w:numPr>
            <w:tabs>
              <w:tab w:pos="420" w:val="left" w:leader="none"/>
              <w:tab w:pos="7886" w:val="right" w:leader="dot"/>
            </w:tabs>
            <w:spacing w:line="240" w:lineRule="auto" w:before="317" w:after="0"/>
            <w:ind w:left="1060" w:right="317" w:hanging="1060"/>
            <w:jc w:val="right"/>
            <w:rPr>
              <w:rFonts w:ascii="Times New Roman" w:eastAsia="Times New Roman"/>
            </w:rPr>
          </w:pPr>
          <w:hyperlink w:history="true" w:anchor="_bookmark15">
            <w:r>
              <w:rPr/>
              <w:t>植被类型分布</w:t>
              <w:tab/>
            </w:r>
            <w:r>
              <w:rPr>
                <w:rFonts w:ascii="Times New Roman" w:eastAsia="Times New Roman"/>
              </w:rPr>
              <w:t>9</w:t>
            </w:r>
          </w:hyperlink>
        </w:p>
        <w:p>
          <w:pPr>
            <w:pStyle w:val="TOC2"/>
            <w:numPr>
              <w:ilvl w:val="1"/>
              <w:numId w:val="1"/>
            </w:numPr>
            <w:tabs>
              <w:tab w:pos="420" w:val="left" w:leader="none"/>
              <w:tab w:pos="7886" w:val="right" w:leader="dot"/>
            </w:tabs>
            <w:spacing w:line="240" w:lineRule="auto" w:before="316" w:after="0"/>
            <w:ind w:left="1060" w:right="317" w:hanging="1060"/>
            <w:jc w:val="right"/>
            <w:rPr>
              <w:rFonts w:ascii="Times New Roman" w:eastAsia="Times New Roman"/>
            </w:rPr>
          </w:pPr>
          <w:hyperlink w:history="true" w:anchor="_bookmark16">
            <w:r>
              <w:rPr/>
              <w:t>植被覆盖图</w:t>
              <w:tab/>
            </w:r>
            <w:r>
              <w:rPr>
                <w:rFonts w:ascii="Times New Roman" w:eastAsia="Times New Roman"/>
              </w:rPr>
              <w:t>10</w:t>
            </w:r>
          </w:hyperlink>
        </w:p>
        <w:p>
          <w:pPr>
            <w:pStyle w:val="TOC2"/>
            <w:numPr>
              <w:ilvl w:val="1"/>
              <w:numId w:val="1"/>
            </w:numPr>
            <w:tabs>
              <w:tab w:pos="420" w:val="left" w:leader="none"/>
              <w:tab w:pos="7886" w:val="right" w:leader="dot"/>
            </w:tabs>
            <w:spacing w:line="240" w:lineRule="auto" w:before="317" w:after="0"/>
            <w:ind w:left="1060" w:right="317" w:hanging="1060"/>
            <w:jc w:val="right"/>
            <w:rPr>
              <w:rFonts w:ascii="Times New Roman" w:eastAsia="Times New Roman"/>
            </w:rPr>
          </w:pPr>
          <w:hyperlink w:history="true" w:anchor="_bookmark17">
            <w:r>
              <w:rPr/>
              <w:t>评价区土壤类型</w:t>
              <w:tab/>
            </w:r>
            <w:r>
              <w:rPr>
                <w:rFonts w:ascii="Times New Roman" w:eastAsia="Times New Roman"/>
              </w:rPr>
              <w:t>11</w:t>
            </w:r>
          </w:hyperlink>
        </w:p>
        <w:p>
          <w:pPr>
            <w:pStyle w:val="TOC2"/>
            <w:numPr>
              <w:ilvl w:val="1"/>
              <w:numId w:val="1"/>
            </w:numPr>
            <w:tabs>
              <w:tab w:pos="420" w:val="left" w:leader="none"/>
              <w:tab w:pos="7886" w:val="right" w:leader="dot"/>
            </w:tabs>
            <w:spacing w:line="240" w:lineRule="auto" w:before="316" w:after="0"/>
            <w:ind w:left="1060" w:right="317" w:hanging="1060"/>
            <w:jc w:val="right"/>
            <w:rPr>
              <w:rFonts w:ascii="Times New Roman" w:eastAsia="Times New Roman"/>
            </w:rPr>
          </w:pPr>
          <w:hyperlink w:history="true" w:anchor="_bookmark18">
            <w:r>
              <w:rPr/>
              <w:t>野生动物现状</w:t>
              <w:tab/>
            </w:r>
            <w:r>
              <w:rPr>
                <w:rFonts w:ascii="Times New Roman" w:eastAsia="Times New Roman"/>
              </w:rPr>
              <w:t>12</w:t>
            </w:r>
          </w:hyperlink>
        </w:p>
        <w:p>
          <w:pPr>
            <w:pStyle w:val="TOC2"/>
            <w:numPr>
              <w:ilvl w:val="1"/>
              <w:numId w:val="1"/>
            </w:numPr>
            <w:tabs>
              <w:tab w:pos="420" w:val="left" w:leader="none"/>
              <w:tab w:pos="7886" w:val="right" w:leader="dot"/>
            </w:tabs>
            <w:spacing w:line="240" w:lineRule="auto" w:before="317" w:after="0"/>
            <w:ind w:left="1060" w:right="317" w:hanging="1060"/>
            <w:jc w:val="right"/>
            <w:rPr>
              <w:rFonts w:ascii="Times New Roman" w:eastAsia="Times New Roman"/>
            </w:rPr>
          </w:pPr>
          <w:hyperlink w:history="true" w:anchor="_bookmark19">
            <w:r>
              <w:rPr/>
              <w:t>水土流失现状</w:t>
              <w:tab/>
            </w:r>
            <w:r>
              <w:rPr>
                <w:rFonts w:ascii="Times New Roman" w:eastAsia="Times New Roman"/>
              </w:rPr>
              <w:t>12</w:t>
            </w:r>
          </w:hyperlink>
        </w:p>
        <w:p>
          <w:pPr>
            <w:pStyle w:val="TOC2"/>
            <w:numPr>
              <w:ilvl w:val="1"/>
              <w:numId w:val="1"/>
            </w:numPr>
            <w:tabs>
              <w:tab w:pos="420" w:val="left" w:leader="none"/>
              <w:tab w:pos="7886" w:val="right" w:leader="dot"/>
            </w:tabs>
            <w:spacing w:line="240" w:lineRule="auto" w:before="316" w:after="20"/>
            <w:ind w:left="1060" w:right="317" w:hanging="1060"/>
            <w:jc w:val="right"/>
            <w:rPr>
              <w:rFonts w:ascii="Times New Roman" w:eastAsia="Times New Roman"/>
            </w:rPr>
          </w:pPr>
          <w:hyperlink w:history="true" w:anchor="_bookmark20">
            <w:r>
              <w:rPr/>
              <w:t>生态功能区划</w:t>
              <w:tab/>
            </w:r>
            <w:r>
              <w:rPr>
                <w:rFonts w:ascii="Times New Roman" w:eastAsia="Times New Roman"/>
              </w:rPr>
              <w:t>13</w:t>
            </w:r>
          </w:hyperlink>
        </w:p>
        <w:p>
          <w:pPr>
            <w:pStyle w:val="TOC1"/>
            <w:numPr>
              <w:ilvl w:val="0"/>
              <w:numId w:val="1"/>
            </w:numPr>
            <w:tabs>
              <w:tab w:pos="240" w:val="left" w:leader="none"/>
              <w:tab w:pos="8306" w:val="right" w:leader="dot"/>
            </w:tabs>
            <w:spacing w:line="240" w:lineRule="auto" w:before="51" w:after="0"/>
            <w:ind w:left="460" w:right="317" w:hanging="460"/>
            <w:jc w:val="right"/>
            <w:rPr>
              <w:rFonts w:ascii="Times New Roman" w:eastAsia="Times New Roman"/>
            </w:rPr>
          </w:pPr>
          <w:hyperlink w:history="true" w:anchor="_bookmark21">
            <w:r>
              <w:rPr/>
              <w:t>生态环境影响分析</w:t>
              <w:tab/>
            </w:r>
            <w:r>
              <w:rPr>
                <w:rFonts w:ascii="Times New Roman" w:eastAsia="Times New Roman"/>
              </w:rPr>
              <w:t>15</w:t>
            </w:r>
          </w:hyperlink>
        </w:p>
        <w:p>
          <w:pPr>
            <w:pStyle w:val="TOC2"/>
            <w:numPr>
              <w:ilvl w:val="1"/>
              <w:numId w:val="1"/>
            </w:numPr>
            <w:tabs>
              <w:tab w:pos="420" w:val="left" w:leader="none"/>
              <w:tab w:pos="7886" w:val="right" w:leader="dot"/>
            </w:tabs>
            <w:spacing w:line="240" w:lineRule="auto" w:before="316" w:after="0"/>
            <w:ind w:left="1060" w:right="317" w:hanging="1060"/>
            <w:jc w:val="right"/>
            <w:rPr>
              <w:rFonts w:ascii="Times New Roman" w:eastAsia="Times New Roman"/>
            </w:rPr>
          </w:pPr>
          <w:hyperlink w:history="true" w:anchor="_bookmark22">
            <w:r>
              <w:rPr/>
              <w:t>施工期生态环境影响分析</w:t>
              <w:tab/>
            </w:r>
            <w:r>
              <w:rPr>
                <w:rFonts w:ascii="Times New Roman" w:eastAsia="Times New Roman"/>
              </w:rPr>
              <w:t>15</w:t>
            </w:r>
          </w:hyperlink>
        </w:p>
        <w:p>
          <w:pPr>
            <w:pStyle w:val="TOC2"/>
            <w:numPr>
              <w:ilvl w:val="1"/>
              <w:numId w:val="1"/>
            </w:numPr>
            <w:tabs>
              <w:tab w:pos="420" w:val="left" w:leader="none"/>
              <w:tab w:pos="7886" w:val="right" w:leader="dot"/>
            </w:tabs>
            <w:spacing w:line="240" w:lineRule="auto" w:before="317" w:after="0"/>
            <w:ind w:left="1060" w:right="317" w:hanging="1060"/>
            <w:jc w:val="right"/>
            <w:rPr>
              <w:rFonts w:ascii="Times New Roman" w:eastAsia="Times New Roman"/>
            </w:rPr>
          </w:pPr>
          <w:hyperlink w:history="true" w:anchor="_bookmark23">
            <w:r>
              <w:rPr/>
              <w:t>运营期生态环境影响分析</w:t>
              <w:tab/>
            </w:r>
            <w:r>
              <w:rPr>
                <w:rFonts w:ascii="Times New Roman" w:eastAsia="Times New Roman"/>
              </w:rPr>
              <w:t>18</w:t>
            </w:r>
          </w:hyperlink>
        </w:p>
        <w:p>
          <w:pPr>
            <w:pStyle w:val="TOC1"/>
            <w:numPr>
              <w:ilvl w:val="0"/>
              <w:numId w:val="1"/>
            </w:numPr>
            <w:tabs>
              <w:tab w:pos="240" w:val="left" w:leader="none"/>
              <w:tab w:pos="8306" w:val="right" w:leader="dot"/>
            </w:tabs>
            <w:spacing w:line="240" w:lineRule="auto" w:before="316" w:after="0"/>
            <w:ind w:left="460" w:right="317" w:hanging="460"/>
            <w:jc w:val="right"/>
            <w:rPr>
              <w:rFonts w:ascii="Times New Roman" w:eastAsia="Times New Roman"/>
            </w:rPr>
          </w:pPr>
          <w:hyperlink w:history="true" w:anchor="_bookmark24">
            <w:r>
              <w:rPr/>
              <w:t>生态环境保护与恢复</w:t>
              <w:tab/>
            </w:r>
            <w:r>
              <w:rPr>
                <w:rFonts w:ascii="Times New Roman" w:eastAsia="Times New Roman"/>
              </w:rPr>
              <w:t>20</w:t>
            </w:r>
          </w:hyperlink>
        </w:p>
        <w:p>
          <w:pPr>
            <w:pStyle w:val="TOC2"/>
            <w:numPr>
              <w:ilvl w:val="1"/>
              <w:numId w:val="1"/>
            </w:numPr>
            <w:tabs>
              <w:tab w:pos="420" w:val="left" w:leader="none"/>
              <w:tab w:pos="7886" w:val="right" w:leader="dot"/>
            </w:tabs>
            <w:spacing w:line="240" w:lineRule="auto" w:before="317" w:after="0"/>
            <w:ind w:left="1060" w:right="317" w:hanging="1060"/>
            <w:jc w:val="right"/>
            <w:rPr>
              <w:rFonts w:ascii="Times New Roman" w:eastAsia="Times New Roman"/>
            </w:rPr>
          </w:pPr>
          <w:hyperlink w:history="true" w:anchor="_bookmark25">
            <w:r>
              <w:rPr/>
              <w:t>生态减缓措施</w:t>
              <w:tab/>
            </w:r>
            <w:r>
              <w:rPr>
                <w:rFonts w:ascii="Times New Roman" w:eastAsia="Times New Roman"/>
              </w:rPr>
              <w:t>20</w:t>
            </w:r>
          </w:hyperlink>
        </w:p>
        <w:p>
          <w:pPr>
            <w:pStyle w:val="TOC2"/>
            <w:numPr>
              <w:ilvl w:val="1"/>
              <w:numId w:val="1"/>
            </w:numPr>
            <w:tabs>
              <w:tab w:pos="420" w:val="left" w:leader="none"/>
              <w:tab w:pos="7886" w:val="right" w:leader="dot"/>
            </w:tabs>
            <w:spacing w:line="240" w:lineRule="auto" w:before="316" w:after="0"/>
            <w:ind w:left="1060" w:right="317" w:hanging="1060"/>
            <w:jc w:val="right"/>
            <w:rPr>
              <w:rFonts w:ascii="Times New Roman" w:eastAsia="Times New Roman"/>
            </w:rPr>
          </w:pPr>
          <w:hyperlink w:history="true" w:anchor="_bookmark26">
            <w:r>
              <w:rPr/>
              <w:t>植被恢复措施</w:t>
              <w:tab/>
            </w:r>
            <w:r>
              <w:rPr>
                <w:rFonts w:ascii="Times New Roman" w:eastAsia="Times New Roman"/>
              </w:rPr>
              <w:t>21</w:t>
            </w:r>
          </w:hyperlink>
        </w:p>
        <w:p>
          <w:pPr>
            <w:pStyle w:val="TOC2"/>
            <w:numPr>
              <w:ilvl w:val="1"/>
              <w:numId w:val="1"/>
            </w:numPr>
            <w:tabs>
              <w:tab w:pos="420" w:val="left" w:leader="none"/>
              <w:tab w:pos="7886" w:val="right" w:leader="dot"/>
            </w:tabs>
            <w:spacing w:line="240" w:lineRule="auto" w:before="317" w:after="0"/>
            <w:ind w:left="1060" w:right="317" w:hanging="1060"/>
            <w:jc w:val="right"/>
            <w:rPr>
              <w:rFonts w:ascii="Times New Roman" w:eastAsia="Times New Roman"/>
            </w:rPr>
          </w:pPr>
          <w:hyperlink w:history="true" w:anchor="_bookmark27">
            <w:r>
              <w:rPr/>
              <w:t>水土流失重点治理区保护措施</w:t>
              <w:tab/>
            </w:r>
            <w:r>
              <w:rPr>
                <w:rFonts w:ascii="Times New Roman" w:eastAsia="Times New Roman"/>
              </w:rPr>
              <w:t>24</w:t>
            </w:r>
          </w:hyperlink>
        </w:p>
        <w:p>
          <w:pPr>
            <w:pStyle w:val="TOC2"/>
            <w:numPr>
              <w:ilvl w:val="1"/>
              <w:numId w:val="1"/>
            </w:numPr>
            <w:tabs>
              <w:tab w:pos="420" w:val="left" w:leader="none"/>
              <w:tab w:pos="7886" w:val="right" w:leader="dot"/>
            </w:tabs>
            <w:spacing w:line="240" w:lineRule="auto" w:before="316" w:after="0"/>
            <w:ind w:left="1060" w:right="317" w:hanging="1060"/>
            <w:jc w:val="right"/>
            <w:rPr>
              <w:rFonts w:ascii="Times New Roman" w:eastAsia="Times New Roman"/>
            </w:rPr>
          </w:pPr>
          <w:hyperlink w:history="true" w:anchor="_bookmark28">
            <w:r>
              <w:rPr/>
              <w:t>管理措施</w:t>
              <w:tab/>
            </w:r>
            <w:r>
              <w:rPr>
                <w:rFonts w:ascii="Times New Roman" w:eastAsia="Times New Roman"/>
              </w:rPr>
              <w:t>25</w:t>
            </w:r>
          </w:hyperlink>
        </w:p>
        <w:p>
          <w:pPr>
            <w:pStyle w:val="TOC2"/>
            <w:numPr>
              <w:ilvl w:val="1"/>
              <w:numId w:val="1"/>
            </w:numPr>
            <w:tabs>
              <w:tab w:pos="420" w:val="left" w:leader="none"/>
              <w:tab w:pos="7886" w:val="right" w:leader="dot"/>
            </w:tabs>
            <w:spacing w:line="240" w:lineRule="auto" w:before="317" w:after="0"/>
            <w:ind w:left="1060" w:right="317" w:hanging="1060"/>
            <w:jc w:val="right"/>
            <w:rPr>
              <w:rFonts w:ascii="Times New Roman" w:eastAsia="Times New Roman"/>
            </w:rPr>
          </w:pPr>
          <w:hyperlink w:history="true" w:anchor="_bookmark29">
            <w:r>
              <w:rPr/>
              <w:t>服务期满后的生态防护措施</w:t>
              <w:tab/>
            </w:r>
            <w:r>
              <w:rPr>
                <w:rFonts w:ascii="Times New Roman" w:eastAsia="Times New Roman"/>
              </w:rPr>
              <w:t>26</w:t>
            </w:r>
          </w:hyperlink>
        </w:p>
        <w:p>
          <w:pPr>
            <w:pStyle w:val="TOC1"/>
            <w:numPr>
              <w:ilvl w:val="0"/>
              <w:numId w:val="1"/>
            </w:numPr>
            <w:tabs>
              <w:tab w:pos="240" w:val="left" w:leader="none"/>
              <w:tab w:pos="8306" w:val="right" w:leader="dot"/>
            </w:tabs>
            <w:spacing w:line="240" w:lineRule="auto" w:before="316" w:after="0"/>
            <w:ind w:left="460" w:right="317" w:hanging="460"/>
            <w:jc w:val="right"/>
            <w:rPr>
              <w:rFonts w:ascii="Times New Roman" w:eastAsia="Times New Roman"/>
            </w:rPr>
          </w:pPr>
          <w:hyperlink w:history="true" w:anchor="_bookmark30">
            <w:r>
              <w:rPr/>
              <w:t>评价结论</w:t>
              <w:tab/>
            </w:r>
            <w:r>
              <w:rPr>
                <w:rFonts w:ascii="Times New Roman" w:eastAsia="Times New Roman"/>
              </w:rPr>
              <w:t>26</w:t>
            </w:r>
          </w:hyperlink>
        </w:p>
        <w:p>
          <w:pPr>
            <w:pStyle w:val="TOC2"/>
            <w:tabs>
              <w:tab w:pos="7886" w:val="right" w:leader="dot"/>
            </w:tabs>
            <w:spacing w:before="317"/>
            <w:ind w:left="0" w:firstLine="0"/>
            <w:rPr>
              <w:rFonts w:ascii="Times New Roman" w:eastAsia="Times New Roman"/>
            </w:rPr>
          </w:pPr>
          <w:hyperlink w:history="true" w:anchor="_bookmark31">
            <w:r>
              <w:rPr>
                <w:rFonts w:ascii="Times New Roman" w:eastAsia="Times New Roman"/>
              </w:rPr>
              <w:t>8.1  </w:t>
            </w:r>
            <w:r>
              <w:rPr/>
              <w:t>结论</w:t>
              <w:tab/>
            </w:r>
            <w:r>
              <w:rPr>
                <w:rFonts w:ascii="Times New Roman" w:eastAsia="Times New Roman"/>
              </w:rPr>
              <w:t>26</w:t>
            </w:r>
          </w:hyperlink>
        </w:p>
        <w:p>
          <w:pPr>
            <w:pStyle w:val="TOC2"/>
            <w:tabs>
              <w:tab w:pos="7886" w:val="right" w:leader="dot"/>
            </w:tabs>
            <w:ind w:left="0" w:firstLine="0"/>
            <w:rPr>
              <w:rFonts w:ascii="Times New Roman" w:eastAsia="Times New Roman"/>
            </w:rPr>
          </w:pPr>
          <w:hyperlink w:history="true" w:anchor="_bookmark32">
            <w:r>
              <w:rPr>
                <w:rFonts w:ascii="Times New Roman" w:eastAsia="Times New Roman"/>
              </w:rPr>
              <w:t>8.2  </w:t>
            </w:r>
            <w:r>
              <w:rPr/>
              <w:t>建议</w:t>
              <w:tab/>
            </w:r>
            <w:r>
              <w:rPr>
                <w:rFonts w:ascii="Times New Roman" w:eastAsia="Times New Roman"/>
              </w:rPr>
              <w:t>26</w:t>
            </w:r>
          </w:hyperlink>
        </w:p>
      </w:sdtContent>
    </w:sdt>
    <w:p>
      <w:pPr>
        <w:spacing w:after="0"/>
        <w:rPr>
          <w:rFonts w:ascii="Times New Roman" w:eastAsia="Times New Roman"/>
        </w:rPr>
        <w:sectPr>
          <w:type w:val="continuous"/>
          <w:pgSz w:w="11910" w:h="16840"/>
          <w:pgMar w:top="1560" w:bottom="1797" w:left="1580" w:right="1480"/>
        </w:sectPr>
      </w:pPr>
    </w:p>
    <w:p>
      <w:pPr>
        <w:pStyle w:val="Heading2"/>
        <w:numPr>
          <w:ilvl w:val="0"/>
          <w:numId w:val="2"/>
        </w:numPr>
        <w:tabs>
          <w:tab w:pos="520" w:val="left" w:leader="none"/>
        </w:tabs>
        <w:spacing w:line="240" w:lineRule="auto" w:before="43" w:after="0"/>
        <w:ind w:left="520" w:right="0" w:hanging="300"/>
        <w:jc w:val="left"/>
        <w:rPr>
          <w:rFonts w:ascii="Times New Roman" w:eastAsia="Times New Roman"/>
        </w:rPr>
      </w:pPr>
      <w:bookmarkStart w:name="_bookmark0" w:id="1"/>
      <w:bookmarkEnd w:id="1"/>
      <w:r>
        <w:rPr>
          <w:b w:val="0"/>
        </w:rPr>
      </w:r>
      <w:bookmarkStart w:name="_bookmark0" w:id="2"/>
      <w:bookmarkEnd w:id="2"/>
      <w:r>
        <w:rPr/>
        <w:t>总则</w:t>
      </w:r>
    </w:p>
    <w:p>
      <w:pPr>
        <w:pStyle w:val="Heading3"/>
        <w:numPr>
          <w:ilvl w:val="1"/>
          <w:numId w:val="2"/>
        </w:numPr>
        <w:tabs>
          <w:tab w:pos="710" w:val="left" w:leader="none"/>
        </w:tabs>
        <w:spacing w:line="240" w:lineRule="auto" w:before="252" w:after="0"/>
        <w:ind w:left="709" w:right="0" w:hanging="490"/>
        <w:jc w:val="left"/>
      </w:pPr>
      <w:bookmarkStart w:name="_bookmark1" w:id="3"/>
      <w:bookmarkEnd w:id="3"/>
      <w:r>
        <w:rPr>
          <w:b w:val="0"/>
        </w:rPr>
      </w:r>
      <w:bookmarkStart w:name="_bookmark1" w:id="4"/>
      <w:bookmarkEnd w:id="4"/>
      <w:r>
        <w:rPr/>
        <w:t>评价原则</w:t>
      </w:r>
    </w:p>
    <w:p>
      <w:pPr>
        <w:pStyle w:val="ListParagraph"/>
        <w:numPr>
          <w:ilvl w:val="2"/>
          <w:numId w:val="2"/>
        </w:numPr>
        <w:tabs>
          <w:tab w:pos="1301" w:val="left" w:leader="none"/>
        </w:tabs>
        <w:spacing w:line="364" w:lineRule="auto" w:before="212" w:after="0"/>
        <w:ind w:left="220" w:right="317" w:firstLine="480"/>
        <w:jc w:val="left"/>
        <w:rPr>
          <w:sz w:val="24"/>
        </w:rPr>
      </w:pPr>
      <w:r>
        <w:rPr>
          <w:spacing w:val="-1"/>
          <w:sz w:val="24"/>
        </w:rPr>
        <w:t>通过对该项目所在区域的生态环境质量现状调査与分析，评价该区域</w:t>
      </w:r>
      <w:r>
        <w:rPr>
          <w:sz w:val="24"/>
        </w:rPr>
        <w:t>生态环境质量现状及其存在的生态问题。</w:t>
      </w:r>
    </w:p>
    <w:p>
      <w:pPr>
        <w:pStyle w:val="ListParagraph"/>
        <w:numPr>
          <w:ilvl w:val="2"/>
          <w:numId w:val="2"/>
        </w:numPr>
        <w:tabs>
          <w:tab w:pos="1301" w:val="left" w:leader="none"/>
        </w:tabs>
        <w:spacing w:line="364" w:lineRule="auto" w:before="1" w:after="0"/>
        <w:ind w:left="220" w:right="320" w:firstLine="480"/>
        <w:jc w:val="left"/>
        <w:rPr>
          <w:sz w:val="24"/>
        </w:rPr>
      </w:pPr>
      <w:r>
        <w:rPr>
          <w:spacing w:val="-1"/>
          <w:sz w:val="24"/>
        </w:rPr>
        <w:t>通过工程分析，预测本项目对区域生态环境的影响；对建设区域野生</w:t>
      </w:r>
      <w:r>
        <w:rPr>
          <w:sz w:val="24"/>
        </w:rPr>
        <w:t>动植物进行调查与分析，评价工程建设对野生动植物的影响。</w:t>
      </w:r>
    </w:p>
    <w:p>
      <w:pPr>
        <w:pStyle w:val="ListParagraph"/>
        <w:numPr>
          <w:ilvl w:val="2"/>
          <w:numId w:val="2"/>
        </w:numPr>
        <w:tabs>
          <w:tab w:pos="1301" w:val="left" w:leader="none"/>
        </w:tabs>
        <w:spacing w:line="364" w:lineRule="auto" w:before="1" w:after="0"/>
        <w:ind w:left="220" w:right="320" w:firstLine="480"/>
        <w:jc w:val="left"/>
        <w:rPr>
          <w:sz w:val="24"/>
        </w:rPr>
      </w:pPr>
      <w:r>
        <w:rPr>
          <w:spacing w:val="-1"/>
          <w:sz w:val="24"/>
        </w:rPr>
        <w:t>根据区域生态特征提出生态恢复、生态补偿及生态建设方案，使区域</w:t>
      </w:r>
      <w:r>
        <w:rPr>
          <w:sz w:val="24"/>
        </w:rPr>
        <w:t>生态环境得到可持续发展。</w:t>
      </w:r>
    </w:p>
    <w:p>
      <w:pPr>
        <w:pStyle w:val="ListParagraph"/>
        <w:numPr>
          <w:ilvl w:val="2"/>
          <w:numId w:val="2"/>
        </w:numPr>
        <w:tabs>
          <w:tab w:pos="1301" w:val="left" w:leader="none"/>
        </w:tabs>
        <w:spacing w:line="240" w:lineRule="auto" w:before="1" w:after="0"/>
        <w:ind w:left="1301" w:right="0" w:hanging="601"/>
        <w:jc w:val="left"/>
        <w:rPr>
          <w:sz w:val="24"/>
        </w:rPr>
      </w:pPr>
      <w:r>
        <w:rPr>
          <w:sz w:val="24"/>
        </w:rPr>
        <w:t>从生态环境影响角度论述本项目建设的可行性。</w:t>
      </w:r>
    </w:p>
    <w:p>
      <w:pPr>
        <w:pStyle w:val="ListParagraph"/>
        <w:numPr>
          <w:ilvl w:val="2"/>
          <w:numId w:val="2"/>
        </w:numPr>
        <w:tabs>
          <w:tab w:pos="1301" w:val="left" w:leader="none"/>
        </w:tabs>
        <w:spacing w:line="364" w:lineRule="auto" w:before="161" w:after="0"/>
        <w:ind w:left="220" w:right="317" w:firstLine="480"/>
        <w:jc w:val="both"/>
        <w:rPr>
          <w:sz w:val="24"/>
        </w:rPr>
      </w:pPr>
      <w:r>
        <w:rPr>
          <w:spacing w:val="-1"/>
          <w:sz w:val="24"/>
        </w:rPr>
        <w:t>通过本评价专章为环境保护管理提供科学依据，最大程度降低本项目</w:t>
      </w:r>
      <w:r>
        <w:rPr>
          <w:spacing w:val="-7"/>
          <w:sz w:val="24"/>
        </w:rPr>
        <w:t>建设对生态环境的不利影响，使项目开发达到经济效益、环境效益和社会效益的</w:t>
      </w:r>
      <w:r>
        <w:rPr>
          <w:sz w:val="24"/>
        </w:rPr>
        <w:t>统一。</w:t>
      </w:r>
    </w:p>
    <w:p>
      <w:pPr>
        <w:pStyle w:val="Heading3"/>
        <w:numPr>
          <w:ilvl w:val="1"/>
          <w:numId w:val="2"/>
        </w:numPr>
        <w:tabs>
          <w:tab w:pos="710" w:val="left" w:leader="none"/>
        </w:tabs>
        <w:spacing w:line="240" w:lineRule="auto" w:before="55" w:after="0"/>
        <w:ind w:left="709" w:right="0" w:hanging="490"/>
        <w:jc w:val="left"/>
      </w:pPr>
      <w:bookmarkStart w:name="_bookmark2" w:id="5"/>
      <w:bookmarkEnd w:id="5"/>
      <w:r>
        <w:rPr>
          <w:b w:val="0"/>
        </w:rPr>
      </w:r>
      <w:bookmarkStart w:name="_bookmark2" w:id="6"/>
      <w:bookmarkEnd w:id="6"/>
      <w:r>
        <w:rPr/>
        <w:t>编制依据</w:t>
      </w:r>
    </w:p>
    <w:p>
      <w:pPr>
        <w:pStyle w:val="ListParagraph"/>
        <w:numPr>
          <w:ilvl w:val="2"/>
          <w:numId w:val="3"/>
        </w:numPr>
        <w:tabs>
          <w:tab w:pos="921" w:val="left" w:leader="none"/>
        </w:tabs>
        <w:spacing w:line="240" w:lineRule="auto" w:before="266" w:after="0"/>
        <w:ind w:left="920" w:right="0" w:hanging="701"/>
        <w:jc w:val="left"/>
        <w:rPr>
          <w:b/>
          <w:sz w:val="28"/>
        </w:rPr>
      </w:pPr>
      <w:r>
        <w:rPr>
          <w:b/>
          <w:sz w:val="28"/>
        </w:rPr>
        <w:t>国家法律、法规</w:t>
      </w:r>
    </w:p>
    <w:p>
      <w:pPr>
        <w:pStyle w:val="ListParagraph"/>
        <w:numPr>
          <w:ilvl w:val="3"/>
          <w:numId w:val="3"/>
        </w:numPr>
        <w:tabs>
          <w:tab w:pos="1301" w:val="left" w:leader="none"/>
        </w:tabs>
        <w:spacing w:line="240" w:lineRule="auto" w:before="211" w:after="0"/>
        <w:ind w:left="1301" w:right="0" w:hanging="601"/>
        <w:jc w:val="left"/>
        <w:rPr>
          <w:sz w:val="24"/>
        </w:rPr>
      </w:pPr>
      <w:r>
        <w:rPr>
          <w:sz w:val="24"/>
        </w:rPr>
        <w:t>《中华人民共和国环境保护法》（</w:t>
      </w:r>
      <w:r>
        <w:rPr>
          <w:rFonts w:ascii="Times New Roman" w:eastAsia="Times New Roman"/>
          <w:sz w:val="24"/>
        </w:rPr>
        <w:t>2015 </w:t>
      </w:r>
      <w:r>
        <w:rPr>
          <w:spacing w:val="-30"/>
          <w:sz w:val="24"/>
        </w:rPr>
        <w:t>年 </w:t>
      </w:r>
      <w:r>
        <w:rPr>
          <w:rFonts w:ascii="Times New Roman" w:eastAsia="Times New Roman"/>
          <w:sz w:val="24"/>
        </w:rPr>
        <w:t>1 </w:t>
      </w:r>
      <w:r>
        <w:rPr>
          <w:spacing w:val="-30"/>
          <w:sz w:val="24"/>
        </w:rPr>
        <w:t>月 </w:t>
      </w:r>
      <w:r>
        <w:rPr>
          <w:rFonts w:ascii="Times New Roman" w:eastAsia="Times New Roman"/>
          <w:sz w:val="24"/>
        </w:rPr>
        <w:t>1 </w:t>
      </w:r>
      <w:r>
        <w:rPr>
          <w:sz w:val="24"/>
        </w:rPr>
        <w:t>日起施行）；</w:t>
      </w:r>
    </w:p>
    <w:p>
      <w:pPr>
        <w:pStyle w:val="ListParagraph"/>
        <w:numPr>
          <w:ilvl w:val="3"/>
          <w:numId w:val="3"/>
        </w:numPr>
        <w:tabs>
          <w:tab w:pos="1301" w:val="left" w:leader="none"/>
        </w:tabs>
        <w:spacing w:line="240" w:lineRule="auto" w:before="161" w:after="0"/>
        <w:ind w:left="1301" w:right="0" w:hanging="601"/>
        <w:jc w:val="left"/>
        <w:rPr>
          <w:sz w:val="24"/>
        </w:rPr>
      </w:pPr>
      <w:r>
        <w:rPr>
          <w:sz w:val="24"/>
        </w:rPr>
        <w:t>《中华人民共和国环境影响评价法》（</w:t>
      </w:r>
      <w:r>
        <w:rPr>
          <w:rFonts w:ascii="Times New Roman" w:eastAsia="Times New Roman"/>
          <w:sz w:val="24"/>
        </w:rPr>
        <w:t>2018 </w:t>
      </w:r>
      <w:r>
        <w:rPr>
          <w:sz w:val="24"/>
        </w:rPr>
        <w:t>年修订）；</w:t>
      </w:r>
    </w:p>
    <w:p>
      <w:pPr>
        <w:pStyle w:val="ListParagraph"/>
        <w:numPr>
          <w:ilvl w:val="3"/>
          <w:numId w:val="3"/>
        </w:numPr>
        <w:tabs>
          <w:tab w:pos="1301" w:val="left" w:leader="none"/>
        </w:tabs>
        <w:spacing w:line="240" w:lineRule="auto" w:before="160" w:after="0"/>
        <w:ind w:left="1301" w:right="0" w:hanging="601"/>
        <w:jc w:val="left"/>
        <w:rPr>
          <w:sz w:val="24"/>
        </w:rPr>
      </w:pPr>
      <w:r>
        <w:rPr>
          <w:sz w:val="24"/>
        </w:rPr>
        <w:t>《中华人民共和国水土保持法（最新修订版）》（</w:t>
      </w:r>
      <w:r>
        <w:rPr>
          <w:rFonts w:ascii="Times New Roman" w:eastAsia="Times New Roman"/>
          <w:sz w:val="24"/>
        </w:rPr>
        <w:t>2010 </w:t>
      </w:r>
      <w:r>
        <w:rPr>
          <w:sz w:val="24"/>
        </w:rPr>
        <w:t>年）；</w:t>
      </w:r>
    </w:p>
    <w:p>
      <w:pPr>
        <w:pStyle w:val="ListParagraph"/>
        <w:numPr>
          <w:ilvl w:val="3"/>
          <w:numId w:val="3"/>
        </w:numPr>
        <w:tabs>
          <w:tab w:pos="1301" w:val="left" w:leader="none"/>
        </w:tabs>
        <w:spacing w:line="240" w:lineRule="auto" w:before="161" w:after="0"/>
        <w:ind w:left="1301" w:right="0" w:hanging="601"/>
        <w:jc w:val="left"/>
        <w:rPr>
          <w:sz w:val="24"/>
        </w:rPr>
      </w:pPr>
      <w:r>
        <w:rPr>
          <w:sz w:val="24"/>
        </w:rPr>
        <w:t>《中华人民共和国土地管理法》（</w:t>
      </w:r>
      <w:r>
        <w:rPr>
          <w:rFonts w:ascii="Times New Roman" w:eastAsia="Times New Roman"/>
          <w:sz w:val="24"/>
        </w:rPr>
        <w:t>2019 </w:t>
      </w:r>
      <w:r>
        <w:rPr>
          <w:spacing w:val="-30"/>
          <w:sz w:val="24"/>
        </w:rPr>
        <w:t>年 </w:t>
      </w:r>
      <w:r>
        <w:rPr>
          <w:rFonts w:ascii="Times New Roman" w:eastAsia="Times New Roman"/>
          <w:sz w:val="24"/>
        </w:rPr>
        <w:t>8 </w:t>
      </w:r>
      <w:r>
        <w:rPr>
          <w:spacing w:val="-30"/>
          <w:sz w:val="24"/>
        </w:rPr>
        <w:t>月 </w:t>
      </w:r>
      <w:r>
        <w:rPr>
          <w:rFonts w:ascii="Times New Roman" w:eastAsia="Times New Roman"/>
          <w:sz w:val="24"/>
        </w:rPr>
        <w:t>26 </w:t>
      </w:r>
      <w:r>
        <w:rPr>
          <w:sz w:val="24"/>
        </w:rPr>
        <w:t>日第三次修正）；</w:t>
      </w:r>
    </w:p>
    <w:p>
      <w:pPr>
        <w:pStyle w:val="ListParagraph"/>
        <w:numPr>
          <w:ilvl w:val="3"/>
          <w:numId w:val="3"/>
        </w:numPr>
        <w:tabs>
          <w:tab w:pos="1301" w:val="left" w:leader="none"/>
        </w:tabs>
        <w:spacing w:line="240" w:lineRule="auto" w:before="160" w:after="0"/>
        <w:ind w:left="1301" w:right="0" w:hanging="601"/>
        <w:jc w:val="left"/>
        <w:rPr>
          <w:sz w:val="24"/>
        </w:rPr>
      </w:pPr>
      <w:r>
        <w:rPr>
          <w:sz w:val="24"/>
        </w:rPr>
        <w:t>《中华人民共和国水法》（</w:t>
      </w:r>
      <w:r>
        <w:rPr>
          <w:rFonts w:ascii="Times New Roman" w:eastAsia="Times New Roman"/>
          <w:sz w:val="24"/>
        </w:rPr>
        <w:t>2016 </w:t>
      </w:r>
      <w:r>
        <w:rPr>
          <w:spacing w:val="-30"/>
          <w:sz w:val="24"/>
        </w:rPr>
        <w:t>年 </w:t>
      </w:r>
      <w:r>
        <w:rPr>
          <w:rFonts w:ascii="Times New Roman" w:eastAsia="Times New Roman"/>
          <w:sz w:val="24"/>
        </w:rPr>
        <w:t>7 </w:t>
      </w:r>
      <w:r>
        <w:rPr>
          <w:sz w:val="24"/>
        </w:rPr>
        <w:t>月修订）；</w:t>
      </w:r>
    </w:p>
    <w:p>
      <w:pPr>
        <w:pStyle w:val="ListParagraph"/>
        <w:numPr>
          <w:ilvl w:val="3"/>
          <w:numId w:val="3"/>
        </w:numPr>
        <w:tabs>
          <w:tab w:pos="1301" w:val="left" w:leader="none"/>
        </w:tabs>
        <w:spacing w:line="240" w:lineRule="auto" w:before="161" w:after="0"/>
        <w:ind w:left="1301" w:right="0" w:hanging="601"/>
        <w:jc w:val="left"/>
        <w:rPr>
          <w:sz w:val="24"/>
        </w:rPr>
      </w:pPr>
      <w:r>
        <w:rPr>
          <w:sz w:val="24"/>
        </w:rPr>
        <w:t>《中华人民共和国野生动物保护法》（</w:t>
      </w:r>
      <w:r>
        <w:rPr>
          <w:rFonts w:ascii="Times New Roman" w:eastAsia="Times New Roman"/>
          <w:sz w:val="24"/>
        </w:rPr>
        <w:t>1988 </w:t>
      </w:r>
      <w:r>
        <w:rPr>
          <w:spacing w:val="-30"/>
          <w:sz w:val="24"/>
        </w:rPr>
        <w:t>年 </w:t>
      </w:r>
      <w:r>
        <w:rPr>
          <w:rFonts w:ascii="Times New Roman" w:eastAsia="Times New Roman"/>
          <w:spacing w:val="-3"/>
          <w:sz w:val="24"/>
        </w:rPr>
        <w:t>11</w:t>
      </w:r>
      <w:r>
        <w:rPr>
          <w:rFonts w:ascii="Times New Roman" w:eastAsia="Times New Roman"/>
          <w:spacing w:val="-5"/>
          <w:sz w:val="24"/>
        </w:rPr>
        <w:t> </w:t>
      </w:r>
      <w:r>
        <w:rPr>
          <w:spacing w:val="-30"/>
          <w:sz w:val="24"/>
        </w:rPr>
        <w:t>月 </w:t>
      </w:r>
      <w:r>
        <w:rPr>
          <w:rFonts w:ascii="Times New Roman" w:eastAsia="Times New Roman"/>
          <w:sz w:val="24"/>
        </w:rPr>
        <w:t>8</w:t>
      </w:r>
      <w:r>
        <w:rPr>
          <w:rFonts w:ascii="Times New Roman" w:eastAsia="Times New Roman"/>
          <w:spacing w:val="1"/>
          <w:sz w:val="24"/>
        </w:rPr>
        <w:t> </w:t>
      </w:r>
      <w:r>
        <w:rPr>
          <w:sz w:val="24"/>
        </w:rPr>
        <w:t>日）；</w:t>
      </w:r>
    </w:p>
    <w:p>
      <w:pPr>
        <w:pStyle w:val="ListParagraph"/>
        <w:numPr>
          <w:ilvl w:val="3"/>
          <w:numId w:val="3"/>
        </w:numPr>
        <w:tabs>
          <w:tab w:pos="1301" w:val="left" w:leader="none"/>
        </w:tabs>
        <w:spacing w:line="240" w:lineRule="auto" w:before="160" w:after="0"/>
        <w:ind w:left="1301" w:right="0" w:hanging="601"/>
        <w:jc w:val="left"/>
        <w:rPr>
          <w:sz w:val="24"/>
        </w:rPr>
      </w:pPr>
      <w:r>
        <w:rPr>
          <w:sz w:val="24"/>
        </w:rPr>
        <w:t>《中华人民共和国野生植物保护条例》（</w:t>
      </w:r>
      <w:r>
        <w:rPr>
          <w:rFonts w:ascii="Times New Roman" w:eastAsia="Times New Roman"/>
          <w:sz w:val="24"/>
        </w:rPr>
        <w:t>1996 </w:t>
      </w:r>
      <w:r>
        <w:rPr>
          <w:spacing w:val="-30"/>
          <w:sz w:val="24"/>
        </w:rPr>
        <w:t>年 </w:t>
      </w:r>
      <w:r>
        <w:rPr>
          <w:rFonts w:ascii="Times New Roman" w:eastAsia="Times New Roman"/>
          <w:sz w:val="24"/>
        </w:rPr>
        <w:t>9 </w:t>
      </w:r>
      <w:r>
        <w:rPr>
          <w:spacing w:val="-30"/>
          <w:sz w:val="24"/>
        </w:rPr>
        <w:t>月 </w:t>
      </w:r>
      <w:r>
        <w:rPr>
          <w:rFonts w:ascii="Times New Roman" w:eastAsia="Times New Roman"/>
          <w:sz w:val="24"/>
        </w:rPr>
        <w:t>30 </w:t>
      </w:r>
      <w:r>
        <w:rPr>
          <w:sz w:val="24"/>
        </w:rPr>
        <w:t>日）；</w:t>
      </w:r>
    </w:p>
    <w:p>
      <w:pPr>
        <w:pStyle w:val="Heading3"/>
        <w:numPr>
          <w:ilvl w:val="2"/>
          <w:numId w:val="3"/>
        </w:numPr>
        <w:tabs>
          <w:tab w:pos="921" w:val="left" w:leader="none"/>
        </w:tabs>
        <w:spacing w:line="240" w:lineRule="auto" w:before="214" w:after="0"/>
        <w:ind w:left="920" w:right="0" w:hanging="701"/>
        <w:jc w:val="left"/>
      </w:pPr>
      <w:r>
        <w:rPr/>
        <w:t>国家与行业政策、规章</w:t>
      </w:r>
    </w:p>
    <w:p>
      <w:pPr>
        <w:pStyle w:val="ListParagraph"/>
        <w:numPr>
          <w:ilvl w:val="0"/>
          <w:numId w:val="4"/>
        </w:numPr>
        <w:tabs>
          <w:tab w:pos="1301" w:val="left" w:leader="none"/>
        </w:tabs>
        <w:spacing w:line="240" w:lineRule="auto" w:before="212" w:after="0"/>
        <w:ind w:left="1301" w:right="0" w:hanging="601"/>
        <w:jc w:val="left"/>
        <w:rPr>
          <w:sz w:val="24"/>
        </w:rPr>
      </w:pPr>
      <w:r>
        <w:rPr>
          <w:sz w:val="24"/>
        </w:rPr>
        <w:t>《建设项目环境影响评价分类管理名录》（</w:t>
      </w:r>
      <w:r>
        <w:rPr>
          <w:rFonts w:ascii="Times New Roman" w:eastAsia="Times New Roman"/>
          <w:sz w:val="24"/>
        </w:rPr>
        <w:t>2018 </w:t>
      </w:r>
      <w:r>
        <w:rPr>
          <w:spacing w:val="-30"/>
          <w:sz w:val="24"/>
        </w:rPr>
        <w:t>年 </w:t>
      </w:r>
      <w:r>
        <w:rPr>
          <w:rFonts w:ascii="Times New Roman" w:eastAsia="Times New Roman"/>
          <w:sz w:val="24"/>
        </w:rPr>
        <w:t>4 </w:t>
      </w:r>
      <w:r>
        <w:rPr>
          <w:spacing w:val="-30"/>
          <w:sz w:val="24"/>
        </w:rPr>
        <w:t>月 </w:t>
      </w:r>
      <w:r>
        <w:rPr>
          <w:rFonts w:ascii="Times New Roman" w:eastAsia="Times New Roman"/>
          <w:sz w:val="24"/>
        </w:rPr>
        <w:t>28 </w:t>
      </w:r>
      <w:r>
        <w:rPr>
          <w:sz w:val="24"/>
        </w:rPr>
        <w:t>日）；</w:t>
      </w:r>
    </w:p>
    <w:p>
      <w:pPr>
        <w:pStyle w:val="ListParagraph"/>
        <w:numPr>
          <w:ilvl w:val="0"/>
          <w:numId w:val="4"/>
        </w:numPr>
        <w:tabs>
          <w:tab w:pos="1301" w:val="left" w:leader="none"/>
        </w:tabs>
        <w:spacing w:line="364" w:lineRule="auto" w:before="160" w:after="0"/>
        <w:ind w:left="220" w:right="320" w:firstLine="480"/>
        <w:jc w:val="left"/>
        <w:rPr>
          <w:sz w:val="24"/>
        </w:rPr>
      </w:pPr>
      <w:r>
        <w:rPr>
          <w:spacing w:val="-1"/>
          <w:sz w:val="24"/>
        </w:rPr>
        <w:t>《国家发展改革委办公厅关于开展大型并网光伏示范电站建设有关要</w:t>
      </w:r>
      <w:r>
        <w:rPr>
          <w:sz w:val="24"/>
        </w:rPr>
        <w:t>求的通知》（发改办能源</w:t>
      </w:r>
      <w:r>
        <w:rPr>
          <w:rFonts w:ascii="Times New Roman" w:eastAsia="Times New Roman"/>
          <w:sz w:val="24"/>
        </w:rPr>
        <w:t>[2017]2898</w:t>
      </w:r>
      <w:r>
        <w:rPr>
          <w:rFonts w:ascii="Times New Roman" w:eastAsia="Times New Roman"/>
          <w:spacing w:val="-3"/>
          <w:sz w:val="24"/>
        </w:rPr>
        <w:t> </w:t>
      </w:r>
      <w:r>
        <w:rPr>
          <w:sz w:val="24"/>
        </w:rPr>
        <w:t>号）；</w:t>
      </w:r>
    </w:p>
    <w:p>
      <w:pPr>
        <w:pStyle w:val="ListParagraph"/>
        <w:numPr>
          <w:ilvl w:val="0"/>
          <w:numId w:val="4"/>
        </w:numPr>
        <w:tabs>
          <w:tab w:pos="1315" w:val="left" w:leader="none"/>
        </w:tabs>
        <w:spacing w:line="364" w:lineRule="auto" w:before="2" w:after="0"/>
        <w:ind w:left="220" w:right="321" w:firstLine="480"/>
        <w:jc w:val="left"/>
        <w:rPr>
          <w:sz w:val="24"/>
        </w:rPr>
      </w:pPr>
      <w:r>
        <w:rPr>
          <w:spacing w:val="4"/>
          <w:sz w:val="24"/>
        </w:rPr>
        <w:t>《国家能源局光伏电站项目管理暂行办法》（国能新能</w:t>
      </w:r>
      <w:r>
        <w:rPr>
          <w:sz w:val="24"/>
        </w:rPr>
        <w:t>（</w:t>
      </w:r>
      <w:r>
        <w:rPr>
          <w:rFonts w:ascii="Times New Roman" w:eastAsia="Times New Roman"/>
          <w:sz w:val="24"/>
        </w:rPr>
        <w:t>2013</w:t>
      </w:r>
      <w:r>
        <w:rPr>
          <w:sz w:val="24"/>
        </w:rPr>
        <w:t>）</w:t>
      </w:r>
      <w:r>
        <w:rPr>
          <w:rFonts w:ascii="Times New Roman" w:eastAsia="Times New Roman"/>
          <w:sz w:val="24"/>
        </w:rPr>
        <w:t>329 </w:t>
      </w:r>
      <w:r>
        <w:rPr>
          <w:sz w:val="24"/>
        </w:rPr>
        <w:t>号）；</w:t>
      </w:r>
    </w:p>
    <w:p>
      <w:pPr>
        <w:pStyle w:val="ListParagraph"/>
        <w:numPr>
          <w:ilvl w:val="0"/>
          <w:numId w:val="4"/>
        </w:numPr>
        <w:tabs>
          <w:tab w:pos="1301" w:val="left" w:leader="none"/>
        </w:tabs>
        <w:spacing w:line="240" w:lineRule="auto" w:before="1" w:after="0"/>
        <w:ind w:left="1301" w:right="0" w:hanging="601"/>
        <w:jc w:val="left"/>
        <w:rPr>
          <w:sz w:val="24"/>
        </w:rPr>
      </w:pPr>
      <w:r>
        <w:rPr>
          <w:spacing w:val="-4"/>
          <w:sz w:val="24"/>
        </w:rPr>
        <w:t>《关于支持新产业新形态发展促进大众创业万众创新用地的意见》</w:t>
      </w:r>
      <w:r>
        <w:rPr>
          <w:spacing w:val="-3"/>
          <w:sz w:val="24"/>
        </w:rPr>
        <w:t>（</w:t>
      </w:r>
      <w:r>
        <w:rPr>
          <w:sz w:val="24"/>
        </w:rPr>
        <w:t>国</w:t>
      </w:r>
    </w:p>
    <w:p>
      <w:pPr>
        <w:spacing w:after="0" w:line="240" w:lineRule="auto"/>
        <w:jc w:val="left"/>
        <w:rPr>
          <w:sz w:val="24"/>
        </w:rPr>
        <w:sectPr>
          <w:footerReference w:type="default" r:id="rId5"/>
          <w:pgSz w:w="11910" w:h="16840"/>
          <w:pgMar w:footer="970" w:header="0" w:top="1500" w:bottom="1160" w:left="1580" w:right="1480"/>
          <w:pgNumType w:start="1"/>
        </w:sectPr>
      </w:pPr>
    </w:p>
    <w:p>
      <w:pPr>
        <w:pStyle w:val="BodyText"/>
        <w:spacing w:before="62"/>
      </w:pPr>
      <w:r>
        <w:rPr/>
        <w:t>土资规（</w:t>
      </w:r>
      <w:r>
        <w:rPr>
          <w:rFonts w:ascii="Times New Roman" w:eastAsia="Times New Roman"/>
        </w:rPr>
        <w:t>2015</w:t>
      </w:r>
      <w:r>
        <w:rPr/>
        <w:t>）</w:t>
      </w:r>
      <w:r>
        <w:rPr>
          <w:rFonts w:ascii="Times New Roman" w:eastAsia="Times New Roman"/>
        </w:rPr>
        <w:t>5 </w:t>
      </w:r>
      <w:r>
        <w:rPr/>
        <w:t>号）；</w:t>
      </w:r>
    </w:p>
    <w:p>
      <w:pPr>
        <w:pStyle w:val="ListParagraph"/>
        <w:numPr>
          <w:ilvl w:val="0"/>
          <w:numId w:val="4"/>
        </w:numPr>
        <w:tabs>
          <w:tab w:pos="1301" w:val="left" w:leader="none"/>
        </w:tabs>
        <w:spacing w:line="240" w:lineRule="auto" w:before="160" w:after="0"/>
        <w:ind w:left="1301" w:right="0" w:hanging="601"/>
        <w:jc w:val="left"/>
        <w:rPr>
          <w:sz w:val="24"/>
        </w:rPr>
      </w:pPr>
      <w:r>
        <w:rPr>
          <w:spacing w:val="-2"/>
          <w:sz w:val="24"/>
        </w:rPr>
        <w:t>《关于支持光伏扶贫和规范光伏发电产业用地的意见</w:t>
      </w:r>
      <w:r>
        <w:rPr>
          <w:spacing w:val="-226"/>
          <w:sz w:val="24"/>
        </w:rPr>
        <w:t>》</w:t>
      </w:r>
      <w:r>
        <w:rPr>
          <w:spacing w:val="-5"/>
          <w:sz w:val="24"/>
        </w:rPr>
        <w:t>（</w:t>
      </w:r>
      <w:r>
        <w:rPr>
          <w:spacing w:val="-28"/>
          <w:sz w:val="24"/>
        </w:rPr>
        <w:t>国土资规</w:t>
      </w:r>
      <w:r>
        <w:rPr>
          <w:sz w:val="24"/>
        </w:rPr>
        <w:t>（</w:t>
      </w:r>
      <w:r>
        <w:rPr>
          <w:rFonts w:ascii="Times New Roman" w:eastAsia="Times New Roman"/>
          <w:sz w:val="24"/>
        </w:rPr>
        <w:t>2017</w:t>
      </w:r>
      <w:r>
        <w:rPr>
          <w:sz w:val="24"/>
        </w:rPr>
        <w:t>）</w:t>
      </w:r>
    </w:p>
    <w:p>
      <w:pPr>
        <w:pStyle w:val="BodyText"/>
        <w:spacing w:before="161"/>
      </w:pPr>
      <w:r>
        <w:rPr>
          <w:rFonts w:ascii="Times New Roman" w:eastAsia="Times New Roman"/>
        </w:rPr>
        <w:t>8 </w:t>
      </w:r>
      <w:r>
        <w:rPr/>
        <w:t>号）；</w:t>
      </w:r>
    </w:p>
    <w:p>
      <w:pPr>
        <w:pStyle w:val="Heading3"/>
        <w:numPr>
          <w:ilvl w:val="2"/>
          <w:numId w:val="3"/>
        </w:numPr>
        <w:tabs>
          <w:tab w:pos="921" w:val="left" w:leader="none"/>
        </w:tabs>
        <w:spacing w:line="240" w:lineRule="auto" w:before="214" w:after="0"/>
        <w:ind w:left="920" w:right="0" w:hanging="701"/>
        <w:jc w:val="left"/>
      </w:pPr>
      <w:r>
        <w:rPr/>
        <w:t>地方法规、政策</w:t>
      </w:r>
    </w:p>
    <w:p>
      <w:pPr>
        <w:pStyle w:val="ListParagraph"/>
        <w:numPr>
          <w:ilvl w:val="0"/>
          <w:numId w:val="5"/>
        </w:numPr>
        <w:tabs>
          <w:tab w:pos="1301" w:val="left" w:leader="none"/>
        </w:tabs>
        <w:spacing w:line="240" w:lineRule="auto" w:before="212" w:after="0"/>
        <w:ind w:left="1301" w:right="0" w:hanging="601"/>
        <w:jc w:val="left"/>
        <w:rPr>
          <w:sz w:val="24"/>
        </w:rPr>
      </w:pPr>
      <w:r>
        <w:rPr>
          <w:sz w:val="24"/>
        </w:rPr>
        <w:t>《关于西部大开发中加强建设项目环境保护管理的若干意见》（环发</w:t>
      </w:r>
    </w:p>
    <w:p>
      <w:pPr>
        <w:pStyle w:val="BodyText"/>
        <w:spacing w:before="160"/>
      </w:pPr>
      <w:r>
        <w:rPr>
          <w:rFonts w:ascii="Times New Roman" w:eastAsia="Times New Roman"/>
        </w:rPr>
        <w:t>[2001]4 </w:t>
      </w:r>
      <w:r>
        <w:rPr/>
        <w:t>号）；</w:t>
      </w:r>
    </w:p>
    <w:p>
      <w:pPr>
        <w:pStyle w:val="ListParagraph"/>
        <w:numPr>
          <w:ilvl w:val="0"/>
          <w:numId w:val="5"/>
        </w:numPr>
        <w:tabs>
          <w:tab w:pos="1301" w:val="left" w:leader="none"/>
        </w:tabs>
        <w:spacing w:line="240" w:lineRule="auto" w:before="161" w:after="0"/>
        <w:ind w:left="1301" w:right="0" w:hanging="601"/>
        <w:jc w:val="left"/>
        <w:rPr>
          <w:sz w:val="24"/>
        </w:rPr>
      </w:pPr>
      <w:r>
        <w:rPr>
          <w:sz w:val="24"/>
        </w:rPr>
        <w:t>《陕西省生态功能区划》（</w:t>
      </w:r>
      <w:r>
        <w:rPr>
          <w:rFonts w:ascii="Times New Roman" w:eastAsia="Times New Roman"/>
          <w:sz w:val="24"/>
        </w:rPr>
        <w:t>2004 </w:t>
      </w:r>
      <w:r>
        <w:rPr>
          <w:sz w:val="24"/>
        </w:rPr>
        <w:t>年）；</w:t>
      </w:r>
    </w:p>
    <w:p>
      <w:pPr>
        <w:pStyle w:val="ListParagraph"/>
        <w:numPr>
          <w:ilvl w:val="0"/>
          <w:numId w:val="5"/>
        </w:numPr>
        <w:tabs>
          <w:tab w:pos="1301" w:val="left" w:leader="none"/>
        </w:tabs>
        <w:spacing w:line="364" w:lineRule="auto" w:before="160" w:after="0"/>
        <w:ind w:left="220" w:right="312" w:firstLine="480"/>
        <w:jc w:val="left"/>
        <w:rPr>
          <w:sz w:val="24"/>
        </w:rPr>
      </w:pPr>
      <w:r>
        <w:rPr>
          <w:sz w:val="24"/>
        </w:rPr>
        <w:t>《陕西省人民政府关于划分水土流失重点防治区的公告</w:t>
      </w:r>
      <w:r>
        <w:rPr>
          <w:spacing w:val="-185"/>
          <w:sz w:val="24"/>
        </w:rPr>
        <w:t>》</w:t>
      </w:r>
      <w:r>
        <w:rPr>
          <w:spacing w:val="-3"/>
          <w:sz w:val="24"/>
        </w:rPr>
        <w:t>（</w:t>
      </w:r>
      <w:r>
        <w:rPr>
          <w:sz w:val="24"/>
        </w:rPr>
        <w:t>陕政发</w:t>
      </w:r>
      <w:r>
        <w:rPr>
          <w:rFonts w:ascii="Times New Roman" w:eastAsia="Times New Roman"/>
          <w:spacing w:val="-3"/>
          <w:sz w:val="24"/>
        </w:rPr>
        <w:t>[1996]</w:t>
      </w:r>
      <w:r>
        <w:rPr>
          <w:sz w:val="24"/>
        </w:rPr>
        <w:t>号，</w:t>
      </w:r>
      <w:r>
        <w:rPr>
          <w:rFonts w:ascii="Times New Roman" w:eastAsia="Times New Roman"/>
          <w:sz w:val="24"/>
        </w:rPr>
        <w:t>1999 </w:t>
      </w:r>
      <w:r>
        <w:rPr>
          <w:spacing w:val="-30"/>
          <w:sz w:val="24"/>
        </w:rPr>
        <w:t>年 </w:t>
      </w:r>
      <w:r>
        <w:rPr>
          <w:rFonts w:ascii="Times New Roman" w:eastAsia="Times New Roman"/>
          <w:sz w:val="24"/>
        </w:rPr>
        <w:t>2 </w:t>
      </w:r>
      <w:r>
        <w:rPr>
          <w:spacing w:val="-30"/>
          <w:sz w:val="24"/>
        </w:rPr>
        <w:t>月 </w:t>
      </w:r>
      <w:r>
        <w:rPr>
          <w:rFonts w:ascii="Times New Roman" w:eastAsia="Times New Roman"/>
          <w:sz w:val="24"/>
        </w:rPr>
        <w:t>27 </w:t>
      </w:r>
      <w:r>
        <w:rPr>
          <w:sz w:val="24"/>
        </w:rPr>
        <w:t>日）；</w:t>
      </w:r>
    </w:p>
    <w:p>
      <w:pPr>
        <w:pStyle w:val="Heading3"/>
        <w:numPr>
          <w:ilvl w:val="2"/>
          <w:numId w:val="3"/>
        </w:numPr>
        <w:tabs>
          <w:tab w:pos="921" w:val="left" w:leader="none"/>
        </w:tabs>
        <w:spacing w:line="240" w:lineRule="auto" w:before="55" w:after="0"/>
        <w:ind w:left="920" w:right="0" w:hanging="701"/>
        <w:jc w:val="left"/>
      </w:pPr>
      <w:r>
        <w:rPr/>
        <w:t>技术标准、规范</w:t>
      </w:r>
    </w:p>
    <w:p>
      <w:pPr>
        <w:pStyle w:val="ListParagraph"/>
        <w:numPr>
          <w:ilvl w:val="0"/>
          <w:numId w:val="6"/>
        </w:numPr>
        <w:tabs>
          <w:tab w:pos="1301" w:val="left" w:leader="none"/>
        </w:tabs>
        <w:spacing w:line="240" w:lineRule="auto" w:before="212" w:after="0"/>
        <w:ind w:left="1301" w:right="0" w:hanging="601"/>
        <w:jc w:val="left"/>
        <w:rPr>
          <w:sz w:val="24"/>
        </w:rPr>
      </w:pPr>
      <w:r>
        <w:rPr>
          <w:sz w:val="24"/>
        </w:rPr>
        <w:t>《建设项目环境影响评价技术导则总纲》（</w:t>
      </w:r>
      <w:r>
        <w:rPr>
          <w:rFonts w:ascii="Times New Roman" w:eastAsia="Times New Roman"/>
          <w:sz w:val="24"/>
        </w:rPr>
        <w:t>HJ2.1-2016</w:t>
      </w:r>
      <w:r>
        <w:rPr>
          <w:sz w:val="24"/>
        </w:rPr>
        <w:t>）；</w:t>
      </w:r>
    </w:p>
    <w:p>
      <w:pPr>
        <w:pStyle w:val="ListParagraph"/>
        <w:numPr>
          <w:ilvl w:val="0"/>
          <w:numId w:val="6"/>
        </w:numPr>
        <w:tabs>
          <w:tab w:pos="1301" w:val="left" w:leader="none"/>
        </w:tabs>
        <w:spacing w:line="240" w:lineRule="auto" w:before="160" w:after="0"/>
        <w:ind w:left="1301" w:right="0" w:hanging="601"/>
        <w:jc w:val="left"/>
        <w:rPr>
          <w:sz w:val="24"/>
        </w:rPr>
      </w:pPr>
      <w:r>
        <w:rPr>
          <w:sz w:val="24"/>
        </w:rPr>
        <w:t>《环境影响评价技术导则生态影响》（</w:t>
      </w:r>
      <w:r>
        <w:rPr>
          <w:rFonts w:ascii="Times New Roman" w:eastAsia="Times New Roman"/>
          <w:sz w:val="24"/>
        </w:rPr>
        <w:t>HJ19-2011</w:t>
      </w:r>
      <w:r>
        <w:rPr>
          <w:sz w:val="24"/>
        </w:rPr>
        <w:t>）；</w:t>
      </w:r>
    </w:p>
    <w:p>
      <w:pPr>
        <w:pStyle w:val="ListParagraph"/>
        <w:numPr>
          <w:ilvl w:val="0"/>
          <w:numId w:val="6"/>
        </w:numPr>
        <w:tabs>
          <w:tab w:pos="1301" w:val="left" w:leader="none"/>
        </w:tabs>
        <w:spacing w:line="240" w:lineRule="auto" w:before="161" w:after="0"/>
        <w:ind w:left="1301" w:right="0" w:hanging="601"/>
        <w:jc w:val="left"/>
        <w:rPr>
          <w:sz w:val="24"/>
        </w:rPr>
      </w:pPr>
      <w:r>
        <w:rPr>
          <w:sz w:val="24"/>
        </w:rPr>
        <w:t>《开发建设项目水土保持技术规范》（</w:t>
      </w:r>
      <w:r>
        <w:rPr>
          <w:rFonts w:ascii="Times New Roman" w:eastAsia="Times New Roman"/>
          <w:sz w:val="24"/>
        </w:rPr>
        <w:t>GB50433-2008</w:t>
      </w:r>
      <w:r>
        <w:rPr>
          <w:sz w:val="24"/>
        </w:rPr>
        <w:t>）；</w:t>
      </w:r>
    </w:p>
    <w:p>
      <w:pPr>
        <w:pStyle w:val="Heading1"/>
        <w:numPr>
          <w:ilvl w:val="0"/>
          <w:numId w:val="2"/>
        </w:numPr>
        <w:tabs>
          <w:tab w:pos="540" w:val="left" w:leader="none"/>
        </w:tabs>
        <w:spacing w:line="240" w:lineRule="auto" w:before="188" w:after="0"/>
        <w:ind w:left="539" w:right="0" w:hanging="320"/>
        <w:jc w:val="left"/>
        <w:rPr>
          <w:rFonts w:ascii="Times New Roman" w:eastAsia="Times New Roman"/>
        </w:rPr>
      </w:pPr>
      <w:bookmarkStart w:name="_bookmark3" w:id="7"/>
      <w:bookmarkEnd w:id="7"/>
      <w:r>
        <w:rPr>
          <w:b w:val="0"/>
        </w:rPr>
      </w:r>
      <w:bookmarkStart w:name="_bookmark3" w:id="8"/>
      <w:bookmarkEnd w:id="8"/>
      <w:r>
        <w:rPr/>
        <w:t>项目建设内容及规模</w:t>
      </w:r>
    </w:p>
    <w:p>
      <w:pPr>
        <w:pStyle w:val="Heading3"/>
        <w:numPr>
          <w:ilvl w:val="1"/>
          <w:numId w:val="2"/>
        </w:numPr>
        <w:tabs>
          <w:tab w:pos="710" w:val="left" w:leader="none"/>
        </w:tabs>
        <w:spacing w:line="240" w:lineRule="auto" w:before="240" w:after="0"/>
        <w:ind w:left="709" w:right="0" w:hanging="490"/>
        <w:jc w:val="both"/>
      </w:pPr>
      <w:bookmarkStart w:name="_bookmark4" w:id="9"/>
      <w:bookmarkEnd w:id="9"/>
      <w:r>
        <w:rPr>
          <w:b w:val="0"/>
        </w:rPr>
      </w:r>
      <w:bookmarkStart w:name="_bookmark4" w:id="10"/>
      <w:bookmarkEnd w:id="10"/>
      <w:r>
        <w:rPr/>
        <w:t>项目概况</w:t>
      </w:r>
    </w:p>
    <w:p>
      <w:pPr>
        <w:pStyle w:val="BodyText"/>
        <w:spacing w:line="364" w:lineRule="auto" w:before="211"/>
        <w:ind w:right="310" w:firstLine="480"/>
        <w:jc w:val="both"/>
      </w:pPr>
      <w:r>
        <w:rPr>
          <w:spacing w:val="-5"/>
        </w:rPr>
        <w:t>项目拟建场址位于陕西省咸阳市泾阳县王桥镇曹张村、寺背后村和兴隆镇双</w:t>
      </w:r>
      <w:r>
        <w:rPr>
          <w:spacing w:val="-1"/>
        </w:rPr>
        <w:t>槐村、郭家庄村日新现代农业园区，距泾阳县城直线距离约 </w:t>
      </w:r>
      <w:r>
        <w:rPr>
          <w:rFonts w:ascii="Times New Roman" w:hAnsi="Times New Roman" w:eastAsia="Times New Roman"/>
        </w:rPr>
        <w:t>19.5km</w:t>
      </w:r>
      <w:r>
        <w:rPr/>
        <w:t>。项目场址</w:t>
      </w:r>
      <w:r>
        <w:rPr>
          <w:spacing w:val="-9"/>
        </w:rPr>
        <w:t>中心坐标为 </w:t>
      </w:r>
      <w:r>
        <w:rPr>
          <w:rFonts w:ascii="Times New Roman" w:hAnsi="Times New Roman" w:eastAsia="Times New Roman"/>
        </w:rPr>
        <w:t>N</w:t>
      </w:r>
      <w:r>
        <w:rPr/>
        <w:t>：</w:t>
      </w:r>
      <w:r>
        <w:rPr>
          <w:rFonts w:ascii="Times New Roman" w:hAnsi="Times New Roman" w:eastAsia="Times New Roman"/>
        </w:rPr>
        <w:t>34°37′46.71″</w:t>
      </w:r>
      <w:r>
        <w:rPr/>
        <w:t>，</w:t>
      </w:r>
      <w:r>
        <w:rPr>
          <w:rFonts w:ascii="Times New Roman" w:hAnsi="Times New Roman" w:eastAsia="Times New Roman"/>
        </w:rPr>
        <w:t>E</w:t>
      </w:r>
      <w:r>
        <w:rPr/>
        <w:t>：</w:t>
      </w:r>
      <w:r>
        <w:rPr>
          <w:rFonts w:ascii="Times New Roman" w:hAnsi="Times New Roman" w:eastAsia="Times New Roman"/>
        </w:rPr>
        <w:t>108°40′4.04″</w:t>
      </w:r>
      <w:r>
        <w:rPr>
          <w:spacing w:val="-7"/>
        </w:rPr>
        <w:t>，地面高程介于 </w:t>
      </w:r>
      <w:r>
        <w:rPr>
          <w:rFonts w:ascii="Times New Roman" w:hAnsi="Times New Roman" w:eastAsia="Times New Roman"/>
        </w:rPr>
        <w:t>450m~530m</w:t>
      </w:r>
      <w:r>
        <w:rPr/>
        <w:t>。项</w:t>
      </w:r>
      <w:r>
        <w:rPr>
          <w:spacing w:val="-7"/>
        </w:rPr>
        <w:t>目场址用地面积为 </w:t>
      </w:r>
      <w:r>
        <w:rPr>
          <w:rFonts w:ascii="Times New Roman" w:hAnsi="Times New Roman" w:eastAsia="Times New Roman"/>
        </w:rPr>
        <w:t>132.29hm</w:t>
      </w:r>
      <w:r>
        <w:rPr>
          <w:rFonts w:ascii="Times New Roman" w:hAnsi="Times New Roman" w:eastAsia="Times New Roman"/>
          <w:position w:val="8"/>
          <w:sz w:val="15"/>
        </w:rPr>
        <w:t>2</w:t>
      </w:r>
      <w:r>
        <w:rPr>
          <w:spacing w:val="-18"/>
        </w:rPr>
        <w:t>。项目场址光伏区拐地坐标、升压站拐点坐标见《泾</w:t>
      </w:r>
      <w:r>
        <w:rPr>
          <w:spacing w:val="-22"/>
        </w:rPr>
        <w:t>阳县日新现代农业园区 </w:t>
      </w:r>
      <w:r>
        <w:rPr>
          <w:rFonts w:ascii="Times New Roman" w:hAnsi="Times New Roman" w:eastAsia="Times New Roman"/>
        </w:rPr>
        <w:t>60MWp </w:t>
      </w:r>
      <w:r>
        <w:rPr>
          <w:spacing w:val="-3"/>
        </w:rPr>
        <w:t>农光互补发电项目建设项目环境影响报告表》表</w:t>
      </w:r>
      <w:r>
        <w:rPr>
          <w:rFonts w:ascii="Times New Roman" w:hAnsi="Times New Roman" w:eastAsia="Times New Roman"/>
          <w:spacing w:val="-3"/>
        </w:rPr>
        <w:t>1-5 </w:t>
      </w:r>
      <w:r>
        <w:rPr>
          <w:spacing w:val="-30"/>
        </w:rPr>
        <w:t>和 </w:t>
      </w:r>
      <w:r>
        <w:rPr>
          <w:rFonts w:ascii="Times New Roman" w:hAnsi="Times New Roman" w:eastAsia="Times New Roman"/>
        </w:rPr>
        <w:t>1-6</w:t>
      </w:r>
      <w:r>
        <w:rPr/>
        <w:t>。</w:t>
      </w:r>
    </w:p>
    <w:p>
      <w:pPr>
        <w:pStyle w:val="BodyText"/>
        <w:spacing w:line="364" w:lineRule="auto" w:before="4"/>
        <w:ind w:right="195" w:firstLine="480"/>
      </w:pPr>
      <w:r>
        <w:rPr>
          <w:spacing w:val="20"/>
        </w:rPr>
        <w:t>泾阳县日新现代农业园区农光互补发电项目终期规划建设装机规模为</w:t>
      </w:r>
      <w:r>
        <w:rPr>
          <w:rFonts w:ascii="Times New Roman" w:eastAsia="Times New Roman"/>
          <w:spacing w:val="-5"/>
        </w:rPr>
        <w:t>160MW</w:t>
      </w:r>
      <w:r>
        <w:rPr>
          <w:spacing w:val="-8"/>
        </w:rPr>
        <w:t>，本项目总装机容量 </w:t>
      </w:r>
      <w:r>
        <w:rPr>
          <w:rFonts w:ascii="Times New Roman" w:eastAsia="Times New Roman"/>
          <w:spacing w:val="-6"/>
        </w:rPr>
        <w:t>60MWp</w:t>
      </w:r>
      <w:r>
        <w:rPr>
          <w:spacing w:val="-14"/>
        </w:rPr>
        <w:t>，共安装 </w:t>
      </w:r>
      <w:r>
        <w:rPr>
          <w:rFonts w:ascii="Times New Roman" w:eastAsia="Times New Roman"/>
        </w:rPr>
        <w:t>164008 </w:t>
      </w:r>
      <w:r>
        <w:rPr>
          <w:spacing w:val="-9"/>
        </w:rPr>
        <w:t>块标准功率为 </w:t>
      </w:r>
      <w:r>
        <w:rPr>
          <w:rFonts w:ascii="Times New Roman" w:eastAsia="Times New Roman"/>
        </w:rPr>
        <w:t>440Wp </w:t>
      </w:r>
      <w:r>
        <w:rPr/>
        <w:t>单晶</w:t>
      </w:r>
      <w:r>
        <w:rPr>
          <w:spacing w:val="8"/>
        </w:rPr>
        <w:t>硅双面光伏组件，预计年均发电量约 </w:t>
      </w:r>
      <w:r>
        <w:rPr>
          <w:rFonts w:ascii="Times New Roman" w:eastAsia="Times New Roman"/>
        </w:rPr>
        <w:t>8960.09 </w:t>
      </w:r>
      <w:r>
        <w:rPr>
          <w:spacing w:val="-23"/>
        </w:rPr>
        <w:t>万 </w:t>
      </w:r>
      <w:r>
        <w:rPr>
          <w:rFonts w:ascii="Times New Roman" w:eastAsia="Times New Roman"/>
          <w:spacing w:val="6"/>
        </w:rPr>
        <w:t>kWh</w:t>
      </w:r>
      <w:r>
        <w:rPr>
          <w:spacing w:val="9"/>
        </w:rPr>
        <w:t>，年平均利用小时数为</w:t>
      </w:r>
      <w:r>
        <w:rPr>
          <w:rFonts w:ascii="Times New Roman" w:eastAsia="Times New Roman"/>
          <w:spacing w:val="9"/>
        </w:rPr>
        <w:t>1241.64 </w:t>
      </w:r>
      <w:r>
        <w:rPr>
          <w:spacing w:val="-24"/>
        </w:rPr>
        <w:t>小时。新建一座 </w:t>
      </w:r>
      <w:r>
        <w:rPr>
          <w:rFonts w:ascii="Times New Roman" w:eastAsia="Times New Roman"/>
          <w:spacing w:val="-5"/>
        </w:rPr>
        <w:t>1</w:t>
      </w:r>
      <w:r>
        <w:rPr>
          <w:rFonts w:ascii="Times New Roman" w:eastAsia="Times New Roman"/>
          <w:spacing w:val="-3"/>
        </w:rPr>
        <w:t>1</w:t>
      </w:r>
      <w:r>
        <w:rPr>
          <w:rFonts w:ascii="Times New Roman" w:eastAsia="Times New Roman"/>
        </w:rPr>
        <w:t>0</w:t>
      </w:r>
      <w:r>
        <w:rPr>
          <w:rFonts w:ascii="Times New Roman" w:eastAsia="Times New Roman"/>
          <w:spacing w:val="-3"/>
        </w:rPr>
        <w:t>k</w:t>
      </w:r>
      <w:r>
        <w:rPr>
          <w:rFonts w:ascii="Times New Roman" w:eastAsia="Times New Roman"/>
        </w:rPr>
        <w:t>V </w:t>
      </w:r>
      <w:r>
        <w:rPr>
          <w:spacing w:val="-39"/>
        </w:rPr>
        <w:t>升压站</w:t>
      </w:r>
      <w:r>
        <w:rPr>
          <w:spacing w:val="-3"/>
        </w:rPr>
        <w:t>（</w:t>
      </w:r>
      <w:r>
        <w:rPr>
          <w:spacing w:val="-6"/>
        </w:rPr>
        <w:t>选址位于光伏厂区外东南方向 </w:t>
      </w:r>
      <w:r>
        <w:rPr>
          <w:rFonts w:ascii="Times New Roman" w:eastAsia="Times New Roman"/>
        </w:rPr>
        <w:t>1.2</w:t>
      </w:r>
      <w:r>
        <w:rPr>
          <w:rFonts w:ascii="Times New Roman" w:eastAsia="Times New Roman"/>
          <w:spacing w:val="-1"/>
        </w:rPr>
        <w:t>k</w:t>
      </w:r>
      <w:r>
        <w:rPr>
          <w:rFonts w:ascii="Times New Roman" w:eastAsia="Times New Roman"/>
        </w:rPr>
        <w:t>m </w:t>
      </w:r>
      <w:r>
        <w:rPr/>
        <w:t>处</w:t>
      </w:r>
      <w:r>
        <w:rPr>
          <w:spacing w:val="-126"/>
        </w:rPr>
        <w:t>）</w:t>
      </w:r>
      <w:r>
        <w:rPr>
          <w:spacing w:val="-6"/>
        </w:rPr>
        <w:t>，</w:t>
      </w:r>
      <w:r>
        <w:rPr>
          <w:spacing w:val="-10"/>
        </w:rPr>
        <w:t>主变容量 </w:t>
      </w:r>
      <w:r>
        <w:rPr>
          <w:rFonts w:ascii="Times New Roman" w:eastAsia="Times New Roman"/>
          <w:spacing w:val="-4"/>
        </w:rPr>
        <w:t>1x63MVA</w:t>
      </w:r>
      <w:r>
        <w:rPr>
          <w:spacing w:val="-2"/>
        </w:rPr>
        <w:t>，升压站内包含生活区和升压区。光伏区建成后，项目以 </w:t>
      </w:r>
      <w:r>
        <w:rPr>
          <w:rFonts w:ascii="Times New Roman" w:eastAsia="Times New Roman"/>
        </w:rPr>
        <w:t>3 </w:t>
      </w:r>
      <w:r>
        <w:rPr>
          <w:spacing w:val="-12"/>
        </w:rPr>
        <w:t>回集电线路，接入新建 </w:t>
      </w:r>
      <w:r>
        <w:rPr>
          <w:rFonts w:ascii="Times New Roman" w:eastAsia="Times New Roman"/>
        </w:rPr>
        <w:t>110kV </w:t>
      </w:r>
      <w:r>
        <w:rPr>
          <w:spacing w:val="-15"/>
        </w:rPr>
        <w:t>升压站 </w:t>
      </w:r>
      <w:r>
        <w:rPr>
          <w:rFonts w:ascii="Times New Roman" w:eastAsia="Times New Roman"/>
        </w:rPr>
        <w:t>35kV </w:t>
      </w:r>
      <w:r>
        <w:rPr>
          <w:spacing w:val="-6"/>
        </w:rPr>
        <w:t>进线柜。集电线路采用电缆直埋形式</w:t>
      </w:r>
      <w:r>
        <w:rPr>
          <w:spacing w:val="-11"/>
        </w:rPr>
        <w:t>沿道路敷设，埋地线路长约 </w:t>
      </w:r>
      <w:r>
        <w:rPr>
          <w:rFonts w:ascii="Times New Roman" w:eastAsia="Times New Roman"/>
        </w:rPr>
        <w:t>20964m</w:t>
      </w:r>
      <w:r>
        <w:rPr/>
        <w:t>。</w:t>
      </w:r>
    </w:p>
    <w:p>
      <w:pPr>
        <w:spacing w:after="0" w:line="364" w:lineRule="auto"/>
        <w:sectPr>
          <w:pgSz w:w="11910" w:h="16840"/>
          <w:pgMar w:header="0" w:footer="970" w:top="1440" w:bottom="1160" w:left="1580" w:right="1480"/>
        </w:sectPr>
      </w:pPr>
    </w:p>
    <w:p>
      <w:pPr>
        <w:pStyle w:val="Heading3"/>
        <w:numPr>
          <w:ilvl w:val="1"/>
          <w:numId w:val="2"/>
        </w:numPr>
        <w:tabs>
          <w:tab w:pos="710" w:val="left" w:leader="none"/>
        </w:tabs>
        <w:spacing w:line="240" w:lineRule="auto" w:before="55" w:after="0"/>
        <w:ind w:left="709" w:right="0" w:hanging="490"/>
        <w:jc w:val="left"/>
      </w:pPr>
      <w:bookmarkStart w:name="_bookmark5" w:id="11"/>
      <w:bookmarkEnd w:id="11"/>
      <w:r>
        <w:rPr>
          <w:b w:val="0"/>
        </w:rPr>
      </w:r>
      <w:bookmarkStart w:name="_bookmark5" w:id="12"/>
      <w:bookmarkEnd w:id="12"/>
      <w:r>
        <w:rPr/>
        <w:t>项目占地情况</w:t>
      </w:r>
    </w:p>
    <w:p>
      <w:pPr>
        <w:spacing w:before="266"/>
        <w:ind w:left="220" w:right="0" w:firstLine="0"/>
        <w:jc w:val="left"/>
        <w:rPr>
          <w:b/>
          <w:sz w:val="28"/>
        </w:rPr>
      </w:pPr>
      <w:r>
        <w:rPr>
          <w:rFonts w:ascii="Times New Roman" w:eastAsia="Times New Roman"/>
          <w:b/>
          <w:sz w:val="28"/>
        </w:rPr>
        <w:t>2.2.1</w:t>
      </w:r>
      <w:r>
        <w:rPr>
          <w:rFonts w:ascii="Times New Roman" w:eastAsia="Times New Roman"/>
          <w:b/>
          <w:spacing w:val="69"/>
          <w:sz w:val="28"/>
        </w:rPr>
        <w:t> </w:t>
      </w:r>
      <w:r>
        <w:rPr>
          <w:b/>
          <w:sz w:val="28"/>
        </w:rPr>
        <w:t>项目规模及类型</w:t>
      </w:r>
    </w:p>
    <w:p>
      <w:pPr>
        <w:pStyle w:val="BodyText"/>
        <w:spacing w:line="364" w:lineRule="auto" w:before="211"/>
        <w:ind w:right="197" w:firstLine="480"/>
      </w:pPr>
      <w:r>
        <w:rPr>
          <w:spacing w:val="-7"/>
        </w:rPr>
        <w:t>项目总占地面积为 </w:t>
      </w:r>
      <w:r>
        <w:rPr>
          <w:rFonts w:ascii="Times New Roman" w:eastAsia="Times New Roman"/>
        </w:rPr>
        <w:t>132.29hm</w:t>
      </w:r>
      <w:r>
        <w:rPr>
          <w:rFonts w:ascii="Times New Roman" w:eastAsia="Times New Roman"/>
          <w:position w:val="8"/>
          <w:sz w:val="15"/>
        </w:rPr>
        <w:t>2</w:t>
      </w:r>
      <w:r>
        <w:rPr/>
        <w:t>，占地分为永久占地和临时占地。临时用地面</w:t>
      </w:r>
      <w:r>
        <w:rPr>
          <w:spacing w:val="-16"/>
        </w:rPr>
        <w:t>积为 </w:t>
      </w:r>
      <w:r>
        <w:rPr>
          <w:rFonts w:ascii="Times New Roman" w:eastAsia="Times New Roman"/>
        </w:rPr>
        <w:t>131.51hm</w:t>
      </w:r>
      <w:r>
        <w:rPr>
          <w:rFonts w:ascii="Times New Roman" w:eastAsia="Times New Roman"/>
          <w:position w:val="8"/>
          <w:sz w:val="15"/>
        </w:rPr>
        <w:t>2</w:t>
      </w:r>
      <w:r>
        <w:rPr>
          <w:spacing w:val="-4"/>
        </w:rPr>
        <w:t>，其中光伏区临时用地面积为 </w:t>
      </w:r>
      <w:r>
        <w:rPr>
          <w:rFonts w:ascii="Times New Roman" w:eastAsia="Times New Roman"/>
        </w:rPr>
        <w:t>131.01hm</w:t>
      </w:r>
      <w:r>
        <w:rPr>
          <w:rFonts w:ascii="Times New Roman" w:eastAsia="Times New Roman"/>
          <w:position w:val="8"/>
          <w:sz w:val="15"/>
        </w:rPr>
        <w:t>2</w:t>
      </w:r>
      <w:r>
        <w:rPr/>
        <w:t>，项目施工临建，用地</w:t>
      </w:r>
      <w:r>
        <w:rPr>
          <w:spacing w:val="-15"/>
        </w:rPr>
        <w:t>面积为 </w:t>
      </w:r>
      <w:r>
        <w:rPr>
          <w:rFonts w:ascii="Times New Roman" w:eastAsia="Times New Roman"/>
        </w:rPr>
        <w:t>5000m</w:t>
      </w:r>
      <w:r>
        <w:rPr>
          <w:rFonts w:ascii="Times New Roman" w:eastAsia="Times New Roman"/>
          <w:position w:val="8"/>
          <w:sz w:val="15"/>
        </w:rPr>
        <w:t>2</w:t>
      </w:r>
      <w:r>
        <w:rPr>
          <w:spacing w:val="-7"/>
        </w:rPr>
        <w:t>。升压站为永久用地，用地面积为 </w:t>
      </w:r>
      <w:r>
        <w:rPr>
          <w:rFonts w:ascii="Times New Roman" w:eastAsia="Times New Roman"/>
        </w:rPr>
        <w:t>7800m</w:t>
      </w:r>
      <w:r>
        <w:rPr>
          <w:rFonts w:ascii="Times New Roman" w:eastAsia="Times New Roman"/>
          <w:position w:val="8"/>
          <w:sz w:val="15"/>
        </w:rPr>
        <w:t>2</w:t>
      </w:r>
      <w:r>
        <w:rPr>
          <w:spacing w:val="-3"/>
        </w:rPr>
        <w:t>。此外，工程施工过程</w:t>
      </w:r>
      <w:r>
        <w:rPr>
          <w:spacing w:val="-16"/>
        </w:rPr>
        <w:t>中有一部分临时性占地，包括施工中电缆埋设路径占地、临时堆放建筑材料占地、</w:t>
      </w:r>
      <w:r>
        <w:rPr>
          <w:spacing w:val="-7"/>
        </w:rPr>
        <w:t>施工人员临时居住占地、设备临时储存所占场地、施工道路利和其它施工过程中</w:t>
      </w:r>
      <w:r>
        <w:rPr>
          <w:spacing w:val="-9"/>
        </w:rPr>
        <w:t>所需的临时性占地。这部分用地位于升压站附近。项目占地情况见表 </w:t>
      </w:r>
      <w:r>
        <w:rPr>
          <w:rFonts w:ascii="Times New Roman" w:eastAsia="Times New Roman"/>
        </w:rPr>
        <w:t>2-1</w:t>
      </w:r>
      <w:r>
        <w:rPr/>
        <w:t>。</w:t>
      </w:r>
    </w:p>
    <w:p>
      <w:pPr>
        <w:tabs>
          <w:tab w:pos="3805" w:val="left" w:leader="none"/>
        </w:tabs>
        <w:spacing w:before="22"/>
        <w:ind w:left="3052" w:right="0" w:firstLine="0"/>
        <w:jc w:val="left"/>
        <w:rPr>
          <w:b/>
          <w:sz w:val="21"/>
        </w:rPr>
      </w:pPr>
      <w:r>
        <w:rPr>
          <w:b/>
          <w:sz w:val="21"/>
        </w:rPr>
        <w:t>表</w:t>
      </w:r>
      <w:r>
        <w:rPr>
          <w:b/>
          <w:spacing w:val="-52"/>
          <w:sz w:val="21"/>
        </w:rPr>
        <w:t> </w:t>
      </w:r>
      <w:r>
        <w:rPr>
          <w:rFonts w:ascii="Times New Roman" w:eastAsia="Times New Roman"/>
          <w:b/>
          <w:sz w:val="21"/>
        </w:rPr>
        <w:t>2-1</w:t>
        <w:tab/>
      </w:r>
      <w:r>
        <w:rPr>
          <w:b/>
          <w:sz w:val="21"/>
        </w:rPr>
        <w:t>项目占地情况一览表</w:t>
      </w:r>
    </w:p>
    <w:p>
      <w:pPr>
        <w:pStyle w:val="BodyText"/>
        <w:spacing w:before="11"/>
        <w:ind w:left="0"/>
        <w:rPr>
          <w:b/>
          <w:sz w:val="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7"/>
        <w:gridCol w:w="1335"/>
        <w:gridCol w:w="1725"/>
        <w:gridCol w:w="2134"/>
        <w:gridCol w:w="2131"/>
      </w:tblGrid>
      <w:tr>
        <w:trPr>
          <w:trHeight w:val="312" w:hRule="atLeast"/>
        </w:trPr>
        <w:tc>
          <w:tcPr>
            <w:tcW w:w="2532" w:type="dxa"/>
            <w:gridSpan w:val="2"/>
          </w:tcPr>
          <w:p>
            <w:pPr>
              <w:pStyle w:val="TableParagraph"/>
              <w:ind w:left="844"/>
              <w:jc w:val="left"/>
              <w:rPr>
                <w:rFonts w:ascii="宋体" w:eastAsia="宋体" w:hint="eastAsia"/>
                <w:sz w:val="21"/>
              </w:rPr>
            </w:pPr>
            <w:r>
              <w:rPr>
                <w:rFonts w:ascii="宋体" w:eastAsia="宋体" w:hint="eastAsia"/>
                <w:sz w:val="21"/>
              </w:rPr>
              <w:t>占地类型</w:t>
            </w:r>
          </w:p>
        </w:tc>
        <w:tc>
          <w:tcPr>
            <w:tcW w:w="1725" w:type="dxa"/>
          </w:tcPr>
          <w:p>
            <w:pPr>
              <w:pStyle w:val="TableParagraph"/>
              <w:ind w:left="420" w:right="415"/>
              <w:rPr>
                <w:rFonts w:ascii="宋体" w:eastAsia="宋体" w:hint="eastAsia"/>
                <w:sz w:val="21"/>
              </w:rPr>
            </w:pPr>
            <w:r>
              <w:rPr>
                <w:rFonts w:ascii="宋体" w:eastAsia="宋体" w:hint="eastAsia"/>
                <w:sz w:val="21"/>
              </w:rPr>
              <w:t>占地用途</w:t>
            </w:r>
          </w:p>
        </w:tc>
        <w:tc>
          <w:tcPr>
            <w:tcW w:w="2134" w:type="dxa"/>
          </w:tcPr>
          <w:p>
            <w:pPr>
              <w:pStyle w:val="TableParagraph"/>
              <w:ind w:left="249" w:right="241"/>
              <w:rPr>
                <w:rFonts w:ascii="宋体" w:eastAsia="宋体" w:hint="eastAsia"/>
                <w:sz w:val="21"/>
              </w:rPr>
            </w:pPr>
            <w:r>
              <w:rPr>
                <w:rFonts w:ascii="宋体" w:eastAsia="宋体" w:hint="eastAsia"/>
                <w:sz w:val="21"/>
              </w:rPr>
              <w:t>占地面积（</w:t>
            </w:r>
            <w:r>
              <w:rPr>
                <w:sz w:val="21"/>
              </w:rPr>
              <w:t>hm</w:t>
            </w:r>
            <w:r>
              <w:rPr>
                <w:position w:val="7"/>
                <w:sz w:val="13"/>
              </w:rPr>
              <w:t>2</w:t>
            </w:r>
            <w:r>
              <w:rPr>
                <w:rFonts w:ascii="宋体" w:eastAsia="宋体" w:hint="eastAsia"/>
                <w:sz w:val="21"/>
              </w:rPr>
              <w:t>）</w:t>
            </w:r>
          </w:p>
        </w:tc>
        <w:tc>
          <w:tcPr>
            <w:tcW w:w="2131" w:type="dxa"/>
          </w:tcPr>
          <w:p>
            <w:pPr>
              <w:pStyle w:val="TableParagraph"/>
              <w:ind w:left="97" w:right="92"/>
              <w:rPr>
                <w:rFonts w:ascii="宋体" w:eastAsia="宋体" w:hint="eastAsia"/>
                <w:sz w:val="21"/>
              </w:rPr>
            </w:pPr>
            <w:r>
              <w:rPr>
                <w:rFonts w:ascii="宋体" w:eastAsia="宋体" w:hint="eastAsia"/>
                <w:sz w:val="21"/>
              </w:rPr>
              <w:t>备注</w:t>
            </w:r>
          </w:p>
        </w:tc>
      </w:tr>
      <w:tr>
        <w:trPr>
          <w:trHeight w:val="623" w:hRule="atLeast"/>
        </w:trPr>
        <w:tc>
          <w:tcPr>
            <w:tcW w:w="1197" w:type="dxa"/>
            <w:vMerge w:val="restart"/>
          </w:tcPr>
          <w:p>
            <w:pPr>
              <w:pStyle w:val="TableParagraph"/>
              <w:spacing w:before="0"/>
              <w:ind w:left="0"/>
              <w:jc w:val="left"/>
              <w:rPr>
                <w:rFonts w:ascii="宋体"/>
                <w:b/>
                <w:sz w:val="20"/>
              </w:rPr>
            </w:pPr>
          </w:p>
          <w:p>
            <w:pPr>
              <w:pStyle w:val="TableParagraph"/>
              <w:spacing w:before="6"/>
              <w:ind w:left="0"/>
              <w:jc w:val="left"/>
              <w:rPr>
                <w:rFonts w:ascii="宋体"/>
                <w:b/>
                <w:sz w:val="18"/>
              </w:rPr>
            </w:pPr>
          </w:p>
          <w:p>
            <w:pPr>
              <w:pStyle w:val="TableParagraph"/>
              <w:spacing w:before="0"/>
              <w:ind w:left="177"/>
              <w:jc w:val="left"/>
              <w:rPr>
                <w:rFonts w:ascii="宋体" w:eastAsia="宋体" w:hint="eastAsia"/>
                <w:sz w:val="21"/>
              </w:rPr>
            </w:pPr>
            <w:r>
              <w:rPr>
                <w:rFonts w:ascii="宋体" w:eastAsia="宋体" w:hint="eastAsia"/>
                <w:sz w:val="21"/>
              </w:rPr>
              <w:t>临时占地</w:t>
            </w:r>
          </w:p>
        </w:tc>
        <w:tc>
          <w:tcPr>
            <w:tcW w:w="1335" w:type="dxa"/>
          </w:tcPr>
          <w:p>
            <w:pPr>
              <w:pStyle w:val="TableParagraph"/>
              <w:spacing w:before="177"/>
              <w:ind w:left="224" w:right="219"/>
              <w:rPr>
                <w:rFonts w:ascii="宋体" w:eastAsia="宋体" w:hint="eastAsia"/>
                <w:sz w:val="21"/>
              </w:rPr>
            </w:pPr>
            <w:r>
              <w:rPr>
                <w:rFonts w:ascii="宋体" w:eastAsia="宋体" w:hint="eastAsia"/>
                <w:sz w:val="21"/>
              </w:rPr>
              <w:t>光伏区</w:t>
            </w:r>
          </w:p>
        </w:tc>
        <w:tc>
          <w:tcPr>
            <w:tcW w:w="1725" w:type="dxa"/>
          </w:tcPr>
          <w:p>
            <w:pPr>
              <w:pStyle w:val="TableParagraph"/>
              <w:spacing w:before="177"/>
              <w:ind w:left="420" w:right="415"/>
              <w:rPr>
                <w:rFonts w:ascii="宋体" w:eastAsia="宋体" w:hint="eastAsia"/>
                <w:sz w:val="21"/>
              </w:rPr>
            </w:pPr>
            <w:r>
              <w:rPr>
                <w:rFonts w:ascii="宋体" w:eastAsia="宋体" w:hint="eastAsia"/>
                <w:sz w:val="21"/>
              </w:rPr>
              <w:t>光伏场区</w:t>
            </w:r>
          </w:p>
        </w:tc>
        <w:tc>
          <w:tcPr>
            <w:tcW w:w="2134" w:type="dxa"/>
          </w:tcPr>
          <w:p>
            <w:pPr>
              <w:pStyle w:val="TableParagraph"/>
              <w:spacing w:before="190"/>
              <w:ind w:left="249" w:right="240"/>
              <w:rPr>
                <w:sz w:val="21"/>
              </w:rPr>
            </w:pPr>
            <w:r>
              <w:rPr>
                <w:sz w:val="21"/>
              </w:rPr>
              <w:t>131.01</w:t>
            </w:r>
          </w:p>
        </w:tc>
        <w:tc>
          <w:tcPr>
            <w:tcW w:w="2131" w:type="dxa"/>
          </w:tcPr>
          <w:p>
            <w:pPr>
              <w:pStyle w:val="TableParagraph"/>
              <w:spacing w:before="20"/>
              <w:ind w:left="99" w:right="92"/>
              <w:rPr>
                <w:rFonts w:ascii="宋体" w:eastAsia="宋体" w:hint="eastAsia"/>
                <w:sz w:val="21"/>
              </w:rPr>
            </w:pPr>
            <w:r>
              <w:rPr>
                <w:rFonts w:ascii="宋体" w:eastAsia="宋体" w:hint="eastAsia"/>
                <w:sz w:val="21"/>
              </w:rPr>
              <w:t>项目拟分片区滚动施</w:t>
            </w:r>
          </w:p>
          <w:p>
            <w:pPr>
              <w:pStyle w:val="TableParagraph"/>
              <w:spacing w:before="43"/>
              <w:ind w:left="7"/>
              <w:rPr>
                <w:rFonts w:ascii="宋体" w:eastAsia="宋体" w:hint="eastAsia"/>
                <w:sz w:val="21"/>
              </w:rPr>
            </w:pPr>
            <w:r>
              <w:rPr>
                <w:rFonts w:ascii="宋体" w:eastAsia="宋体" w:hint="eastAsia"/>
                <w:w w:val="99"/>
                <w:sz w:val="21"/>
              </w:rPr>
              <w:t>工</w:t>
            </w:r>
          </w:p>
        </w:tc>
      </w:tr>
      <w:tr>
        <w:trPr>
          <w:trHeight w:val="623" w:hRule="atLeast"/>
        </w:trPr>
        <w:tc>
          <w:tcPr>
            <w:tcW w:w="1197" w:type="dxa"/>
            <w:vMerge/>
            <w:tcBorders>
              <w:top w:val="nil"/>
            </w:tcBorders>
          </w:tcPr>
          <w:p>
            <w:pPr>
              <w:rPr>
                <w:sz w:val="2"/>
                <w:szCs w:val="2"/>
              </w:rPr>
            </w:pPr>
          </w:p>
        </w:tc>
        <w:tc>
          <w:tcPr>
            <w:tcW w:w="1335" w:type="dxa"/>
          </w:tcPr>
          <w:p>
            <w:pPr>
              <w:pStyle w:val="TableParagraph"/>
              <w:spacing w:before="176"/>
              <w:ind w:left="226" w:right="219"/>
              <w:rPr>
                <w:rFonts w:ascii="宋体" w:eastAsia="宋体" w:hint="eastAsia"/>
                <w:sz w:val="21"/>
              </w:rPr>
            </w:pPr>
            <w:r>
              <w:rPr>
                <w:rFonts w:ascii="宋体" w:eastAsia="宋体" w:hint="eastAsia"/>
                <w:sz w:val="21"/>
              </w:rPr>
              <w:t>施工临建</w:t>
            </w:r>
          </w:p>
        </w:tc>
        <w:tc>
          <w:tcPr>
            <w:tcW w:w="1725" w:type="dxa"/>
          </w:tcPr>
          <w:p>
            <w:pPr>
              <w:pStyle w:val="TableParagraph"/>
              <w:spacing w:before="176"/>
              <w:ind w:left="420" w:right="415"/>
              <w:rPr>
                <w:rFonts w:ascii="宋体" w:eastAsia="宋体" w:hint="eastAsia"/>
                <w:sz w:val="21"/>
              </w:rPr>
            </w:pPr>
            <w:r>
              <w:rPr>
                <w:rFonts w:ascii="宋体" w:eastAsia="宋体" w:hint="eastAsia"/>
                <w:sz w:val="21"/>
              </w:rPr>
              <w:t>用于施工</w:t>
            </w:r>
          </w:p>
        </w:tc>
        <w:tc>
          <w:tcPr>
            <w:tcW w:w="2134" w:type="dxa"/>
          </w:tcPr>
          <w:p>
            <w:pPr>
              <w:pStyle w:val="TableParagraph"/>
              <w:spacing w:before="190"/>
              <w:ind w:left="249" w:right="238"/>
              <w:rPr>
                <w:sz w:val="21"/>
              </w:rPr>
            </w:pPr>
            <w:r>
              <w:rPr>
                <w:sz w:val="21"/>
              </w:rPr>
              <w:t>0.5</w:t>
            </w:r>
          </w:p>
        </w:tc>
        <w:tc>
          <w:tcPr>
            <w:tcW w:w="2131" w:type="dxa"/>
          </w:tcPr>
          <w:p>
            <w:pPr>
              <w:pStyle w:val="TableParagraph"/>
              <w:spacing w:before="20"/>
              <w:ind w:left="99" w:right="92"/>
              <w:rPr>
                <w:rFonts w:ascii="宋体" w:eastAsia="宋体" w:hint="eastAsia"/>
                <w:sz w:val="21"/>
              </w:rPr>
            </w:pPr>
            <w:r>
              <w:rPr>
                <w:rFonts w:ascii="宋体" w:eastAsia="宋体" w:hint="eastAsia"/>
                <w:sz w:val="21"/>
              </w:rPr>
              <w:t>施工临建位于升压站</w:t>
            </w:r>
          </w:p>
          <w:p>
            <w:pPr>
              <w:pStyle w:val="TableParagraph"/>
              <w:spacing w:before="43"/>
              <w:ind w:left="97" w:right="92"/>
              <w:rPr>
                <w:rFonts w:ascii="宋体" w:eastAsia="宋体" w:hint="eastAsia"/>
                <w:sz w:val="21"/>
              </w:rPr>
            </w:pPr>
            <w:r>
              <w:rPr>
                <w:rFonts w:ascii="宋体" w:eastAsia="宋体" w:hint="eastAsia"/>
                <w:sz w:val="21"/>
              </w:rPr>
              <w:t>附近</w:t>
            </w:r>
          </w:p>
        </w:tc>
      </w:tr>
      <w:tr>
        <w:trPr>
          <w:trHeight w:val="312" w:hRule="atLeast"/>
        </w:trPr>
        <w:tc>
          <w:tcPr>
            <w:tcW w:w="1197" w:type="dxa"/>
          </w:tcPr>
          <w:p>
            <w:pPr>
              <w:pStyle w:val="TableParagraph"/>
              <w:spacing w:before="20"/>
              <w:ind w:left="177"/>
              <w:jc w:val="left"/>
              <w:rPr>
                <w:rFonts w:ascii="宋体" w:eastAsia="宋体" w:hint="eastAsia"/>
                <w:sz w:val="21"/>
              </w:rPr>
            </w:pPr>
            <w:r>
              <w:rPr>
                <w:rFonts w:ascii="宋体" w:eastAsia="宋体" w:hint="eastAsia"/>
                <w:sz w:val="21"/>
              </w:rPr>
              <w:t>永久占地</w:t>
            </w:r>
          </w:p>
        </w:tc>
        <w:tc>
          <w:tcPr>
            <w:tcW w:w="1335" w:type="dxa"/>
          </w:tcPr>
          <w:p>
            <w:pPr>
              <w:pStyle w:val="TableParagraph"/>
              <w:spacing w:before="20"/>
              <w:ind w:left="224" w:right="219"/>
              <w:rPr>
                <w:rFonts w:ascii="宋体" w:eastAsia="宋体" w:hint="eastAsia"/>
                <w:sz w:val="21"/>
              </w:rPr>
            </w:pPr>
            <w:r>
              <w:rPr>
                <w:rFonts w:ascii="宋体" w:eastAsia="宋体" w:hint="eastAsia"/>
                <w:sz w:val="21"/>
              </w:rPr>
              <w:t>升压站</w:t>
            </w:r>
          </w:p>
        </w:tc>
        <w:tc>
          <w:tcPr>
            <w:tcW w:w="1725" w:type="dxa"/>
          </w:tcPr>
          <w:p>
            <w:pPr>
              <w:pStyle w:val="TableParagraph"/>
              <w:spacing w:before="20"/>
              <w:ind w:left="420" w:right="413"/>
              <w:rPr>
                <w:rFonts w:ascii="宋体" w:eastAsia="宋体" w:hint="eastAsia"/>
                <w:sz w:val="21"/>
              </w:rPr>
            </w:pPr>
            <w:r>
              <w:rPr>
                <w:rFonts w:ascii="宋体" w:eastAsia="宋体" w:hint="eastAsia"/>
                <w:sz w:val="21"/>
              </w:rPr>
              <w:t>生产区</w:t>
            </w:r>
          </w:p>
        </w:tc>
        <w:tc>
          <w:tcPr>
            <w:tcW w:w="2134" w:type="dxa"/>
          </w:tcPr>
          <w:p>
            <w:pPr>
              <w:pStyle w:val="TableParagraph"/>
              <w:spacing w:before="34"/>
              <w:ind w:left="249" w:right="240"/>
              <w:rPr>
                <w:sz w:val="21"/>
              </w:rPr>
            </w:pPr>
            <w:r>
              <w:rPr>
                <w:sz w:val="21"/>
              </w:rPr>
              <w:t>0.78</w:t>
            </w:r>
          </w:p>
        </w:tc>
        <w:tc>
          <w:tcPr>
            <w:tcW w:w="2131" w:type="dxa"/>
          </w:tcPr>
          <w:p>
            <w:pPr>
              <w:pStyle w:val="TableParagraph"/>
              <w:spacing w:before="34"/>
              <w:ind w:left="10"/>
              <w:rPr>
                <w:sz w:val="21"/>
              </w:rPr>
            </w:pPr>
            <w:r>
              <w:rPr>
                <w:w w:val="99"/>
                <w:sz w:val="21"/>
              </w:rPr>
              <w:t>/</w:t>
            </w:r>
          </w:p>
        </w:tc>
      </w:tr>
      <w:tr>
        <w:trPr>
          <w:trHeight w:val="311" w:hRule="atLeast"/>
        </w:trPr>
        <w:tc>
          <w:tcPr>
            <w:tcW w:w="4257" w:type="dxa"/>
            <w:gridSpan w:val="3"/>
          </w:tcPr>
          <w:p>
            <w:pPr>
              <w:pStyle w:val="TableParagraph"/>
              <w:spacing w:before="22"/>
              <w:ind w:left="1896" w:right="1891"/>
              <w:rPr>
                <w:rFonts w:ascii="宋体" w:eastAsia="宋体" w:hint="eastAsia"/>
                <w:sz w:val="21"/>
              </w:rPr>
            </w:pPr>
            <w:r>
              <w:rPr>
                <w:rFonts w:ascii="宋体" w:eastAsia="宋体" w:hint="eastAsia"/>
                <w:sz w:val="21"/>
              </w:rPr>
              <w:t>合计</w:t>
            </w:r>
          </w:p>
        </w:tc>
        <w:tc>
          <w:tcPr>
            <w:tcW w:w="2134" w:type="dxa"/>
          </w:tcPr>
          <w:p>
            <w:pPr>
              <w:pStyle w:val="TableParagraph"/>
              <w:spacing w:before="36"/>
              <w:ind w:left="249" w:right="240"/>
              <w:rPr>
                <w:sz w:val="21"/>
              </w:rPr>
            </w:pPr>
            <w:r>
              <w:rPr>
                <w:sz w:val="21"/>
              </w:rPr>
              <w:t>132.29</w:t>
            </w:r>
          </w:p>
        </w:tc>
        <w:tc>
          <w:tcPr>
            <w:tcW w:w="2131" w:type="dxa"/>
          </w:tcPr>
          <w:p>
            <w:pPr>
              <w:pStyle w:val="TableParagraph"/>
              <w:spacing w:before="36"/>
              <w:ind w:left="10"/>
              <w:rPr>
                <w:sz w:val="21"/>
              </w:rPr>
            </w:pPr>
            <w:r>
              <w:rPr>
                <w:w w:val="99"/>
                <w:sz w:val="21"/>
              </w:rPr>
              <w:t>/</w:t>
            </w:r>
          </w:p>
        </w:tc>
      </w:tr>
    </w:tbl>
    <w:p>
      <w:pPr>
        <w:pStyle w:val="Heading1"/>
        <w:numPr>
          <w:ilvl w:val="0"/>
          <w:numId w:val="2"/>
        </w:numPr>
        <w:tabs>
          <w:tab w:pos="540" w:val="left" w:leader="none"/>
        </w:tabs>
        <w:spacing w:line="240" w:lineRule="auto" w:before="108" w:after="0"/>
        <w:ind w:left="539" w:right="0" w:hanging="320"/>
        <w:jc w:val="left"/>
        <w:rPr>
          <w:rFonts w:ascii="Times New Roman" w:eastAsia="Times New Roman"/>
        </w:rPr>
      </w:pPr>
      <w:bookmarkStart w:name="_bookmark6" w:id="13"/>
      <w:bookmarkEnd w:id="13"/>
      <w:r>
        <w:rPr>
          <w:b w:val="0"/>
        </w:rPr>
      </w:r>
      <w:bookmarkStart w:name="_bookmark6" w:id="14"/>
      <w:bookmarkEnd w:id="14"/>
      <w:r>
        <w:rPr/>
        <w:t>评价工作等级和评价范围</w:t>
      </w:r>
    </w:p>
    <w:p>
      <w:pPr>
        <w:pStyle w:val="Heading3"/>
        <w:numPr>
          <w:ilvl w:val="1"/>
          <w:numId w:val="2"/>
        </w:numPr>
        <w:tabs>
          <w:tab w:pos="710" w:val="left" w:leader="none"/>
        </w:tabs>
        <w:spacing w:line="240" w:lineRule="auto" w:before="240" w:after="0"/>
        <w:ind w:left="709" w:right="0" w:hanging="490"/>
        <w:jc w:val="left"/>
      </w:pPr>
      <w:bookmarkStart w:name="_bookmark7" w:id="15"/>
      <w:bookmarkEnd w:id="15"/>
      <w:r>
        <w:rPr>
          <w:b w:val="0"/>
        </w:rPr>
      </w:r>
      <w:bookmarkStart w:name="_bookmark7" w:id="16"/>
      <w:bookmarkEnd w:id="16"/>
      <w:r>
        <w:rPr/>
        <w:t>评价工作等级</w:t>
      </w:r>
    </w:p>
    <w:p>
      <w:pPr>
        <w:pStyle w:val="BodyText"/>
        <w:spacing w:before="212"/>
        <w:ind w:left="700"/>
      </w:pPr>
      <w:r>
        <w:rPr/>
        <w:t>建设项目生态影响评价工作等级划分表见 </w:t>
      </w:r>
      <w:r>
        <w:rPr>
          <w:rFonts w:ascii="Times New Roman" w:eastAsia="Times New Roman"/>
        </w:rPr>
        <w:t>1-1</w:t>
      </w:r>
      <w:r>
        <w:rPr/>
        <w:t>。</w:t>
      </w:r>
    </w:p>
    <w:p>
      <w:pPr>
        <w:tabs>
          <w:tab w:pos="753" w:val="left" w:leader="none"/>
        </w:tabs>
        <w:spacing w:before="178"/>
        <w:ind w:left="0" w:right="85" w:firstLine="0"/>
        <w:jc w:val="center"/>
        <w:rPr>
          <w:b/>
          <w:sz w:val="21"/>
        </w:rPr>
      </w:pPr>
      <w:r>
        <w:rPr>
          <w:b/>
          <w:sz w:val="21"/>
        </w:rPr>
        <w:t>表</w:t>
      </w:r>
      <w:r>
        <w:rPr>
          <w:b/>
          <w:spacing w:val="-52"/>
          <w:sz w:val="21"/>
        </w:rPr>
        <w:t> </w:t>
      </w:r>
      <w:r>
        <w:rPr>
          <w:rFonts w:ascii="Times New Roman" w:eastAsia="Times New Roman"/>
          <w:b/>
          <w:sz w:val="21"/>
        </w:rPr>
        <w:t>3-1</w:t>
        <w:tab/>
      </w:r>
      <w:r>
        <w:rPr>
          <w:b/>
          <w:sz w:val="21"/>
        </w:rPr>
        <w:t>建设项目生态影响评价工作等级划分表</w:t>
      </w:r>
    </w:p>
    <w:p>
      <w:pPr>
        <w:pStyle w:val="BodyText"/>
        <w:spacing w:before="11"/>
        <w:ind w:left="0"/>
        <w:rPr>
          <w:b/>
          <w:sz w:val="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0"/>
        <w:gridCol w:w="2131"/>
        <w:gridCol w:w="2131"/>
      </w:tblGrid>
      <w:tr>
        <w:trPr>
          <w:trHeight w:val="312" w:hRule="atLeast"/>
        </w:trPr>
        <w:tc>
          <w:tcPr>
            <w:tcW w:w="2130" w:type="dxa"/>
            <w:vMerge w:val="restart"/>
          </w:tcPr>
          <w:p>
            <w:pPr>
              <w:pStyle w:val="TableParagraph"/>
              <w:spacing w:before="4"/>
              <w:ind w:left="0"/>
              <w:jc w:val="left"/>
              <w:rPr>
                <w:rFonts w:ascii="宋体"/>
                <w:b/>
                <w:sz w:val="26"/>
              </w:rPr>
            </w:pPr>
          </w:p>
          <w:p>
            <w:pPr>
              <w:pStyle w:val="TableParagraph"/>
              <w:spacing w:before="1"/>
              <w:ind w:left="119"/>
              <w:jc w:val="left"/>
              <w:rPr>
                <w:rFonts w:ascii="宋体" w:eastAsia="宋体" w:hint="eastAsia"/>
                <w:sz w:val="21"/>
              </w:rPr>
            </w:pPr>
            <w:r>
              <w:rPr>
                <w:rFonts w:ascii="宋体" w:eastAsia="宋体" w:hint="eastAsia"/>
                <w:sz w:val="21"/>
              </w:rPr>
              <w:t>影响区域生态敏感性</w:t>
            </w:r>
          </w:p>
        </w:tc>
        <w:tc>
          <w:tcPr>
            <w:tcW w:w="6392" w:type="dxa"/>
            <w:gridSpan w:val="3"/>
          </w:tcPr>
          <w:p>
            <w:pPr>
              <w:pStyle w:val="TableParagraph"/>
              <w:ind w:left="2020" w:right="2012"/>
              <w:rPr>
                <w:rFonts w:ascii="宋体" w:eastAsia="宋体" w:hint="eastAsia"/>
                <w:sz w:val="21"/>
              </w:rPr>
            </w:pPr>
            <w:r>
              <w:rPr>
                <w:rFonts w:ascii="宋体" w:eastAsia="宋体" w:hint="eastAsia"/>
                <w:sz w:val="21"/>
              </w:rPr>
              <w:t>工程占地（含水域）范围</w:t>
            </w:r>
          </w:p>
        </w:tc>
      </w:tr>
      <w:tr>
        <w:trPr>
          <w:trHeight w:val="623" w:hRule="atLeast"/>
        </w:trPr>
        <w:tc>
          <w:tcPr>
            <w:tcW w:w="2130" w:type="dxa"/>
            <w:vMerge/>
            <w:tcBorders>
              <w:top w:val="nil"/>
            </w:tcBorders>
          </w:tcPr>
          <w:p>
            <w:pPr>
              <w:rPr>
                <w:sz w:val="2"/>
                <w:szCs w:val="2"/>
              </w:rPr>
            </w:pPr>
          </w:p>
        </w:tc>
        <w:tc>
          <w:tcPr>
            <w:tcW w:w="2130" w:type="dxa"/>
          </w:tcPr>
          <w:p>
            <w:pPr>
              <w:pStyle w:val="TableParagraph"/>
              <w:spacing w:before="20"/>
              <w:ind w:left="308" w:right="299"/>
              <w:rPr>
                <w:sz w:val="13"/>
              </w:rPr>
            </w:pPr>
            <w:r>
              <w:rPr>
                <w:rFonts w:ascii="宋体" w:hAnsi="宋体" w:eastAsia="宋体" w:hint="eastAsia"/>
                <w:sz w:val="21"/>
              </w:rPr>
              <w:t>面积≥</w:t>
            </w:r>
            <w:r>
              <w:rPr>
                <w:sz w:val="21"/>
              </w:rPr>
              <w:t>20km</w:t>
            </w:r>
            <w:r>
              <w:rPr>
                <w:position w:val="7"/>
                <w:sz w:val="13"/>
              </w:rPr>
              <w:t>2</w:t>
            </w:r>
          </w:p>
          <w:p>
            <w:pPr>
              <w:pStyle w:val="TableParagraph"/>
              <w:spacing w:before="43"/>
              <w:ind w:left="308" w:right="301"/>
              <w:rPr>
                <w:sz w:val="21"/>
              </w:rPr>
            </w:pPr>
            <w:r>
              <w:rPr>
                <w:rFonts w:ascii="宋体" w:hAnsi="宋体" w:eastAsia="宋体" w:hint="eastAsia"/>
                <w:sz w:val="21"/>
              </w:rPr>
              <w:t>或长度≥</w:t>
            </w:r>
            <w:r>
              <w:rPr>
                <w:sz w:val="21"/>
              </w:rPr>
              <w:t>100km</w:t>
            </w:r>
          </w:p>
        </w:tc>
        <w:tc>
          <w:tcPr>
            <w:tcW w:w="2131" w:type="dxa"/>
          </w:tcPr>
          <w:p>
            <w:pPr>
              <w:pStyle w:val="TableParagraph"/>
              <w:spacing w:before="20"/>
              <w:ind w:left="99" w:right="91"/>
              <w:rPr>
                <w:sz w:val="13"/>
              </w:rPr>
            </w:pPr>
            <w:r>
              <w:rPr>
                <w:rFonts w:ascii="宋体" w:eastAsia="宋体" w:hint="eastAsia"/>
                <w:sz w:val="21"/>
              </w:rPr>
              <w:t>面积 </w:t>
            </w:r>
            <w:r>
              <w:rPr>
                <w:sz w:val="21"/>
              </w:rPr>
              <w:t>2</w:t>
            </w:r>
            <w:r>
              <w:rPr>
                <w:rFonts w:ascii="宋体" w:eastAsia="宋体" w:hint="eastAsia"/>
                <w:sz w:val="21"/>
              </w:rPr>
              <w:t>～</w:t>
            </w:r>
            <w:r>
              <w:rPr>
                <w:sz w:val="21"/>
              </w:rPr>
              <w:t>20km</w:t>
            </w:r>
            <w:r>
              <w:rPr>
                <w:position w:val="7"/>
                <w:sz w:val="13"/>
              </w:rPr>
              <w:t>2</w:t>
            </w:r>
          </w:p>
          <w:p>
            <w:pPr>
              <w:pStyle w:val="TableParagraph"/>
              <w:spacing w:before="43"/>
              <w:ind w:left="99" w:right="90"/>
              <w:rPr>
                <w:sz w:val="21"/>
              </w:rPr>
            </w:pPr>
            <w:r>
              <w:rPr>
                <w:rFonts w:ascii="宋体" w:eastAsia="宋体" w:hint="eastAsia"/>
                <w:sz w:val="21"/>
              </w:rPr>
              <w:t>或长度 </w:t>
            </w:r>
            <w:r>
              <w:rPr>
                <w:sz w:val="21"/>
              </w:rPr>
              <w:t>50</w:t>
            </w:r>
            <w:r>
              <w:rPr>
                <w:rFonts w:ascii="宋体" w:eastAsia="宋体" w:hint="eastAsia"/>
                <w:sz w:val="21"/>
              </w:rPr>
              <w:t>～</w:t>
            </w:r>
            <w:r>
              <w:rPr>
                <w:sz w:val="21"/>
              </w:rPr>
              <w:t>100km</w:t>
            </w:r>
          </w:p>
        </w:tc>
        <w:tc>
          <w:tcPr>
            <w:tcW w:w="2131" w:type="dxa"/>
          </w:tcPr>
          <w:p>
            <w:pPr>
              <w:pStyle w:val="TableParagraph"/>
              <w:spacing w:before="20"/>
              <w:ind w:left="99" w:right="88"/>
              <w:rPr>
                <w:sz w:val="13"/>
              </w:rPr>
            </w:pPr>
            <w:r>
              <w:rPr>
                <w:rFonts w:ascii="宋体" w:hAnsi="宋体" w:eastAsia="宋体" w:hint="eastAsia"/>
                <w:sz w:val="21"/>
              </w:rPr>
              <w:t>面积≤</w:t>
            </w:r>
            <w:r>
              <w:rPr>
                <w:sz w:val="21"/>
              </w:rPr>
              <w:t>2km</w:t>
            </w:r>
            <w:r>
              <w:rPr>
                <w:position w:val="7"/>
                <w:sz w:val="13"/>
              </w:rPr>
              <w:t>2</w:t>
            </w:r>
          </w:p>
          <w:p>
            <w:pPr>
              <w:pStyle w:val="TableParagraph"/>
              <w:spacing w:before="43"/>
              <w:ind w:left="99" w:right="92"/>
              <w:rPr>
                <w:sz w:val="21"/>
              </w:rPr>
            </w:pPr>
            <w:r>
              <w:rPr>
                <w:rFonts w:ascii="宋体" w:hAnsi="宋体" w:eastAsia="宋体" w:hint="eastAsia"/>
                <w:sz w:val="21"/>
              </w:rPr>
              <w:t>或长度≤</w:t>
            </w:r>
            <w:r>
              <w:rPr>
                <w:sz w:val="21"/>
              </w:rPr>
              <w:t>50km</w:t>
            </w:r>
          </w:p>
        </w:tc>
      </w:tr>
      <w:tr>
        <w:trPr>
          <w:trHeight w:val="312" w:hRule="atLeast"/>
        </w:trPr>
        <w:tc>
          <w:tcPr>
            <w:tcW w:w="2130" w:type="dxa"/>
          </w:tcPr>
          <w:p>
            <w:pPr>
              <w:pStyle w:val="TableParagraph"/>
              <w:spacing w:before="20"/>
              <w:ind w:left="308" w:right="302"/>
              <w:rPr>
                <w:rFonts w:ascii="宋体" w:eastAsia="宋体" w:hint="eastAsia"/>
                <w:sz w:val="21"/>
              </w:rPr>
            </w:pPr>
            <w:r>
              <w:rPr>
                <w:rFonts w:ascii="宋体" w:eastAsia="宋体" w:hint="eastAsia"/>
                <w:sz w:val="21"/>
              </w:rPr>
              <w:t>特殊生态敏感区</w:t>
            </w:r>
          </w:p>
        </w:tc>
        <w:tc>
          <w:tcPr>
            <w:tcW w:w="2130" w:type="dxa"/>
          </w:tcPr>
          <w:p>
            <w:pPr>
              <w:pStyle w:val="TableParagraph"/>
              <w:spacing w:before="20"/>
              <w:ind w:left="308" w:right="300"/>
              <w:rPr>
                <w:rFonts w:ascii="宋体" w:eastAsia="宋体" w:hint="eastAsia"/>
                <w:sz w:val="21"/>
              </w:rPr>
            </w:pPr>
            <w:r>
              <w:rPr>
                <w:rFonts w:ascii="宋体" w:eastAsia="宋体" w:hint="eastAsia"/>
                <w:sz w:val="21"/>
              </w:rPr>
              <w:t>一级</w:t>
            </w:r>
          </w:p>
        </w:tc>
        <w:tc>
          <w:tcPr>
            <w:tcW w:w="2131" w:type="dxa"/>
          </w:tcPr>
          <w:p>
            <w:pPr>
              <w:pStyle w:val="TableParagraph"/>
              <w:spacing w:before="20"/>
              <w:ind w:left="97" w:right="92"/>
              <w:rPr>
                <w:rFonts w:ascii="宋体" w:eastAsia="宋体" w:hint="eastAsia"/>
                <w:sz w:val="21"/>
              </w:rPr>
            </w:pPr>
            <w:r>
              <w:rPr>
                <w:rFonts w:ascii="宋体" w:eastAsia="宋体" w:hint="eastAsia"/>
                <w:sz w:val="21"/>
              </w:rPr>
              <w:t>一级</w:t>
            </w:r>
          </w:p>
        </w:tc>
        <w:tc>
          <w:tcPr>
            <w:tcW w:w="2131" w:type="dxa"/>
          </w:tcPr>
          <w:p>
            <w:pPr>
              <w:pStyle w:val="TableParagraph"/>
              <w:spacing w:before="20"/>
              <w:ind w:left="97" w:right="92"/>
              <w:rPr>
                <w:rFonts w:ascii="宋体" w:eastAsia="宋体" w:hint="eastAsia"/>
                <w:sz w:val="21"/>
              </w:rPr>
            </w:pPr>
            <w:r>
              <w:rPr>
                <w:rFonts w:ascii="宋体" w:eastAsia="宋体" w:hint="eastAsia"/>
                <w:sz w:val="21"/>
              </w:rPr>
              <w:t>二级</w:t>
            </w:r>
          </w:p>
        </w:tc>
      </w:tr>
      <w:tr>
        <w:trPr>
          <w:trHeight w:val="312" w:hRule="atLeast"/>
        </w:trPr>
        <w:tc>
          <w:tcPr>
            <w:tcW w:w="2130" w:type="dxa"/>
          </w:tcPr>
          <w:p>
            <w:pPr>
              <w:pStyle w:val="TableParagraph"/>
              <w:spacing w:before="20"/>
              <w:ind w:left="308" w:right="302"/>
              <w:rPr>
                <w:rFonts w:ascii="宋体" w:eastAsia="宋体" w:hint="eastAsia"/>
                <w:sz w:val="21"/>
              </w:rPr>
            </w:pPr>
            <w:r>
              <w:rPr>
                <w:rFonts w:ascii="宋体" w:eastAsia="宋体" w:hint="eastAsia"/>
                <w:sz w:val="21"/>
              </w:rPr>
              <w:t>重要生态敏感区</w:t>
            </w:r>
          </w:p>
        </w:tc>
        <w:tc>
          <w:tcPr>
            <w:tcW w:w="2130" w:type="dxa"/>
          </w:tcPr>
          <w:p>
            <w:pPr>
              <w:pStyle w:val="TableParagraph"/>
              <w:spacing w:before="20"/>
              <w:ind w:left="308" w:right="300"/>
              <w:rPr>
                <w:rFonts w:ascii="宋体" w:eastAsia="宋体" w:hint="eastAsia"/>
                <w:sz w:val="21"/>
              </w:rPr>
            </w:pPr>
            <w:r>
              <w:rPr>
                <w:rFonts w:ascii="宋体" w:eastAsia="宋体" w:hint="eastAsia"/>
                <w:sz w:val="21"/>
              </w:rPr>
              <w:t>一级</w:t>
            </w:r>
          </w:p>
        </w:tc>
        <w:tc>
          <w:tcPr>
            <w:tcW w:w="2131" w:type="dxa"/>
          </w:tcPr>
          <w:p>
            <w:pPr>
              <w:pStyle w:val="TableParagraph"/>
              <w:spacing w:before="20"/>
              <w:ind w:left="97" w:right="92"/>
              <w:rPr>
                <w:rFonts w:ascii="宋体" w:eastAsia="宋体" w:hint="eastAsia"/>
                <w:sz w:val="21"/>
              </w:rPr>
            </w:pPr>
            <w:r>
              <w:rPr>
                <w:rFonts w:ascii="宋体" w:eastAsia="宋体" w:hint="eastAsia"/>
                <w:sz w:val="21"/>
              </w:rPr>
              <w:t>二级</w:t>
            </w:r>
          </w:p>
        </w:tc>
        <w:tc>
          <w:tcPr>
            <w:tcW w:w="2131" w:type="dxa"/>
          </w:tcPr>
          <w:p>
            <w:pPr>
              <w:pStyle w:val="TableParagraph"/>
              <w:spacing w:before="20"/>
              <w:ind w:left="97" w:right="92"/>
              <w:rPr>
                <w:rFonts w:ascii="宋体" w:eastAsia="宋体" w:hint="eastAsia"/>
                <w:sz w:val="21"/>
              </w:rPr>
            </w:pPr>
            <w:r>
              <w:rPr>
                <w:rFonts w:ascii="宋体" w:eastAsia="宋体" w:hint="eastAsia"/>
                <w:sz w:val="21"/>
              </w:rPr>
              <w:t>三级</w:t>
            </w:r>
          </w:p>
        </w:tc>
      </w:tr>
      <w:tr>
        <w:trPr>
          <w:trHeight w:val="312" w:hRule="atLeast"/>
        </w:trPr>
        <w:tc>
          <w:tcPr>
            <w:tcW w:w="2130" w:type="dxa"/>
          </w:tcPr>
          <w:p>
            <w:pPr>
              <w:pStyle w:val="TableParagraph"/>
              <w:spacing w:before="22"/>
              <w:ind w:left="308" w:right="300"/>
              <w:rPr>
                <w:rFonts w:ascii="宋体" w:eastAsia="宋体" w:hint="eastAsia"/>
                <w:sz w:val="21"/>
              </w:rPr>
            </w:pPr>
            <w:r>
              <w:rPr>
                <w:rFonts w:ascii="宋体" w:eastAsia="宋体" w:hint="eastAsia"/>
                <w:sz w:val="21"/>
              </w:rPr>
              <w:t>一般区域</w:t>
            </w:r>
          </w:p>
        </w:tc>
        <w:tc>
          <w:tcPr>
            <w:tcW w:w="2130" w:type="dxa"/>
          </w:tcPr>
          <w:p>
            <w:pPr>
              <w:pStyle w:val="TableParagraph"/>
              <w:spacing w:before="22"/>
              <w:ind w:left="308" w:right="300"/>
              <w:rPr>
                <w:rFonts w:ascii="宋体" w:eastAsia="宋体" w:hint="eastAsia"/>
                <w:sz w:val="21"/>
              </w:rPr>
            </w:pPr>
            <w:r>
              <w:rPr>
                <w:rFonts w:ascii="宋体" w:eastAsia="宋体" w:hint="eastAsia"/>
                <w:sz w:val="21"/>
              </w:rPr>
              <w:t>二级</w:t>
            </w:r>
          </w:p>
        </w:tc>
        <w:tc>
          <w:tcPr>
            <w:tcW w:w="2131" w:type="dxa"/>
          </w:tcPr>
          <w:p>
            <w:pPr>
              <w:pStyle w:val="TableParagraph"/>
              <w:spacing w:before="22"/>
              <w:ind w:left="97" w:right="92"/>
              <w:rPr>
                <w:rFonts w:ascii="宋体" w:eastAsia="宋体" w:hint="eastAsia"/>
                <w:sz w:val="21"/>
              </w:rPr>
            </w:pPr>
            <w:r>
              <w:rPr>
                <w:rFonts w:ascii="宋体" w:eastAsia="宋体" w:hint="eastAsia"/>
                <w:sz w:val="21"/>
              </w:rPr>
              <w:t>三级</w:t>
            </w:r>
          </w:p>
        </w:tc>
        <w:tc>
          <w:tcPr>
            <w:tcW w:w="2131" w:type="dxa"/>
          </w:tcPr>
          <w:p>
            <w:pPr>
              <w:pStyle w:val="TableParagraph"/>
              <w:spacing w:before="22"/>
              <w:ind w:left="97" w:right="92"/>
              <w:rPr>
                <w:rFonts w:ascii="宋体" w:eastAsia="宋体" w:hint="eastAsia"/>
                <w:sz w:val="21"/>
              </w:rPr>
            </w:pPr>
            <w:r>
              <w:rPr>
                <w:rFonts w:ascii="宋体" w:eastAsia="宋体" w:hint="eastAsia"/>
                <w:sz w:val="21"/>
              </w:rPr>
              <w:t>三级</w:t>
            </w:r>
          </w:p>
        </w:tc>
      </w:tr>
    </w:tbl>
    <w:p>
      <w:pPr>
        <w:pStyle w:val="BodyText"/>
        <w:spacing w:line="364" w:lineRule="auto" w:before="80"/>
        <w:ind w:right="192" w:firstLine="480"/>
      </w:pPr>
      <w:r>
        <w:rPr>
          <w:spacing w:val="-6"/>
        </w:rPr>
        <w:t>项目场址用地面积为 </w:t>
      </w:r>
      <w:r>
        <w:rPr>
          <w:rFonts w:ascii="Times New Roman" w:eastAsia="Times New Roman"/>
          <w:spacing w:val="-4"/>
        </w:rPr>
        <w:t>132.29hm</w:t>
      </w:r>
      <w:r>
        <w:rPr>
          <w:rFonts w:ascii="Times New Roman" w:eastAsia="Times New Roman"/>
          <w:spacing w:val="-4"/>
          <w:position w:val="8"/>
          <w:sz w:val="15"/>
        </w:rPr>
        <w:t>2</w:t>
      </w:r>
      <w:r>
        <w:rPr>
          <w:spacing w:val="-4"/>
        </w:rPr>
        <w:t>（</w:t>
      </w:r>
      <w:r>
        <w:rPr>
          <w:rFonts w:ascii="Times New Roman" w:eastAsia="Times New Roman"/>
          <w:spacing w:val="-4"/>
        </w:rPr>
        <w:t>1.3229km</w:t>
      </w:r>
      <w:r>
        <w:rPr>
          <w:rFonts w:ascii="Times New Roman" w:eastAsia="Times New Roman"/>
          <w:spacing w:val="-4"/>
          <w:position w:val="8"/>
          <w:sz w:val="15"/>
        </w:rPr>
        <w:t>2</w:t>
      </w:r>
      <w:r>
        <w:rPr>
          <w:spacing w:val="-4"/>
        </w:rPr>
        <w:t>）</w:t>
      </w:r>
      <w:r>
        <w:rPr>
          <w:spacing w:val="-12"/>
        </w:rPr>
        <w:t>。临时用地面积为 </w:t>
      </w:r>
      <w:r>
        <w:rPr>
          <w:rFonts w:ascii="Times New Roman" w:eastAsia="Times New Roman"/>
        </w:rPr>
        <w:t>131.51hm</w:t>
      </w:r>
      <w:r>
        <w:rPr>
          <w:rFonts w:ascii="Times New Roman" w:eastAsia="Times New Roman"/>
          <w:position w:val="8"/>
          <w:sz w:val="15"/>
        </w:rPr>
        <w:t>2</w:t>
      </w:r>
      <w:r>
        <w:rPr/>
        <w:t>， </w:t>
      </w:r>
      <w:r>
        <w:rPr>
          <w:spacing w:val="-5"/>
        </w:rPr>
        <w:t>其中光伏区临时用地面积为 </w:t>
      </w:r>
      <w:r>
        <w:rPr>
          <w:rFonts w:ascii="Times New Roman" w:eastAsia="Times New Roman"/>
          <w:spacing w:val="-3"/>
        </w:rPr>
        <w:t>131.01hm</w:t>
      </w:r>
      <w:r>
        <w:rPr>
          <w:rFonts w:ascii="Times New Roman" w:eastAsia="Times New Roman"/>
          <w:spacing w:val="-3"/>
          <w:position w:val="8"/>
          <w:sz w:val="15"/>
        </w:rPr>
        <w:t>2</w:t>
      </w:r>
      <w:r>
        <w:rPr>
          <w:spacing w:val="-10"/>
        </w:rPr>
        <w:t>，项目施工临建，用地面积为 </w:t>
      </w:r>
      <w:r>
        <w:rPr>
          <w:rFonts w:ascii="Times New Roman" w:eastAsia="Times New Roman"/>
        </w:rPr>
        <w:t>5000m</w:t>
      </w:r>
      <w:r>
        <w:rPr>
          <w:rFonts w:ascii="Times New Roman" w:eastAsia="Times New Roman"/>
          <w:position w:val="8"/>
          <w:sz w:val="15"/>
        </w:rPr>
        <w:t>2</w:t>
      </w:r>
      <w:r>
        <w:rPr>
          <w:spacing w:val="-15"/>
        </w:rPr>
        <w:t>。升</w:t>
      </w:r>
      <w:r>
        <w:rPr>
          <w:spacing w:val="-17"/>
        </w:rPr>
        <w:t>压站为永久用地，用地面积为 </w:t>
      </w:r>
      <w:r>
        <w:rPr>
          <w:rFonts w:ascii="Times New Roman" w:eastAsia="Times New Roman"/>
        </w:rPr>
        <w:t>7800m</w:t>
      </w:r>
      <w:r>
        <w:rPr>
          <w:rFonts w:ascii="Times New Roman" w:eastAsia="Times New Roman"/>
          <w:position w:val="8"/>
          <w:sz w:val="15"/>
        </w:rPr>
        <w:t>2</w:t>
      </w:r>
      <w:r>
        <w:rPr/>
        <w:t>。项目占地属一般区域。因此，评价等级为三级。</w:t>
      </w:r>
    </w:p>
    <w:p>
      <w:pPr>
        <w:pStyle w:val="Heading3"/>
        <w:numPr>
          <w:ilvl w:val="1"/>
          <w:numId w:val="2"/>
        </w:numPr>
        <w:tabs>
          <w:tab w:pos="710" w:val="left" w:leader="none"/>
        </w:tabs>
        <w:spacing w:line="240" w:lineRule="auto" w:before="56" w:after="0"/>
        <w:ind w:left="709" w:right="0" w:hanging="490"/>
        <w:jc w:val="left"/>
      </w:pPr>
      <w:bookmarkStart w:name="_bookmark8" w:id="17"/>
      <w:bookmarkEnd w:id="17"/>
      <w:r>
        <w:rPr>
          <w:b w:val="0"/>
        </w:rPr>
      </w:r>
      <w:bookmarkStart w:name="_bookmark8" w:id="18"/>
      <w:bookmarkEnd w:id="18"/>
      <w:r>
        <w:rPr/>
        <w:t>评价范围</w:t>
      </w:r>
    </w:p>
    <w:p>
      <w:pPr>
        <w:pStyle w:val="BodyText"/>
        <w:spacing w:before="212"/>
        <w:ind w:left="700"/>
      </w:pPr>
      <w:r>
        <w:rPr/>
        <w:t>本工程生态评价等级为三级，评价范围确定为站区边界外延 </w:t>
      </w:r>
      <w:r>
        <w:rPr>
          <w:rFonts w:ascii="Times New Roman" w:eastAsia="Times New Roman"/>
        </w:rPr>
        <w:t>500m </w:t>
      </w:r>
      <w:r>
        <w:rPr/>
        <w:t>区域。</w:t>
      </w:r>
    </w:p>
    <w:p>
      <w:pPr>
        <w:spacing w:after="0"/>
        <w:sectPr>
          <w:pgSz w:w="11910" w:h="16840"/>
          <w:pgMar w:header="0" w:footer="970" w:top="1500" w:bottom="1160" w:left="1580" w:right="1480"/>
        </w:sectPr>
      </w:pPr>
    </w:p>
    <w:p>
      <w:pPr>
        <w:pStyle w:val="Heading3"/>
        <w:numPr>
          <w:ilvl w:val="1"/>
          <w:numId w:val="2"/>
        </w:numPr>
        <w:tabs>
          <w:tab w:pos="710" w:val="left" w:leader="none"/>
        </w:tabs>
        <w:spacing w:line="240" w:lineRule="auto" w:before="55" w:after="0"/>
        <w:ind w:left="709" w:right="0" w:hanging="490"/>
        <w:jc w:val="left"/>
      </w:pPr>
      <w:bookmarkStart w:name="_bookmark9" w:id="19"/>
      <w:bookmarkEnd w:id="19"/>
      <w:r>
        <w:rPr>
          <w:b w:val="0"/>
        </w:rPr>
      </w:r>
      <w:bookmarkStart w:name="_bookmark9" w:id="20"/>
      <w:bookmarkEnd w:id="20"/>
      <w:r>
        <w:rPr/>
        <w:t>生态环境影响识别和评价因子筛选</w:t>
      </w:r>
    </w:p>
    <w:p>
      <w:pPr>
        <w:pStyle w:val="ListParagraph"/>
        <w:numPr>
          <w:ilvl w:val="2"/>
          <w:numId w:val="7"/>
        </w:numPr>
        <w:tabs>
          <w:tab w:pos="921" w:val="left" w:leader="none"/>
        </w:tabs>
        <w:spacing w:line="240" w:lineRule="auto" w:before="266" w:after="0"/>
        <w:ind w:left="920" w:right="0" w:hanging="701"/>
        <w:jc w:val="left"/>
        <w:rPr>
          <w:b/>
          <w:sz w:val="28"/>
        </w:rPr>
      </w:pPr>
      <w:r>
        <w:rPr>
          <w:b/>
          <w:sz w:val="28"/>
        </w:rPr>
        <w:t>生态环境影响识别</w:t>
      </w:r>
    </w:p>
    <w:p>
      <w:pPr>
        <w:pStyle w:val="BodyText"/>
        <w:spacing w:line="364" w:lineRule="auto" w:before="211"/>
        <w:ind w:right="197" w:firstLine="480"/>
      </w:pPr>
      <w:r>
        <w:rPr>
          <w:spacing w:val="-4"/>
        </w:rPr>
        <w:t>项目建设对生态环境的影响主要分为施工期和运营期。施工期由于光伏电站</w:t>
      </w:r>
      <w:r>
        <w:rPr>
          <w:spacing w:val="-17"/>
        </w:rPr>
        <w:t>建设、修路、埋设管道等过程中，开挖扰动地表，改变原地貌，影响农作物种植， </w:t>
      </w:r>
      <w:r>
        <w:rPr>
          <w:spacing w:val="-7"/>
        </w:rPr>
        <w:t>经受降水和风的影响，直接形成地表剥蚀、扬尘飞沙和侵蚀冲沟，并使地层原有</w:t>
      </w:r>
      <w:r>
        <w:rPr>
          <w:spacing w:val="-12"/>
        </w:rPr>
        <w:t>结构被破坏，加剧了水土流失。运营期由于太阳能电池组阵列的覆盖，将改变当地景观，太阳能电池板产生的阴影改变了农作物生长环境，对农作物生长产生影响，暴雨季节雨水从电池板冲刷而下产生水力侵蚀将造成水土流失。</w:t>
      </w:r>
    </w:p>
    <w:p>
      <w:pPr>
        <w:pStyle w:val="Heading3"/>
        <w:numPr>
          <w:ilvl w:val="2"/>
          <w:numId w:val="7"/>
        </w:numPr>
        <w:tabs>
          <w:tab w:pos="921" w:val="left" w:leader="none"/>
        </w:tabs>
        <w:spacing w:line="240" w:lineRule="auto" w:before="58" w:after="0"/>
        <w:ind w:left="920" w:right="0" w:hanging="701"/>
        <w:jc w:val="left"/>
      </w:pPr>
      <w:r>
        <w:rPr/>
        <w:t>生态环境影响评价因子筛选</w:t>
      </w:r>
    </w:p>
    <w:p>
      <w:pPr>
        <w:pStyle w:val="BodyText"/>
        <w:spacing w:before="211"/>
        <w:ind w:left="700"/>
      </w:pPr>
      <w:r>
        <w:rPr/>
        <w:t>根据以上分析，结合当地的生态环境特征，项目生态评价因子筛选为：</w:t>
      </w:r>
    </w:p>
    <w:p>
      <w:pPr>
        <w:pStyle w:val="ListParagraph"/>
        <w:numPr>
          <w:ilvl w:val="3"/>
          <w:numId w:val="7"/>
        </w:numPr>
        <w:tabs>
          <w:tab w:pos="1301" w:val="left" w:leader="none"/>
        </w:tabs>
        <w:spacing w:line="364" w:lineRule="auto" w:before="161" w:after="0"/>
        <w:ind w:left="220" w:right="195" w:firstLine="480"/>
        <w:jc w:val="left"/>
        <w:rPr>
          <w:sz w:val="24"/>
        </w:rPr>
      </w:pPr>
      <w:r>
        <w:rPr>
          <w:sz w:val="24"/>
        </w:rPr>
        <w:t>现状调查与评价因子现状调查与评价因子主要包括土地利用构成、分</w:t>
      </w:r>
      <w:r>
        <w:rPr>
          <w:spacing w:val="-16"/>
          <w:sz w:val="24"/>
        </w:rPr>
        <w:t>布、面积；植被类型、组成、分布、面积；植被覆盖度类型、组成、分布、面积； </w:t>
      </w:r>
      <w:r>
        <w:rPr>
          <w:sz w:val="24"/>
        </w:rPr>
        <w:t>土壤侵蚀类型、侵蚀程度、侵蚀模数。</w:t>
      </w:r>
    </w:p>
    <w:p>
      <w:pPr>
        <w:pStyle w:val="ListParagraph"/>
        <w:numPr>
          <w:ilvl w:val="3"/>
          <w:numId w:val="7"/>
        </w:numPr>
        <w:tabs>
          <w:tab w:pos="1301" w:val="left" w:leader="none"/>
        </w:tabs>
        <w:spacing w:line="364" w:lineRule="auto" w:before="2" w:after="0"/>
        <w:ind w:left="220" w:right="320" w:firstLine="480"/>
        <w:jc w:val="left"/>
        <w:rPr>
          <w:sz w:val="24"/>
        </w:rPr>
      </w:pPr>
      <w:r>
        <w:rPr>
          <w:spacing w:val="-1"/>
          <w:sz w:val="24"/>
        </w:rPr>
        <w:t>影响评价因子影响评价因子主要包括占用土地影响、植被破坏影响和</w:t>
      </w:r>
      <w:r>
        <w:rPr>
          <w:sz w:val="24"/>
        </w:rPr>
        <w:t>水土流失的影响等。</w:t>
      </w:r>
    </w:p>
    <w:p>
      <w:pPr>
        <w:pStyle w:val="Heading1"/>
        <w:numPr>
          <w:ilvl w:val="0"/>
          <w:numId w:val="2"/>
        </w:numPr>
        <w:tabs>
          <w:tab w:pos="540" w:val="left" w:leader="none"/>
        </w:tabs>
        <w:spacing w:line="240" w:lineRule="auto" w:before="29" w:after="0"/>
        <w:ind w:left="539" w:right="0" w:hanging="320"/>
        <w:jc w:val="left"/>
        <w:rPr>
          <w:rFonts w:ascii="Times New Roman" w:eastAsia="Times New Roman"/>
        </w:rPr>
      </w:pPr>
      <w:bookmarkStart w:name="_bookmark10" w:id="21"/>
      <w:bookmarkEnd w:id="21"/>
      <w:r>
        <w:rPr>
          <w:b w:val="0"/>
        </w:rPr>
      </w:r>
      <w:bookmarkStart w:name="_bookmark10" w:id="22"/>
      <w:bookmarkEnd w:id="22"/>
      <w:r>
        <w:rPr/>
        <w:t>工程分析</w:t>
      </w:r>
    </w:p>
    <w:p>
      <w:pPr>
        <w:pStyle w:val="BodyText"/>
        <w:spacing w:line="364" w:lineRule="auto" w:before="186"/>
        <w:ind w:right="317" w:firstLine="480"/>
        <w:jc w:val="both"/>
      </w:pPr>
      <w:r>
        <w:rPr>
          <w:spacing w:val="-5"/>
        </w:rPr>
        <w:t>项目建设对区域生态环境的影响大部分发生在施工期，主要表现在临时占地</w:t>
      </w:r>
      <w:r>
        <w:rPr>
          <w:spacing w:val="-7"/>
        </w:rPr>
        <w:t>及施工对地表扰动的影响、对地表植被的破坏、占地对土地利用类型的改变以及</w:t>
      </w:r>
      <w:r>
        <w:rPr/>
        <w:t>施工可能引发的水土流失、噪声对周边野生动物的影响等。</w:t>
      </w:r>
    </w:p>
    <w:p>
      <w:pPr>
        <w:pStyle w:val="BodyText"/>
        <w:spacing w:line="364" w:lineRule="auto" w:before="2"/>
        <w:ind w:right="317" w:firstLine="480"/>
        <w:jc w:val="both"/>
      </w:pPr>
      <w:r>
        <w:rPr>
          <w:spacing w:val="-6"/>
        </w:rPr>
        <w:t>本光伏电站主体工程施工按照先地下、后地上的顺序，依次施工电池组件基</w:t>
      </w:r>
      <w:r>
        <w:rPr>
          <w:spacing w:val="-11"/>
        </w:rPr>
        <w:t>础、综合楼基础、逆变器柜基础等，其中电池组件基础为管桩基础。项目施工期</w:t>
      </w:r>
      <w:r>
        <w:rPr/>
        <w:t>为</w:t>
      </w:r>
      <w:r>
        <w:rPr>
          <w:rFonts w:ascii="Times New Roman" w:eastAsia="Times New Roman"/>
        </w:rPr>
        <w:t>6</w:t>
      </w:r>
      <w:r>
        <w:rPr/>
        <w:t>个月。</w:t>
      </w:r>
    </w:p>
    <w:p>
      <w:pPr>
        <w:pStyle w:val="BodyText"/>
        <w:spacing w:line="364" w:lineRule="auto" w:before="1"/>
        <w:ind w:right="317" w:firstLine="480"/>
        <w:jc w:val="both"/>
      </w:pPr>
      <w:r>
        <w:rPr/>
        <w:t>项目装机容量为</w:t>
      </w:r>
      <w:r>
        <w:rPr>
          <w:rFonts w:ascii="Times New Roman" w:hAnsi="Times New Roman" w:eastAsia="Times New Roman"/>
        </w:rPr>
        <w:t>60MW</w:t>
      </w:r>
      <w:r>
        <w:rPr/>
        <w:t>，由</w:t>
      </w:r>
      <w:r>
        <w:rPr>
          <w:rFonts w:ascii="Times New Roman" w:hAnsi="Times New Roman" w:eastAsia="Times New Roman"/>
        </w:rPr>
        <w:t>19</w:t>
      </w:r>
      <w:r>
        <w:rPr/>
        <w:t>个</w:t>
      </w:r>
      <w:r>
        <w:rPr>
          <w:rFonts w:ascii="Times New Roman" w:hAnsi="Times New Roman" w:eastAsia="Times New Roman"/>
        </w:rPr>
        <w:t>3.15MW</w:t>
      </w:r>
      <w:r>
        <w:rPr/>
        <w:t>光伏发电单元组成，其中每个光伏发电单元由</w:t>
      </w:r>
      <w:r>
        <w:rPr>
          <w:rFonts w:ascii="Times New Roman" w:hAnsi="Times New Roman" w:eastAsia="Times New Roman"/>
        </w:rPr>
        <w:t>332</w:t>
      </w:r>
      <w:r>
        <w:rPr/>
        <w:t>组竖向</w:t>
      </w:r>
      <w:r>
        <w:rPr>
          <w:rFonts w:ascii="Times New Roman" w:hAnsi="Times New Roman" w:eastAsia="Times New Roman"/>
        </w:rPr>
        <w:t>2×13</w:t>
      </w:r>
      <w:r>
        <w:rPr/>
        <w:t>的光伏支架和</w:t>
      </w:r>
      <w:r>
        <w:rPr>
          <w:rFonts w:ascii="Times New Roman" w:hAnsi="Times New Roman" w:eastAsia="Times New Roman"/>
        </w:rPr>
        <w:t>1</w:t>
      </w:r>
      <w:r>
        <w:rPr/>
        <w:t>台</w:t>
      </w:r>
      <w:r>
        <w:rPr>
          <w:rFonts w:ascii="Times New Roman" w:hAnsi="Times New Roman" w:eastAsia="Times New Roman"/>
        </w:rPr>
        <w:t>3150kW</w:t>
      </w:r>
      <w:r>
        <w:rPr/>
        <w:t>箱式逆变一体机组成。每个</w:t>
      </w:r>
      <w:r>
        <w:rPr>
          <w:rFonts w:ascii="Times New Roman" w:hAnsi="Times New Roman" w:eastAsia="Times New Roman"/>
        </w:rPr>
        <w:t>3.15MW</w:t>
      </w:r>
      <w:r>
        <w:rPr/>
        <w:t>发电单元分为直流系统和交流系统，其中直流系统是指光伏组件与逆变器输入直流侧所构成的系统。每个</w:t>
      </w:r>
      <w:r>
        <w:rPr>
          <w:rFonts w:ascii="Times New Roman" w:hAnsi="Times New Roman" w:eastAsia="Times New Roman"/>
        </w:rPr>
        <w:t>3.15MW</w:t>
      </w:r>
      <w:r>
        <w:rPr/>
        <w:t>光伏发电单元的直流发电系统中含光伏组件数量为</w:t>
      </w:r>
      <w:r>
        <w:rPr>
          <w:rFonts w:ascii="Times New Roman" w:hAnsi="Times New Roman" w:eastAsia="Times New Roman"/>
        </w:rPr>
        <w:t>8632</w:t>
      </w:r>
      <w:r>
        <w:rPr>
          <w:spacing w:val="-6"/>
        </w:rPr>
        <w:t>块，每块光伏组件的规格为</w:t>
      </w:r>
      <w:r>
        <w:rPr>
          <w:rFonts w:ascii="Times New Roman" w:hAnsi="Times New Roman" w:eastAsia="Times New Roman"/>
          <w:spacing w:val="-6"/>
        </w:rPr>
        <w:t>440Wp</w:t>
      </w:r>
      <w:r>
        <w:rPr>
          <w:spacing w:val="-3"/>
        </w:rPr>
        <w:t>；每</w:t>
      </w:r>
      <w:r>
        <w:rPr>
          <w:rFonts w:ascii="Times New Roman" w:hAnsi="Times New Roman" w:eastAsia="Times New Roman"/>
        </w:rPr>
        <w:t>26</w:t>
      </w:r>
      <w:r>
        <w:rPr/>
        <w:t>块</w:t>
      </w:r>
      <w:r>
        <w:rPr>
          <w:rFonts w:ascii="Times New Roman" w:hAnsi="Times New Roman" w:eastAsia="Times New Roman"/>
        </w:rPr>
        <w:t>440Wp</w:t>
      </w:r>
      <w:r>
        <w:rPr>
          <w:spacing w:val="-4"/>
        </w:rPr>
        <w:t>单晶硅双面</w:t>
      </w:r>
      <w:r>
        <w:rPr/>
        <w:t>光伏组件串联为</w:t>
      </w:r>
      <w:r>
        <w:rPr>
          <w:rFonts w:ascii="Times New Roman" w:hAnsi="Times New Roman" w:eastAsia="Times New Roman"/>
        </w:rPr>
        <w:t>1</w:t>
      </w:r>
      <w:r>
        <w:rPr>
          <w:spacing w:val="-6"/>
        </w:rPr>
        <w:t>个组串回路；每</w:t>
      </w:r>
      <w:r>
        <w:rPr>
          <w:rFonts w:ascii="Times New Roman" w:hAnsi="Times New Roman" w:eastAsia="Times New Roman"/>
        </w:rPr>
        <w:t>18</w:t>
      </w:r>
      <w:r>
        <w:rPr/>
        <w:t>路光伏组串接入</w:t>
      </w:r>
      <w:r>
        <w:rPr>
          <w:rFonts w:ascii="Times New Roman" w:hAnsi="Times New Roman" w:eastAsia="Times New Roman"/>
        </w:rPr>
        <w:t>1</w:t>
      </w:r>
      <w:r>
        <w:rPr/>
        <w:t>台</w:t>
      </w:r>
      <w:r>
        <w:rPr>
          <w:rFonts w:ascii="Times New Roman" w:hAnsi="Times New Roman" w:eastAsia="Times New Roman"/>
        </w:rPr>
        <w:t>175kW</w:t>
      </w:r>
      <w:r>
        <w:rPr>
          <w:spacing w:val="-8"/>
        </w:rPr>
        <w:t>组串式逆变器，经</w:t>
      </w:r>
    </w:p>
    <w:p>
      <w:pPr>
        <w:spacing w:after="0" w:line="364" w:lineRule="auto"/>
        <w:jc w:val="both"/>
        <w:sectPr>
          <w:pgSz w:w="11910" w:h="16840"/>
          <w:pgMar w:header="0" w:footer="970" w:top="1500" w:bottom="1160" w:left="1580" w:right="1480"/>
        </w:sectPr>
      </w:pPr>
    </w:p>
    <w:p>
      <w:pPr>
        <w:pStyle w:val="BodyText"/>
        <w:spacing w:line="364" w:lineRule="auto" w:before="42"/>
        <w:ind w:right="238"/>
      </w:pPr>
      <w:r>
        <w:rPr/>
        <w:t>逆变器将直流电转化为交流电。交流系统是指组串式逆变器交流侧输出至新建</w:t>
      </w:r>
      <w:r>
        <w:rPr>
          <w:rFonts w:ascii="Times New Roman" w:hAnsi="Times New Roman" w:eastAsia="Times New Roman"/>
          <w:spacing w:val="-3"/>
        </w:rPr>
        <w:t>110kV</w:t>
      </w:r>
      <w:r>
        <w:rPr/>
        <w:t>升压站部分，每</w:t>
      </w:r>
      <w:r>
        <w:rPr>
          <w:rFonts w:ascii="Times New Roman" w:hAnsi="Times New Roman" w:eastAsia="Times New Roman"/>
        </w:rPr>
        <w:t>19</w:t>
      </w:r>
      <w:r>
        <w:rPr/>
        <w:t>台</w:t>
      </w:r>
      <w:r>
        <w:rPr>
          <w:rFonts w:ascii="Times New Roman" w:hAnsi="Times New Roman" w:eastAsia="Times New Roman"/>
        </w:rPr>
        <w:t>175kW</w:t>
      </w:r>
      <w:r>
        <w:rPr/>
        <w:t>组串式逆变器的交流输出经电缆连接，接入</w:t>
      </w:r>
      <w:r>
        <w:rPr>
          <w:rFonts w:ascii="Times New Roman" w:hAnsi="Times New Roman" w:eastAsia="Times New Roman"/>
        </w:rPr>
        <w:t>1 </w:t>
      </w:r>
      <w:r>
        <w:rPr/>
        <w:t>台</w:t>
      </w:r>
      <w:r>
        <w:rPr>
          <w:rFonts w:ascii="Times New Roman" w:hAnsi="Times New Roman" w:eastAsia="Times New Roman"/>
          <w:spacing w:val="-5"/>
        </w:rPr>
        <w:t>3150kVA</w:t>
      </w:r>
      <w:r>
        <w:rPr/>
        <w:t>箱式升压变压器升压至</w:t>
      </w:r>
      <w:r>
        <w:rPr>
          <w:rFonts w:ascii="Times New Roman" w:hAnsi="Times New Roman" w:eastAsia="Times New Roman"/>
        </w:rPr>
        <w:t>35kV</w:t>
      </w:r>
      <w:r>
        <w:rPr/>
        <w:t>，每</w:t>
      </w:r>
      <w:r>
        <w:rPr>
          <w:rFonts w:ascii="Times New Roman" w:hAnsi="Times New Roman" w:eastAsia="Times New Roman"/>
        </w:rPr>
        <w:t>7</w:t>
      </w:r>
      <w:r>
        <w:rPr/>
        <w:t>台（或</w:t>
      </w:r>
      <w:r>
        <w:rPr>
          <w:rFonts w:ascii="Times New Roman" w:hAnsi="Times New Roman" w:eastAsia="Times New Roman"/>
        </w:rPr>
        <w:t>6</w:t>
      </w:r>
      <w:r>
        <w:rPr/>
        <w:t>台）</w:t>
      </w:r>
      <w:r>
        <w:rPr>
          <w:rFonts w:ascii="Times New Roman" w:hAnsi="Times New Roman" w:eastAsia="Times New Roman"/>
        </w:rPr>
        <w:t>3.15MW</w:t>
      </w:r>
      <w:r>
        <w:rPr/>
        <w:t>光伏发电单元经</w:t>
      </w:r>
      <w:r>
        <w:rPr>
          <w:rFonts w:ascii="Times New Roman" w:hAnsi="Times New Roman" w:eastAsia="Times New Roman"/>
        </w:rPr>
        <w:t>35kV</w:t>
      </w:r>
      <w:r>
        <w:rPr/>
        <w:t>电缆环接为</w:t>
      </w:r>
      <w:r>
        <w:rPr>
          <w:rFonts w:ascii="Times New Roman" w:hAnsi="Times New Roman" w:eastAsia="Times New Roman"/>
        </w:rPr>
        <w:t>1</w:t>
      </w:r>
      <w:r>
        <w:rPr>
          <w:spacing w:val="-1"/>
        </w:rPr>
        <w:t>回集电线路，接入新建</w:t>
      </w:r>
      <w:r>
        <w:rPr>
          <w:rFonts w:ascii="Times New Roman" w:hAnsi="Times New Roman" w:eastAsia="Times New Roman"/>
        </w:rPr>
        <w:t>110kV</w:t>
      </w:r>
      <w:r>
        <w:rPr/>
        <w:t>升压站</w:t>
      </w:r>
      <w:r>
        <w:rPr>
          <w:rFonts w:ascii="Times New Roman" w:hAnsi="Times New Roman" w:eastAsia="Times New Roman"/>
        </w:rPr>
        <w:t>35kV</w:t>
      </w:r>
      <w:r>
        <w:rPr>
          <w:spacing w:val="-2"/>
        </w:rPr>
        <w:t>进线柜。升压站安装</w:t>
      </w:r>
      <w:r>
        <w:rPr>
          <w:rFonts w:ascii="Times New Roman" w:hAnsi="Times New Roman" w:eastAsia="Times New Roman"/>
          <w:spacing w:val="-2"/>
        </w:rPr>
        <w:t>1</w:t>
      </w:r>
      <w:r>
        <w:rPr>
          <w:spacing w:val="-2"/>
        </w:rPr>
        <w:t>台</w:t>
      </w:r>
      <w:r>
        <w:rPr>
          <w:rFonts w:ascii="Times New Roman" w:hAnsi="Times New Roman" w:eastAsia="Times New Roman"/>
          <w:spacing w:val="-5"/>
        </w:rPr>
        <w:t>1x63MVA</w:t>
      </w:r>
      <w:r>
        <w:rPr/>
        <w:t>主变，本期采用</w:t>
      </w:r>
      <w:r>
        <w:rPr>
          <w:rFonts w:ascii="Times New Roman" w:hAnsi="Times New Roman" w:eastAsia="Times New Roman"/>
        </w:rPr>
        <w:t>3</w:t>
      </w:r>
      <w:r>
        <w:rPr/>
        <w:t>回</w:t>
      </w:r>
      <w:r>
        <w:rPr>
          <w:rFonts w:ascii="Times New Roman" w:hAnsi="Times New Roman" w:eastAsia="Times New Roman"/>
        </w:rPr>
        <w:t>35kV</w:t>
      </w:r>
      <w:r>
        <w:rPr/>
        <w:t>集电线路接至新建</w:t>
      </w:r>
      <w:r>
        <w:rPr>
          <w:rFonts w:ascii="Times New Roman" w:hAnsi="Times New Roman" w:eastAsia="Times New Roman"/>
        </w:rPr>
        <w:t>110kV</w:t>
      </w:r>
      <w:r>
        <w:rPr/>
        <w:t>升压站</w:t>
      </w:r>
      <w:r>
        <w:rPr>
          <w:rFonts w:ascii="Times New Roman" w:hAnsi="Times New Roman" w:eastAsia="Times New Roman"/>
        </w:rPr>
        <w:t>35kV</w:t>
      </w:r>
      <w:r>
        <w:rPr/>
        <w:t>母线侧。本期工程在</w:t>
      </w:r>
      <w:r>
        <w:rPr>
          <w:rFonts w:ascii="Times New Roman" w:hAnsi="Times New Roman" w:eastAsia="Times New Roman"/>
        </w:rPr>
        <w:t>35kV</w:t>
      </w:r>
      <w:r>
        <w:rPr/>
        <w:t>母线侧装设容量为</w:t>
      </w:r>
      <w:r>
        <w:rPr>
          <w:rFonts w:ascii="Times New Roman" w:hAnsi="Times New Roman" w:eastAsia="Times New Roman"/>
        </w:rPr>
        <w:t>±15Mvar</w:t>
      </w:r>
      <w:r>
        <w:rPr/>
        <w:t>的</w:t>
      </w:r>
      <w:r>
        <w:rPr>
          <w:rFonts w:ascii="Times New Roman" w:hAnsi="Times New Roman" w:eastAsia="Times New Roman"/>
        </w:rPr>
        <w:t>SVG</w:t>
      </w:r>
      <w:r>
        <w:rPr>
          <w:spacing w:val="-2"/>
        </w:rPr>
        <w:t>型动态无功补偿装置， </w:t>
      </w:r>
      <w:r>
        <w:rPr>
          <w:spacing w:val="-4"/>
        </w:rPr>
        <w:t>最终无功补偿容量大小及型式以接入系统报告及审批意见为准。站用电：站用变压器采用一主一备。工作变（接地变兼站用变）接在本期建设的</w:t>
      </w:r>
      <w:r>
        <w:rPr>
          <w:rFonts w:ascii="Times New Roman" w:hAnsi="Times New Roman" w:eastAsia="Times New Roman"/>
          <w:spacing w:val="-4"/>
        </w:rPr>
        <w:t>35kV</w:t>
      </w:r>
      <w:r>
        <w:rPr>
          <w:spacing w:val="-4"/>
        </w:rPr>
        <w:t>母线上， 备用变压器接在</w:t>
      </w:r>
      <w:r>
        <w:rPr>
          <w:rFonts w:ascii="Times New Roman" w:hAnsi="Times New Roman" w:eastAsia="Times New Roman"/>
          <w:spacing w:val="-4"/>
        </w:rPr>
        <w:t>10kV</w:t>
      </w:r>
      <w:r>
        <w:rPr>
          <w:spacing w:val="-4"/>
        </w:rPr>
        <w:t>外接电源上。</w:t>
      </w:r>
    </w:p>
    <w:p>
      <w:pPr>
        <w:pStyle w:val="BodyText"/>
        <w:spacing w:line="364" w:lineRule="auto" w:before="5"/>
        <w:ind w:right="225" w:firstLine="480"/>
      </w:pPr>
      <w:r>
        <w:rPr>
          <w:spacing w:val="-5"/>
        </w:rPr>
        <w:t>本项目光伏发电阵列依照原来的地形起伏，顺势布置，阵列区仅需简单的场</w:t>
      </w:r>
      <w:r>
        <w:rPr>
          <w:spacing w:val="-10"/>
        </w:rPr>
        <w:t>地平整。安装固定电池组件的支架面必须调整在同一平面，各电池组件应对整齐</w:t>
      </w:r>
      <w:r>
        <w:rPr>
          <w:spacing w:val="-11"/>
        </w:rPr>
        <w:t>并成一直线的安装原则，以及确保光伏组件下能够种植草本植物的要求，因此， </w:t>
      </w:r>
      <w:r>
        <w:rPr/>
        <w:t>本项目基础上构建钢架高度必须保证</w:t>
      </w:r>
      <w:r>
        <w:rPr>
          <w:rFonts w:ascii="Times New Roman" w:hAnsi="Times New Roman" w:eastAsia="Times New Roman"/>
        </w:rPr>
        <w:t>≥1m</w:t>
      </w:r>
      <w:r>
        <w:rPr/>
        <w:t>。</w:t>
      </w:r>
    </w:p>
    <w:p>
      <w:pPr>
        <w:pStyle w:val="BodyText"/>
        <w:spacing w:line="364" w:lineRule="auto" w:before="3"/>
        <w:ind w:right="317" w:firstLine="480"/>
      </w:pPr>
      <w:r>
        <w:rPr>
          <w:spacing w:val="-8"/>
        </w:rPr>
        <w:t>光伏电站内敷设采用直埋电缆，直埋电缆铺设应按现行国家规范进行开挖与</w:t>
      </w:r>
      <w:r>
        <w:rPr/>
        <w:t>回填，电缆上下均铺设细砂或细土，过路及出入户时均设保护套管。</w:t>
      </w:r>
    </w:p>
    <w:p>
      <w:pPr>
        <w:pStyle w:val="BodyText"/>
        <w:spacing w:line="364" w:lineRule="auto" w:before="1"/>
        <w:ind w:right="195" w:firstLine="480"/>
      </w:pPr>
      <w:r>
        <w:rPr>
          <w:spacing w:val="-4"/>
        </w:rPr>
        <w:t>根据项目场地情况及施工工艺分析本项目工程施工特点为：施工范围大、面</w:t>
      </w:r>
      <w:r>
        <w:rPr>
          <w:spacing w:val="-17"/>
        </w:rPr>
        <w:t>积广，需频繁移动施工力量。发电设备可就地势布置，对施工场地条件要求不高， </w:t>
      </w:r>
      <w:r>
        <w:rPr/>
        <w:t>无需大面积的挖填平整。</w:t>
      </w:r>
    </w:p>
    <w:p>
      <w:pPr>
        <w:pStyle w:val="Heading1"/>
        <w:numPr>
          <w:ilvl w:val="0"/>
          <w:numId w:val="2"/>
        </w:numPr>
        <w:tabs>
          <w:tab w:pos="540" w:val="left" w:leader="none"/>
        </w:tabs>
        <w:spacing w:line="240" w:lineRule="auto" w:before="30" w:after="0"/>
        <w:ind w:left="539" w:right="0" w:hanging="320"/>
        <w:jc w:val="left"/>
        <w:rPr>
          <w:rFonts w:ascii="Times New Roman" w:eastAsia="Times New Roman"/>
        </w:rPr>
      </w:pPr>
      <w:bookmarkStart w:name="_bookmark11" w:id="23"/>
      <w:bookmarkEnd w:id="23"/>
      <w:r>
        <w:rPr>
          <w:b w:val="0"/>
        </w:rPr>
      </w:r>
      <w:bookmarkStart w:name="_bookmark11" w:id="24"/>
      <w:bookmarkEnd w:id="24"/>
      <w:r>
        <w:rPr/>
        <w:t>生态环境现状调查及评价</w:t>
      </w:r>
    </w:p>
    <w:p>
      <w:pPr>
        <w:pStyle w:val="Heading3"/>
        <w:numPr>
          <w:ilvl w:val="1"/>
          <w:numId w:val="2"/>
        </w:numPr>
        <w:tabs>
          <w:tab w:pos="710" w:val="left" w:leader="none"/>
        </w:tabs>
        <w:spacing w:line="240" w:lineRule="auto" w:before="239" w:after="0"/>
        <w:ind w:left="709" w:right="0" w:hanging="490"/>
        <w:jc w:val="left"/>
      </w:pPr>
      <w:bookmarkStart w:name="_bookmark12" w:id="25"/>
      <w:bookmarkEnd w:id="25"/>
      <w:r>
        <w:rPr>
          <w:b w:val="0"/>
        </w:rPr>
      </w:r>
      <w:bookmarkStart w:name="_bookmark12" w:id="26"/>
      <w:bookmarkEnd w:id="26"/>
      <w:r>
        <w:rPr/>
        <w:t>生态环境调查评价范围</w:t>
      </w:r>
    </w:p>
    <w:p>
      <w:pPr>
        <w:pStyle w:val="ListParagraph"/>
        <w:numPr>
          <w:ilvl w:val="2"/>
          <w:numId w:val="8"/>
        </w:numPr>
        <w:tabs>
          <w:tab w:pos="921" w:val="left" w:leader="none"/>
        </w:tabs>
        <w:spacing w:line="240" w:lineRule="auto" w:before="266" w:after="0"/>
        <w:ind w:left="920" w:right="0" w:hanging="701"/>
        <w:jc w:val="left"/>
        <w:rPr>
          <w:b/>
          <w:sz w:val="28"/>
        </w:rPr>
      </w:pPr>
      <w:r>
        <w:rPr>
          <w:b/>
          <w:sz w:val="28"/>
        </w:rPr>
        <w:t>调查评价范围</w:t>
      </w:r>
    </w:p>
    <w:p>
      <w:pPr>
        <w:pStyle w:val="BodyText"/>
        <w:spacing w:line="364" w:lineRule="auto" w:before="211"/>
        <w:ind w:right="317" w:firstLine="480"/>
        <w:jc w:val="both"/>
      </w:pPr>
      <w:r>
        <w:rPr>
          <w:spacing w:val="-5"/>
        </w:rPr>
        <w:t>生态环境现状调査范围与评价范围一致，即站区边界外延 </w:t>
      </w:r>
      <w:r>
        <w:rPr>
          <w:rFonts w:ascii="Times New Roman" w:eastAsia="Times New Roman"/>
        </w:rPr>
        <w:t>500m </w:t>
      </w:r>
      <w:r>
        <w:rPr>
          <w:spacing w:val="-8"/>
        </w:rPr>
        <w:t>区域，通过</w:t>
      </w:r>
      <w:r>
        <w:rPr>
          <w:spacing w:val="-10"/>
        </w:rPr>
        <w:t>分析，平价区域面积为生态环境现状调査范围与评价范围一致，即站区边界外延</w:t>
      </w:r>
      <w:r>
        <w:rPr>
          <w:rFonts w:ascii="Times New Roman" w:eastAsia="Times New Roman"/>
        </w:rPr>
        <w:t>500m </w:t>
      </w:r>
      <w:r>
        <w:rPr>
          <w:spacing w:val="-4"/>
        </w:rPr>
        <w:t>区域，通过分析，评价区域面积为 </w:t>
      </w:r>
      <w:r>
        <w:rPr>
          <w:rFonts w:ascii="Times New Roman" w:eastAsia="Times New Roman"/>
        </w:rPr>
        <w:t>7.266hm</w:t>
      </w:r>
      <w:r>
        <w:rPr>
          <w:rFonts w:ascii="Times New Roman" w:eastAsia="Times New Roman"/>
          <w:position w:val="8"/>
          <w:sz w:val="15"/>
        </w:rPr>
        <w:t>2</w:t>
      </w:r>
      <w:r>
        <w:rPr/>
        <w:t>。</w:t>
      </w:r>
    </w:p>
    <w:p>
      <w:pPr>
        <w:pStyle w:val="Heading3"/>
        <w:numPr>
          <w:ilvl w:val="2"/>
          <w:numId w:val="8"/>
        </w:numPr>
        <w:tabs>
          <w:tab w:pos="921" w:val="left" w:leader="none"/>
        </w:tabs>
        <w:spacing w:line="240" w:lineRule="auto" w:before="56" w:after="0"/>
        <w:ind w:left="920" w:right="0" w:hanging="701"/>
        <w:jc w:val="left"/>
      </w:pPr>
      <w:r>
        <w:rPr/>
        <w:t>调查内容</w:t>
      </w:r>
    </w:p>
    <w:p>
      <w:pPr>
        <w:pStyle w:val="BodyText"/>
        <w:spacing w:line="364" w:lineRule="auto" w:before="211"/>
        <w:ind w:right="317" w:firstLine="480"/>
      </w:pPr>
      <w:r>
        <w:rPr>
          <w:spacing w:val="-7"/>
        </w:rPr>
        <w:t>调査内容主要包括植被类型与特征、土地利用、区域土壤类型及水土流失现</w:t>
      </w:r>
      <w:r>
        <w:rPr/>
        <w:t>状。</w:t>
      </w:r>
    </w:p>
    <w:p>
      <w:pPr>
        <w:pStyle w:val="BodyText"/>
        <w:spacing w:before="1"/>
        <w:ind w:left="700"/>
      </w:pPr>
      <w:r>
        <w:rPr/>
        <w:t>植被类型与特征：内容包括植被类型、分布、面积、盖度、物种基本组成、</w:t>
      </w:r>
    </w:p>
    <w:p>
      <w:pPr>
        <w:spacing w:after="0"/>
        <w:sectPr>
          <w:pgSz w:w="11910" w:h="16840"/>
          <w:pgMar w:header="0" w:footer="970" w:top="1460" w:bottom="1160" w:left="1580" w:right="1480"/>
        </w:sectPr>
      </w:pPr>
    </w:p>
    <w:p>
      <w:pPr>
        <w:pStyle w:val="BodyText"/>
        <w:spacing w:line="364" w:lineRule="auto" w:before="42"/>
        <w:ind w:right="317"/>
        <w:jc w:val="both"/>
      </w:pPr>
      <w:r>
        <w:rPr>
          <w:spacing w:val="-8"/>
        </w:rPr>
        <w:t>优势物种土地利用方式：土地利用现状调查中，土地用途是指调査当时的实际用</w:t>
      </w:r>
      <w:r>
        <w:rPr>
          <w:spacing w:val="-9"/>
        </w:rPr>
        <w:t>途，一般按土地利用现状分类表中的主要项目进行划分，区分为草地、林地、沙</w:t>
      </w:r>
      <w:r>
        <w:rPr/>
        <w:t>地等类型，并绘制土地利用现状图。</w:t>
      </w:r>
    </w:p>
    <w:p>
      <w:pPr>
        <w:pStyle w:val="Heading3"/>
        <w:numPr>
          <w:ilvl w:val="1"/>
          <w:numId w:val="2"/>
        </w:numPr>
        <w:tabs>
          <w:tab w:pos="710" w:val="left" w:leader="none"/>
        </w:tabs>
        <w:spacing w:line="240" w:lineRule="auto" w:before="55" w:after="0"/>
        <w:ind w:left="709" w:right="0" w:hanging="490"/>
        <w:jc w:val="left"/>
      </w:pPr>
      <w:bookmarkStart w:name="_bookmark13" w:id="27"/>
      <w:bookmarkEnd w:id="27"/>
      <w:r>
        <w:rPr>
          <w:b w:val="0"/>
        </w:rPr>
      </w:r>
      <w:bookmarkStart w:name="_bookmark13" w:id="28"/>
      <w:bookmarkEnd w:id="28"/>
      <w:r>
        <w:rPr/>
        <w:t>遥感影像</w:t>
      </w:r>
    </w:p>
    <w:p>
      <w:pPr>
        <w:pStyle w:val="BodyText"/>
        <w:spacing w:line="364" w:lineRule="auto" w:before="212"/>
        <w:ind w:right="197" w:firstLine="480"/>
      </w:pPr>
      <w:r>
        <w:rPr>
          <w:spacing w:val="-4"/>
        </w:rPr>
        <w:t>项目拟建场址位于陕西省咸阳市泾阳县王桥镇曹张村、寺背后村和兴隆镇双</w:t>
      </w:r>
      <w:r>
        <w:rPr>
          <w:spacing w:val="-7"/>
        </w:rPr>
        <w:t>槐村、郭家庄村日新现代农业园区，项目生态评价区面积</w:t>
      </w:r>
      <w:r>
        <w:rPr>
          <w:rFonts w:ascii="Times New Roman" w:eastAsia="Times New Roman"/>
          <w:spacing w:val="-3"/>
        </w:rPr>
        <w:t>7.266km</w:t>
      </w:r>
      <w:r>
        <w:rPr>
          <w:rFonts w:ascii="Times New Roman" w:eastAsia="Times New Roman"/>
          <w:spacing w:val="-3"/>
          <w:position w:val="8"/>
          <w:sz w:val="15"/>
        </w:rPr>
        <w:t>2</w:t>
      </w:r>
      <w:r>
        <w:rPr>
          <w:spacing w:val="-2"/>
        </w:rPr>
        <w:t>，为了科学准</w:t>
      </w:r>
      <w:r>
        <w:rPr>
          <w:spacing w:val="-9"/>
        </w:rPr>
        <w:t>确地反映项目区植被类型、土地利用现状、土壤侵蚀强度等主要生态环境要素信息，本次工作采用</w:t>
      </w:r>
      <w:r>
        <w:rPr>
          <w:rFonts w:ascii="Times New Roman" w:eastAsia="Times New Roman"/>
          <w:spacing w:val="-9"/>
        </w:rPr>
        <w:t>3S</w:t>
      </w:r>
      <w:r>
        <w:rPr>
          <w:spacing w:val="-9"/>
        </w:rPr>
        <w:t>技术结合的方法进行环境影响项目区生态环境信息的获取。</w:t>
      </w:r>
      <w:r>
        <w:rPr>
          <w:spacing w:val="-11"/>
        </w:rPr>
        <w:t>首先，根据国家或相关行业规范，结合遥感图像的时相与空间分辨率，建立土地</w:t>
      </w:r>
      <w:r>
        <w:rPr>
          <w:spacing w:val="-13"/>
        </w:rPr>
        <w:t>利用现状、植被类型、土壤侵蚀强度、植被覆盖度等分类或分级体系；其次，对</w:t>
      </w:r>
      <w:r>
        <w:rPr>
          <w:spacing w:val="-24"/>
        </w:rPr>
        <w:t>资源三号</w:t>
      </w:r>
      <w:r>
        <w:rPr>
          <w:spacing w:val="-15"/>
        </w:rPr>
        <w:t>（</w:t>
      </w:r>
      <w:r>
        <w:rPr>
          <w:rFonts w:ascii="Times New Roman" w:eastAsia="Times New Roman"/>
          <w:spacing w:val="-15"/>
        </w:rPr>
        <w:t>ZY-3</w:t>
      </w:r>
      <w:r>
        <w:rPr>
          <w:spacing w:val="-15"/>
        </w:rPr>
        <w:t>）</w:t>
      </w:r>
      <w:r>
        <w:rPr>
          <w:spacing w:val="-9"/>
        </w:rPr>
        <w:t>遥感图像数据进行投影转换、几何纠正、直方图匹配等预处理； </w:t>
      </w:r>
      <w:r>
        <w:rPr/>
        <w:t>第三，以项目区资源三号</w:t>
      </w:r>
      <w:r>
        <w:rPr>
          <w:spacing w:val="-6"/>
        </w:rPr>
        <w:t>（</w:t>
      </w:r>
      <w:r>
        <w:rPr>
          <w:rFonts w:ascii="Times New Roman" w:eastAsia="Times New Roman"/>
          <w:spacing w:val="-6"/>
        </w:rPr>
        <w:t>ZY-3</w:t>
      </w:r>
      <w:r>
        <w:rPr>
          <w:spacing w:val="-6"/>
        </w:rPr>
        <w:t>）</w:t>
      </w:r>
      <w:r>
        <w:rPr/>
        <w:t>遥感影像为信息源，结合项目区的相关资料， </w:t>
      </w:r>
      <w:r>
        <w:rPr>
          <w:spacing w:val="-7"/>
        </w:rPr>
        <w:t>建立基于土地利用现状、植被类型、土壤侵蚀强度、植被覆盖度等的分类分级系</w:t>
      </w:r>
      <w:r>
        <w:rPr>
          <w:spacing w:val="-12"/>
        </w:rPr>
        <w:t>统的遥感解译标志，采用人机交互目视判读对遥感数据进行解译，编制项目区土</w:t>
      </w:r>
      <w:r>
        <w:rPr>
          <w:spacing w:val="-19"/>
        </w:rPr>
        <w:t>地利用现状、植被类型、土壤侵蚀强度、植被覆盖度等生态环境专题图件。第四， </w:t>
      </w:r>
      <w:r>
        <w:rPr/>
        <w:t>采用专业制图软件</w:t>
      </w:r>
      <w:r>
        <w:rPr>
          <w:rFonts w:ascii="Times New Roman" w:eastAsia="Times New Roman"/>
        </w:rPr>
        <w:t>ARCGIS</w:t>
      </w:r>
      <w:r>
        <w:rPr/>
        <w:t>进行专题图件数字化，并进行分类面积统计。</w:t>
      </w:r>
    </w:p>
    <w:p>
      <w:pPr>
        <w:pStyle w:val="BodyText"/>
        <w:spacing w:line="364" w:lineRule="auto" w:before="7"/>
        <w:ind w:right="317" w:firstLine="480"/>
      </w:pPr>
      <w:r>
        <w:rPr/>
        <w:pict>
          <v:line style="position:absolute;mso-position-horizontal-relative:page;mso-position-vertical-relative:paragraph;z-index:251658240" from="514.299988pt,160.141006pt" to="514.299988pt,183.541006pt" stroked="true" strokeweight=".40183pt" strokecolor="#000000">
            <v:stroke dashstyle="solid"/>
            <w10:wrap type="none"/>
          </v:line>
        </w:pict>
      </w:r>
      <w:r>
        <w:rPr/>
        <w:t>以</w:t>
      </w:r>
      <w:r>
        <w:rPr>
          <w:rFonts w:ascii="Times New Roman" w:eastAsia="Times New Roman"/>
        </w:rPr>
        <w:t>2019</w:t>
      </w:r>
      <w:r>
        <w:rPr/>
        <w:t>年</w:t>
      </w:r>
      <w:r>
        <w:rPr>
          <w:rFonts w:ascii="Times New Roman" w:eastAsia="Times New Roman"/>
        </w:rPr>
        <w:t>8</w:t>
      </w:r>
      <w:r>
        <w:rPr>
          <w:spacing w:val="-1"/>
        </w:rPr>
        <w:t>月的资源三号</w:t>
      </w:r>
      <w:r>
        <w:rPr/>
        <w:t>（</w:t>
      </w:r>
      <w:r>
        <w:rPr>
          <w:rFonts w:ascii="Times New Roman" w:eastAsia="Times New Roman"/>
        </w:rPr>
        <w:t>ZY-3</w:t>
      </w:r>
      <w:r>
        <w:rPr/>
        <w:t>）</w:t>
      </w:r>
      <w:r>
        <w:rPr>
          <w:spacing w:val="-2"/>
        </w:rPr>
        <w:t>影像像数据作为基本信息源，全色空间分</w:t>
      </w:r>
      <w:r>
        <w:rPr/>
        <w:t>辨率</w:t>
      </w:r>
      <w:r>
        <w:rPr>
          <w:rFonts w:ascii="Times New Roman" w:eastAsia="Times New Roman"/>
        </w:rPr>
        <w:t>2.1</w:t>
      </w:r>
      <w:r>
        <w:rPr/>
        <w:t>米，经过融合处理后的图像地表信息丰富，有利于生态环境因子遥感解译标志的建立，保证了各生态环境要素解译成果的准确性。在</w:t>
      </w:r>
      <w:r>
        <w:rPr>
          <w:rFonts w:ascii="Times New Roman" w:eastAsia="Times New Roman"/>
        </w:rPr>
        <w:t>ERDAS</w:t>
      </w:r>
      <w:r>
        <w:rPr/>
        <w:t>等遥感图像处理软件的支持下，对资源三号（</w:t>
      </w:r>
      <w:r>
        <w:rPr>
          <w:rFonts w:ascii="Times New Roman" w:eastAsia="Times New Roman"/>
        </w:rPr>
        <w:t>ZY-3</w:t>
      </w:r>
      <w:r>
        <w:rPr/>
        <w:t>）影像数据进行了投影转换、几何纠</w:t>
      </w:r>
      <w:r>
        <w:rPr>
          <w:spacing w:val="-11"/>
        </w:rPr>
        <w:t>正、直方图匹配等图像预处理。根据土地利用现状、植被类型、土壤侵蚀、植被</w:t>
      </w:r>
      <w:r>
        <w:rPr>
          <w:spacing w:val="-6"/>
        </w:rPr>
        <w:t>覆盖度等生态环境要素的地物光谱特征的差异性，选择全波段合成方案，全波段</w:t>
      </w:r>
      <w:r>
        <w:rPr>
          <w:spacing w:val="-8"/>
        </w:rPr>
        <w:t>合成图像色彩丰富、层次分明，地类边界明显，有利于生态要素的判读解译。评</w:t>
      </w:r>
      <w:r>
        <w:rPr/>
        <w:t>价区遥感影像图见图</w:t>
      </w:r>
      <w:r>
        <w:rPr>
          <w:rFonts w:ascii="Times New Roman" w:eastAsia="Times New Roman"/>
        </w:rPr>
        <w:t>5-1</w:t>
      </w:r>
      <w:r>
        <w:rPr/>
        <w:t>。</w:t>
      </w:r>
    </w:p>
    <w:p>
      <w:pPr>
        <w:spacing w:after="0" w:line="364" w:lineRule="auto"/>
        <w:sectPr>
          <w:pgSz w:w="11910" w:h="16840"/>
          <w:pgMar w:header="0" w:footer="970" w:top="1460" w:bottom="1160" w:left="1580" w:right="1480"/>
        </w:sectPr>
      </w:pPr>
    </w:p>
    <w:p>
      <w:pPr>
        <w:pStyle w:val="BodyText"/>
        <w:spacing w:before="7" w:after="1"/>
        <w:ind w:left="0"/>
        <w:rPr>
          <w:sz w:val="10"/>
        </w:rPr>
      </w:pPr>
    </w:p>
    <w:p>
      <w:pPr>
        <w:pStyle w:val="BodyText"/>
        <w:ind w:left="214"/>
        <w:rPr>
          <w:sz w:val="20"/>
        </w:rPr>
      </w:pPr>
      <w:r>
        <w:rPr>
          <w:sz w:val="20"/>
        </w:rPr>
        <w:pict>
          <v:group style="width:418.2pt;height:347.2pt;mso-position-horizontal-relative:char;mso-position-vertical-relative:line" coordorigin="0,0" coordsize="8364,6944">
            <v:shape style="position:absolute;left:0;top:0;width:8364;height:6872" type="#_x0000_t75" stroked="false">
              <v:imagedata r:id="rId6" o:title=""/>
            </v:shape>
            <v:line style="position:absolute" from="0,6938" to="8306,6938" stroked="true" strokeweight=".6pt" strokecolor="#ff0101">
              <v:stroke dashstyle="solid"/>
            </v:line>
          </v:group>
        </w:pict>
      </w:r>
      <w:r>
        <w:rPr>
          <w:sz w:val="20"/>
        </w:rPr>
      </w:r>
    </w:p>
    <w:p>
      <w:pPr>
        <w:pStyle w:val="BodyText"/>
        <w:spacing w:before="6"/>
        <w:ind w:left="0"/>
        <w:rPr>
          <w:sz w:val="7"/>
        </w:rPr>
      </w:pPr>
    </w:p>
    <w:p>
      <w:pPr>
        <w:spacing w:after="0"/>
        <w:rPr>
          <w:sz w:val="7"/>
        </w:rPr>
        <w:sectPr>
          <w:pgSz w:w="11910" w:h="16840"/>
          <w:pgMar w:header="0" w:footer="970" w:top="1420" w:bottom="1160" w:left="1580" w:right="1480"/>
        </w:sectPr>
      </w:pPr>
    </w:p>
    <w:p>
      <w:pPr>
        <w:pStyle w:val="BodyText"/>
        <w:ind w:left="0"/>
        <w:rPr>
          <w:sz w:val="30"/>
        </w:rPr>
      </w:pPr>
    </w:p>
    <w:p>
      <w:pPr>
        <w:pStyle w:val="Heading3"/>
        <w:numPr>
          <w:ilvl w:val="1"/>
          <w:numId w:val="2"/>
        </w:numPr>
        <w:tabs>
          <w:tab w:pos="710" w:val="left" w:leader="none"/>
        </w:tabs>
        <w:spacing w:line="240" w:lineRule="auto" w:before="195" w:after="0"/>
        <w:ind w:left="709" w:right="0" w:hanging="490"/>
        <w:jc w:val="left"/>
      </w:pPr>
      <w:bookmarkStart w:name="_bookmark14" w:id="29"/>
      <w:bookmarkEnd w:id="29"/>
      <w:r>
        <w:rPr>
          <w:b w:val="0"/>
        </w:rPr>
      </w:r>
      <w:bookmarkStart w:name="_bookmark14" w:id="30"/>
      <w:bookmarkEnd w:id="30"/>
      <w:r>
        <w:rPr/>
        <w:t>土地利用现状</w:t>
      </w:r>
    </w:p>
    <w:p>
      <w:pPr>
        <w:tabs>
          <w:tab w:pos="918" w:val="left" w:leader="none"/>
        </w:tabs>
        <w:spacing w:before="76"/>
        <w:ind w:left="220" w:right="0" w:firstLine="0"/>
        <w:jc w:val="left"/>
        <w:rPr>
          <w:b/>
          <w:sz w:val="21"/>
        </w:rPr>
      </w:pPr>
      <w:r>
        <w:rPr/>
        <w:br w:type="column"/>
      </w:r>
      <w:r>
        <w:rPr>
          <w:b/>
          <w:sz w:val="21"/>
        </w:rPr>
        <w:t>图</w:t>
      </w:r>
      <w:r>
        <w:rPr>
          <w:rFonts w:ascii="Times New Roman" w:eastAsia="Times New Roman"/>
          <w:b/>
          <w:sz w:val="21"/>
        </w:rPr>
        <w:t>5-1</w:t>
        <w:tab/>
      </w:r>
      <w:r>
        <w:rPr>
          <w:b/>
          <w:sz w:val="21"/>
        </w:rPr>
        <w:t>评价区遥感影像图</w:t>
      </w:r>
    </w:p>
    <w:p>
      <w:pPr>
        <w:spacing w:after="0"/>
        <w:jc w:val="left"/>
        <w:rPr>
          <w:sz w:val="21"/>
        </w:rPr>
        <w:sectPr>
          <w:type w:val="continuous"/>
          <w:pgSz w:w="11910" w:h="16840"/>
          <w:pgMar w:top="1580" w:bottom="280" w:left="1580" w:right="1480"/>
          <w:cols w:num="2" w:equalWidth="0">
            <w:col w:w="2437" w:space="527"/>
            <w:col w:w="5886"/>
          </w:cols>
        </w:sectPr>
      </w:pPr>
    </w:p>
    <w:p>
      <w:pPr>
        <w:pStyle w:val="BodyText"/>
        <w:spacing w:before="6"/>
        <w:ind w:left="0"/>
        <w:rPr>
          <w:b/>
          <w:sz w:val="10"/>
        </w:rPr>
      </w:pPr>
      <w:r>
        <w:rPr/>
        <w:pict>
          <v:line style="position:absolute;mso-position-horizontal-relative:page;mso-position-vertical-relative:page;z-index:251660288" from="81pt,72.000023pt" to="81pt,430.800023pt" stroked="true" strokeweight="0pt" strokecolor="#000000">
            <v:stroke dashstyle="solid"/>
            <w10:wrap type="none"/>
          </v:line>
        </w:pict>
      </w:r>
    </w:p>
    <w:p>
      <w:pPr>
        <w:pStyle w:val="BodyText"/>
        <w:spacing w:line="364" w:lineRule="auto" w:before="78"/>
        <w:ind w:right="197" w:firstLine="480"/>
        <w:jc w:val="both"/>
      </w:pPr>
      <w:r>
        <w:rPr/>
        <w:t>本项目总占地为</w:t>
      </w:r>
      <w:r>
        <w:rPr>
          <w:rFonts w:ascii="Times New Roman" w:eastAsia="Times New Roman"/>
          <w:spacing w:val="-6"/>
        </w:rPr>
        <w:t>132.29hm</w:t>
      </w:r>
      <w:r>
        <w:rPr>
          <w:rFonts w:ascii="Times New Roman" w:eastAsia="Times New Roman"/>
          <w:spacing w:val="-6"/>
          <w:position w:val="8"/>
          <w:sz w:val="15"/>
        </w:rPr>
        <w:t>2</w:t>
      </w:r>
      <w:r>
        <w:rPr>
          <w:spacing w:val="-2"/>
        </w:rPr>
        <w:t>，其中永久占地主要为</w:t>
      </w:r>
      <w:r>
        <w:rPr>
          <w:rFonts w:ascii="Times New Roman" w:eastAsia="Times New Roman"/>
        </w:rPr>
        <w:t>110kV</w:t>
      </w:r>
      <w:r>
        <w:rPr>
          <w:spacing w:val="-8"/>
        </w:rPr>
        <w:t>升压站，临时占地主要为光伏阵列、变配电设备、施工临建等，占地约为</w:t>
      </w:r>
      <w:r>
        <w:rPr>
          <w:rFonts w:ascii="Times New Roman" w:eastAsia="Times New Roman"/>
          <w:spacing w:val="-8"/>
        </w:rPr>
        <w:t>131.51hm</w:t>
      </w:r>
      <w:r>
        <w:rPr>
          <w:rFonts w:ascii="Times New Roman" w:eastAsia="Times New Roman"/>
          <w:spacing w:val="-8"/>
          <w:position w:val="8"/>
          <w:sz w:val="15"/>
        </w:rPr>
        <w:t>2</w:t>
      </w:r>
      <w:r>
        <w:rPr>
          <w:spacing w:val="-8"/>
        </w:rPr>
        <w:t>，施工临建占地</w:t>
      </w:r>
      <w:r>
        <w:rPr>
          <w:spacing w:val="-14"/>
        </w:rPr>
        <w:t>包括施工期各临建生产、生活设施占地、施工人员临时居住建筑占地、设备临时</w:t>
      </w:r>
      <w:r>
        <w:rPr>
          <w:spacing w:val="-15"/>
        </w:rPr>
        <w:t>储存仓库占地等，该临时性用地均考虑在项目用地范围之内，施工临建地位于升</w:t>
      </w:r>
      <w:r>
        <w:rPr>
          <w:spacing w:val="-16"/>
        </w:rPr>
        <w:t>压站附近，施工结束即对场地进行恢复。因此，本项目建设对土地利用影响较小。</w:t>
      </w:r>
    </w:p>
    <w:p>
      <w:pPr>
        <w:pStyle w:val="BodyText"/>
        <w:spacing w:line="364" w:lineRule="auto" w:before="3"/>
        <w:ind w:right="317" w:firstLine="480"/>
        <w:jc w:val="both"/>
      </w:pPr>
      <w:r>
        <w:rPr>
          <w:spacing w:val="-5"/>
        </w:rPr>
        <w:t>按照《土地利用现状分类标准</w:t>
      </w:r>
      <w:r>
        <w:rPr/>
        <w:t>（</w:t>
      </w:r>
      <w:r>
        <w:rPr>
          <w:rFonts w:ascii="Times New Roman" w:eastAsia="Times New Roman"/>
        </w:rPr>
        <w:t>GBT21010-2007</w:t>
      </w:r>
      <w:r>
        <w:rPr/>
        <w:t>）</w:t>
      </w:r>
      <w:r>
        <w:rPr>
          <w:spacing w:val="-5"/>
        </w:rPr>
        <w:t>》的进行地类划分，将项</w:t>
      </w:r>
      <w:r>
        <w:rPr>
          <w:spacing w:val="-7"/>
        </w:rPr>
        <w:t>目区的土地利用类型划分为耕地、林地、工矿仓储用地、住宅用地、水域及水利</w:t>
      </w:r>
      <w:r>
        <w:rPr/>
        <w:t>设施用地、其他土地共计</w:t>
      </w:r>
      <w:r>
        <w:rPr>
          <w:rFonts w:ascii="Times New Roman" w:eastAsia="Times New Roman"/>
        </w:rPr>
        <w:t>5</w:t>
      </w:r>
      <w:r>
        <w:rPr/>
        <w:t>地类型。根据生态解译调查，项目评价区主要占地类型为耕地，占地面积为</w:t>
      </w:r>
      <w:r>
        <w:rPr>
          <w:rFonts w:ascii="Times New Roman" w:eastAsia="Times New Roman"/>
        </w:rPr>
        <w:t>4.1535km</w:t>
      </w:r>
      <w:r>
        <w:rPr>
          <w:rFonts w:ascii="Times New Roman" w:eastAsia="Times New Roman"/>
          <w:position w:val="8"/>
          <w:sz w:val="15"/>
        </w:rPr>
        <w:t>2</w:t>
      </w:r>
      <w:r>
        <w:rPr/>
        <w:t>，约占总占地面积的</w:t>
      </w:r>
      <w:r>
        <w:rPr>
          <w:rFonts w:ascii="Times New Roman" w:eastAsia="Times New Roman"/>
        </w:rPr>
        <w:t>57.16%</w:t>
      </w:r>
      <w:r>
        <w:rPr/>
        <w:t>，其次为草地、工矿用地等。项目区土地利用类型主要为草地，占地面积为</w:t>
      </w:r>
      <w:r>
        <w:rPr>
          <w:rFonts w:ascii="Times New Roman" w:eastAsia="Times New Roman"/>
        </w:rPr>
        <w:t>0.8232km</w:t>
      </w:r>
      <w:r>
        <w:rPr>
          <w:rFonts w:ascii="Times New Roman" w:eastAsia="Times New Roman"/>
          <w:position w:val="8"/>
          <w:sz w:val="15"/>
        </w:rPr>
        <w:t>2</w:t>
      </w:r>
      <w:r>
        <w:rPr/>
        <w:t>，约占总面积的</w:t>
      </w:r>
      <w:r>
        <w:rPr>
          <w:rFonts w:ascii="Times New Roman" w:eastAsia="Times New Roman"/>
        </w:rPr>
        <w:t>62.23%</w:t>
      </w:r>
      <w:r>
        <w:rPr/>
        <w:t>；耕地占地面积为</w:t>
      </w:r>
      <w:r>
        <w:rPr>
          <w:rFonts w:ascii="Times New Roman" w:eastAsia="Times New Roman"/>
        </w:rPr>
        <w:t>0.4763km</w:t>
      </w:r>
      <w:r>
        <w:rPr>
          <w:rFonts w:ascii="Times New Roman" w:eastAsia="Times New Roman"/>
          <w:position w:val="8"/>
          <w:sz w:val="15"/>
        </w:rPr>
        <w:t>2</w:t>
      </w:r>
      <w:r>
        <w:rPr/>
        <w:t>，约占总面积的</w:t>
      </w:r>
      <w:r>
        <w:rPr>
          <w:rFonts w:ascii="Times New Roman" w:eastAsia="Times New Roman"/>
        </w:rPr>
        <w:t>36.00%</w:t>
      </w:r>
      <w:r>
        <w:rPr/>
        <w:t>；其他土地占地</w:t>
      </w:r>
      <w:r>
        <w:rPr>
          <w:spacing w:val="-1"/>
        </w:rPr>
        <w:t>占地面积为</w:t>
      </w:r>
      <w:r>
        <w:rPr>
          <w:rFonts w:ascii="Times New Roman" w:eastAsia="Times New Roman"/>
          <w:spacing w:val="-4"/>
        </w:rPr>
        <w:t>0.0234km</w:t>
      </w:r>
      <w:r>
        <w:rPr>
          <w:rFonts w:ascii="Times New Roman" w:eastAsia="Times New Roman"/>
          <w:spacing w:val="-4"/>
          <w:position w:val="8"/>
          <w:sz w:val="15"/>
        </w:rPr>
        <w:t>2</w:t>
      </w:r>
      <w:r>
        <w:rPr>
          <w:spacing w:val="-2"/>
        </w:rPr>
        <w:t>，约占总面积的</w:t>
      </w:r>
      <w:r>
        <w:rPr>
          <w:rFonts w:ascii="Times New Roman" w:eastAsia="Times New Roman"/>
        </w:rPr>
        <w:t>1.77%</w:t>
      </w:r>
      <w:r>
        <w:rPr>
          <w:spacing w:val="-8"/>
        </w:rPr>
        <w:t>。项目评价区土地利用类型及面积见</w:t>
      </w:r>
    </w:p>
    <w:p>
      <w:pPr>
        <w:spacing w:after="0" w:line="364" w:lineRule="auto"/>
        <w:jc w:val="both"/>
        <w:sectPr>
          <w:type w:val="continuous"/>
          <w:pgSz w:w="11910" w:h="16840"/>
          <w:pgMar w:top="1580" w:bottom="280" w:left="1580" w:right="1480"/>
        </w:sectPr>
      </w:pPr>
    </w:p>
    <w:p>
      <w:pPr>
        <w:pStyle w:val="BodyText"/>
        <w:spacing w:before="62"/>
      </w:pPr>
      <w:r>
        <w:rPr/>
        <w:t>表</w:t>
      </w:r>
      <w:r>
        <w:rPr>
          <w:rFonts w:ascii="Times New Roman" w:eastAsia="Times New Roman"/>
        </w:rPr>
        <w:t>5</w:t>
      </w:r>
      <w:r>
        <w:rPr>
          <w:rFonts w:ascii="Times New Roman" w:eastAsia="Times New Roman"/>
          <w:spacing w:val="-1"/>
        </w:rPr>
        <w:t>-</w:t>
      </w:r>
      <w:r>
        <w:rPr>
          <w:rFonts w:ascii="Times New Roman" w:eastAsia="Times New Roman"/>
        </w:rPr>
        <w:t>1</w:t>
      </w:r>
      <w:r>
        <w:rPr>
          <w:spacing w:val="-11"/>
        </w:rPr>
        <w:t>、项目区土地利用类型及面积见表</w:t>
      </w:r>
      <w:r>
        <w:rPr>
          <w:rFonts w:ascii="Times New Roman" w:eastAsia="Times New Roman"/>
        </w:rPr>
        <w:t>5</w:t>
      </w:r>
      <w:r>
        <w:rPr>
          <w:rFonts w:ascii="Times New Roman" w:eastAsia="Times New Roman"/>
          <w:spacing w:val="-1"/>
        </w:rPr>
        <w:t>-</w:t>
      </w:r>
      <w:r>
        <w:rPr>
          <w:rFonts w:ascii="Times New Roman" w:eastAsia="Times New Roman"/>
        </w:rPr>
        <w:t>2</w:t>
      </w:r>
      <w:r>
        <w:rPr>
          <w:spacing w:val="-11"/>
        </w:rPr>
        <w:t>，项目所在地土地利用现状图见图</w:t>
      </w:r>
      <w:r>
        <w:rPr>
          <w:rFonts w:ascii="Times New Roman" w:eastAsia="Times New Roman"/>
        </w:rPr>
        <w:t>5</w:t>
      </w:r>
      <w:r>
        <w:rPr>
          <w:rFonts w:ascii="Times New Roman" w:eastAsia="Times New Roman"/>
          <w:spacing w:val="-1"/>
        </w:rPr>
        <w:t>-</w:t>
      </w:r>
      <w:r>
        <w:rPr>
          <w:rFonts w:ascii="Times New Roman" w:eastAsia="Times New Roman"/>
          <w:spacing w:val="2"/>
        </w:rPr>
        <w:t>2</w:t>
      </w:r>
      <w:r>
        <w:rPr/>
        <w:t>。</w:t>
      </w:r>
    </w:p>
    <w:p>
      <w:pPr>
        <w:tabs>
          <w:tab w:pos="753" w:val="left" w:leader="none"/>
        </w:tabs>
        <w:spacing w:before="178"/>
        <w:ind w:left="0" w:right="87" w:firstLine="0"/>
        <w:jc w:val="center"/>
        <w:rPr>
          <w:b/>
          <w:sz w:val="21"/>
        </w:rPr>
      </w:pPr>
      <w:r>
        <w:rPr>
          <w:b/>
          <w:sz w:val="21"/>
        </w:rPr>
        <w:t>表</w:t>
      </w:r>
      <w:r>
        <w:rPr>
          <w:b/>
          <w:spacing w:val="-52"/>
          <w:sz w:val="21"/>
        </w:rPr>
        <w:t> </w:t>
      </w:r>
      <w:r>
        <w:rPr>
          <w:rFonts w:ascii="Times New Roman" w:eastAsia="Times New Roman"/>
          <w:b/>
          <w:sz w:val="21"/>
        </w:rPr>
        <w:t>5-1</w:t>
        <w:tab/>
      </w:r>
      <w:r>
        <w:rPr>
          <w:b/>
          <w:w w:val="95"/>
          <w:sz w:val="21"/>
        </w:rPr>
        <w:t>评价区内土地利用类型及面积统计</w:t>
      </w:r>
    </w:p>
    <w:p>
      <w:pPr>
        <w:pStyle w:val="BodyText"/>
        <w:spacing w:before="11"/>
        <w:ind w:left="0"/>
        <w:rPr>
          <w:b/>
          <w:sz w:val="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2"/>
        <w:gridCol w:w="1752"/>
        <w:gridCol w:w="1752"/>
        <w:gridCol w:w="1752"/>
        <w:gridCol w:w="1754"/>
      </w:tblGrid>
      <w:tr>
        <w:trPr>
          <w:trHeight w:val="312" w:hRule="atLeast"/>
        </w:trPr>
        <w:tc>
          <w:tcPr>
            <w:tcW w:w="1512" w:type="dxa"/>
            <w:vMerge w:val="restart"/>
          </w:tcPr>
          <w:p>
            <w:pPr>
              <w:pStyle w:val="TableParagraph"/>
              <w:spacing w:before="2"/>
              <w:ind w:left="0"/>
              <w:jc w:val="left"/>
              <w:rPr>
                <w:rFonts w:ascii="宋体"/>
                <w:b/>
                <w:sz w:val="14"/>
              </w:rPr>
            </w:pPr>
          </w:p>
          <w:p>
            <w:pPr>
              <w:pStyle w:val="TableParagraph"/>
              <w:spacing w:before="0"/>
              <w:ind w:left="441"/>
              <w:jc w:val="left"/>
              <w:rPr>
                <w:rFonts w:ascii="宋体" w:eastAsia="宋体" w:hint="eastAsia"/>
                <w:sz w:val="21"/>
              </w:rPr>
            </w:pPr>
            <w:r>
              <w:rPr>
                <w:rFonts w:ascii="宋体" w:eastAsia="宋体" w:hint="eastAsia"/>
                <w:sz w:val="21"/>
              </w:rPr>
              <w:t>一级类</w:t>
            </w:r>
          </w:p>
        </w:tc>
        <w:tc>
          <w:tcPr>
            <w:tcW w:w="3504" w:type="dxa"/>
            <w:gridSpan w:val="2"/>
          </w:tcPr>
          <w:p>
            <w:pPr>
              <w:pStyle w:val="TableParagraph"/>
              <w:ind w:left="1416" w:right="1407"/>
              <w:rPr>
                <w:rFonts w:ascii="宋体" w:eastAsia="宋体" w:hint="eastAsia"/>
                <w:sz w:val="21"/>
              </w:rPr>
            </w:pPr>
            <w:r>
              <w:rPr>
                <w:rFonts w:ascii="宋体" w:eastAsia="宋体" w:hint="eastAsia"/>
                <w:sz w:val="21"/>
              </w:rPr>
              <w:t>二级类</w:t>
            </w:r>
          </w:p>
        </w:tc>
        <w:tc>
          <w:tcPr>
            <w:tcW w:w="1752" w:type="dxa"/>
            <w:vMerge w:val="restart"/>
          </w:tcPr>
          <w:p>
            <w:pPr>
              <w:pStyle w:val="TableParagraph"/>
              <w:spacing w:before="182"/>
              <w:ind w:left="287"/>
              <w:jc w:val="left"/>
              <w:rPr>
                <w:rFonts w:ascii="宋体" w:eastAsia="宋体" w:hint="eastAsia"/>
                <w:sz w:val="21"/>
              </w:rPr>
            </w:pPr>
            <w:r>
              <w:rPr>
                <w:rFonts w:ascii="宋体" w:eastAsia="宋体" w:hint="eastAsia"/>
                <w:sz w:val="21"/>
              </w:rPr>
              <w:t>面积（</w:t>
            </w:r>
            <w:r>
              <w:rPr>
                <w:sz w:val="21"/>
              </w:rPr>
              <w:t>km</w:t>
            </w:r>
            <w:r>
              <w:rPr>
                <w:position w:val="7"/>
                <w:sz w:val="13"/>
              </w:rPr>
              <w:t>2</w:t>
            </w:r>
            <w:r>
              <w:rPr>
                <w:rFonts w:ascii="宋体" w:eastAsia="宋体" w:hint="eastAsia"/>
                <w:sz w:val="21"/>
              </w:rPr>
              <w:t>）</w:t>
            </w:r>
          </w:p>
        </w:tc>
        <w:tc>
          <w:tcPr>
            <w:tcW w:w="1754" w:type="dxa"/>
            <w:vMerge w:val="restart"/>
          </w:tcPr>
          <w:p>
            <w:pPr>
              <w:pStyle w:val="TableParagraph"/>
              <w:spacing w:before="182"/>
              <w:ind w:left="369"/>
              <w:jc w:val="left"/>
              <w:rPr>
                <w:rFonts w:ascii="宋体" w:eastAsia="宋体" w:hint="eastAsia"/>
                <w:sz w:val="21"/>
              </w:rPr>
            </w:pPr>
            <w:r>
              <w:rPr>
                <w:rFonts w:ascii="宋体" w:eastAsia="宋体" w:hint="eastAsia"/>
                <w:sz w:val="21"/>
              </w:rPr>
              <w:t>比例（</w:t>
            </w:r>
            <w:r>
              <w:rPr>
                <w:sz w:val="21"/>
              </w:rPr>
              <w:t>%</w:t>
            </w:r>
            <w:r>
              <w:rPr>
                <w:rFonts w:ascii="宋体" w:eastAsia="宋体" w:hint="eastAsia"/>
                <w:sz w:val="21"/>
              </w:rPr>
              <w:t>）</w:t>
            </w:r>
          </w:p>
        </w:tc>
      </w:tr>
      <w:tr>
        <w:trPr>
          <w:trHeight w:val="312" w:hRule="atLeast"/>
        </w:trPr>
        <w:tc>
          <w:tcPr>
            <w:tcW w:w="1512" w:type="dxa"/>
            <w:vMerge/>
            <w:tcBorders>
              <w:top w:val="nil"/>
            </w:tcBorders>
          </w:tcPr>
          <w:p>
            <w:pPr>
              <w:rPr>
                <w:sz w:val="2"/>
                <w:szCs w:val="2"/>
              </w:rPr>
            </w:pPr>
          </w:p>
        </w:tc>
        <w:tc>
          <w:tcPr>
            <w:tcW w:w="1752" w:type="dxa"/>
          </w:tcPr>
          <w:p>
            <w:pPr>
              <w:pStyle w:val="TableParagraph"/>
              <w:ind w:left="329" w:right="322"/>
              <w:rPr>
                <w:rFonts w:ascii="宋体" w:eastAsia="宋体" w:hint="eastAsia"/>
                <w:sz w:val="21"/>
              </w:rPr>
            </w:pPr>
            <w:r>
              <w:rPr>
                <w:rFonts w:ascii="宋体" w:eastAsia="宋体" w:hint="eastAsia"/>
                <w:sz w:val="21"/>
              </w:rPr>
              <w:t>地类代码</w:t>
            </w:r>
          </w:p>
        </w:tc>
        <w:tc>
          <w:tcPr>
            <w:tcW w:w="1752" w:type="dxa"/>
          </w:tcPr>
          <w:p>
            <w:pPr>
              <w:pStyle w:val="TableParagraph"/>
              <w:ind w:left="329" w:right="322"/>
              <w:rPr>
                <w:rFonts w:ascii="宋体" w:eastAsia="宋体" w:hint="eastAsia"/>
                <w:sz w:val="21"/>
              </w:rPr>
            </w:pPr>
            <w:r>
              <w:rPr>
                <w:rFonts w:ascii="宋体" w:eastAsia="宋体" w:hint="eastAsia"/>
                <w:sz w:val="21"/>
              </w:rPr>
              <w:t>地类名称</w:t>
            </w:r>
          </w:p>
        </w:tc>
        <w:tc>
          <w:tcPr>
            <w:tcW w:w="1752" w:type="dxa"/>
            <w:vMerge/>
            <w:tcBorders>
              <w:top w:val="nil"/>
            </w:tcBorders>
          </w:tcPr>
          <w:p>
            <w:pPr>
              <w:rPr>
                <w:sz w:val="2"/>
                <w:szCs w:val="2"/>
              </w:rPr>
            </w:pPr>
          </w:p>
        </w:tc>
        <w:tc>
          <w:tcPr>
            <w:tcW w:w="1754" w:type="dxa"/>
            <w:vMerge/>
            <w:tcBorders>
              <w:top w:val="nil"/>
            </w:tcBorders>
          </w:tcPr>
          <w:p>
            <w:pPr>
              <w:rPr>
                <w:sz w:val="2"/>
                <w:szCs w:val="2"/>
              </w:rPr>
            </w:pPr>
          </w:p>
        </w:tc>
      </w:tr>
      <w:tr>
        <w:trPr>
          <w:trHeight w:val="312" w:hRule="atLeast"/>
        </w:trPr>
        <w:tc>
          <w:tcPr>
            <w:tcW w:w="1512" w:type="dxa"/>
          </w:tcPr>
          <w:p>
            <w:pPr>
              <w:pStyle w:val="TableParagraph"/>
              <w:spacing w:before="20"/>
              <w:ind w:left="311" w:right="307"/>
              <w:rPr>
                <w:rFonts w:ascii="宋体" w:eastAsia="宋体" w:hint="eastAsia"/>
                <w:sz w:val="21"/>
              </w:rPr>
            </w:pPr>
            <w:r>
              <w:rPr>
                <w:rFonts w:ascii="宋体" w:eastAsia="宋体" w:hint="eastAsia"/>
                <w:sz w:val="21"/>
              </w:rPr>
              <w:t>耕地</w:t>
            </w:r>
          </w:p>
        </w:tc>
        <w:tc>
          <w:tcPr>
            <w:tcW w:w="1752" w:type="dxa"/>
          </w:tcPr>
          <w:p>
            <w:pPr>
              <w:pStyle w:val="TableParagraph"/>
              <w:spacing w:before="34"/>
              <w:ind w:left="329" w:right="321"/>
              <w:rPr>
                <w:sz w:val="21"/>
              </w:rPr>
            </w:pPr>
            <w:r>
              <w:rPr>
                <w:sz w:val="21"/>
              </w:rPr>
              <w:t>0103</w:t>
            </w:r>
          </w:p>
        </w:tc>
        <w:tc>
          <w:tcPr>
            <w:tcW w:w="1752" w:type="dxa"/>
          </w:tcPr>
          <w:p>
            <w:pPr>
              <w:pStyle w:val="TableParagraph"/>
              <w:spacing w:before="20"/>
              <w:ind w:left="326" w:right="322"/>
              <w:rPr>
                <w:rFonts w:ascii="宋体" w:eastAsia="宋体" w:hint="eastAsia"/>
                <w:sz w:val="21"/>
              </w:rPr>
            </w:pPr>
            <w:r>
              <w:rPr>
                <w:rFonts w:ascii="宋体" w:eastAsia="宋体" w:hint="eastAsia"/>
                <w:sz w:val="21"/>
              </w:rPr>
              <w:t>旱地</w:t>
            </w:r>
          </w:p>
        </w:tc>
        <w:tc>
          <w:tcPr>
            <w:tcW w:w="1752" w:type="dxa"/>
          </w:tcPr>
          <w:p>
            <w:pPr>
              <w:pStyle w:val="TableParagraph"/>
              <w:spacing w:before="34"/>
              <w:ind w:left="587"/>
              <w:jc w:val="left"/>
              <w:rPr>
                <w:sz w:val="21"/>
              </w:rPr>
            </w:pPr>
            <w:r>
              <w:rPr>
                <w:sz w:val="21"/>
              </w:rPr>
              <w:t>4.1535</w:t>
            </w:r>
          </w:p>
        </w:tc>
        <w:tc>
          <w:tcPr>
            <w:tcW w:w="1754" w:type="dxa"/>
          </w:tcPr>
          <w:p>
            <w:pPr>
              <w:pStyle w:val="TableParagraph"/>
              <w:spacing w:before="34"/>
              <w:ind w:left="640"/>
              <w:jc w:val="left"/>
              <w:rPr>
                <w:sz w:val="21"/>
              </w:rPr>
            </w:pPr>
            <w:r>
              <w:rPr>
                <w:sz w:val="21"/>
              </w:rPr>
              <w:t>57.16</w:t>
            </w:r>
          </w:p>
        </w:tc>
      </w:tr>
      <w:tr>
        <w:trPr>
          <w:trHeight w:val="311" w:hRule="atLeast"/>
        </w:trPr>
        <w:tc>
          <w:tcPr>
            <w:tcW w:w="1512" w:type="dxa"/>
          </w:tcPr>
          <w:p>
            <w:pPr>
              <w:pStyle w:val="TableParagraph"/>
              <w:spacing w:before="20"/>
              <w:ind w:left="311" w:right="307"/>
              <w:rPr>
                <w:rFonts w:ascii="宋体" w:eastAsia="宋体" w:hint="eastAsia"/>
                <w:sz w:val="21"/>
              </w:rPr>
            </w:pPr>
            <w:r>
              <w:rPr>
                <w:rFonts w:ascii="宋体" w:eastAsia="宋体" w:hint="eastAsia"/>
                <w:sz w:val="21"/>
              </w:rPr>
              <w:t>草地</w:t>
            </w:r>
          </w:p>
        </w:tc>
        <w:tc>
          <w:tcPr>
            <w:tcW w:w="1752" w:type="dxa"/>
          </w:tcPr>
          <w:p>
            <w:pPr>
              <w:pStyle w:val="TableParagraph"/>
              <w:spacing w:before="34"/>
              <w:ind w:left="329" w:right="321"/>
              <w:rPr>
                <w:sz w:val="21"/>
              </w:rPr>
            </w:pPr>
            <w:r>
              <w:rPr>
                <w:sz w:val="21"/>
              </w:rPr>
              <w:t>0404</w:t>
            </w:r>
          </w:p>
        </w:tc>
        <w:tc>
          <w:tcPr>
            <w:tcW w:w="1752" w:type="dxa"/>
          </w:tcPr>
          <w:p>
            <w:pPr>
              <w:pStyle w:val="TableParagraph"/>
              <w:spacing w:before="20"/>
              <w:ind w:left="329" w:right="322"/>
              <w:rPr>
                <w:rFonts w:ascii="宋体" w:eastAsia="宋体" w:hint="eastAsia"/>
                <w:sz w:val="21"/>
              </w:rPr>
            </w:pPr>
            <w:r>
              <w:rPr>
                <w:rFonts w:ascii="宋体" w:eastAsia="宋体" w:hint="eastAsia"/>
                <w:sz w:val="21"/>
              </w:rPr>
              <w:t>其它草地</w:t>
            </w:r>
          </w:p>
        </w:tc>
        <w:tc>
          <w:tcPr>
            <w:tcW w:w="1752" w:type="dxa"/>
          </w:tcPr>
          <w:p>
            <w:pPr>
              <w:pStyle w:val="TableParagraph"/>
              <w:spacing w:before="34"/>
              <w:ind w:left="587"/>
              <w:jc w:val="left"/>
              <w:rPr>
                <w:sz w:val="21"/>
              </w:rPr>
            </w:pPr>
            <w:r>
              <w:rPr>
                <w:sz w:val="21"/>
              </w:rPr>
              <w:t>2.5983</w:t>
            </w:r>
          </w:p>
        </w:tc>
        <w:tc>
          <w:tcPr>
            <w:tcW w:w="1754" w:type="dxa"/>
          </w:tcPr>
          <w:p>
            <w:pPr>
              <w:pStyle w:val="TableParagraph"/>
              <w:spacing w:before="34"/>
              <w:ind w:left="640"/>
              <w:jc w:val="left"/>
              <w:rPr>
                <w:sz w:val="21"/>
              </w:rPr>
            </w:pPr>
            <w:r>
              <w:rPr>
                <w:sz w:val="21"/>
              </w:rPr>
              <w:t>35.76</w:t>
            </w:r>
          </w:p>
        </w:tc>
      </w:tr>
      <w:tr>
        <w:trPr>
          <w:trHeight w:val="312" w:hRule="atLeast"/>
        </w:trPr>
        <w:tc>
          <w:tcPr>
            <w:tcW w:w="1512" w:type="dxa"/>
          </w:tcPr>
          <w:p>
            <w:pPr>
              <w:pStyle w:val="TableParagraph"/>
              <w:spacing w:before="22"/>
              <w:ind w:left="314" w:right="307"/>
              <w:rPr>
                <w:rFonts w:ascii="宋体" w:eastAsia="宋体" w:hint="eastAsia"/>
                <w:sz w:val="21"/>
              </w:rPr>
            </w:pPr>
            <w:r>
              <w:rPr>
                <w:rFonts w:ascii="宋体" w:eastAsia="宋体" w:hint="eastAsia"/>
                <w:sz w:val="21"/>
              </w:rPr>
              <w:t>工矿用地</w:t>
            </w:r>
          </w:p>
        </w:tc>
        <w:tc>
          <w:tcPr>
            <w:tcW w:w="1752" w:type="dxa"/>
          </w:tcPr>
          <w:p>
            <w:pPr>
              <w:pStyle w:val="TableParagraph"/>
              <w:spacing w:before="36"/>
              <w:ind w:left="329" w:right="321"/>
              <w:rPr>
                <w:sz w:val="21"/>
              </w:rPr>
            </w:pPr>
            <w:r>
              <w:rPr>
                <w:sz w:val="21"/>
              </w:rPr>
              <w:t>0601</w:t>
            </w:r>
          </w:p>
        </w:tc>
        <w:tc>
          <w:tcPr>
            <w:tcW w:w="1752" w:type="dxa"/>
          </w:tcPr>
          <w:p>
            <w:pPr>
              <w:pStyle w:val="TableParagraph"/>
              <w:spacing w:before="22"/>
              <w:ind w:left="329" w:right="322"/>
              <w:rPr>
                <w:rFonts w:ascii="宋体" w:eastAsia="宋体" w:hint="eastAsia"/>
                <w:sz w:val="21"/>
              </w:rPr>
            </w:pPr>
            <w:r>
              <w:rPr>
                <w:rFonts w:ascii="宋体" w:eastAsia="宋体" w:hint="eastAsia"/>
                <w:sz w:val="21"/>
              </w:rPr>
              <w:t>工业用地</w:t>
            </w:r>
          </w:p>
        </w:tc>
        <w:tc>
          <w:tcPr>
            <w:tcW w:w="1752" w:type="dxa"/>
          </w:tcPr>
          <w:p>
            <w:pPr>
              <w:pStyle w:val="TableParagraph"/>
              <w:spacing w:before="36"/>
              <w:ind w:left="587"/>
              <w:jc w:val="left"/>
              <w:rPr>
                <w:sz w:val="21"/>
              </w:rPr>
            </w:pPr>
            <w:r>
              <w:rPr>
                <w:sz w:val="21"/>
              </w:rPr>
              <w:t>0.0679</w:t>
            </w:r>
          </w:p>
        </w:tc>
        <w:tc>
          <w:tcPr>
            <w:tcW w:w="1754" w:type="dxa"/>
          </w:tcPr>
          <w:p>
            <w:pPr>
              <w:pStyle w:val="TableParagraph"/>
              <w:spacing w:before="36"/>
              <w:ind w:left="693"/>
              <w:jc w:val="left"/>
              <w:rPr>
                <w:sz w:val="21"/>
              </w:rPr>
            </w:pPr>
            <w:r>
              <w:rPr>
                <w:sz w:val="21"/>
              </w:rPr>
              <w:t>0.93</w:t>
            </w:r>
          </w:p>
        </w:tc>
      </w:tr>
      <w:tr>
        <w:trPr>
          <w:trHeight w:val="312" w:hRule="atLeast"/>
        </w:trPr>
        <w:tc>
          <w:tcPr>
            <w:tcW w:w="1512" w:type="dxa"/>
          </w:tcPr>
          <w:p>
            <w:pPr>
              <w:pStyle w:val="TableParagraph"/>
              <w:ind w:left="314" w:right="307"/>
              <w:rPr>
                <w:rFonts w:ascii="宋体" w:eastAsia="宋体" w:hint="eastAsia"/>
                <w:sz w:val="21"/>
              </w:rPr>
            </w:pPr>
            <w:r>
              <w:rPr>
                <w:rFonts w:ascii="宋体" w:eastAsia="宋体" w:hint="eastAsia"/>
                <w:sz w:val="21"/>
              </w:rPr>
              <w:t>住宅用地</w:t>
            </w:r>
          </w:p>
        </w:tc>
        <w:tc>
          <w:tcPr>
            <w:tcW w:w="1752" w:type="dxa"/>
          </w:tcPr>
          <w:p>
            <w:pPr>
              <w:pStyle w:val="TableParagraph"/>
              <w:spacing w:before="35"/>
              <w:ind w:left="329" w:right="321"/>
              <w:rPr>
                <w:sz w:val="21"/>
              </w:rPr>
            </w:pPr>
            <w:r>
              <w:rPr>
                <w:sz w:val="21"/>
              </w:rPr>
              <w:t>0702</w:t>
            </w:r>
          </w:p>
        </w:tc>
        <w:tc>
          <w:tcPr>
            <w:tcW w:w="1752" w:type="dxa"/>
          </w:tcPr>
          <w:p>
            <w:pPr>
              <w:pStyle w:val="TableParagraph"/>
              <w:ind w:left="329" w:right="322"/>
              <w:rPr>
                <w:rFonts w:ascii="宋体" w:eastAsia="宋体" w:hint="eastAsia"/>
                <w:sz w:val="21"/>
              </w:rPr>
            </w:pPr>
            <w:r>
              <w:rPr>
                <w:rFonts w:ascii="宋体" w:eastAsia="宋体" w:hint="eastAsia"/>
                <w:sz w:val="21"/>
              </w:rPr>
              <w:t>农村宅基地</w:t>
            </w:r>
          </w:p>
        </w:tc>
        <w:tc>
          <w:tcPr>
            <w:tcW w:w="1752" w:type="dxa"/>
          </w:tcPr>
          <w:p>
            <w:pPr>
              <w:pStyle w:val="TableParagraph"/>
              <w:spacing w:before="35"/>
              <w:ind w:left="587"/>
              <w:jc w:val="left"/>
              <w:rPr>
                <w:sz w:val="21"/>
              </w:rPr>
            </w:pPr>
            <w:r>
              <w:rPr>
                <w:sz w:val="21"/>
              </w:rPr>
              <w:t>0.3282</w:t>
            </w:r>
          </w:p>
        </w:tc>
        <w:tc>
          <w:tcPr>
            <w:tcW w:w="1754" w:type="dxa"/>
          </w:tcPr>
          <w:p>
            <w:pPr>
              <w:pStyle w:val="TableParagraph"/>
              <w:spacing w:before="35"/>
              <w:ind w:left="693"/>
              <w:jc w:val="left"/>
              <w:rPr>
                <w:sz w:val="21"/>
              </w:rPr>
            </w:pPr>
            <w:r>
              <w:rPr>
                <w:sz w:val="21"/>
              </w:rPr>
              <w:t>4.52</w:t>
            </w:r>
          </w:p>
        </w:tc>
      </w:tr>
      <w:tr>
        <w:trPr>
          <w:trHeight w:val="312" w:hRule="atLeast"/>
        </w:trPr>
        <w:tc>
          <w:tcPr>
            <w:tcW w:w="1512" w:type="dxa"/>
          </w:tcPr>
          <w:p>
            <w:pPr>
              <w:pStyle w:val="TableParagraph"/>
              <w:ind w:left="314" w:right="307"/>
              <w:rPr>
                <w:rFonts w:ascii="宋体" w:eastAsia="宋体" w:hint="eastAsia"/>
                <w:sz w:val="21"/>
              </w:rPr>
            </w:pPr>
            <w:r>
              <w:rPr>
                <w:rFonts w:ascii="宋体" w:eastAsia="宋体" w:hint="eastAsia"/>
                <w:sz w:val="21"/>
              </w:rPr>
              <w:t>其它土地</w:t>
            </w:r>
          </w:p>
        </w:tc>
        <w:tc>
          <w:tcPr>
            <w:tcW w:w="1752" w:type="dxa"/>
          </w:tcPr>
          <w:p>
            <w:pPr>
              <w:pStyle w:val="TableParagraph"/>
              <w:spacing w:before="35"/>
              <w:ind w:left="329" w:right="321"/>
              <w:rPr>
                <w:sz w:val="21"/>
              </w:rPr>
            </w:pPr>
            <w:r>
              <w:rPr>
                <w:sz w:val="21"/>
              </w:rPr>
              <w:t>1202</w:t>
            </w:r>
          </w:p>
        </w:tc>
        <w:tc>
          <w:tcPr>
            <w:tcW w:w="1752" w:type="dxa"/>
          </w:tcPr>
          <w:p>
            <w:pPr>
              <w:pStyle w:val="TableParagraph"/>
              <w:ind w:left="329" w:right="322"/>
              <w:rPr>
                <w:rFonts w:ascii="宋体" w:eastAsia="宋体" w:hint="eastAsia"/>
                <w:sz w:val="21"/>
              </w:rPr>
            </w:pPr>
            <w:r>
              <w:rPr>
                <w:rFonts w:ascii="宋体" w:eastAsia="宋体" w:hint="eastAsia"/>
                <w:sz w:val="21"/>
              </w:rPr>
              <w:t>设施农用地</w:t>
            </w:r>
          </w:p>
        </w:tc>
        <w:tc>
          <w:tcPr>
            <w:tcW w:w="1752" w:type="dxa"/>
          </w:tcPr>
          <w:p>
            <w:pPr>
              <w:pStyle w:val="TableParagraph"/>
              <w:spacing w:before="35"/>
              <w:ind w:left="590"/>
              <w:jc w:val="left"/>
              <w:rPr>
                <w:sz w:val="21"/>
              </w:rPr>
            </w:pPr>
            <w:r>
              <w:rPr>
                <w:sz w:val="21"/>
              </w:rPr>
              <w:t>0.1181</w:t>
            </w:r>
          </w:p>
        </w:tc>
        <w:tc>
          <w:tcPr>
            <w:tcW w:w="1754" w:type="dxa"/>
          </w:tcPr>
          <w:p>
            <w:pPr>
              <w:pStyle w:val="TableParagraph"/>
              <w:spacing w:before="35"/>
              <w:ind w:left="693"/>
              <w:jc w:val="left"/>
              <w:rPr>
                <w:sz w:val="21"/>
              </w:rPr>
            </w:pPr>
            <w:r>
              <w:rPr>
                <w:sz w:val="21"/>
              </w:rPr>
              <w:t>1.63</w:t>
            </w:r>
          </w:p>
        </w:tc>
      </w:tr>
      <w:tr>
        <w:trPr>
          <w:trHeight w:val="312" w:hRule="atLeast"/>
        </w:trPr>
        <w:tc>
          <w:tcPr>
            <w:tcW w:w="5016" w:type="dxa"/>
            <w:gridSpan w:val="3"/>
          </w:tcPr>
          <w:p>
            <w:pPr>
              <w:pStyle w:val="TableParagraph"/>
              <w:ind w:left="2275" w:right="2271"/>
              <w:rPr>
                <w:rFonts w:ascii="宋体" w:eastAsia="宋体" w:hint="eastAsia"/>
                <w:sz w:val="21"/>
              </w:rPr>
            </w:pPr>
            <w:r>
              <w:rPr>
                <w:rFonts w:ascii="宋体" w:eastAsia="宋体" w:hint="eastAsia"/>
                <w:sz w:val="21"/>
              </w:rPr>
              <w:t>合计</w:t>
            </w:r>
          </w:p>
        </w:tc>
        <w:tc>
          <w:tcPr>
            <w:tcW w:w="1752" w:type="dxa"/>
          </w:tcPr>
          <w:p>
            <w:pPr>
              <w:pStyle w:val="TableParagraph"/>
              <w:spacing w:before="34"/>
              <w:ind w:left="640"/>
              <w:jc w:val="left"/>
              <w:rPr>
                <w:sz w:val="21"/>
              </w:rPr>
            </w:pPr>
            <w:r>
              <w:rPr>
                <w:sz w:val="21"/>
              </w:rPr>
              <w:t>7.266</w:t>
            </w:r>
          </w:p>
        </w:tc>
        <w:tc>
          <w:tcPr>
            <w:tcW w:w="1754" w:type="dxa"/>
          </w:tcPr>
          <w:p>
            <w:pPr>
              <w:pStyle w:val="TableParagraph"/>
              <w:spacing w:before="34"/>
              <w:ind w:left="719"/>
              <w:jc w:val="left"/>
              <w:rPr>
                <w:sz w:val="21"/>
              </w:rPr>
            </w:pPr>
            <w:r>
              <w:rPr>
                <w:sz w:val="21"/>
              </w:rPr>
              <w:t>100</w:t>
            </w:r>
          </w:p>
        </w:tc>
      </w:tr>
    </w:tbl>
    <w:p>
      <w:pPr>
        <w:tabs>
          <w:tab w:pos="700" w:val="left" w:leader="none"/>
        </w:tabs>
        <w:spacing w:before="99"/>
        <w:ind w:left="0" w:right="87" w:firstLine="0"/>
        <w:jc w:val="center"/>
        <w:rPr>
          <w:b/>
          <w:sz w:val="21"/>
        </w:rPr>
      </w:pPr>
      <w:r>
        <w:rPr>
          <w:b/>
          <w:sz w:val="21"/>
        </w:rPr>
        <w:t>表</w:t>
      </w:r>
      <w:r>
        <w:rPr>
          <w:rFonts w:ascii="Times New Roman" w:eastAsia="Times New Roman"/>
          <w:b/>
          <w:sz w:val="21"/>
        </w:rPr>
        <w:t>5-2</w:t>
        <w:tab/>
      </w:r>
      <w:r>
        <w:rPr>
          <w:b/>
          <w:w w:val="95"/>
          <w:sz w:val="21"/>
        </w:rPr>
        <w:t>项目区内土地利用类型及面积统计</w:t>
      </w:r>
    </w:p>
    <w:p>
      <w:pPr>
        <w:pStyle w:val="BodyText"/>
        <w:spacing w:before="10"/>
        <w:ind w:left="0"/>
        <w:rPr>
          <w:b/>
          <w:sz w:val="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2"/>
        <w:gridCol w:w="1752"/>
        <w:gridCol w:w="1752"/>
        <w:gridCol w:w="1752"/>
        <w:gridCol w:w="1754"/>
      </w:tblGrid>
      <w:tr>
        <w:trPr>
          <w:trHeight w:val="312" w:hRule="atLeast"/>
        </w:trPr>
        <w:tc>
          <w:tcPr>
            <w:tcW w:w="1512" w:type="dxa"/>
            <w:vMerge w:val="restart"/>
          </w:tcPr>
          <w:p>
            <w:pPr>
              <w:pStyle w:val="TableParagraph"/>
              <w:spacing w:before="3"/>
              <w:ind w:left="0"/>
              <w:jc w:val="left"/>
              <w:rPr>
                <w:rFonts w:ascii="宋体"/>
                <w:b/>
                <w:sz w:val="14"/>
              </w:rPr>
            </w:pPr>
          </w:p>
          <w:p>
            <w:pPr>
              <w:pStyle w:val="TableParagraph"/>
              <w:spacing w:before="1"/>
              <w:ind w:left="441"/>
              <w:jc w:val="left"/>
              <w:rPr>
                <w:rFonts w:ascii="宋体" w:eastAsia="宋体" w:hint="eastAsia"/>
                <w:sz w:val="21"/>
              </w:rPr>
            </w:pPr>
            <w:r>
              <w:rPr>
                <w:rFonts w:ascii="宋体" w:eastAsia="宋体" w:hint="eastAsia"/>
                <w:sz w:val="21"/>
              </w:rPr>
              <w:t>一级类</w:t>
            </w:r>
          </w:p>
        </w:tc>
        <w:tc>
          <w:tcPr>
            <w:tcW w:w="3504" w:type="dxa"/>
            <w:gridSpan w:val="2"/>
          </w:tcPr>
          <w:p>
            <w:pPr>
              <w:pStyle w:val="TableParagraph"/>
              <w:spacing w:before="20"/>
              <w:ind w:left="1416" w:right="1407"/>
              <w:rPr>
                <w:rFonts w:ascii="宋体" w:eastAsia="宋体" w:hint="eastAsia"/>
                <w:sz w:val="21"/>
              </w:rPr>
            </w:pPr>
            <w:r>
              <w:rPr>
                <w:rFonts w:ascii="宋体" w:eastAsia="宋体" w:hint="eastAsia"/>
                <w:sz w:val="21"/>
              </w:rPr>
              <w:t>二级类</w:t>
            </w:r>
          </w:p>
        </w:tc>
        <w:tc>
          <w:tcPr>
            <w:tcW w:w="1752" w:type="dxa"/>
            <w:vMerge w:val="restart"/>
          </w:tcPr>
          <w:p>
            <w:pPr>
              <w:pStyle w:val="TableParagraph"/>
              <w:spacing w:before="183"/>
              <w:ind w:left="287"/>
              <w:jc w:val="left"/>
              <w:rPr>
                <w:rFonts w:ascii="宋体" w:eastAsia="宋体" w:hint="eastAsia"/>
                <w:sz w:val="21"/>
              </w:rPr>
            </w:pPr>
            <w:r>
              <w:rPr>
                <w:rFonts w:ascii="宋体" w:eastAsia="宋体" w:hint="eastAsia"/>
                <w:sz w:val="21"/>
              </w:rPr>
              <w:t>面积（</w:t>
            </w:r>
            <w:r>
              <w:rPr>
                <w:sz w:val="21"/>
              </w:rPr>
              <w:t>km</w:t>
            </w:r>
            <w:r>
              <w:rPr>
                <w:position w:val="7"/>
                <w:sz w:val="13"/>
              </w:rPr>
              <w:t>2</w:t>
            </w:r>
            <w:r>
              <w:rPr>
                <w:rFonts w:ascii="宋体" w:eastAsia="宋体" w:hint="eastAsia"/>
                <w:sz w:val="21"/>
              </w:rPr>
              <w:t>）</w:t>
            </w:r>
          </w:p>
        </w:tc>
        <w:tc>
          <w:tcPr>
            <w:tcW w:w="1754" w:type="dxa"/>
            <w:vMerge w:val="restart"/>
          </w:tcPr>
          <w:p>
            <w:pPr>
              <w:pStyle w:val="TableParagraph"/>
              <w:spacing w:before="183"/>
              <w:ind w:left="369"/>
              <w:jc w:val="left"/>
              <w:rPr>
                <w:rFonts w:ascii="宋体" w:eastAsia="宋体" w:hint="eastAsia"/>
                <w:sz w:val="21"/>
              </w:rPr>
            </w:pPr>
            <w:r>
              <w:rPr>
                <w:rFonts w:ascii="宋体" w:eastAsia="宋体" w:hint="eastAsia"/>
                <w:sz w:val="21"/>
              </w:rPr>
              <w:t>比例（</w:t>
            </w:r>
            <w:r>
              <w:rPr>
                <w:sz w:val="21"/>
              </w:rPr>
              <w:t>%</w:t>
            </w:r>
            <w:r>
              <w:rPr>
                <w:rFonts w:ascii="宋体" w:eastAsia="宋体" w:hint="eastAsia"/>
                <w:sz w:val="21"/>
              </w:rPr>
              <w:t>）</w:t>
            </w:r>
          </w:p>
        </w:tc>
      </w:tr>
      <w:tr>
        <w:trPr>
          <w:trHeight w:val="311" w:hRule="atLeast"/>
        </w:trPr>
        <w:tc>
          <w:tcPr>
            <w:tcW w:w="1512" w:type="dxa"/>
            <w:vMerge/>
            <w:tcBorders>
              <w:top w:val="nil"/>
            </w:tcBorders>
          </w:tcPr>
          <w:p>
            <w:pPr>
              <w:rPr>
                <w:sz w:val="2"/>
                <w:szCs w:val="2"/>
              </w:rPr>
            </w:pPr>
          </w:p>
        </w:tc>
        <w:tc>
          <w:tcPr>
            <w:tcW w:w="1752" w:type="dxa"/>
          </w:tcPr>
          <w:p>
            <w:pPr>
              <w:pStyle w:val="TableParagraph"/>
              <w:spacing w:before="22"/>
              <w:ind w:left="329" w:right="322"/>
              <w:rPr>
                <w:rFonts w:ascii="宋体" w:eastAsia="宋体" w:hint="eastAsia"/>
                <w:sz w:val="21"/>
              </w:rPr>
            </w:pPr>
            <w:r>
              <w:rPr>
                <w:rFonts w:ascii="宋体" w:eastAsia="宋体" w:hint="eastAsia"/>
                <w:sz w:val="21"/>
              </w:rPr>
              <w:t>地类代码</w:t>
            </w:r>
          </w:p>
        </w:tc>
        <w:tc>
          <w:tcPr>
            <w:tcW w:w="1752" w:type="dxa"/>
          </w:tcPr>
          <w:p>
            <w:pPr>
              <w:pStyle w:val="TableParagraph"/>
              <w:spacing w:before="22"/>
              <w:ind w:left="329" w:right="322"/>
              <w:rPr>
                <w:rFonts w:ascii="宋体" w:eastAsia="宋体" w:hint="eastAsia"/>
                <w:sz w:val="21"/>
              </w:rPr>
            </w:pPr>
            <w:r>
              <w:rPr>
                <w:rFonts w:ascii="宋体" w:eastAsia="宋体" w:hint="eastAsia"/>
                <w:sz w:val="21"/>
              </w:rPr>
              <w:t>地类名称</w:t>
            </w:r>
          </w:p>
        </w:tc>
        <w:tc>
          <w:tcPr>
            <w:tcW w:w="1752" w:type="dxa"/>
            <w:vMerge/>
            <w:tcBorders>
              <w:top w:val="nil"/>
            </w:tcBorders>
          </w:tcPr>
          <w:p>
            <w:pPr>
              <w:rPr>
                <w:sz w:val="2"/>
                <w:szCs w:val="2"/>
              </w:rPr>
            </w:pPr>
          </w:p>
        </w:tc>
        <w:tc>
          <w:tcPr>
            <w:tcW w:w="1754" w:type="dxa"/>
            <w:vMerge/>
            <w:tcBorders>
              <w:top w:val="nil"/>
            </w:tcBorders>
          </w:tcPr>
          <w:p>
            <w:pPr>
              <w:rPr>
                <w:sz w:val="2"/>
                <w:szCs w:val="2"/>
              </w:rPr>
            </w:pPr>
          </w:p>
        </w:tc>
      </w:tr>
      <w:tr>
        <w:trPr>
          <w:trHeight w:val="312" w:hRule="atLeast"/>
        </w:trPr>
        <w:tc>
          <w:tcPr>
            <w:tcW w:w="1512" w:type="dxa"/>
          </w:tcPr>
          <w:p>
            <w:pPr>
              <w:pStyle w:val="TableParagraph"/>
              <w:ind w:left="311" w:right="307"/>
              <w:rPr>
                <w:rFonts w:ascii="宋体" w:eastAsia="宋体" w:hint="eastAsia"/>
                <w:sz w:val="21"/>
              </w:rPr>
            </w:pPr>
            <w:r>
              <w:rPr>
                <w:rFonts w:ascii="宋体" w:eastAsia="宋体" w:hint="eastAsia"/>
                <w:sz w:val="21"/>
              </w:rPr>
              <w:t>耕地</w:t>
            </w:r>
          </w:p>
        </w:tc>
        <w:tc>
          <w:tcPr>
            <w:tcW w:w="1752" w:type="dxa"/>
          </w:tcPr>
          <w:p>
            <w:pPr>
              <w:pStyle w:val="TableParagraph"/>
              <w:spacing w:before="35"/>
              <w:ind w:left="329" w:right="321"/>
              <w:rPr>
                <w:sz w:val="21"/>
              </w:rPr>
            </w:pPr>
            <w:r>
              <w:rPr>
                <w:sz w:val="21"/>
              </w:rPr>
              <w:t>0103</w:t>
            </w:r>
          </w:p>
        </w:tc>
        <w:tc>
          <w:tcPr>
            <w:tcW w:w="1752" w:type="dxa"/>
          </w:tcPr>
          <w:p>
            <w:pPr>
              <w:pStyle w:val="TableParagraph"/>
              <w:ind w:left="326" w:right="322"/>
              <w:rPr>
                <w:rFonts w:ascii="宋体" w:eastAsia="宋体" w:hint="eastAsia"/>
                <w:sz w:val="21"/>
              </w:rPr>
            </w:pPr>
            <w:r>
              <w:rPr>
                <w:rFonts w:ascii="宋体" w:eastAsia="宋体" w:hint="eastAsia"/>
                <w:sz w:val="21"/>
              </w:rPr>
              <w:t>旱地</w:t>
            </w:r>
          </w:p>
        </w:tc>
        <w:tc>
          <w:tcPr>
            <w:tcW w:w="1752" w:type="dxa"/>
          </w:tcPr>
          <w:p>
            <w:pPr>
              <w:pStyle w:val="TableParagraph"/>
              <w:spacing w:before="35"/>
              <w:ind w:left="587"/>
              <w:jc w:val="left"/>
              <w:rPr>
                <w:sz w:val="21"/>
              </w:rPr>
            </w:pPr>
            <w:r>
              <w:rPr>
                <w:sz w:val="21"/>
              </w:rPr>
              <w:t>0.4763</w:t>
            </w:r>
          </w:p>
        </w:tc>
        <w:tc>
          <w:tcPr>
            <w:tcW w:w="1754" w:type="dxa"/>
          </w:tcPr>
          <w:p>
            <w:pPr>
              <w:pStyle w:val="TableParagraph"/>
              <w:spacing w:before="35"/>
              <w:ind w:left="619" w:right="608"/>
              <w:rPr>
                <w:sz w:val="21"/>
              </w:rPr>
            </w:pPr>
            <w:r>
              <w:rPr>
                <w:sz w:val="21"/>
              </w:rPr>
              <w:t>36.00</w:t>
            </w:r>
          </w:p>
        </w:tc>
      </w:tr>
      <w:tr>
        <w:trPr>
          <w:trHeight w:val="311" w:hRule="atLeast"/>
        </w:trPr>
        <w:tc>
          <w:tcPr>
            <w:tcW w:w="1512" w:type="dxa"/>
          </w:tcPr>
          <w:p>
            <w:pPr>
              <w:pStyle w:val="TableParagraph"/>
              <w:ind w:left="311" w:right="307"/>
              <w:rPr>
                <w:rFonts w:ascii="宋体" w:eastAsia="宋体" w:hint="eastAsia"/>
                <w:sz w:val="21"/>
              </w:rPr>
            </w:pPr>
            <w:r>
              <w:rPr>
                <w:rFonts w:ascii="宋体" w:eastAsia="宋体" w:hint="eastAsia"/>
                <w:sz w:val="21"/>
              </w:rPr>
              <w:t>草地</w:t>
            </w:r>
          </w:p>
        </w:tc>
        <w:tc>
          <w:tcPr>
            <w:tcW w:w="1752" w:type="dxa"/>
          </w:tcPr>
          <w:p>
            <w:pPr>
              <w:pStyle w:val="TableParagraph"/>
              <w:spacing w:before="35"/>
              <w:ind w:left="329" w:right="321"/>
              <w:rPr>
                <w:sz w:val="21"/>
              </w:rPr>
            </w:pPr>
            <w:r>
              <w:rPr>
                <w:sz w:val="21"/>
              </w:rPr>
              <w:t>0404</w:t>
            </w:r>
          </w:p>
        </w:tc>
        <w:tc>
          <w:tcPr>
            <w:tcW w:w="1752" w:type="dxa"/>
          </w:tcPr>
          <w:p>
            <w:pPr>
              <w:pStyle w:val="TableParagraph"/>
              <w:ind w:left="329" w:right="322"/>
              <w:rPr>
                <w:rFonts w:ascii="宋体" w:eastAsia="宋体" w:hint="eastAsia"/>
                <w:sz w:val="21"/>
              </w:rPr>
            </w:pPr>
            <w:r>
              <w:rPr>
                <w:rFonts w:ascii="宋体" w:eastAsia="宋体" w:hint="eastAsia"/>
                <w:sz w:val="21"/>
              </w:rPr>
              <w:t>其它草地</w:t>
            </w:r>
          </w:p>
        </w:tc>
        <w:tc>
          <w:tcPr>
            <w:tcW w:w="1752" w:type="dxa"/>
          </w:tcPr>
          <w:p>
            <w:pPr>
              <w:pStyle w:val="TableParagraph"/>
              <w:spacing w:before="35"/>
              <w:ind w:left="587"/>
              <w:jc w:val="left"/>
              <w:rPr>
                <w:sz w:val="21"/>
              </w:rPr>
            </w:pPr>
            <w:r>
              <w:rPr>
                <w:sz w:val="21"/>
              </w:rPr>
              <w:t>0.8232</w:t>
            </w:r>
          </w:p>
        </w:tc>
        <w:tc>
          <w:tcPr>
            <w:tcW w:w="1754" w:type="dxa"/>
          </w:tcPr>
          <w:p>
            <w:pPr>
              <w:pStyle w:val="TableParagraph"/>
              <w:spacing w:before="35"/>
              <w:ind w:left="618" w:right="610"/>
              <w:rPr>
                <w:sz w:val="21"/>
              </w:rPr>
            </w:pPr>
            <w:r>
              <w:rPr>
                <w:sz w:val="21"/>
              </w:rPr>
              <w:t>62.23</w:t>
            </w:r>
          </w:p>
        </w:tc>
      </w:tr>
      <w:tr>
        <w:trPr>
          <w:trHeight w:val="312" w:hRule="atLeast"/>
        </w:trPr>
        <w:tc>
          <w:tcPr>
            <w:tcW w:w="1512" w:type="dxa"/>
          </w:tcPr>
          <w:p>
            <w:pPr>
              <w:pStyle w:val="TableParagraph"/>
              <w:spacing w:before="20"/>
              <w:ind w:left="314" w:right="307"/>
              <w:rPr>
                <w:rFonts w:ascii="宋体" w:eastAsia="宋体" w:hint="eastAsia"/>
                <w:sz w:val="21"/>
              </w:rPr>
            </w:pPr>
            <w:r>
              <w:rPr>
                <w:rFonts w:ascii="宋体" w:eastAsia="宋体" w:hint="eastAsia"/>
                <w:sz w:val="21"/>
              </w:rPr>
              <w:t>其它土地</w:t>
            </w:r>
          </w:p>
        </w:tc>
        <w:tc>
          <w:tcPr>
            <w:tcW w:w="1752" w:type="dxa"/>
          </w:tcPr>
          <w:p>
            <w:pPr>
              <w:pStyle w:val="TableParagraph"/>
              <w:spacing w:before="34"/>
              <w:ind w:left="329" w:right="321"/>
              <w:rPr>
                <w:sz w:val="21"/>
              </w:rPr>
            </w:pPr>
            <w:r>
              <w:rPr>
                <w:sz w:val="21"/>
              </w:rPr>
              <w:t>1202</w:t>
            </w:r>
          </w:p>
        </w:tc>
        <w:tc>
          <w:tcPr>
            <w:tcW w:w="1752" w:type="dxa"/>
          </w:tcPr>
          <w:p>
            <w:pPr>
              <w:pStyle w:val="TableParagraph"/>
              <w:spacing w:before="20"/>
              <w:ind w:left="329" w:right="322"/>
              <w:rPr>
                <w:rFonts w:ascii="宋体" w:eastAsia="宋体" w:hint="eastAsia"/>
                <w:sz w:val="21"/>
              </w:rPr>
            </w:pPr>
            <w:r>
              <w:rPr>
                <w:rFonts w:ascii="宋体" w:eastAsia="宋体" w:hint="eastAsia"/>
                <w:sz w:val="21"/>
              </w:rPr>
              <w:t>设施农用地</w:t>
            </w:r>
          </w:p>
        </w:tc>
        <w:tc>
          <w:tcPr>
            <w:tcW w:w="1752" w:type="dxa"/>
          </w:tcPr>
          <w:p>
            <w:pPr>
              <w:pStyle w:val="TableParagraph"/>
              <w:spacing w:before="34"/>
              <w:ind w:left="587"/>
              <w:jc w:val="left"/>
              <w:rPr>
                <w:sz w:val="21"/>
              </w:rPr>
            </w:pPr>
            <w:r>
              <w:rPr>
                <w:sz w:val="21"/>
              </w:rPr>
              <w:t>0.0234</w:t>
            </w:r>
          </w:p>
        </w:tc>
        <w:tc>
          <w:tcPr>
            <w:tcW w:w="1754" w:type="dxa"/>
          </w:tcPr>
          <w:p>
            <w:pPr>
              <w:pStyle w:val="TableParagraph"/>
              <w:spacing w:before="34"/>
              <w:ind w:left="618" w:right="610"/>
              <w:rPr>
                <w:sz w:val="21"/>
              </w:rPr>
            </w:pPr>
            <w:r>
              <w:rPr>
                <w:sz w:val="21"/>
              </w:rPr>
              <w:t>1.77</w:t>
            </w:r>
          </w:p>
        </w:tc>
      </w:tr>
      <w:tr>
        <w:trPr>
          <w:trHeight w:val="311" w:hRule="atLeast"/>
        </w:trPr>
        <w:tc>
          <w:tcPr>
            <w:tcW w:w="5016" w:type="dxa"/>
            <w:gridSpan w:val="3"/>
          </w:tcPr>
          <w:p>
            <w:pPr>
              <w:pStyle w:val="TableParagraph"/>
              <w:spacing w:before="20"/>
              <w:ind w:left="2275" w:right="2271"/>
              <w:rPr>
                <w:rFonts w:ascii="宋体" w:eastAsia="宋体" w:hint="eastAsia"/>
                <w:sz w:val="21"/>
              </w:rPr>
            </w:pPr>
            <w:r>
              <w:rPr>
                <w:rFonts w:ascii="宋体" w:eastAsia="宋体" w:hint="eastAsia"/>
                <w:sz w:val="21"/>
              </w:rPr>
              <w:t>合计</w:t>
            </w:r>
          </w:p>
        </w:tc>
        <w:tc>
          <w:tcPr>
            <w:tcW w:w="1752" w:type="dxa"/>
          </w:tcPr>
          <w:p>
            <w:pPr>
              <w:pStyle w:val="TableParagraph"/>
              <w:spacing w:before="34"/>
              <w:ind w:left="587"/>
              <w:jc w:val="left"/>
              <w:rPr>
                <w:sz w:val="21"/>
              </w:rPr>
            </w:pPr>
            <w:r>
              <w:rPr>
                <w:sz w:val="21"/>
              </w:rPr>
              <w:t>1.3229</w:t>
            </w:r>
          </w:p>
        </w:tc>
        <w:tc>
          <w:tcPr>
            <w:tcW w:w="1754" w:type="dxa"/>
          </w:tcPr>
          <w:p>
            <w:pPr>
              <w:pStyle w:val="TableParagraph"/>
              <w:spacing w:before="34"/>
              <w:ind w:left="619" w:right="608"/>
              <w:rPr>
                <w:sz w:val="21"/>
              </w:rPr>
            </w:pPr>
            <w:r>
              <w:rPr>
                <w:sz w:val="21"/>
              </w:rPr>
              <w:t>100</w:t>
            </w:r>
          </w:p>
        </w:tc>
      </w:tr>
    </w:tbl>
    <w:p>
      <w:pPr>
        <w:pStyle w:val="BodyText"/>
        <w:ind w:left="344"/>
        <w:rPr>
          <w:sz w:val="20"/>
        </w:rPr>
      </w:pPr>
      <w:r>
        <w:rPr>
          <w:sz w:val="20"/>
        </w:rPr>
        <w:pict>
          <v:group style="width:418.1pt;height:358.8pt;mso-position-horizontal-relative:char;mso-position-vertical-relative:line" coordorigin="0,0" coordsize="8362,7176">
            <v:shape style="position:absolute;left:0;top:174;width:8356;height:6861" type="#_x0000_t75" stroked="false">
              <v:imagedata r:id="rId7" o:title=""/>
            </v:shape>
            <v:line style="position:absolute" from="8362,0" to="8362,7176" stroked="true" strokeweight="0pt" strokecolor="#000000">
              <v:stroke dashstyle="solid"/>
            </v:line>
          </v:group>
        </w:pict>
      </w:r>
      <w:r>
        <w:rPr>
          <w:sz w:val="20"/>
        </w:rPr>
      </w:r>
    </w:p>
    <w:p>
      <w:pPr>
        <w:tabs>
          <w:tab w:pos="695" w:val="left" w:leader="none"/>
        </w:tabs>
        <w:spacing w:before="55"/>
        <w:ind w:left="0" w:right="90" w:firstLine="0"/>
        <w:jc w:val="center"/>
        <w:rPr>
          <w:b/>
          <w:sz w:val="21"/>
        </w:rPr>
      </w:pPr>
      <w:r>
        <w:rPr>
          <w:b/>
          <w:sz w:val="21"/>
        </w:rPr>
        <w:t>图</w:t>
      </w:r>
      <w:r>
        <w:rPr>
          <w:rFonts w:ascii="Calibri" w:eastAsia="Calibri"/>
          <w:b/>
          <w:sz w:val="21"/>
        </w:rPr>
        <w:t>5-2</w:t>
        <w:tab/>
      </w:r>
      <w:r>
        <w:rPr>
          <w:b/>
          <w:sz w:val="21"/>
        </w:rPr>
        <w:t>项目土地利用现状图</w:t>
      </w:r>
    </w:p>
    <w:p>
      <w:pPr>
        <w:spacing w:after="0"/>
        <w:jc w:val="center"/>
        <w:rPr>
          <w:sz w:val="21"/>
        </w:rPr>
        <w:sectPr>
          <w:pgSz w:w="11910" w:h="16840"/>
          <w:pgMar w:header="0" w:footer="970" w:top="1440" w:bottom="1160" w:left="1580" w:right="1480"/>
        </w:sectPr>
      </w:pPr>
    </w:p>
    <w:p>
      <w:pPr>
        <w:pStyle w:val="Heading3"/>
        <w:numPr>
          <w:ilvl w:val="1"/>
          <w:numId w:val="2"/>
        </w:numPr>
        <w:tabs>
          <w:tab w:pos="710" w:val="left" w:leader="none"/>
        </w:tabs>
        <w:spacing w:line="240" w:lineRule="auto" w:before="55" w:after="0"/>
        <w:ind w:left="709" w:right="0" w:hanging="490"/>
        <w:jc w:val="left"/>
      </w:pPr>
      <w:bookmarkStart w:name="_bookmark15" w:id="31"/>
      <w:bookmarkEnd w:id="31"/>
      <w:r>
        <w:rPr>
          <w:b w:val="0"/>
        </w:rPr>
      </w:r>
      <w:bookmarkStart w:name="_bookmark15" w:id="32"/>
      <w:bookmarkEnd w:id="32"/>
      <w:r>
        <w:rPr/>
        <w:t>植被类型分布</w:t>
      </w:r>
    </w:p>
    <w:p>
      <w:pPr>
        <w:pStyle w:val="BodyText"/>
        <w:spacing w:line="364" w:lineRule="auto" w:before="212"/>
        <w:ind w:right="197" w:firstLine="480"/>
      </w:pPr>
      <w:r>
        <w:rPr>
          <w:spacing w:val="-8"/>
        </w:rPr>
        <w:t>在中国植被区划中，项目所在地属温带草原地带。项目位于关中平原栽培落</w:t>
      </w:r>
      <w:r>
        <w:rPr>
          <w:spacing w:val="-11"/>
        </w:rPr>
        <w:t>叶阔叶林区，由于长期以来本区为农作基地天然森林破坏殆尽。现仅在沟头、岸</w:t>
      </w:r>
      <w:r>
        <w:rPr>
          <w:spacing w:val="-15"/>
        </w:rPr>
        <w:t>畔等地零星分布一些早中生灌木。如沙棘、狼牙刺、胡颐子等。栽培和引种的树种在</w:t>
      </w:r>
      <w:r>
        <w:rPr>
          <w:rFonts w:ascii="Times New Roman" w:eastAsia="Times New Roman"/>
          <w:spacing w:val="-15"/>
        </w:rPr>
        <w:t>300</w:t>
      </w:r>
      <w:r>
        <w:rPr>
          <w:spacing w:val="-15"/>
        </w:rPr>
        <w:t>种以上，其中主要有臭椿、榆树等。在关中平原南侧低山区的植被可分为</w:t>
      </w:r>
      <w:r>
        <w:rPr>
          <w:rFonts w:ascii="Times New Roman" w:eastAsia="Times New Roman"/>
          <w:spacing w:val="-15"/>
        </w:rPr>
        <w:t>3</w:t>
      </w:r>
      <w:r>
        <w:rPr>
          <w:spacing w:val="-15"/>
        </w:rPr>
        <w:t>个类型，即山麓以白茅为主的禾本科草本植物类型；山腰以栎、刺柏为主的</w:t>
      </w:r>
      <w:r>
        <w:rPr>
          <w:spacing w:val="-13"/>
        </w:rPr>
        <w:t>混交林类型；谷地以柿、侧柏为主的人工林类型。项目所在区域生态系统结构简</w:t>
      </w:r>
      <w:r>
        <w:rPr>
          <w:spacing w:val="-10"/>
        </w:rPr>
        <w:t>单，天然植被以抗旱低矮植物为主，植被覆盖较少，生物多样性较差，无各级野</w:t>
      </w:r>
      <w:r>
        <w:rPr>
          <w:spacing w:val="-15"/>
        </w:rPr>
        <w:t>生保护和珍稀濒危植物和动物分布区。泾阳县天然灌木草本植被主要分布在荒山荒沟的阴坡和梁峁的顶部，覆盖度大约为</w:t>
      </w:r>
      <w:r>
        <w:rPr>
          <w:rFonts w:ascii="Times New Roman" w:eastAsia="Times New Roman"/>
        </w:rPr>
        <w:t>40%</w:t>
      </w:r>
      <w:r>
        <w:rPr/>
        <w:t>～</w:t>
      </w:r>
      <w:r>
        <w:rPr>
          <w:rFonts w:ascii="Times New Roman" w:eastAsia="Times New Roman"/>
        </w:rPr>
        <w:t>90%</w:t>
      </w:r>
      <w:r>
        <w:rPr>
          <w:spacing w:val="-11"/>
        </w:rPr>
        <w:t>。主要灌木有酸枣、黄刺玫、</w:t>
      </w:r>
      <w:r>
        <w:rPr>
          <w:spacing w:val="-9"/>
        </w:rPr>
        <w:t>六道木等，草本植物以白草、黄菅草、茵陈蒿为主。本县灌木草本植物中，有不少具有药用价值，故药材资源丰富，种类多，分布广，已识别的有</w:t>
      </w:r>
      <w:r>
        <w:rPr>
          <w:rFonts w:ascii="Times New Roman" w:eastAsia="Times New Roman"/>
          <w:spacing w:val="-9"/>
        </w:rPr>
        <w:t>120</w:t>
      </w:r>
      <w:r>
        <w:rPr>
          <w:spacing w:val="-9"/>
        </w:rPr>
        <w:t>余种，其中常用药材</w:t>
      </w:r>
      <w:r>
        <w:rPr>
          <w:rFonts w:ascii="Times New Roman" w:eastAsia="Times New Roman"/>
          <w:spacing w:val="-9"/>
        </w:rPr>
        <w:t>50</w:t>
      </w:r>
      <w:r>
        <w:rPr>
          <w:spacing w:val="-9"/>
        </w:rPr>
        <w:t>余种。</w:t>
      </w:r>
    </w:p>
    <w:p>
      <w:pPr>
        <w:pStyle w:val="BodyText"/>
        <w:spacing w:line="364" w:lineRule="auto" w:before="7"/>
        <w:ind w:right="317" w:firstLine="480"/>
      </w:pPr>
      <w:r>
        <w:rPr>
          <w:spacing w:val="-6"/>
        </w:rPr>
        <w:t>本项目所在评价区域生态系统结构简单，主要由草丛、栽培植被以及非植被</w:t>
      </w:r>
      <w:r>
        <w:rPr>
          <w:spacing w:val="-10"/>
        </w:rPr>
        <w:t>区构成。根据生态解译调査，项目评价区主要植被类型为栽培植被区，占地面积</w:t>
      </w:r>
      <w:r>
        <w:rPr/>
        <w:t>为</w:t>
      </w:r>
      <w:r>
        <w:rPr>
          <w:rFonts w:ascii="Times New Roman" w:eastAsia="Times New Roman"/>
        </w:rPr>
        <w:t>4.1535km</w:t>
      </w:r>
      <w:r>
        <w:rPr>
          <w:rFonts w:ascii="Times New Roman" w:eastAsia="Times New Roman"/>
          <w:position w:val="8"/>
          <w:sz w:val="15"/>
        </w:rPr>
        <w:t>2</w:t>
      </w:r>
      <w:r>
        <w:rPr/>
        <w:t>，约占总占地面积的</w:t>
      </w:r>
      <w:r>
        <w:rPr>
          <w:rFonts w:ascii="Times New Roman" w:eastAsia="Times New Roman"/>
        </w:rPr>
        <w:t>57.16%</w:t>
      </w:r>
      <w:r>
        <w:rPr/>
        <w:t>，其次为草丛和非植被区。项目区植被类型主要为草丛，占地面积为</w:t>
      </w:r>
      <w:r>
        <w:rPr>
          <w:rFonts w:ascii="Times New Roman" w:eastAsia="Times New Roman"/>
        </w:rPr>
        <w:t>0.8230km</w:t>
      </w:r>
      <w:r>
        <w:rPr>
          <w:rFonts w:ascii="Times New Roman" w:eastAsia="Times New Roman"/>
          <w:position w:val="8"/>
          <w:sz w:val="15"/>
        </w:rPr>
        <w:t>2</w:t>
      </w:r>
      <w:r>
        <w:rPr/>
        <w:t>，约占总面积的</w:t>
      </w:r>
      <w:r>
        <w:rPr>
          <w:rFonts w:ascii="Times New Roman" w:eastAsia="Times New Roman"/>
        </w:rPr>
        <w:t>62.21%</w:t>
      </w:r>
      <w:r>
        <w:rPr/>
        <w:t>，其次为栽培植被，占地面积为</w:t>
      </w:r>
      <w:r>
        <w:rPr>
          <w:rFonts w:ascii="Times New Roman" w:eastAsia="Times New Roman"/>
        </w:rPr>
        <w:t>0.4435km</w:t>
      </w:r>
      <w:r>
        <w:rPr>
          <w:rFonts w:ascii="Times New Roman" w:eastAsia="Times New Roman"/>
          <w:position w:val="8"/>
          <w:sz w:val="15"/>
        </w:rPr>
        <w:t>2</w:t>
      </w:r>
      <w:r>
        <w:rPr/>
        <w:t>，约占总面积的</w:t>
      </w:r>
      <w:r>
        <w:rPr>
          <w:rFonts w:ascii="Times New Roman" w:eastAsia="Times New Roman"/>
        </w:rPr>
        <w:t>33.52%</w:t>
      </w:r>
      <w:r>
        <w:rPr/>
        <w:t>，非植被区占地面积为</w:t>
      </w:r>
      <w:r>
        <w:rPr>
          <w:rFonts w:ascii="Times New Roman" w:eastAsia="Times New Roman"/>
        </w:rPr>
        <w:t>0.0564km</w:t>
      </w:r>
      <w:r>
        <w:rPr>
          <w:rFonts w:ascii="Times New Roman" w:eastAsia="Times New Roman"/>
          <w:position w:val="8"/>
          <w:sz w:val="15"/>
        </w:rPr>
        <w:t>2</w:t>
      </w:r>
      <w:r>
        <w:rPr/>
        <w:t>，约占总面积的</w:t>
      </w:r>
      <w:r>
        <w:rPr>
          <w:rFonts w:ascii="Times New Roman" w:eastAsia="Times New Roman"/>
        </w:rPr>
        <w:t>4.27%</w:t>
      </w:r>
      <w:r>
        <w:rPr/>
        <w:t>。具体分布类型及面积见表</w:t>
      </w:r>
      <w:r>
        <w:rPr>
          <w:rFonts w:ascii="Times New Roman" w:eastAsia="Times New Roman"/>
        </w:rPr>
        <w:t>5-3</w:t>
      </w:r>
      <w:r>
        <w:rPr/>
        <w:t>、</w:t>
      </w:r>
      <w:r>
        <w:rPr>
          <w:rFonts w:ascii="Times New Roman" w:eastAsia="Times New Roman"/>
        </w:rPr>
        <w:t>5-4</w:t>
      </w:r>
      <w:r>
        <w:rPr>
          <w:spacing w:val="-3"/>
        </w:rPr>
        <w:t>，土地植被</w:t>
      </w:r>
      <w:r>
        <w:rPr/>
        <w:t>类型图见图</w:t>
      </w:r>
      <w:r>
        <w:rPr>
          <w:rFonts w:ascii="Times New Roman" w:eastAsia="Times New Roman"/>
        </w:rPr>
        <w:t>5-3</w:t>
      </w:r>
      <w:r>
        <w:rPr/>
        <w:t>。</w:t>
      </w:r>
    </w:p>
    <w:p>
      <w:pPr>
        <w:tabs>
          <w:tab w:pos="698" w:val="left" w:leader="none"/>
        </w:tabs>
        <w:spacing w:before="23"/>
        <w:ind w:left="0" w:right="90" w:firstLine="0"/>
        <w:jc w:val="center"/>
        <w:rPr>
          <w:b/>
          <w:sz w:val="21"/>
        </w:rPr>
      </w:pPr>
      <w:r>
        <w:rPr>
          <w:b/>
          <w:sz w:val="21"/>
        </w:rPr>
        <w:t>表</w:t>
      </w:r>
      <w:r>
        <w:rPr>
          <w:rFonts w:ascii="Times New Roman" w:eastAsia="Times New Roman"/>
          <w:b/>
          <w:sz w:val="21"/>
        </w:rPr>
        <w:t>5-3</w:t>
        <w:tab/>
      </w:r>
      <w:r>
        <w:rPr>
          <w:b/>
          <w:w w:val="95"/>
          <w:sz w:val="21"/>
        </w:rPr>
        <w:t>评价区内植被类型面积统计表</w:t>
      </w:r>
    </w:p>
    <w:p>
      <w:pPr>
        <w:pStyle w:val="BodyText"/>
        <w:spacing w:before="10" w:after="1"/>
        <w:ind w:left="0"/>
        <w:rPr>
          <w:b/>
          <w:sz w:val="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7"/>
        <w:gridCol w:w="2523"/>
        <w:gridCol w:w="2131"/>
        <w:gridCol w:w="2131"/>
      </w:tblGrid>
      <w:tr>
        <w:trPr>
          <w:trHeight w:val="311" w:hRule="atLeast"/>
        </w:trPr>
        <w:tc>
          <w:tcPr>
            <w:tcW w:w="1737" w:type="dxa"/>
          </w:tcPr>
          <w:p>
            <w:pPr>
              <w:pStyle w:val="TableParagraph"/>
              <w:ind w:left="425" w:right="420"/>
              <w:rPr>
                <w:rFonts w:ascii="宋体" w:eastAsia="宋体" w:hint="eastAsia"/>
                <w:sz w:val="21"/>
              </w:rPr>
            </w:pPr>
            <w:r>
              <w:rPr>
                <w:rFonts w:ascii="宋体" w:eastAsia="宋体" w:hint="eastAsia"/>
                <w:sz w:val="21"/>
              </w:rPr>
              <w:t>大类</w:t>
            </w:r>
          </w:p>
        </w:tc>
        <w:tc>
          <w:tcPr>
            <w:tcW w:w="2523" w:type="dxa"/>
          </w:tcPr>
          <w:p>
            <w:pPr>
              <w:pStyle w:val="TableParagraph"/>
              <w:ind w:left="190" w:right="183"/>
              <w:rPr>
                <w:rFonts w:ascii="宋体" w:eastAsia="宋体" w:hint="eastAsia"/>
                <w:sz w:val="21"/>
              </w:rPr>
            </w:pPr>
            <w:r>
              <w:rPr>
                <w:rFonts w:ascii="宋体" w:eastAsia="宋体" w:hint="eastAsia"/>
                <w:sz w:val="21"/>
              </w:rPr>
              <w:t>名称</w:t>
            </w:r>
          </w:p>
        </w:tc>
        <w:tc>
          <w:tcPr>
            <w:tcW w:w="2131" w:type="dxa"/>
          </w:tcPr>
          <w:p>
            <w:pPr>
              <w:pStyle w:val="TableParagraph"/>
              <w:ind w:left="99" w:right="89"/>
              <w:rPr>
                <w:rFonts w:ascii="Calibri" w:eastAsia="Calibri"/>
                <w:sz w:val="21"/>
              </w:rPr>
            </w:pPr>
            <w:r>
              <w:rPr>
                <w:rFonts w:ascii="宋体" w:eastAsia="宋体" w:hint="eastAsia"/>
                <w:sz w:val="21"/>
              </w:rPr>
              <w:t>面积</w:t>
            </w:r>
            <w:r>
              <w:rPr>
                <w:rFonts w:ascii="Calibri" w:eastAsia="Calibri"/>
                <w:sz w:val="21"/>
              </w:rPr>
              <w:t>(km</w:t>
            </w:r>
            <w:r>
              <w:rPr>
                <w:rFonts w:ascii="Calibri" w:eastAsia="Calibri"/>
                <w:position w:val="7"/>
                <w:sz w:val="13"/>
              </w:rPr>
              <w:t>2</w:t>
            </w:r>
            <w:r>
              <w:rPr>
                <w:rFonts w:ascii="Calibri" w:eastAsia="Calibri"/>
                <w:sz w:val="21"/>
              </w:rPr>
              <w:t>)</w:t>
            </w:r>
          </w:p>
        </w:tc>
        <w:tc>
          <w:tcPr>
            <w:tcW w:w="2131" w:type="dxa"/>
          </w:tcPr>
          <w:p>
            <w:pPr>
              <w:pStyle w:val="TableParagraph"/>
              <w:ind w:left="99" w:right="91"/>
              <w:rPr>
                <w:rFonts w:ascii="Calibri" w:eastAsia="Calibri"/>
                <w:sz w:val="21"/>
              </w:rPr>
            </w:pPr>
            <w:r>
              <w:rPr>
                <w:rFonts w:ascii="宋体" w:eastAsia="宋体" w:hint="eastAsia"/>
                <w:sz w:val="21"/>
              </w:rPr>
              <w:t>比例</w:t>
            </w:r>
            <w:r>
              <w:rPr>
                <w:rFonts w:ascii="Calibri" w:eastAsia="Calibri"/>
                <w:sz w:val="21"/>
              </w:rPr>
              <w:t>(%)</w:t>
            </w:r>
          </w:p>
        </w:tc>
      </w:tr>
      <w:tr>
        <w:trPr>
          <w:trHeight w:val="312" w:hRule="atLeast"/>
        </w:trPr>
        <w:tc>
          <w:tcPr>
            <w:tcW w:w="1737" w:type="dxa"/>
            <w:vMerge w:val="restart"/>
          </w:tcPr>
          <w:p>
            <w:pPr>
              <w:pStyle w:val="TableParagraph"/>
              <w:spacing w:before="2"/>
              <w:ind w:left="0"/>
              <w:jc w:val="left"/>
              <w:rPr>
                <w:rFonts w:ascii="宋体"/>
                <w:b/>
                <w:sz w:val="14"/>
              </w:rPr>
            </w:pPr>
          </w:p>
          <w:p>
            <w:pPr>
              <w:pStyle w:val="TableParagraph"/>
              <w:spacing w:before="0"/>
              <w:ind w:left="425" w:right="420"/>
              <w:rPr>
                <w:rFonts w:ascii="宋体" w:eastAsia="宋体" w:hint="eastAsia"/>
                <w:sz w:val="21"/>
              </w:rPr>
            </w:pPr>
            <w:r>
              <w:rPr>
                <w:rFonts w:ascii="宋体" w:eastAsia="宋体" w:hint="eastAsia"/>
                <w:sz w:val="21"/>
              </w:rPr>
              <w:t>草丛</w:t>
            </w:r>
          </w:p>
        </w:tc>
        <w:tc>
          <w:tcPr>
            <w:tcW w:w="2523" w:type="dxa"/>
          </w:tcPr>
          <w:p>
            <w:pPr>
              <w:pStyle w:val="TableParagraph"/>
              <w:spacing w:before="20"/>
              <w:ind w:left="190" w:right="183"/>
              <w:rPr>
                <w:rFonts w:ascii="宋体" w:eastAsia="宋体" w:hint="eastAsia"/>
                <w:sz w:val="21"/>
              </w:rPr>
            </w:pPr>
            <w:r>
              <w:rPr>
                <w:rFonts w:ascii="宋体" w:eastAsia="宋体" w:hint="eastAsia"/>
                <w:sz w:val="21"/>
              </w:rPr>
              <w:t>长芒草、蒿草杂类草丛</w:t>
            </w:r>
          </w:p>
        </w:tc>
        <w:tc>
          <w:tcPr>
            <w:tcW w:w="2131" w:type="dxa"/>
          </w:tcPr>
          <w:p>
            <w:pPr>
              <w:pStyle w:val="TableParagraph"/>
              <w:spacing w:before="28"/>
              <w:ind w:left="99" w:right="92"/>
              <w:rPr>
                <w:rFonts w:ascii="Calibri"/>
                <w:sz w:val="21"/>
              </w:rPr>
            </w:pPr>
            <w:r>
              <w:rPr>
                <w:rFonts w:ascii="Calibri"/>
                <w:sz w:val="21"/>
              </w:rPr>
              <w:t>2.1332</w:t>
            </w:r>
          </w:p>
        </w:tc>
        <w:tc>
          <w:tcPr>
            <w:tcW w:w="2131" w:type="dxa"/>
          </w:tcPr>
          <w:p>
            <w:pPr>
              <w:pStyle w:val="TableParagraph"/>
              <w:spacing w:before="28"/>
              <w:ind w:left="99" w:right="91"/>
              <w:rPr>
                <w:rFonts w:ascii="Calibri"/>
                <w:sz w:val="21"/>
              </w:rPr>
            </w:pPr>
            <w:r>
              <w:rPr>
                <w:rFonts w:ascii="Calibri"/>
                <w:sz w:val="21"/>
              </w:rPr>
              <w:t>29.36</w:t>
            </w:r>
          </w:p>
        </w:tc>
      </w:tr>
      <w:tr>
        <w:trPr>
          <w:trHeight w:val="312" w:hRule="atLeast"/>
        </w:trPr>
        <w:tc>
          <w:tcPr>
            <w:tcW w:w="1737" w:type="dxa"/>
            <w:vMerge/>
            <w:tcBorders>
              <w:top w:val="nil"/>
            </w:tcBorders>
          </w:tcPr>
          <w:p>
            <w:pPr>
              <w:rPr>
                <w:sz w:val="2"/>
                <w:szCs w:val="2"/>
              </w:rPr>
            </w:pPr>
          </w:p>
        </w:tc>
        <w:tc>
          <w:tcPr>
            <w:tcW w:w="2523" w:type="dxa"/>
          </w:tcPr>
          <w:p>
            <w:pPr>
              <w:pStyle w:val="TableParagraph"/>
              <w:spacing w:before="20"/>
              <w:ind w:left="190" w:right="183"/>
              <w:rPr>
                <w:rFonts w:ascii="宋体" w:eastAsia="宋体" w:hint="eastAsia"/>
                <w:sz w:val="21"/>
              </w:rPr>
            </w:pPr>
            <w:r>
              <w:rPr>
                <w:rFonts w:ascii="宋体" w:eastAsia="宋体" w:hint="eastAsia"/>
                <w:sz w:val="21"/>
              </w:rPr>
              <w:t>白羊草、赖草杂类草丛</w:t>
            </w:r>
          </w:p>
        </w:tc>
        <w:tc>
          <w:tcPr>
            <w:tcW w:w="2131" w:type="dxa"/>
          </w:tcPr>
          <w:p>
            <w:pPr>
              <w:pStyle w:val="TableParagraph"/>
              <w:spacing w:before="28"/>
              <w:ind w:left="99" w:right="92"/>
              <w:rPr>
                <w:rFonts w:ascii="Calibri"/>
                <w:sz w:val="21"/>
              </w:rPr>
            </w:pPr>
            <w:r>
              <w:rPr>
                <w:rFonts w:ascii="Calibri"/>
                <w:sz w:val="21"/>
              </w:rPr>
              <w:t>0.4651</w:t>
            </w:r>
          </w:p>
        </w:tc>
        <w:tc>
          <w:tcPr>
            <w:tcW w:w="2131" w:type="dxa"/>
          </w:tcPr>
          <w:p>
            <w:pPr>
              <w:pStyle w:val="TableParagraph"/>
              <w:spacing w:before="28"/>
              <w:ind w:left="99" w:right="89"/>
              <w:rPr>
                <w:rFonts w:ascii="Calibri"/>
                <w:sz w:val="21"/>
              </w:rPr>
            </w:pPr>
            <w:r>
              <w:rPr>
                <w:rFonts w:ascii="Calibri"/>
                <w:sz w:val="21"/>
              </w:rPr>
              <w:t>6.40</w:t>
            </w:r>
          </w:p>
        </w:tc>
      </w:tr>
      <w:tr>
        <w:trPr>
          <w:trHeight w:val="312" w:hRule="atLeast"/>
        </w:trPr>
        <w:tc>
          <w:tcPr>
            <w:tcW w:w="1737" w:type="dxa"/>
          </w:tcPr>
          <w:p>
            <w:pPr>
              <w:pStyle w:val="TableParagraph"/>
              <w:spacing w:before="20"/>
              <w:ind w:left="427" w:right="420"/>
              <w:rPr>
                <w:rFonts w:ascii="宋体" w:eastAsia="宋体" w:hint="eastAsia"/>
                <w:sz w:val="21"/>
              </w:rPr>
            </w:pPr>
            <w:r>
              <w:rPr>
                <w:rFonts w:ascii="宋体" w:eastAsia="宋体" w:hint="eastAsia"/>
                <w:sz w:val="21"/>
              </w:rPr>
              <w:t>栽培植被</w:t>
            </w:r>
          </w:p>
        </w:tc>
        <w:tc>
          <w:tcPr>
            <w:tcW w:w="2523" w:type="dxa"/>
          </w:tcPr>
          <w:p>
            <w:pPr>
              <w:pStyle w:val="TableParagraph"/>
              <w:spacing w:before="20"/>
              <w:ind w:left="190" w:right="183"/>
              <w:rPr>
                <w:rFonts w:ascii="宋体" w:eastAsia="宋体" w:hint="eastAsia"/>
                <w:sz w:val="21"/>
              </w:rPr>
            </w:pPr>
            <w:r>
              <w:rPr>
                <w:rFonts w:ascii="宋体" w:eastAsia="宋体" w:hint="eastAsia"/>
                <w:sz w:val="21"/>
              </w:rPr>
              <w:t>农作物</w:t>
            </w:r>
          </w:p>
        </w:tc>
        <w:tc>
          <w:tcPr>
            <w:tcW w:w="2131" w:type="dxa"/>
          </w:tcPr>
          <w:p>
            <w:pPr>
              <w:pStyle w:val="TableParagraph"/>
              <w:spacing w:before="27"/>
              <w:ind w:left="99" w:right="92"/>
              <w:rPr>
                <w:rFonts w:ascii="Calibri"/>
                <w:sz w:val="21"/>
              </w:rPr>
            </w:pPr>
            <w:r>
              <w:rPr>
                <w:rFonts w:ascii="Calibri"/>
                <w:sz w:val="21"/>
              </w:rPr>
              <w:t>4.1535</w:t>
            </w:r>
          </w:p>
        </w:tc>
        <w:tc>
          <w:tcPr>
            <w:tcW w:w="2131" w:type="dxa"/>
          </w:tcPr>
          <w:p>
            <w:pPr>
              <w:pStyle w:val="TableParagraph"/>
              <w:spacing w:before="27"/>
              <w:ind w:left="99" w:right="91"/>
              <w:rPr>
                <w:rFonts w:ascii="Calibri"/>
                <w:sz w:val="21"/>
              </w:rPr>
            </w:pPr>
            <w:r>
              <w:rPr>
                <w:rFonts w:ascii="Calibri"/>
                <w:sz w:val="21"/>
              </w:rPr>
              <w:t>57.16</w:t>
            </w:r>
          </w:p>
        </w:tc>
      </w:tr>
      <w:tr>
        <w:trPr>
          <w:trHeight w:val="312" w:hRule="atLeast"/>
        </w:trPr>
        <w:tc>
          <w:tcPr>
            <w:tcW w:w="1737" w:type="dxa"/>
          </w:tcPr>
          <w:p>
            <w:pPr>
              <w:pStyle w:val="TableParagraph"/>
              <w:spacing w:before="22"/>
              <w:ind w:left="427" w:right="420"/>
              <w:rPr>
                <w:rFonts w:ascii="宋体" w:eastAsia="宋体" w:hint="eastAsia"/>
                <w:sz w:val="21"/>
              </w:rPr>
            </w:pPr>
            <w:r>
              <w:rPr>
                <w:rFonts w:ascii="宋体" w:eastAsia="宋体" w:hint="eastAsia"/>
                <w:sz w:val="21"/>
              </w:rPr>
              <w:t>非植被区</w:t>
            </w:r>
          </w:p>
        </w:tc>
        <w:tc>
          <w:tcPr>
            <w:tcW w:w="2523" w:type="dxa"/>
          </w:tcPr>
          <w:p>
            <w:pPr>
              <w:pStyle w:val="TableParagraph"/>
              <w:spacing w:before="22"/>
              <w:ind w:left="188" w:right="183"/>
              <w:rPr>
                <w:rFonts w:ascii="宋体" w:eastAsia="宋体" w:hint="eastAsia"/>
                <w:sz w:val="21"/>
              </w:rPr>
            </w:pPr>
            <w:r>
              <w:rPr>
                <w:rFonts w:ascii="宋体" w:eastAsia="宋体" w:hint="eastAsia"/>
                <w:sz w:val="21"/>
              </w:rPr>
              <w:t>居民点等</w:t>
            </w:r>
          </w:p>
        </w:tc>
        <w:tc>
          <w:tcPr>
            <w:tcW w:w="2131" w:type="dxa"/>
          </w:tcPr>
          <w:p>
            <w:pPr>
              <w:pStyle w:val="TableParagraph"/>
              <w:spacing w:before="27"/>
              <w:ind w:left="99" w:right="92"/>
              <w:rPr>
                <w:rFonts w:ascii="Calibri"/>
                <w:sz w:val="21"/>
              </w:rPr>
            </w:pPr>
            <w:r>
              <w:rPr>
                <w:rFonts w:ascii="Calibri"/>
                <w:sz w:val="21"/>
              </w:rPr>
              <w:t>0.5142</w:t>
            </w:r>
          </w:p>
        </w:tc>
        <w:tc>
          <w:tcPr>
            <w:tcW w:w="2131" w:type="dxa"/>
          </w:tcPr>
          <w:p>
            <w:pPr>
              <w:pStyle w:val="TableParagraph"/>
              <w:spacing w:before="27"/>
              <w:ind w:left="99" w:right="89"/>
              <w:rPr>
                <w:rFonts w:ascii="Calibri"/>
                <w:sz w:val="21"/>
              </w:rPr>
            </w:pPr>
            <w:r>
              <w:rPr>
                <w:rFonts w:ascii="Calibri"/>
                <w:sz w:val="21"/>
              </w:rPr>
              <w:t>7.08</w:t>
            </w:r>
          </w:p>
        </w:tc>
      </w:tr>
      <w:tr>
        <w:trPr>
          <w:trHeight w:val="311" w:hRule="atLeast"/>
        </w:trPr>
        <w:tc>
          <w:tcPr>
            <w:tcW w:w="4260" w:type="dxa"/>
            <w:gridSpan w:val="2"/>
          </w:tcPr>
          <w:p>
            <w:pPr>
              <w:pStyle w:val="TableParagraph"/>
              <w:ind w:left="1898" w:right="1891"/>
              <w:rPr>
                <w:rFonts w:ascii="宋体" w:eastAsia="宋体" w:hint="eastAsia"/>
                <w:sz w:val="21"/>
              </w:rPr>
            </w:pPr>
            <w:r>
              <w:rPr>
                <w:rFonts w:ascii="宋体" w:eastAsia="宋体" w:hint="eastAsia"/>
                <w:sz w:val="21"/>
              </w:rPr>
              <w:t>合计</w:t>
            </w:r>
          </w:p>
        </w:tc>
        <w:tc>
          <w:tcPr>
            <w:tcW w:w="2131" w:type="dxa"/>
          </w:tcPr>
          <w:p>
            <w:pPr>
              <w:pStyle w:val="TableParagraph"/>
              <w:spacing w:before="35"/>
              <w:ind w:left="99" w:right="91"/>
              <w:rPr>
                <w:sz w:val="21"/>
              </w:rPr>
            </w:pPr>
            <w:r>
              <w:rPr>
                <w:sz w:val="21"/>
              </w:rPr>
              <w:t>7.266</w:t>
            </w:r>
          </w:p>
        </w:tc>
        <w:tc>
          <w:tcPr>
            <w:tcW w:w="2131" w:type="dxa"/>
          </w:tcPr>
          <w:p>
            <w:pPr>
              <w:pStyle w:val="TableParagraph"/>
              <w:spacing w:before="35"/>
              <w:ind w:left="99" w:right="90"/>
              <w:rPr>
                <w:sz w:val="21"/>
              </w:rPr>
            </w:pPr>
            <w:r>
              <w:rPr>
                <w:sz w:val="21"/>
              </w:rPr>
              <w:t>100</w:t>
            </w:r>
          </w:p>
        </w:tc>
      </w:tr>
    </w:tbl>
    <w:p>
      <w:pPr>
        <w:tabs>
          <w:tab w:pos="698" w:val="left" w:leader="none"/>
        </w:tabs>
        <w:spacing w:before="98"/>
        <w:ind w:left="0" w:right="90" w:firstLine="0"/>
        <w:jc w:val="center"/>
        <w:rPr>
          <w:b/>
          <w:sz w:val="21"/>
        </w:rPr>
      </w:pPr>
      <w:r>
        <w:rPr>
          <w:b/>
          <w:sz w:val="21"/>
        </w:rPr>
        <w:t>表</w:t>
      </w:r>
      <w:r>
        <w:rPr>
          <w:rFonts w:ascii="Times New Roman" w:eastAsia="Times New Roman"/>
          <w:b/>
          <w:sz w:val="21"/>
        </w:rPr>
        <w:t>5-4</w:t>
        <w:tab/>
      </w:r>
      <w:r>
        <w:rPr>
          <w:b/>
          <w:w w:val="95"/>
          <w:sz w:val="21"/>
        </w:rPr>
        <w:t>项目区内植被类型面积统计表</w:t>
      </w:r>
    </w:p>
    <w:p>
      <w:pPr>
        <w:pStyle w:val="BodyText"/>
        <w:spacing w:before="11"/>
        <w:ind w:left="0"/>
        <w:rPr>
          <w:b/>
          <w:sz w:val="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7"/>
        <w:gridCol w:w="2523"/>
        <w:gridCol w:w="2131"/>
        <w:gridCol w:w="2131"/>
      </w:tblGrid>
      <w:tr>
        <w:trPr>
          <w:trHeight w:val="311" w:hRule="atLeast"/>
        </w:trPr>
        <w:tc>
          <w:tcPr>
            <w:tcW w:w="1737" w:type="dxa"/>
          </w:tcPr>
          <w:p>
            <w:pPr>
              <w:pStyle w:val="TableParagraph"/>
              <w:ind w:left="425" w:right="420"/>
              <w:rPr>
                <w:rFonts w:ascii="宋体" w:eastAsia="宋体" w:hint="eastAsia"/>
                <w:sz w:val="21"/>
              </w:rPr>
            </w:pPr>
            <w:r>
              <w:rPr>
                <w:rFonts w:ascii="宋体" w:eastAsia="宋体" w:hint="eastAsia"/>
                <w:sz w:val="21"/>
              </w:rPr>
              <w:t>大类</w:t>
            </w:r>
          </w:p>
        </w:tc>
        <w:tc>
          <w:tcPr>
            <w:tcW w:w="2523" w:type="dxa"/>
          </w:tcPr>
          <w:p>
            <w:pPr>
              <w:pStyle w:val="TableParagraph"/>
              <w:ind w:left="190" w:right="183"/>
              <w:rPr>
                <w:rFonts w:ascii="宋体" w:eastAsia="宋体" w:hint="eastAsia"/>
                <w:sz w:val="21"/>
              </w:rPr>
            </w:pPr>
            <w:r>
              <w:rPr>
                <w:rFonts w:ascii="宋体" w:eastAsia="宋体" w:hint="eastAsia"/>
                <w:sz w:val="21"/>
              </w:rPr>
              <w:t>名称</w:t>
            </w:r>
          </w:p>
        </w:tc>
        <w:tc>
          <w:tcPr>
            <w:tcW w:w="2131" w:type="dxa"/>
          </w:tcPr>
          <w:p>
            <w:pPr>
              <w:pStyle w:val="TableParagraph"/>
              <w:spacing w:line="269" w:lineRule="exact" w:before="23"/>
              <w:ind w:left="99" w:right="89"/>
              <w:rPr>
                <w:rFonts w:ascii="Calibri" w:eastAsia="Calibri"/>
                <w:sz w:val="21"/>
              </w:rPr>
            </w:pPr>
            <w:r>
              <w:rPr>
                <w:rFonts w:ascii="宋体" w:eastAsia="宋体" w:hint="eastAsia"/>
                <w:sz w:val="21"/>
              </w:rPr>
              <w:t>面积</w:t>
            </w:r>
            <w:r>
              <w:rPr>
                <w:rFonts w:ascii="Calibri" w:eastAsia="Calibri"/>
                <w:sz w:val="21"/>
              </w:rPr>
              <w:t>(km</w:t>
            </w:r>
            <w:r>
              <w:rPr>
                <w:rFonts w:ascii="Calibri" w:eastAsia="Calibri"/>
                <w:position w:val="7"/>
                <w:sz w:val="13"/>
              </w:rPr>
              <w:t>2</w:t>
            </w:r>
            <w:r>
              <w:rPr>
                <w:rFonts w:ascii="Calibri" w:eastAsia="Calibri"/>
                <w:sz w:val="21"/>
              </w:rPr>
              <w:t>)</w:t>
            </w:r>
          </w:p>
        </w:tc>
        <w:tc>
          <w:tcPr>
            <w:tcW w:w="2131" w:type="dxa"/>
          </w:tcPr>
          <w:p>
            <w:pPr>
              <w:pStyle w:val="TableParagraph"/>
              <w:spacing w:line="269" w:lineRule="exact" w:before="23"/>
              <w:ind w:left="99" w:right="91"/>
              <w:rPr>
                <w:rFonts w:ascii="Calibri" w:eastAsia="Calibri"/>
                <w:sz w:val="21"/>
              </w:rPr>
            </w:pPr>
            <w:r>
              <w:rPr>
                <w:rFonts w:ascii="宋体" w:eastAsia="宋体" w:hint="eastAsia"/>
                <w:sz w:val="21"/>
              </w:rPr>
              <w:t>比例</w:t>
            </w:r>
            <w:r>
              <w:rPr>
                <w:rFonts w:ascii="Calibri" w:eastAsia="Calibri"/>
                <w:sz w:val="21"/>
              </w:rPr>
              <w:t>(%)</w:t>
            </w:r>
          </w:p>
        </w:tc>
      </w:tr>
      <w:tr>
        <w:trPr>
          <w:trHeight w:val="312" w:hRule="atLeast"/>
        </w:trPr>
        <w:tc>
          <w:tcPr>
            <w:tcW w:w="1737" w:type="dxa"/>
            <w:vMerge w:val="restart"/>
          </w:tcPr>
          <w:p>
            <w:pPr>
              <w:pStyle w:val="TableParagraph"/>
              <w:spacing w:before="1"/>
              <w:ind w:left="0"/>
              <w:jc w:val="left"/>
              <w:rPr>
                <w:rFonts w:ascii="宋体"/>
                <w:b/>
                <w:sz w:val="14"/>
              </w:rPr>
            </w:pPr>
          </w:p>
          <w:p>
            <w:pPr>
              <w:pStyle w:val="TableParagraph"/>
              <w:spacing w:before="1"/>
              <w:ind w:left="425" w:right="420"/>
              <w:rPr>
                <w:rFonts w:ascii="宋体" w:eastAsia="宋体" w:hint="eastAsia"/>
                <w:sz w:val="21"/>
              </w:rPr>
            </w:pPr>
            <w:r>
              <w:rPr>
                <w:rFonts w:ascii="宋体" w:eastAsia="宋体" w:hint="eastAsia"/>
                <w:sz w:val="21"/>
              </w:rPr>
              <w:t>草丛</w:t>
            </w:r>
          </w:p>
        </w:tc>
        <w:tc>
          <w:tcPr>
            <w:tcW w:w="2523" w:type="dxa"/>
          </w:tcPr>
          <w:p>
            <w:pPr>
              <w:pStyle w:val="TableParagraph"/>
              <w:spacing w:before="20"/>
              <w:ind w:left="190" w:right="183"/>
              <w:rPr>
                <w:rFonts w:ascii="宋体" w:eastAsia="宋体" w:hint="eastAsia"/>
                <w:sz w:val="21"/>
              </w:rPr>
            </w:pPr>
            <w:r>
              <w:rPr>
                <w:rFonts w:ascii="宋体" w:eastAsia="宋体" w:hint="eastAsia"/>
                <w:sz w:val="21"/>
              </w:rPr>
              <w:t>长芒草、蒿草杂类草丛</w:t>
            </w:r>
          </w:p>
        </w:tc>
        <w:tc>
          <w:tcPr>
            <w:tcW w:w="2131" w:type="dxa"/>
          </w:tcPr>
          <w:p>
            <w:pPr>
              <w:pStyle w:val="TableParagraph"/>
              <w:spacing w:before="34"/>
              <w:ind w:left="99" w:right="91"/>
              <w:rPr>
                <w:sz w:val="21"/>
              </w:rPr>
            </w:pPr>
            <w:r>
              <w:rPr>
                <w:sz w:val="21"/>
              </w:rPr>
              <w:t>0.6854</w:t>
            </w:r>
          </w:p>
        </w:tc>
        <w:tc>
          <w:tcPr>
            <w:tcW w:w="2131" w:type="dxa"/>
          </w:tcPr>
          <w:p>
            <w:pPr>
              <w:pStyle w:val="TableParagraph"/>
              <w:spacing w:before="34"/>
              <w:ind w:left="98" w:right="92"/>
              <w:rPr>
                <w:sz w:val="21"/>
              </w:rPr>
            </w:pPr>
            <w:r>
              <w:rPr>
                <w:sz w:val="21"/>
              </w:rPr>
              <w:t>51.81</w:t>
            </w:r>
          </w:p>
        </w:tc>
      </w:tr>
      <w:tr>
        <w:trPr>
          <w:trHeight w:val="312" w:hRule="atLeast"/>
        </w:trPr>
        <w:tc>
          <w:tcPr>
            <w:tcW w:w="1737" w:type="dxa"/>
            <w:vMerge/>
            <w:tcBorders>
              <w:top w:val="nil"/>
            </w:tcBorders>
          </w:tcPr>
          <w:p>
            <w:pPr>
              <w:rPr>
                <w:sz w:val="2"/>
                <w:szCs w:val="2"/>
              </w:rPr>
            </w:pPr>
          </w:p>
        </w:tc>
        <w:tc>
          <w:tcPr>
            <w:tcW w:w="2523" w:type="dxa"/>
          </w:tcPr>
          <w:p>
            <w:pPr>
              <w:pStyle w:val="TableParagraph"/>
              <w:spacing w:before="20"/>
              <w:ind w:left="190" w:right="183"/>
              <w:rPr>
                <w:rFonts w:ascii="宋体" w:eastAsia="宋体" w:hint="eastAsia"/>
                <w:sz w:val="21"/>
              </w:rPr>
            </w:pPr>
            <w:r>
              <w:rPr>
                <w:rFonts w:ascii="宋体" w:eastAsia="宋体" w:hint="eastAsia"/>
                <w:sz w:val="21"/>
              </w:rPr>
              <w:t>白羊草、赖草杂类草丛</w:t>
            </w:r>
          </w:p>
        </w:tc>
        <w:tc>
          <w:tcPr>
            <w:tcW w:w="2131" w:type="dxa"/>
          </w:tcPr>
          <w:p>
            <w:pPr>
              <w:pStyle w:val="TableParagraph"/>
              <w:spacing w:before="34"/>
              <w:ind w:left="99" w:right="88"/>
              <w:rPr>
                <w:sz w:val="21"/>
              </w:rPr>
            </w:pPr>
            <w:r>
              <w:rPr>
                <w:sz w:val="21"/>
              </w:rPr>
              <w:t>0.1376</w:t>
            </w:r>
          </w:p>
        </w:tc>
        <w:tc>
          <w:tcPr>
            <w:tcW w:w="2131" w:type="dxa"/>
          </w:tcPr>
          <w:p>
            <w:pPr>
              <w:pStyle w:val="TableParagraph"/>
              <w:spacing w:before="34"/>
              <w:ind w:left="98" w:right="92"/>
              <w:rPr>
                <w:sz w:val="21"/>
              </w:rPr>
            </w:pPr>
            <w:r>
              <w:rPr>
                <w:sz w:val="21"/>
              </w:rPr>
              <w:t>10.40</w:t>
            </w:r>
          </w:p>
        </w:tc>
      </w:tr>
      <w:tr>
        <w:trPr>
          <w:trHeight w:val="310" w:hRule="atLeast"/>
        </w:trPr>
        <w:tc>
          <w:tcPr>
            <w:tcW w:w="1737" w:type="dxa"/>
          </w:tcPr>
          <w:p>
            <w:pPr>
              <w:pStyle w:val="TableParagraph"/>
              <w:spacing w:line="268" w:lineRule="exact" w:before="22"/>
              <w:ind w:left="427" w:right="420"/>
              <w:rPr>
                <w:rFonts w:ascii="宋体" w:eastAsia="宋体" w:hint="eastAsia"/>
                <w:sz w:val="21"/>
              </w:rPr>
            </w:pPr>
            <w:r>
              <w:rPr>
                <w:rFonts w:ascii="宋体" w:eastAsia="宋体" w:hint="eastAsia"/>
                <w:sz w:val="21"/>
              </w:rPr>
              <w:t>栽培植被</w:t>
            </w:r>
          </w:p>
        </w:tc>
        <w:tc>
          <w:tcPr>
            <w:tcW w:w="2523" w:type="dxa"/>
          </w:tcPr>
          <w:p>
            <w:pPr>
              <w:pStyle w:val="TableParagraph"/>
              <w:spacing w:line="268" w:lineRule="exact" w:before="22"/>
              <w:ind w:left="190" w:right="183"/>
              <w:rPr>
                <w:rFonts w:ascii="宋体" w:eastAsia="宋体" w:hint="eastAsia"/>
                <w:sz w:val="21"/>
              </w:rPr>
            </w:pPr>
            <w:r>
              <w:rPr>
                <w:rFonts w:ascii="宋体" w:eastAsia="宋体" w:hint="eastAsia"/>
                <w:sz w:val="21"/>
              </w:rPr>
              <w:t>农作物</w:t>
            </w:r>
          </w:p>
        </w:tc>
        <w:tc>
          <w:tcPr>
            <w:tcW w:w="2131" w:type="dxa"/>
          </w:tcPr>
          <w:p>
            <w:pPr>
              <w:pStyle w:val="TableParagraph"/>
              <w:spacing w:before="36"/>
              <w:ind w:left="99" w:right="88"/>
              <w:rPr>
                <w:sz w:val="21"/>
              </w:rPr>
            </w:pPr>
            <w:r>
              <w:rPr>
                <w:sz w:val="21"/>
              </w:rPr>
              <w:t>0.4435</w:t>
            </w:r>
          </w:p>
        </w:tc>
        <w:tc>
          <w:tcPr>
            <w:tcW w:w="2131" w:type="dxa"/>
          </w:tcPr>
          <w:p>
            <w:pPr>
              <w:pStyle w:val="TableParagraph"/>
              <w:spacing w:before="36"/>
              <w:ind w:left="98" w:right="92"/>
              <w:rPr>
                <w:sz w:val="21"/>
              </w:rPr>
            </w:pPr>
            <w:r>
              <w:rPr>
                <w:sz w:val="21"/>
              </w:rPr>
              <w:t>33.52</w:t>
            </w:r>
          </w:p>
        </w:tc>
      </w:tr>
    </w:tbl>
    <w:p>
      <w:pPr>
        <w:spacing w:after="0"/>
        <w:rPr>
          <w:sz w:val="21"/>
        </w:rPr>
        <w:sectPr>
          <w:pgSz w:w="11910" w:h="16840"/>
          <w:pgMar w:header="0" w:footer="970" w:top="1500" w:bottom="1160" w:left="1580" w:right="148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7"/>
        <w:gridCol w:w="2523"/>
        <w:gridCol w:w="2131"/>
        <w:gridCol w:w="2131"/>
      </w:tblGrid>
      <w:tr>
        <w:trPr>
          <w:trHeight w:val="312" w:hRule="atLeast"/>
        </w:trPr>
        <w:tc>
          <w:tcPr>
            <w:tcW w:w="1737" w:type="dxa"/>
          </w:tcPr>
          <w:p>
            <w:pPr>
              <w:pStyle w:val="TableParagraph"/>
              <w:ind w:left="448"/>
              <w:jc w:val="left"/>
              <w:rPr>
                <w:rFonts w:ascii="宋体" w:eastAsia="宋体" w:hint="eastAsia"/>
                <w:sz w:val="21"/>
              </w:rPr>
            </w:pPr>
            <w:r>
              <w:rPr>
                <w:rFonts w:ascii="宋体" w:eastAsia="宋体" w:hint="eastAsia"/>
                <w:sz w:val="21"/>
              </w:rPr>
              <w:t>非植被区</w:t>
            </w:r>
          </w:p>
        </w:tc>
        <w:tc>
          <w:tcPr>
            <w:tcW w:w="2523" w:type="dxa"/>
          </w:tcPr>
          <w:p>
            <w:pPr>
              <w:pStyle w:val="TableParagraph"/>
              <w:ind w:left="840"/>
              <w:jc w:val="left"/>
              <w:rPr>
                <w:rFonts w:ascii="宋体" w:eastAsia="宋体" w:hint="eastAsia"/>
                <w:sz w:val="21"/>
              </w:rPr>
            </w:pPr>
            <w:r>
              <w:rPr>
                <w:rFonts w:ascii="宋体" w:eastAsia="宋体" w:hint="eastAsia"/>
                <w:sz w:val="21"/>
              </w:rPr>
              <w:t>居民点等</w:t>
            </w:r>
          </w:p>
        </w:tc>
        <w:tc>
          <w:tcPr>
            <w:tcW w:w="2131" w:type="dxa"/>
          </w:tcPr>
          <w:p>
            <w:pPr>
              <w:pStyle w:val="TableParagraph"/>
              <w:spacing w:before="35"/>
              <w:ind w:left="99" w:right="91"/>
              <w:rPr>
                <w:sz w:val="21"/>
              </w:rPr>
            </w:pPr>
            <w:r>
              <w:rPr>
                <w:sz w:val="21"/>
              </w:rPr>
              <w:t>0.0564</w:t>
            </w:r>
          </w:p>
        </w:tc>
        <w:tc>
          <w:tcPr>
            <w:tcW w:w="2131" w:type="dxa"/>
          </w:tcPr>
          <w:p>
            <w:pPr>
              <w:pStyle w:val="TableParagraph"/>
              <w:spacing w:before="35"/>
              <w:ind w:left="880"/>
              <w:jc w:val="left"/>
              <w:rPr>
                <w:sz w:val="21"/>
              </w:rPr>
            </w:pPr>
            <w:r>
              <w:rPr>
                <w:sz w:val="21"/>
              </w:rPr>
              <w:t>4.27</w:t>
            </w:r>
          </w:p>
        </w:tc>
      </w:tr>
      <w:tr>
        <w:trPr>
          <w:trHeight w:val="311" w:hRule="atLeast"/>
        </w:trPr>
        <w:tc>
          <w:tcPr>
            <w:tcW w:w="4260" w:type="dxa"/>
            <w:gridSpan w:val="2"/>
          </w:tcPr>
          <w:p>
            <w:pPr>
              <w:pStyle w:val="TableParagraph"/>
              <w:spacing w:before="20"/>
              <w:ind w:left="1898" w:right="1891"/>
              <w:rPr>
                <w:rFonts w:ascii="宋体" w:eastAsia="宋体" w:hint="eastAsia"/>
                <w:sz w:val="21"/>
              </w:rPr>
            </w:pPr>
            <w:r>
              <w:rPr>
                <w:rFonts w:ascii="宋体" w:eastAsia="宋体" w:hint="eastAsia"/>
                <w:sz w:val="21"/>
              </w:rPr>
              <w:t>合计</w:t>
            </w:r>
          </w:p>
        </w:tc>
        <w:tc>
          <w:tcPr>
            <w:tcW w:w="2131" w:type="dxa"/>
          </w:tcPr>
          <w:p>
            <w:pPr>
              <w:pStyle w:val="TableParagraph"/>
              <w:spacing w:before="34"/>
              <w:ind w:left="99" w:right="91"/>
              <w:rPr>
                <w:sz w:val="21"/>
              </w:rPr>
            </w:pPr>
            <w:r>
              <w:rPr>
                <w:sz w:val="21"/>
              </w:rPr>
              <w:t>1.3229</w:t>
            </w:r>
          </w:p>
        </w:tc>
        <w:tc>
          <w:tcPr>
            <w:tcW w:w="2131" w:type="dxa"/>
          </w:tcPr>
          <w:p>
            <w:pPr>
              <w:pStyle w:val="TableParagraph"/>
              <w:spacing w:before="34"/>
              <w:ind w:left="907"/>
              <w:jc w:val="left"/>
              <w:rPr>
                <w:sz w:val="21"/>
              </w:rPr>
            </w:pPr>
            <w:r>
              <w:rPr>
                <w:sz w:val="21"/>
              </w:rPr>
              <w:t>100</w:t>
            </w:r>
          </w:p>
        </w:tc>
      </w:tr>
    </w:tbl>
    <w:p>
      <w:pPr>
        <w:pStyle w:val="BodyText"/>
        <w:spacing w:before="6"/>
        <w:ind w:left="0"/>
        <w:rPr>
          <w:b/>
          <w:sz w:val="15"/>
        </w:rPr>
      </w:pPr>
      <w:r>
        <w:rPr/>
        <w:drawing>
          <wp:anchor distT="0" distB="0" distL="0" distR="0" allowOverlap="1" layoutInCell="1" locked="0" behindDoc="0" simplePos="0" relativeHeight="4">
            <wp:simplePos x="0" y="0"/>
            <wp:positionH relativeFrom="page">
              <wp:posOffset>1180214</wp:posOffset>
            </wp:positionH>
            <wp:positionV relativeFrom="paragraph">
              <wp:posOffset>150842</wp:posOffset>
            </wp:positionV>
            <wp:extent cx="5120640" cy="4210812"/>
            <wp:effectExtent l="0" t="0" r="0" b="0"/>
            <wp:wrapTopAndBottom/>
            <wp:docPr id="1" name="image3.jpeg"/>
            <wp:cNvGraphicFramePr>
              <a:graphicFrameLocks noChangeAspect="1"/>
            </wp:cNvGraphicFramePr>
            <a:graphic>
              <a:graphicData uri="http://schemas.openxmlformats.org/drawingml/2006/picture">
                <pic:pic>
                  <pic:nvPicPr>
                    <pic:cNvPr id="2" name="image3.jpeg"/>
                    <pic:cNvPicPr/>
                  </pic:nvPicPr>
                  <pic:blipFill>
                    <a:blip r:embed="rId9" cstate="print"/>
                    <a:stretch>
                      <a:fillRect/>
                    </a:stretch>
                  </pic:blipFill>
                  <pic:spPr>
                    <a:xfrm>
                      <a:off x="0" y="0"/>
                      <a:ext cx="5120640" cy="4210812"/>
                    </a:xfrm>
                    <a:prstGeom prst="rect">
                      <a:avLst/>
                    </a:prstGeom>
                  </pic:spPr>
                </pic:pic>
              </a:graphicData>
            </a:graphic>
          </wp:anchor>
        </w:drawing>
      </w:r>
    </w:p>
    <w:p>
      <w:pPr>
        <w:pStyle w:val="BodyText"/>
        <w:spacing w:before="7"/>
        <w:ind w:left="0"/>
        <w:rPr>
          <w:b/>
          <w:sz w:val="23"/>
        </w:rPr>
      </w:pPr>
    </w:p>
    <w:p>
      <w:pPr>
        <w:spacing w:after="0"/>
        <w:rPr>
          <w:sz w:val="23"/>
        </w:rPr>
        <w:sectPr>
          <w:footerReference w:type="default" r:id="rId8"/>
          <w:pgSz w:w="11910" w:h="16840"/>
          <w:pgMar w:footer="970" w:header="0" w:top="1420" w:bottom="1160" w:left="1580" w:right="1480"/>
          <w:pgNumType w:start="10"/>
        </w:sectPr>
      </w:pPr>
    </w:p>
    <w:p>
      <w:pPr>
        <w:pStyle w:val="BodyText"/>
        <w:ind w:left="0"/>
        <w:rPr>
          <w:b/>
          <w:sz w:val="30"/>
        </w:rPr>
      </w:pPr>
    </w:p>
    <w:p>
      <w:pPr>
        <w:pStyle w:val="Heading3"/>
        <w:numPr>
          <w:ilvl w:val="1"/>
          <w:numId w:val="2"/>
        </w:numPr>
        <w:tabs>
          <w:tab w:pos="710" w:val="left" w:leader="none"/>
        </w:tabs>
        <w:spacing w:line="240" w:lineRule="auto" w:before="193" w:after="0"/>
        <w:ind w:left="709" w:right="0" w:hanging="490"/>
        <w:jc w:val="left"/>
      </w:pPr>
      <w:bookmarkStart w:name="_bookmark16" w:id="33"/>
      <w:bookmarkEnd w:id="33"/>
      <w:r>
        <w:rPr>
          <w:b w:val="0"/>
        </w:rPr>
      </w:r>
      <w:bookmarkStart w:name="_bookmark16" w:id="34"/>
      <w:bookmarkEnd w:id="34"/>
      <w:r>
        <w:rPr/>
        <w:t>植被覆盖图</w:t>
      </w:r>
    </w:p>
    <w:p>
      <w:pPr>
        <w:tabs>
          <w:tab w:pos="920" w:val="left" w:leader="none"/>
        </w:tabs>
        <w:spacing w:before="76"/>
        <w:ind w:left="220" w:right="0" w:firstLine="0"/>
        <w:jc w:val="left"/>
        <w:rPr>
          <w:b/>
          <w:sz w:val="21"/>
        </w:rPr>
      </w:pPr>
      <w:r>
        <w:rPr/>
        <w:br w:type="column"/>
      </w:r>
      <w:r>
        <w:rPr>
          <w:b/>
          <w:sz w:val="21"/>
        </w:rPr>
        <w:t>图</w:t>
      </w:r>
      <w:r>
        <w:rPr>
          <w:rFonts w:ascii="Times New Roman" w:eastAsia="Times New Roman"/>
          <w:b/>
          <w:sz w:val="21"/>
        </w:rPr>
        <w:t>5-3</w:t>
        <w:tab/>
      </w:r>
      <w:r>
        <w:rPr>
          <w:b/>
          <w:sz w:val="21"/>
        </w:rPr>
        <w:t>植被类型分布图</w:t>
      </w:r>
    </w:p>
    <w:p>
      <w:pPr>
        <w:spacing w:after="0"/>
        <w:jc w:val="left"/>
        <w:rPr>
          <w:sz w:val="21"/>
        </w:rPr>
        <w:sectPr>
          <w:type w:val="continuous"/>
          <w:pgSz w:w="11910" w:h="16840"/>
          <w:pgMar w:top="1580" w:bottom="280" w:left="1580" w:right="1480"/>
          <w:cols w:num="2" w:equalWidth="0">
            <w:col w:w="2154" w:space="913"/>
            <w:col w:w="5783"/>
          </w:cols>
        </w:sectPr>
      </w:pPr>
    </w:p>
    <w:p>
      <w:pPr>
        <w:pStyle w:val="BodyText"/>
        <w:spacing w:before="10"/>
        <w:ind w:left="0"/>
        <w:rPr>
          <w:b/>
          <w:sz w:val="15"/>
        </w:rPr>
      </w:pPr>
    </w:p>
    <w:p>
      <w:pPr>
        <w:pStyle w:val="BodyText"/>
        <w:spacing w:line="374" w:lineRule="auto" w:before="74"/>
        <w:ind w:right="197" w:firstLine="420"/>
        <w:jc w:val="both"/>
      </w:pPr>
      <w:r>
        <w:rPr>
          <w:spacing w:val="10"/>
        </w:rPr>
        <w:t>采用基于</w:t>
      </w:r>
      <w:r>
        <w:rPr>
          <w:rFonts w:ascii="Times New Roman" w:eastAsia="Times New Roman"/>
        </w:rPr>
        <w:t>NDVI </w:t>
      </w:r>
      <w:r>
        <w:rPr>
          <w:spacing w:val="-9"/>
        </w:rPr>
        <w:t>的像元二分模型法反演植被覆盖度。根据象元二分模型原理， </w:t>
      </w:r>
      <w:r>
        <w:rPr>
          <w:spacing w:val="-7"/>
        </w:rPr>
        <w:t>可以将每个象元的 </w:t>
      </w:r>
      <w:r>
        <w:rPr>
          <w:rFonts w:ascii="Times New Roman" w:eastAsia="Times New Roman"/>
        </w:rPr>
        <w:t>NDVI </w:t>
      </w:r>
      <w:r>
        <w:rPr>
          <w:spacing w:val="-1"/>
        </w:rPr>
        <w:t>值表示为植被覆盖部分和无植被覆盖部分组成的形式， 用公式可表示为：</w:t>
      </w:r>
    </w:p>
    <w:p>
      <w:pPr>
        <w:pStyle w:val="BodyText"/>
        <w:tabs>
          <w:tab w:pos="5120" w:val="left" w:leader="none"/>
        </w:tabs>
        <w:spacing w:before="156"/>
        <w:ind w:left="334"/>
        <w:jc w:val="center"/>
      </w:pPr>
      <w:r>
        <w:rPr>
          <w:rFonts w:ascii="Times New Roman" w:hAnsi="Times New Roman" w:eastAsia="Times New Roman"/>
          <w:position w:val="2"/>
        </w:rPr>
        <w:t>NDVI= NDVI</w:t>
      </w:r>
      <w:r>
        <w:rPr>
          <w:rFonts w:ascii="Times New Roman" w:hAnsi="Times New Roman" w:eastAsia="Times New Roman"/>
          <w:position w:val="2"/>
          <w:vertAlign w:val="subscript"/>
        </w:rPr>
        <w:t>veg</w:t>
      </w:r>
      <w:r>
        <w:rPr>
          <w:rFonts w:ascii="Times New Roman" w:hAnsi="Times New Roman" w:eastAsia="Times New Roman"/>
          <w:position w:val="2"/>
          <w:vertAlign w:val="baseline"/>
        </w:rPr>
        <w:t>×f</w:t>
      </w:r>
      <w:r>
        <w:rPr>
          <w:rFonts w:ascii="Times New Roman" w:hAnsi="Times New Roman" w:eastAsia="Times New Roman"/>
          <w:position w:val="2"/>
          <w:vertAlign w:val="subscript"/>
        </w:rPr>
        <w:t>c</w:t>
      </w:r>
      <w:r>
        <w:rPr>
          <w:rFonts w:ascii="Times New Roman" w:hAnsi="Times New Roman" w:eastAsia="Times New Roman"/>
          <w:position w:val="2"/>
          <w:vertAlign w:val="baseline"/>
        </w:rPr>
        <w:t>+</w:t>
      </w:r>
      <w:r>
        <w:rPr>
          <w:rFonts w:ascii="Times New Roman" w:hAnsi="Times New Roman" w:eastAsia="Times New Roman"/>
          <w:spacing w:val="3"/>
          <w:position w:val="2"/>
          <w:vertAlign w:val="baseline"/>
        </w:rPr>
        <w:t> </w:t>
      </w:r>
      <w:r>
        <w:rPr>
          <w:rFonts w:ascii="Times New Roman" w:hAnsi="Times New Roman" w:eastAsia="Times New Roman"/>
          <w:position w:val="2"/>
          <w:vertAlign w:val="baseline"/>
        </w:rPr>
        <w:t>NDVI</w:t>
      </w:r>
      <w:r>
        <w:rPr>
          <w:rFonts w:ascii="Times New Roman" w:hAnsi="Times New Roman" w:eastAsia="Times New Roman"/>
          <w:position w:val="2"/>
          <w:vertAlign w:val="subscript"/>
        </w:rPr>
        <w:t>soil</w:t>
      </w:r>
      <w:r>
        <w:rPr>
          <w:rFonts w:ascii="Times New Roman" w:hAnsi="Times New Roman" w:eastAsia="Times New Roman"/>
          <w:position w:val="2"/>
          <w:vertAlign w:val="baseline"/>
        </w:rPr>
        <w:t>×</w:t>
      </w:r>
      <w:r>
        <w:rPr>
          <w:position w:val="2"/>
          <w:vertAlign w:val="baseline"/>
        </w:rPr>
        <w:t>（</w:t>
      </w:r>
      <w:r>
        <w:rPr>
          <w:rFonts w:ascii="Times New Roman" w:hAnsi="Times New Roman" w:eastAsia="Times New Roman"/>
          <w:position w:val="2"/>
          <w:vertAlign w:val="baseline"/>
        </w:rPr>
        <w:t>1-</w:t>
      </w:r>
      <w:r>
        <w:rPr>
          <w:rFonts w:ascii="Times New Roman" w:hAnsi="Times New Roman" w:eastAsia="Times New Roman"/>
          <w:spacing w:val="1"/>
          <w:position w:val="2"/>
          <w:vertAlign w:val="baseline"/>
        </w:rPr>
        <w:t> </w:t>
      </w:r>
      <w:r>
        <w:rPr>
          <w:rFonts w:ascii="Times New Roman" w:hAnsi="Times New Roman" w:eastAsia="Times New Roman"/>
          <w:position w:val="2"/>
          <w:vertAlign w:val="baseline"/>
        </w:rPr>
        <w:t>f</w:t>
      </w:r>
      <w:r>
        <w:rPr>
          <w:rFonts w:ascii="Times New Roman" w:hAnsi="Times New Roman" w:eastAsia="Times New Roman"/>
          <w:position w:val="2"/>
          <w:vertAlign w:val="subscript"/>
        </w:rPr>
        <w:t>c</w:t>
      </w:r>
      <w:r>
        <w:rPr>
          <w:position w:val="2"/>
          <w:vertAlign w:val="baseline"/>
        </w:rPr>
        <w:t>）</w:t>
        <w:tab/>
        <w:t>（</w:t>
      </w:r>
      <w:r>
        <w:rPr>
          <w:rFonts w:ascii="Times New Roman" w:hAnsi="Times New Roman" w:eastAsia="Times New Roman"/>
          <w:position w:val="2"/>
          <w:vertAlign w:val="baseline"/>
        </w:rPr>
        <w:t>a</w:t>
      </w:r>
      <w:r>
        <w:rPr>
          <w:position w:val="2"/>
          <w:vertAlign w:val="baseline"/>
        </w:rPr>
        <w:t>）</w:t>
      </w:r>
    </w:p>
    <w:p>
      <w:pPr>
        <w:pStyle w:val="BodyText"/>
        <w:spacing w:before="4"/>
        <w:ind w:left="0"/>
        <w:rPr>
          <w:sz w:val="25"/>
        </w:rPr>
      </w:pPr>
    </w:p>
    <w:p>
      <w:pPr>
        <w:pStyle w:val="BodyText"/>
        <w:spacing w:line="372" w:lineRule="auto"/>
        <w:ind w:right="308" w:firstLine="420"/>
      </w:pPr>
      <w:r>
        <w:rPr>
          <w:spacing w:val="-2"/>
          <w:position w:val="2"/>
        </w:rPr>
        <w:t>式中：</w:t>
      </w:r>
      <w:r>
        <w:rPr>
          <w:rFonts w:ascii="Times New Roman" w:eastAsia="Times New Roman"/>
          <w:spacing w:val="-6"/>
          <w:position w:val="2"/>
        </w:rPr>
        <w:t>NDVI</w:t>
      </w:r>
      <w:r>
        <w:rPr>
          <w:rFonts w:ascii="Times New Roman" w:eastAsia="Times New Roman"/>
          <w:spacing w:val="-6"/>
          <w:position w:val="2"/>
          <w:vertAlign w:val="subscript"/>
        </w:rPr>
        <w:t>veg</w:t>
      </w:r>
      <w:r>
        <w:rPr>
          <w:rFonts w:ascii="Times New Roman" w:eastAsia="Times New Roman"/>
          <w:spacing w:val="-6"/>
          <w:position w:val="2"/>
          <w:vertAlign w:val="baseline"/>
        </w:rPr>
        <w:t> </w:t>
      </w:r>
      <w:r>
        <w:rPr>
          <w:spacing w:val="-4"/>
          <w:position w:val="2"/>
          <w:vertAlign w:val="baseline"/>
        </w:rPr>
        <w:t>代表完全由植被覆盖的象元的 </w:t>
      </w:r>
      <w:r>
        <w:rPr>
          <w:rFonts w:ascii="Times New Roman" w:eastAsia="Times New Roman"/>
          <w:position w:val="2"/>
          <w:vertAlign w:val="baseline"/>
        </w:rPr>
        <w:t>NDVI </w:t>
      </w:r>
      <w:r>
        <w:rPr>
          <w:spacing w:val="-3"/>
          <w:position w:val="2"/>
          <w:vertAlign w:val="baseline"/>
        </w:rPr>
        <w:t>值；</w:t>
      </w:r>
      <w:r>
        <w:rPr>
          <w:rFonts w:ascii="Times New Roman" w:eastAsia="Times New Roman"/>
          <w:spacing w:val="-5"/>
          <w:position w:val="2"/>
          <w:vertAlign w:val="baseline"/>
        </w:rPr>
        <w:t>NDVI</w:t>
      </w:r>
      <w:r>
        <w:rPr>
          <w:rFonts w:ascii="Times New Roman" w:eastAsia="Times New Roman"/>
          <w:spacing w:val="-5"/>
          <w:position w:val="2"/>
          <w:vertAlign w:val="subscript"/>
        </w:rPr>
        <w:t>soil</w:t>
      </w:r>
      <w:r>
        <w:rPr>
          <w:rFonts w:ascii="Times New Roman" w:eastAsia="Times New Roman"/>
          <w:spacing w:val="-5"/>
          <w:position w:val="2"/>
          <w:vertAlign w:val="baseline"/>
        </w:rPr>
        <w:t> </w:t>
      </w:r>
      <w:r>
        <w:rPr>
          <w:spacing w:val="-5"/>
          <w:position w:val="2"/>
          <w:vertAlign w:val="baseline"/>
        </w:rPr>
        <w:t>代表完全无</w:t>
      </w:r>
      <w:r>
        <w:rPr>
          <w:spacing w:val="-8"/>
          <w:position w:val="2"/>
          <w:vertAlign w:val="baseline"/>
        </w:rPr>
        <w:t>植被覆盖的象元 </w:t>
      </w:r>
      <w:r>
        <w:rPr>
          <w:rFonts w:ascii="Times New Roman" w:eastAsia="Times New Roman"/>
          <w:position w:val="2"/>
          <w:vertAlign w:val="baseline"/>
        </w:rPr>
        <w:t>NDVI </w:t>
      </w:r>
      <w:r>
        <w:rPr>
          <w:position w:val="2"/>
          <w:vertAlign w:val="baseline"/>
        </w:rPr>
        <w:t>值；</w:t>
      </w:r>
      <w:r>
        <w:rPr>
          <w:rFonts w:ascii="Times New Roman" w:eastAsia="Times New Roman"/>
          <w:position w:val="2"/>
          <w:vertAlign w:val="baseline"/>
        </w:rPr>
        <w:t>f</w:t>
      </w:r>
      <w:r>
        <w:rPr>
          <w:rFonts w:ascii="Times New Roman" w:eastAsia="Times New Roman"/>
          <w:position w:val="2"/>
          <w:vertAlign w:val="subscript"/>
        </w:rPr>
        <w:t>c</w:t>
      </w:r>
      <w:r>
        <w:rPr>
          <w:rFonts w:ascii="Times New Roman" w:eastAsia="Times New Roman"/>
          <w:position w:val="2"/>
          <w:vertAlign w:val="baseline"/>
        </w:rPr>
        <w:t> </w:t>
      </w:r>
      <w:r>
        <w:rPr>
          <w:position w:val="2"/>
          <w:vertAlign w:val="baseline"/>
        </w:rPr>
        <w:t>代表植被覆盖度。</w:t>
      </w:r>
    </w:p>
    <w:p>
      <w:pPr>
        <w:pStyle w:val="BodyText"/>
        <w:spacing w:before="155"/>
        <w:ind w:left="640"/>
      </w:pPr>
      <w:r>
        <w:rPr/>
        <w:t>公式（</w:t>
      </w:r>
      <w:r>
        <w:rPr>
          <w:rFonts w:ascii="Times New Roman" w:eastAsia="Times New Roman"/>
        </w:rPr>
        <w:t>a</w:t>
      </w:r>
      <w:r>
        <w:rPr/>
        <w:t>）经变换即可得到植被覆盖度的计算公式：</w:t>
      </w:r>
    </w:p>
    <w:p>
      <w:pPr>
        <w:pStyle w:val="BodyText"/>
        <w:spacing w:before="7"/>
        <w:ind w:left="0"/>
        <w:rPr>
          <w:sz w:val="25"/>
        </w:rPr>
      </w:pPr>
    </w:p>
    <w:p>
      <w:pPr>
        <w:pStyle w:val="BodyText"/>
        <w:tabs>
          <w:tab w:pos="5537" w:val="left" w:leader="none"/>
        </w:tabs>
        <w:ind w:left="334"/>
        <w:jc w:val="center"/>
      </w:pPr>
      <w:r>
        <w:rPr>
          <w:rFonts w:ascii="Times New Roman" w:eastAsia="Times New Roman"/>
          <w:position w:val="2"/>
        </w:rPr>
        <w:t>f</w:t>
      </w:r>
      <w:r>
        <w:rPr>
          <w:rFonts w:ascii="Times New Roman" w:eastAsia="Times New Roman"/>
          <w:position w:val="2"/>
          <w:vertAlign w:val="subscript"/>
        </w:rPr>
        <w:t>c</w:t>
      </w:r>
      <w:r>
        <w:rPr>
          <w:rFonts w:ascii="Times New Roman" w:eastAsia="Times New Roman"/>
          <w:spacing w:val="2"/>
          <w:position w:val="2"/>
          <w:vertAlign w:val="baseline"/>
        </w:rPr>
        <w:t> </w:t>
      </w:r>
      <w:r>
        <w:rPr>
          <w:rFonts w:ascii="Times New Roman" w:eastAsia="Times New Roman"/>
          <w:position w:val="2"/>
          <w:vertAlign w:val="baseline"/>
        </w:rPr>
        <w:t>=</w:t>
      </w:r>
      <w:r>
        <w:rPr>
          <w:position w:val="2"/>
          <w:vertAlign w:val="baseline"/>
        </w:rPr>
        <w:t>（</w:t>
      </w:r>
      <w:r>
        <w:rPr>
          <w:rFonts w:ascii="Times New Roman" w:eastAsia="Times New Roman"/>
          <w:position w:val="2"/>
          <w:vertAlign w:val="baseline"/>
        </w:rPr>
        <w:t>NDVI-NDVI</w:t>
      </w:r>
      <w:r>
        <w:rPr>
          <w:rFonts w:ascii="Times New Roman" w:eastAsia="Times New Roman"/>
          <w:position w:val="2"/>
          <w:vertAlign w:val="subscript"/>
        </w:rPr>
        <w:t>soil</w:t>
      </w:r>
      <w:r>
        <w:rPr>
          <w:position w:val="2"/>
          <w:vertAlign w:val="baseline"/>
        </w:rPr>
        <w:t>）</w:t>
      </w:r>
      <w:r>
        <w:rPr>
          <w:rFonts w:ascii="Times New Roman" w:eastAsia="Times New Roman"/>
          <w:position w:val="2"/>
          <w:vertAlign w:val="baseline"/>
        </w:rPr>
        <w:t>/</w:t>
      </w:r>
      <w:r>
        <w:rPr>
          <w:position w:val="2"/>
          <w:vertAlign w:val="baseline"/>
        </w:rPr>
        <w:t>（</w:t>
      </w:r>
      <w:r>
        <w:rPr>
          <w:rFonts w:ascii="Times New Roman" w:eastAsia="Times New Roman"/>
          <w:position w:val="2"/>
          <w:vertAlign w:val="baseline"/>
        </w:rPr>
        <w:t>NDVI</w:t>
      </w:r>
      <w:r>
        <w:rPr>
          <w:rFonts w:ascii="Times New Roman" w:eastAsia="Times New Roman"/>
          <w:position w:val="2"/>
          <w:vertAlign w:val="subscript"/>
        </w:rPr>
        <w:t>veg</w:t>
      </w:r>
      <w:r>
        <w:rPr>
          <w:rFonts w:ascii="Times New Roman" w:eastAsia="Times New Roman"/>
          <w:position w:val="2"/>
          <w:vertAlign w:val="baseline"/>
        </w:rPr>
        <w:t>-NDVI</w:t>
      </w:r>
      <w:r>
        <w:rPr>
          <w:rFonts w:ascii="Times New Roman" w:eastAsia="Times New Roman"/>
          <w:position w:val="2"/>
          <w:vertAlign w:val="subscript"/>
        </w:rPr>
        <w:t>soil</w:t>
      </w:r>
      <w:r>
        <w:rPr>
          <w:position w:val="2"/>
          <w:vertAlign w:val="baseline"/>
        </w:rPr>
        <w:t>）</w:t>
        <w:tab/>
        <w:t>（</w:t>
      </w:r>
      <w:r>
        <w:rPr>
          <w:rFonts w:ascii="Times New Roman" w:eastAsia="Times New Roman"/>
          <w:position w:val="2"/>
          <w:vertAlign w:val="baseline"/>
        </w:rPr>
        <w:t>b</w:t>
      </w:r>
      <w:r>
        <w:rPr>
          <w:position w:val="2"/>
          <w:vertAlign w:val="baseline"/>
        </w:rPr>
        <w:t>）</w:t>
      </w:r>
    </w:p>
    <w:p>
      <w:pPr>
        <w:pStyle w:val="BodyText"/>
        <w:spacing w:before="6"/>
        <w:ind w:left="0"/>
        <w:rPr>
          <w:sz w:val="20"/>
        </w:rPr>
      </w:pPr>
    </w:p>
    <w:p>
      <w:pPr>
        <w:pStyle w:val="BodyText"/>
        <w:ind w:left="700"/>
      </w:pPr>
      <w:r>
        <w:rPr/>
        <w:t>根据公式（</w:t>
      </w:r>
      <w:r>
        <w:rPr>
          <w:rFonts w:ascii="Times New Roman" w:eastAsia="Times New Roman"/>
        </w:rPr>
        <w:t>b</w:t>
      </w:r>
      <w:r>
        <w:rPr/>
        <w:t>），利用</w:t>
      </w:r>
      <w:r>
        <w:rPr>
          <w:rFonts w:ascii="Times New Roman" w:eastAsia="Times New Roman"/>
        </w:rPr>
        <w:t>ERDAS IMAGINE</w:t>
      </w:r>
      <w:r>
        <w:rPr/>
        <w:t>中的</w:t>
      </w:r>
      <w:r>
        <w:rPr>
          <w:rFonts w:ascii="Times New Roman" w:eastAsia="Times New Roman"/>
        </w:rPr>
        <w:t>Modeler</w:t>
      </w:r>
      <w:r>
        <w:rPr/>
        <w:t>模块建模编写程序来计</w:t>
      </w:r>
    </w:p>
    <w:p>
      <w:pPr>
        <w:spacing w:after="0"/>
        <w:sectPr>
          <w:type w:val="continuous"/>
          <w:pgSz w:w="11910" w:h="16840"/>
          <w:pgMar w:top="1580" w:bottom="280" w:left="1580" w:right="1480"/>
        </w:sectPr>
      </w:pPr>
    </w:p>
    <w:p>
      <w:pPr>
        <w:pStyle w:val="BodyText"/>
        <w:spacing w:line="364" w:lineRule="auto" w:before="62"/>
        <w:ind w:right="197"/>
      </w:pPr>
      <w:r>
        <w:rPr>
          <w:spacing w:val="-7"/>
        </w:rPr>
        <w:t>算覆盖度，得到了评价区的植被覆盖度图。评价区植被覆盖度面积统计见表</w:t>
      </w:r>
      <w:r>
        <w:rPr>
          <w:rFonts w:ascii="Times New Roman" w:eastAsia="Times New Roman"/>
          <w:spacing w:val="-4"/>
        </w:rPr>
        <w:t>5-5</w:t>
      </w:r>
      <w:r>
        <w:rPr>
          <w:spacing w:val="-4"/>
        </w:rPr>
        <w:t>， </w:t>
      </w:r>
      <w:r>
        <w:rPr/>
        <w:t>项目区植被覆盖度面积统计见表</w:t>
      </w:r>
      <w:r>
        <w:rPr>
          <w:rFonts w:ascii="Times New Roman" w:eastAsia="Times New Roman"/>
        </w:rPr>
        <w:t>5-6</w:t>
      </w:r>
      <w:r>
        <w:rPr/>
        <w:t>，植被覆盖图见图</w:t>
      </w:r>
      <w:r>
        <w:rPr>
          <w:rFonts w:ascii="Times New Roman" w:eastAsia="Times New Roman"/>
        </w:rPr>
        <w:t>5-4</w:t>
      </w:r>
      <w:r>
        <w:rPr/>
        <w:t>。</w:t>
      </w:r>
    </w:p>
    <w:p>
      <w:pPr>
        <w:tabs>
          <w:tab w:pos="3383" w:val="left" w:leader="none"/>
        </w:tabs>
        <w:spacing w:before="21"/>
        <w:ind w:left="2632" w:right="0" w:firstLine="0"/>
        <w:jc w:val="left"/>
        <w:rPr>
          <w:b/>
          <w:sz w:val="21"/>
        </w:rPr>
      </w:pPr>
      <w:r>
        <w:rPr>
          <w:b/>
          <w:sz w:val="21"/>
        </w:rPr>
        <w:t>表</w:t>
      </w:r>
      <w:r>
        <w:rPr>
          <w:b/>
          <w:spacing w:val="-53"/>
          <w:sz w:val="21"/>
        </w:rPr>
        <w:t> </w:t>
      </w:r>
      <w:r>
        <w:rPr>
          <w:rFonts w:ascii="Calibri" w:eastAsia="Calibri"/>
          <w:b/>
          <w:sz w:val="21"/>
        </w:rPr>
        <w:t>5-5</w:t>
        <w:tab/>
      </w:r>
      <w:r>
        <w:rPr>
          <w:b/>
          <w:sz w:val="21"/>
        </w:rPr>
        <w:t>评价区内植被覆盖度面积统计</w:t>
      </w:r>
    </w:p>
    <w:p>
      <w:pPr>
        <w:pStyle w:val="BodyText"/>
        <w:spacing w:before="9"/>
        <w:ind w:left="0"/>
        <w:rPr>
          <w:b/>
          <w:sz w:val="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0"/>
        <w:gridCol w:w="2841"/>
        <w:gridCol w:w="2841"/>
      </w:tblGrid>
      <w:tr>
        <w:trPr>
          <w:trHeight w:val="312" w:hRule="atLeast"/>
        </w:trPr>
        <w:tc>
          <w:tcPr>
            <w:tcW w:w="2840" w:type="dxa"/>
          </w:tcPr>
          <w:p>
            <w:pPr>
              <w:pStyle w:val="TableParagraph"/>
              <w:ind w:left="485" w:right="479"/>
              <w:rPr>
                <w:rFonts w:ascii="宋体" w:eastAsia="宋体" w:hint="eastAsia"/>
                <w:sz w:val="21"/>
              </w:rPr>
            </w:pPr>
            <w:r>
              <w:rPr>
                <w:rFonts w:ascii="宋体" w:eastAsia="宋体" w:hint="eastAsia"/>
                <w:sz w:val="21"/>
              </w:rPr>
              <w:t>覆盖度</w:t>
            </w:r>
          </w:p>
        </w:tc>
        <w:tc>
          <w:tcPr>
            <w:tcW w:w="2841" w:type="dxa"/>
          </w:tcPr>
          <w:p>
            <w:pPr>
              <w:pStyle w:val="TableParagraph"/>
              <w:ind w:right="805"/>
              <w:rPr>
                <w:rFonts w:ascii="宋体" w:eastAsia="宋体" w:hint="eastAsia"/>
                <w:sz w:val="21"/>
              </w:rPr>
            </w:pPr>
            <w:r>
              <w:rPr>
                <w:rFonts w:ascii="宋体" w:eastAsia="宋体" w:hint="eastAsia"/>
                <w:sz w:val="21"/>
              </w:rPr>
              <w:t>面积（</w:t>
            </w:r>
            <w:r>
              <w:rPr>
                <w:sz w:val="21"/>
              </w:rPr>
              <w:t>km</w:t>
            </w:r>
            <w:r>
              <w:rPr>
                <w:position w:val="7"/>
                <w:sz w:val="13"/>
              </w:rPr>
              <w:t>2</w:t>
            </w:r>
            <w:r>
              <w:rPr>
                <w:rFonts w:ascii="宋体" w:eastAsia="宋体" w:hint="eastAsia"/>
                <w:sz w:val="21"/>
              </w:rPr>
              <w:t>）</w:t>
            </w:r>
          </w:p>
        </w:tc>
        <w:tc>
          <w:tcPr>
            <w:tcW w:w="2841" w:type="dxa"/>
          </w:tcPr>
          <w:p>
            <w:pPr>
              <w:pStyle w:val="TableParagraph"/>
              <w:ind w:left="810" w:right="805"/>
              <w:rPr>
                <w:rFonts w:ascii="宋体" w:eastAsia="宋体" w:hint="eastAsia"/>
                <w:sz w:val="21"/>
              </w:rPr>
            </w:pPr>
            <w:r>
              <w:rPr>
                <w:rFonts w:ascii="宋体" w:eastAsia="宋体" w:hint="eastAsia"/>
                <w:sz w:val="21"/>
              </w:rPr>
              <w:t>比例（</w:t>
            </w:r>
            <w:r>
              <w:rPr>
                <w:sz w:val="21"/>
              </w:rPr>
              <w:t>%</w:t>
            </w:r>
            <w:r>
              <w:rPr>
                <w:rFonts w:ascii="宋体" w:eastAsia="宋体" w:hint="eastAsia"/>
                <w:sz w:val="21"/>
              </w:rPr>
              <w:t>）</w:t>
            </w:r>
          </w:p>
        </w:tc>
      </w:tr>
      <w:tr>
        <w:trPr>
          <w:trHeight w:val="312" w:hRule="atLeast"/>
        </w:trPr>
        <w:tc>
          <w:tcPr>
            <w:tcW w:w="2840" w:type="dxa"/>
          </w:tcPr>
          <w:p>
            <w:pPr>
              <w:pStyle w:val="TableParagraph"/>
              <w:spacing w:before="20"/>
              <w:ind w:left="489" w:right="479"/>
              <w:rPr>
                <w:sz w:val="21"/>
              </w:rPr>
            </w:pPr>
            <w:r>
              <w:rPr>
                <w:rFonts w:ascii="宋体" w:eastAsia="宋体" w:hint="eastAsia"/>
                <w:sz w:val="21"/>
              </w:rPr>
              <w:t>中高覆盖：</w:t>
            </w:r>
            <w:r>
              <w:rPr>
                <w:sz w:val="21"/>
              </w:rPr>
              <w:t>50-70%</w:t>
            </w:r>
          </w:p>
        </w:tc>
        <w:tc>
          <w:tcPr>
            <w:tcW w:w="2841" w:type="dxa"/>
          </w:tcPr>
          <w:p>
            <w:pPr>
              <w:pStyle w:val="TableParagraph"/>
              <w:spacing w:before="34"/>
              <w:ind w:right="802"/>
              <w:rPr>
                <w:sz w:val="21"/>
              </w:rPr>
            </w:pPr>
            <w:r>
              <w:rPr>
                <w:sz w:val="21"/>
              </w:rPr>
              <w:t>2.1332</w:t>
            </w:r>
          </w:p>
        </w:tc>
        <w:tc>
          <w:tcPr>
            <w:tcW w:w="2841" w:type="dxa"/>
          </w:tcPr>
          <w:p>
            <w:pPr>
              <w:pStyle w:val="TableParagraph"/>
              <w:spacing w:before="34"/>
              <w:ind w:right="803"/>
              <w:rPr>
                <w:sz w:val="21"/>
              </w:rPr>
            </w:pPr>
            <w:r>
              <w:rPr>
                <w:sz w:val="21"/>
              </w:rPr>
              <w:t>29.36</w:t>
            </w:r>
          </w:p>
        </w:tc>
      </w:tr>
      <w:tr>
        <w:trPr>
          <w:trHeight w:val="312" w:hRule="atLeast"/>
        </w:trPr>
        <w:tc>
          <w:tcPr>
            <w:tcW w:w="2840" w:type="dxa"/>
          </w:tcPr>
          <w:p>
            <w:pPr>
              <w:pStyle w:val="TableParagraph"/>
              <w:spacing w:before="20"/>
              <w:ind w:left="486" w:right="479"/>
              <w:rPr>
                <w:sz w:val="21"/>
              </w:rPr>
            </w:pPr>
            <w:r>
              <w:rPr>
                <w:rFonts w:ascii="宋体" w:eastAsia="宋体" w:hint="eastAsia"/>
                <w:sz w:val="21"/>
              </w:rPr>
              <w:t>中覆盖：</w:t>
            </w:r>
            <w:r>
              <w:rPr>
                <w:sz w:val="21"/>
              </w:rPr>
              <w:t>30-50%</w:t>
            </w:r>
          </w:p>
        </w:tc>
        <w:tc>
          <w:tcPr>
            <w:tcW w:w="2841" w:type="dxa"/>
          </w:tcPr>
          <w:p>
            <w:pPr>
              <w:pStyle w:val="TableParagraph"/>
              <w:spacing w:before="34"/>
              <w:ind w:right="802"/>
              <w:rPr>
                <w:sz w:val="21"/>
              </w:rPr>
            </w:pPr>
            <w:r>
              <w:rPr>
                <w:sz w:val="21"/>
              </w:rPr>
              <w:t>0.4651</w:t>
            </w:r>
          </w:p>
        </w:tc>
        <w:tc>
          <w:tcPr>
            <w:tcW w:w="2841" w:type="dxa"/>
          </w:tcPr>
          <w:p>
            <w:pPr>
              <w:pStyle w:val="TableParagraph"/>
              <w:spacing w:before="34"/>
              <w:ind w:right="803"/>
              <w:rPr>
                <w:sz w:val="21"/>
              </w:rPr>
            </w:pPr>
            <w:r>
              <w:rPr>
                <w:sz w:val="21"/>
              </w:rPr>
              <w:t>6.40</w:t>
            </w:r>
          </w:p>
        </w:tc>
      </w:tr>
      <w:tr>
        <w:trPr>
          <w:trHeight w:val="312" w:hRule="atLeast"/>
        </w:trPr>
        <w:tc>
          <w:tcPr>
            <w:tcW w:w="2840" w:type="dxa"/>
          </w:tcPr>
          <w:p>
            <w:pPr>
              <w:pStyle w:val="TableParagraph"/>
              <w:spacing w:before="20"/>
              <w:ind w:left="485" w:right="479"/>
              <w:rPr>
                <w:rFonts w:ascii="宋体" w:eastAsia="宋体" w:hint="eastAsia"/>
                <w:sz w:val="21"/>
              </w:rPr>
            </w:pPr>
            <w:r>
              <w:rPr>
                <w:rFonts w:ascii="宋体" w:eastAsia="宋体" w:hint="eastAsia"/>
                <w:sz w:val="21"/>
              </w:rPr>
              <w:t>耕地</w:t>
            </w:r>
          </w:p>
        </w:tc>
        <w:tc>
          <w:tcPr>
            <w:tcW w:w="2841" w:type="dxa"/>
          </w:tcPr>
          <w:p>
            <w:pPr>
              <w:pStyle w:val="TableParagraph"/>
              <w:spacing w:before="34"/>
              <w:ind w:right="802"/>
              <w:rPr>
                <w:sz w:val="21"/>
              </w:rPr>
            </w:pPr>
            <w:r>
              <w:rPr>
                <w:sz w:val="21"/>
              </w:rPr>
              <w:t>4.1535</w:t>
            </w:r>
          </w:p>
        </w:tc>
        <w:tc>
          <w:tcPr>
            <w:tcW w:w="2841" w:type="dxa"/>
          </w:tcPr>
          <w:p>
            <w:pPr>
              <w:pStyle w:val="TableParagraph"/>
              <w:spacing w:before="34"/>
              <w:ind w:right="803"/>
              <w:rPr>
                <w:sz w:val="21"/>
              </w:rPr>
            </w:pPr>
            <w:r>
              <w:rPr>
                <w:sz w:val="21"/>
              </w:rPr>
              <w:t>57.16</w:t>
            </w:r>
          </w:p>
        </w:tc>
      </w:tr>
      <w:tr>
        <w:trPr>
          <w:trHeight w:val="311" w:hRule="atLeast"/>
        </w:trPr>
        <w:tc>
          <w:tcPr>
            <w:tcW w:w="2840" w:type="dxa"/>
          </w:tcPr>
          <w:p>
            <w:pPr>
              <w:pStyle w:val="TableParagraph"/>
              <w:spacing w:before="22"/>
              <w:ind w:left="490" w:right="479"/>
              <w:rPr>
                <w:sz w:val="21"/>
              </w:rPr>
            </w:pPr>
            <w:r>
              <w:rPr>
                <w:rFonts w:ascii="宋体" w:eastAsia="宋体" w:hint="eastAsia"/>
                <w:sz w:val="21"/>
              </w:rPr>
              <w:t>非植被区</w:t>
            </w:r>
            <w:r>
              <w:rPr>
                <w:sz w:val="21"/>
              </w:rPr>
              <w:t>(</w:t>
            </w:r>
            <w:r>
              <w:rPr>
                <w:rFonts w:ascii="宋体" w:eastAsia="宋体" w:hint="eastAsia"/>
                <w:sz w:val="21"/>
              </w:rPr>
              <w:t>居民点等</w:t>
            </w:r>
            <w:r>
              <w:rPr>
                <w:sz w:val="21"/>
              </w:rPr>
              <w:t>)</w:t>
            </w:r>
          </w:p>
        </w:tc>
        <w:tc>
          <w:tcPr>
            <w:tcW w:w="2841" w:type="dxa"/>
          </w:tcPr>
          <w:p>
            <w:pPr>
              <w:pStyle w:val="TableParagraph"/>
              <w:spacing w:before="36"/>
              <w:ind w:right="802"/>
              <w:rPr>
                <w:sz w:val="21"/>
              </w:rPr>
            </w:pPr>
            <w:r>
              <w:rPr>
                <w:sz w:val="21"/>
              </w:rPr>
              <w:t>0.5142</w:t>
            </w:r>
          </w:p>
        </w:tc>
        <w:tc>
          <w:tcPr>
            <w:tcW w:w="2841" w:type="dxa"/>
          </w:tcPr>
          <w:p>
            <w:pPr>
              <w:pStyle w:val="TableParagraph"/>
              <w:spacing w:before="36"/>
              <w:ind w:right="803"/>
              <w:rPr>
                <w:sz w:val="21"/>
              </w:rPr>
            </w:pPr>
            <w:r>
              <w:rPr>
                <w:sz w:val="21"/>
              </w:rPr>
              <w:t>7.08</w:t>
            </w:r>
          </w:p>
        </w:tc>
      </w:tr>
      <w:tr>
        <w:trPr>
          <w:trHeight w:val="312" w:hRule="atLeast"/>
        </w:trPr>
        <w:tc>
          <w:tcPr>
            <w:tcW w:w="2840" w:type="dxa"/>
          </w:tcPr>
          <w:p>
            <w:pPr>
              <w:pStyle w:val="TableParagraph"/>
              <w:ind w:left="485" w:right="479"/>
              <w:rPr>
                <w:rFonts w:ascii="宋体" w:eastAsia="宋体" w:hint="eastAsia"/>
                <w:sz w:val="21"/>
              </w:rPr>
            </w:pPr>
            <w:r>
              <w:rPr>
                <w:rFonts w:ascii="宋体" w:eastAsia="宋体" w:hint="eastAsia"/>
                <w:sz w:val="21"/>
              </w:rPr>
              <w:t>合计</w:t>
            </w:r>
          </w:p>
        </w:tc>
        <w:tc>
          <w:tcPr>
            <w:tcW w:w="2841" w:type="dxa"/>
          </w:tcPr>
          <w:p>
            <w:pPr>
              <w:pStyle w:val="TableParagraph"/>
              <w:spacing w:before="35"/>
              <w:ind w:right="802"/>
              <w:rPr>
                <w:sz w:val="21"/>
              </w:rPr>
            </w:pPr>
            <w:r>
              <w:rPr>
                <w:sz w:val="21"/>
              </w:rPr>
              <w:t>7.226</w:t>
            </w:r>
          </w:p>
        </w:tc>
        <w:tc>
          <w:tcPr>
            <w:tcW w:w="2841" w:type="dxa"/>
          </w:tcPr>
          <w:p>
            <w:pPr>
              <w:pStyle w:val="TableParagraph"/>
              <w:spacing w:before="35"/>
              <w:ind w:right="803"/>
              <w:rPr>
                <w:sz w:val="21"/>
              </w:rPr>
            </w:pPr>
            <w:r>
              <w:rPr>
                <w:sz w:val="21"/>
              </w:rPr>
              <w:t>100</w:t>
            </w:r>
          </w:p>
        </w:tc>
      </w:tr>
    </w:tbl>
    <w:p>
      <w:pPr>
        <w:spacing w:before="101"/>
        <w:ind w:left="2684" w:right="0" w:firstLine="0"/>
        <w:jc w:val="left"/>
        <w:rPr>
          <w:b/>
          <w:sz w:val="21"/>
        </w:rPr>
      </w:pPr>
      <w:r>
        <w:rPr>
          <w:b/>
          <w:sz w:val="21"/>
        </w:rPr>
        <w:t>表 </w:t>
      </w:r>
      <w:r>
        <w:rPr>
          <w:rFonts w:ascii="Calibri" w:eastAsia="Calibri"/>
          <w:b/>
          <w:sz w:val="21"/>
        </w:rPr>
        <w:t>5-6 </w:t>
      </w:r>
      <w:r>
        <w:rPr>
          <w:b/>
          <w:sz w:val="21"/>
        </w:rPr>
        <w:t>项目区内植被覆盖度面积统计</w:t>
      </w:r>
    </w:p>
    <w:p>
      <w:pPr>
        <w:pStyle w:val="BodyText"/>
        <w:spacing w:before="9"/>
        <w:ind w:left="0"/>
        <w:rPr>
          <w:b/>
          <w:sz w:val="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0"/>
        <w:gridCol w:w="2841"/>
        <w:gridCol w:w="2841"/>
      </w:tblGrid>
      <w:tr>
        <w:trPr>
          <w:trHeight w:val="312" w:hRule="atLeast"/>
        </w:trPr>
        <w:tc>
          <w:tcPr>
            <w:tcW w:w="2840" w:type="dxa"/>
          </w:tcPr>
          <w:p>
            <w:pPr>
              <w:pStyle w:val="TableParagraph"/>
              <w:ind w:left="485" w:right="479"/>
              <w:rPr>
                <w:rFonts w:ascii="宋体" w:eastAsia="宋体" w:hint="eastAsia"/>
                <w:sz w:val="21"/>
              </w:rPr>
            </w:pPr>
            <w:r>
              <w:rPr>
                <w:rFonts w:ascii="宋体" w:eastAsia="宋体" w:hint="eastAsia"/>
                <w:sz w:val="21"/>
              </w:rPr>
              <w:t>覆盖度</w:t>
            </w:r>
          </w:p>
        </w:tc>
        <w:tc>
          <w:tcPr>
            <w:tcW w:w="2841" w:type="dxa"/>
          </w:tcPr>
          <w:p>
            <w:pPr>
              <w:pStyle w:val="TableParagraph"/>
              <w:ind w:right="805"/>
              <w:rPr>
                <w:rFonts w:ascii="宋体" w:eastAsia="宋体" w:hint="eastAsia"/>
                <w:sz w:val="21"/>
              </w:rPr>
            </w:pPr>
            <w:r>
              <w:rPr>
                <w:rFonts w:ascii="宋体" w:eastAsia="宋体" w:hint="eastAsia"/>
                <w:sz w:val="21"/>
              </w:rPr>
              <w:t>面积（</w:t>
            </w:r>
            <w:r>
              <w:rPr>
                <w:sz w:val="21"/>
              </w:rPr>
              <w:t>km</w:t>
            </w:r>
            <w:r>
              <w:rPr>
                <w:position w:val="7"/>
                <w:sz w:val="13"/>
              </w:rPr>
              <w:t>2</w:t>
            </w:r>
            <w:r>
              <w:rPr>
                <w:rFonts w:ascii="宋体" w:eastAsia="宋体" w:hint="eastAsia"/>
                <w:sz w:val="21"/>
              </w:rPr>
              <w:t>）</w:t>
            </w:r>
          </w:p>
        </w:tc>
        <w:tc>
          <w:tcPr>
            <w:tcW w:w="2841" w:type="dxa"/>
          </w:tcPr>
          <w:p>
            <w:pPr>
              <w:pStyle w:val="TableParagraph"/>
              <w:ind w:left="810" w:right="805"/>
              <w:rPr>
                <w:rFonts w:ascii="宋体" w:eastAsia="宋体" w:hint="eastAsia"/>
                <w:sz w:val="21"/>
              </w:rPr>
            </w:pPr>
            <w:r>
              <w:rPr>
                <w:rFonts w:ascii="宋体" w:eastAsia="宋体" w:hint="eastAsia"/>
                <w:sz w:val="21"/>
              </w:rPr>
              <w:t>比例（</w:t>
            </w:r>
            <w:r>
              <w:rPr>
                <w:sz w:val="21"/>
              </w:rPr>
              <w:t>%</w:t>
            </w:r>
            <w:r>
              <w:rPr>
                <w:rFonts w:ascii="宋体" w:eastAsia="宋体" w:hint="eastAsia"/>
                <w:sz w:val="21"/>
              </w:rPr>
              <w:t>）</w:t>
            </w:r>
          </w:p>
        </w:tc>
      </w:tr>
      <w:tr>
        <w:trPr>
          <w:trHeight w:val="311" w:hRule="atLeast"/>
        </w:trPr>
        <w:tc>
          <w:tcPr>
            <w:tcW w:w="2840" w:type="dxa"/>
          </w:tcPr>
          <w:p>
            <w:pPr>
              <w:pStyle w:val="TableParagraph"/>
              <w:spacing w:before="20"/>
              <w:ind w:left="489" w:right="479"/>
              <w:rPr>
                <w:sz w:val="21"/>
              </w:rPr>
            </w:pPr>
            <w:r>
              <w:rPr>
                <w:rFonts w:ascii="宋体" w:eastAsia="宋体" w:hint="eastAsia"/>
                <w:sz w:val="21"/>
              </w:rPr>
              <w:t>中高覆盖：</w:t>
            </w:r>
            <w:r>
              <w:rPr>
                <w:sz w:val="21"/>
              </w:rPr>
              <w:t>50-70%</w:t>
            </w:r>
          </w:p>
        </w:tc>
        <w:tc>
          <w:tcPr>
            <w:tcW w:w="2841" w:type="dxa"/>
          </w:tcPr>
          <w:p>
            <w:pPr>
              <w:pStyle w:val="TableParagraph"/>
              <w:spacing w:before="34"/>
              <w:ind w:right="802"/>
              <w:rPr>
                <w:sz w:val="21"/>
              </w:rPr>
            </w:pPr>
            <w:r>
              <w:rPr>
                <w:sz w:val="21"/>
              </w:rPr>
              <w:t>0.6854</w:t>
            </w:r>
          </w:p>
        </w:tc>
        <w:tc>
          <w:tcPr>
            <w:tcW w:w="2841" w:type="dxa"/>
          </w:tcPr>
          <w:p>
            <w:pPr>
              <w:pStyle w:val="TableParagraph"/>
              <w:spacing w:before="34"/>
              <w:ind w:right="805"/>
              <w:rPr>
                <w:sz w:val="21"/>
              </w:rPr>
            </w:pPr>
            <w:r>
              <w:rPr>
                <w:sz w:val="21"/>
              </w:rPr>
              <w:t>51.81</w:t>
            </w:r>
          </w:p>
        </w:tc>
      </w:tr>
      <w:tr>
        <w:trPr>
          <w:trHeight w:val="312" w:hRule="atLeast"/>
        </w:trPr>
        <w:tc>
          <w:tcPr>
            <w:tcW w:w="2840" w:type="dxa"/>
          </w:tcPr>
          <w:p>
            <w:pPr>
              <w:pStyle w:val="TableParagraph"/>
              <w:spacing w:before="20"/>
              <w:ind w:left="486" w:right="479"/>
              <w:rPr>
                <w:sz w:val="21"/>
              </w:rPr>
            </w:pPr>
            <w:r>
              <w:rPr>
                <w:rFonts w:ascii="宋体" w:eastAsia="宋体" w:hint="eastAsia"/>
                <w:sz w:val="21"/>
              </w:rPr>
              <w:t>中覆盖：</w:t>
            </w:r>
            <w:r>
              <w:rPr>
                <w:sz w:val="21"/>
              </w:rPr>
              <w:t>30-50%</w:t>
            </w:r>
          </w:p>
        </w:tc>
        <w:tc>
          <w:tcPr>
            <w:tcW w:w="2841" w:type="dxa"/>
          </w:tcPr>
          <w:p>
            <w:pPr>
              <w:pStyle w:val="TableParagraph"/>
              <w:spacing w:before="34"/>
              <w:ind w:right="802"/>
              <w:rPr>
                <w:sz w:val="21"/>
              </w:rPr>
            </w:pPr>
            <w:r>
              <w:rPr>
                <w:sz w:val="21"/>
              </w:rPr>
              <w:t>0.1376</w:t>
            </w:r>
          </w:p>
        </w:tc>
        <w:tc>
          <w:tcPr>
            <w:tcW w:w="2841" w:type="dxa"/>
          </w:tcPr>
          <w:p>
            <w:pPr>
              <w:pStyle w:val="TableParagraph"/>
              <w:spacing w:before="34"/>
              <w:ind w:right="805"/>
              <w:rPr>
                <w:sz w:val="21"/>
              </w:rPr>
            </w:pPr>
            <w:r>
              <w:rPr>
                <w:sz w:val="21"/>
              </w:rPr>
              <w:t>10.40</w:t>
            </w:r>
          </w:p>
        </w:tc>
      </w:tr>
      <w:tr>
        <w:trPr>
          <w:trHeight w:val="312" w:hRule="atLeast"/>
        </w:trPr>
        <w:tc>
          <w:tcPr>
            <w:tcW w:w="2840" w:type="dxa"/>
          </w:tcPr>
          <w:p>
            <w:pPr>
              <w:pStyle w:val="TableParagraph"/>
              <w:spacing w:before="22"/>
              <w:ind w:left="485" w:right="479"/>
              <w:rPr>
                <w:rFonts w:ascii="宋体" w:eastAsia="宋体" w:hint="eastAsia"/>
                <w:sz w:val="21"/>
              </w:rPr>
            </w:pPr>
            <w:r>
              <w:rPr>
                <w:rFonts w:ascii="宋体" w:eastAsia="宋体" w:hint="eastAsia"/>
                <w:sz w:val="21"/>
              </w:rPr>
              <w:t>耕地</w:t>
            </w:r>
          </w:p>
        </w:tc>
        <w:tc>
          <w:tcPr>
            <w:tcW w:w="2841" w:type="dxa"/>
          </w:tcPr>
          <w:p>
            <w:pPr>
              <w:pStyle w:val="TableParagraph"/>
              <w:spacing w:before="36"/>
              <w:ind w:right="802"/>
              <w:rPr>
                <w:sz w:val="21"/>
              </w:rPr>
            </w:pPr>
            <w:r>
              <w:rPr>
                <w:sz w:val="21"/>
              </w:rPr>
              <w:t>0.4435</w:t>
            </w:r>
          </w:p>
        </w:tc>
        <w:tc>
          <w:tcPr>
            <w:tcW w:w="2841" w:type="dxa"/>
          </w:tcPr>
          <w:p>
            <w:pPr>
              <w:pStyle w:val="TableParagraph"/>
              <w:spacing w:before="36"/>
              <w:ind w:right="803"/>
              <w:rPr>
                <w:sz w:val="21"/>
              </w:rPr>
            </w:pPr>
            <w:r>
              <w:rPr>
                <w:sz w:val="21"/>
              </w:rPr>
              <w:t>33.52</w:t>
            </w:r>
          </w:p>
        </w:tc>
      </w:tr>
      <w:tr>
        <w:trPr>
          <w:trHeight w:val="311" w:hRule="atLeast"/>
        </w:trPr>
        <w:tc>
          <w:tcPr>
            <w:tcW w:w="2840" w:type="dxa"/>
          </w:tcPr>
          <w:p>
            <w:pPr>
              <w:pStyle w:val="TableParagraph"/>
              <w:ind w:left="490" w:right="479"/>
              <w:rPr>
                <w:sz w:val="21"/>
              </w:rPr>
            </w:pPr>
            <w:r>
              <w:rPr>
                <w:rFonts w:ascii="宋体" w:eastAsia="宋体" w:hint="eastAsia"/>
                <w:sz w:val="21"/>
              </w:rPr>
              <w:t>非植被区</w:t>
            </w:r>
            <w:r>
              <w:rPr>
                <w:sz w:val="21"/>
              </w:rPr>
              <w:t>(</w:t>
            </w:r>
            <w:r>
              <w:rPr>
                <w:rFonts w:ascii="宋体" w:eastAsia="宋体" w:hint="eastAsia"/>
                <w:sz w:val="21"/>
              </w:rPr>
              <w:t>居民点等</w:t>
            </w:r>
            <w:r>
              <w:rPr>
                <w:sz w:val="21"/>
              </w:rPr>
              <w:t>)</w:t>
            </w:r>
          </w:p>
        </w:tc>
        <w:tc>
          <w:tcPr>
            <w:tcW w:w="2841" w:type="dxa"/>
          </w:tcPr>
          <w:p>
            <w:pPr>
              <w:pStyle w:val="TableParagraph"/>
              <w:spacing w:before="35"/>
              <w:ind w:right="802"/>
              <w:rPr>
                <w:sz w:val="21"/>
              </w:rPr>
            </w:pPr>
            <w:r>
              <w:rPr>
                <w:sz w:val="21"/>
              </w:rPr>
              <w:t>0.0564</w:t>
            </w:r>
          </w:p>
        </w:tc>
        <w:tc>
          <w:tcPr>
            <w:tcW w:w="2841" w:type="dxa"/>
          </w:tcPr>
          <w:p>
            <w:pPr>
              <w:pStyle w:val="TableParagraph"/>
              <w:spacing w:before="35"/>
              <w:ind w:right="803"/>
              <w:rPr>
                <w:sz w:val="21"/>
              </w:rPr>
            </w:pPr>
            <w:r>
              <w:rPr>
                <w:sz w:val="21"/>
              </w:rPr>
              <w:t>4.27</w:t>
            </w:r>
          </w:p>
        </w:tc>
      </w:tr>
      <w:tr>
        <w:trPr>
          <w:trHeight w:val="312" w:hRule="atLeast"/>
        </w:trPr>
        <w:tc>
          <w:tcPr>
            <w:tcW w:w="2840" w:type="dxa"/>
          </w:tcPr>
          <w:p>
            <w:pPr>
              <w:pStyle w:val="TableParagraph"/>
              <w:ind w:left="485" w:right="479"/>
              <w:rPr>
                <w:rFonts w:ascii="宋体" w:eastAsia="宋体" w:hint="eastAsia"/>
                <w:sz w:val="21"/>
              </w:rPr>
            </w:pPr>
            <w:r>
              <w:rPr>
                <w:rFonts w:ascii="宋体" w:eastAsia="宋体" w:hint="eastAsia"/>
                <w:sz w:val="21"/>
              </w:rPr>
              <w:t>合计</w:t>
            </w:r>
          </w:p>
        </w:tc>
        <w:tc>
          <w:tcPr>
            <w:tcW w:w="2841" w:type="dxa"/>
          </w:tcPr>
          <w:p>
            <w:pPr>
              <w:pStyle w:val="TableParagraph"/>
              <w:spacing w:before="35"/>
              <w:ind w:right="802"/>
              <w:rPr>
                <w:sz w:val="21"/>
              </w:rPr>
            </w:pPr>
            <w:r>
              <w:rPr>
                <w:sz w:val="21"/>
              </w:rPr>
              <w:t>1.3229</w:t>
            </w:r>
          </w:p>
        </w:tc>
        <w:tc>
          <w:tcPr>
            <w:tcW w:w="2841" w:type="dxa"/>
          </w:tcPr>
          <w:p>
            <w:pPr>
              <w:pStyle w:val="TableParagraph"/>
              <w:spacing w:before="35"/>
              <w:ind w:right="803"/>
              <w:rPr>
                <w:sz w:val="21"/>
              </w:rPr>
            </w:pPr>
            <w:r>
              <w:rPr>
                <w:sz w:val="21"/>
              </w:rPr>
              <w:t>100</w:t>
            </w:r>
          </w:p>
        </w:tc>
      </w:tr>
    </w:tbl>
    <w:p>
      <w:pPr>
        <w:pStyle w:val="BodyText"/>
        <w:spacing w:before="4"/>
        <w:ind w:left="0"/>
        <w:rPr>
          <w:b/>
          <w:sz w:val="8"/>
        </w:rPr>
      </w:pPr>
      <w:r>
        <w:rPr/>
        <w:drawing>
          <wp:anchor distT="0" distB="0" distL="0" distR="0" allowOverlap="1" layoutInCell="1" locked="0" behindDoc="0" simplePos="0" relativeHeight="5">
            <wp:simplePos x="0" y="0"/>
            <wp:positionH relativeFrom="page">
              <wp:posOffset>1176259</wp:posOffset>
            </wp:positionH>
            <wp:positionV relativeFrom="paragraph">
              <wp:posOffset>92613</wp:posOffset>
            </wp:positionV>
            <wp:extent cx="5401223" cy="4455033"/>
            <wp:effectExtent l="0" t="0" r="0" b="0"/>
            <wp:wrapTopAndBottom/>
            <wp:docPr id="3" name="image4.jpeg"/>
            <wp:cNvGraphicFramePr>
              <a:graphicFrameLocks noChangeAspect="1"/>
            </wp:cNvGraphicFramePr>
            <a:graphic>
              <a:graphicData uri="http://schemas.openxmlformats.org/drawingml/2006/picture">
                <pic:pic>
                  <pic:nvPicPr>
                    <pic:cNvPr id="4" name="image4.jpeg"/>
                    <pic:cNvPicPr/>
                  </pic:nvPicPr>
                  <pic:blipFill>
                    <a:blip r:embed="rId10" cstate="print"/>
                    <a:stretch>
                      <a:fillRect/>
                    </a:stretch>
                  </pic:blipFill>
                  <pic:spPr>
                    <a:xfrm>
                      <a:off x="0" y="0"/>
                      <a:ext cx="5401223" cy="4455033"/>
                    </a:xfrm>
                    <a:prstGeom prst="rect">
                      <a:avLst/>
                    </a:prstGeom>
                  </pic:spPr>
                </pic:pic>
              </a:graphicData>
            </a:graphic>
          </wp:anchor>
        </w:drawing>
      </w:r>
    </w:p>
    <w:p>
      <w:pPr>
        <w:pStyle w:val="BodyText"/>
        <w:spacing w:before="5"/>
        <w:ind w:left="0"/>
        <w:rPr>
          <w:b/>
          <w:sz w:val="5"/>
        </w:rPr>
      </w:pPr>
    </w:p>
    <w:p>
      <w:pPr>
        <w:spacing w:after="0"/>
        <w:rPr>
          <w:sz w:val="5"/>
        </w:rPr>
        <w:sectPr>
          <w:pgSz w:w="11910" w:h="16840"/>
          <w:pgMar w:header="0" w:footer="970" w:top="1440" w:bottom="1160" w:left="1580" w:right="1480"/>
        </w:sectPr>
      </w:pPr>
    </w:p>
    <w:p>
      <w:pPr>
        <w:pStyle w:val="BodyText"/>
        <w:spacing w:before="5"/>
        <w:ind w:left="0"/>
        <w:rPr>
          <w:b/>
          <w:sz w:val="40"/>
        </w:rPr>
      </w:pPr>
    </w:p>
    <w:p>
      <w:pPr>
        <w:pStyle w:val="Heading3"/>
        <w:numPr>
          <w:ilvl w:val="1"/>
          <w:numId w:val="2"/>
        </w:numPr>
        <w:tabs>
          <w:tab w:pos="710" w:val="left" w:leader="none"/>
        </w:tabs>
        <w:spacing w:line="240" w:lineRule="auto" w:before="0" w:after="0"/>
        <w:ind w:left="709" w:right="0" w:hanging="490"/>
        <w:jc w:val="left"/>
      </w:pPr>
      <w:bookmarkStart w:name="_bookmark17" w:id="35"/>
      <w:bookmarkEnd w:id="35"/>
      <w:r>
        <w:rPr>
          <w:b w:val="0"/>
        </w:rPr>
      </w:r>
      <w:bookmarkStart w:name="_bookmark17" w:id="36"/>
      <w:bookmarkEnd w:id="36"/>
      <w:r>
        <w:rPr/>
        <w:t>评价区土壤类型</w:t>
      </w:r>
    </w:p>
    <w:p>
      <w:pPr>
        <w:tabs>
          <w:tab w:pos="920" w:val="left" w:leader="none"/>
        </w:tabs>
        <w:spacing w:before="16"/>
        <w:ind w:left="220" w:right="0" w:firstLine="0"/>
        <w:jc w:val="left"/>
        <w:rPr>
          <w:b/>
          <w:sz w:val="21"/>
        </w:rPr>
      </w:pPr>
      <w:r>
        <w:rPr/>
        <w:br w:type="column"/>
      </w:r>
      <w:r>
        <w:rPr>
          <w:b/>
          <w:sz w:val="21"/>
        </w:rPr>
        <w:t>图</w:t>
      </w:r>
      <w:r>
        <w:rPr>
          <w:rFonts w:ascii="Times New Roman" w:eastAsia="Times New Roman"/>
          <w:b/>
          <w:sz w:val="21"/>
        </w:rPr>
        <w:t>5-4</w:t>
        <w:tab/>
      </w:r>
      <w:r>
        <w:rPr>
          <w:b/>
          <w:sz w:val="21"/>
        </w:rPr>
        <w:t>植被覆盖度图</w:t>
      </w:r>
    </w:p>
    <w:p>
      <w:pPr>
        <w:spacing w:after="0"/>
        <w:jc w:val="left"/>
        <w:rPr>
          <w:sz w:val="21"/>
        </w:rPr>
        <w:sectPr>
          <w:type w:val="continuous"/>
          <w:pgSz w:w="11910" w:h="16840"/>
          <w:pgMar w:top="1580" w:bottom="280" w:left="1580" w:right="1480"/>
          <w:cols w:num="2" w:equalWidth="0">
            <w:col w:w="2718" w:space="455"/>
            <w:col w:w="5677"/>
          </w:cols>
        </w:sectPr>
      </w:pPr>
    </w:p>
    <w:p>
      <w:pPr>
        <w:pStyle w:val="BodyText"/>
        <w:spacing w:line="364" w:lineRule="auto" w:before="62"/>
        <w:ind w:right="197" w:firstLine="480"/>
      </w:pPr>
      <w:r>
        <w:rPr>
          <w:color w:val="2C2C2C"/>
        </w:rPr>
        <w:t>根据</w:t>
      </w:r>
      <w:r>
        <w:rPr>
          <w:rFonts w:ascii="Times New Roman" w:eastAsia="Times New Roman"/>
          <w:color w:val="2C2C2C"/>
        </w:rPr>
        <w:t>1981</w:t>
      </w:r>
      <w:r>
        <w:rPr>
          <w:color w:val="2C2C2C"/>
        </w:rPr>
        <w:t>年泾阳县普查耕地土壤</w:t>
      </w:r>
      <w:r>
        <w:rPr>
          <w:rFonts w:ascii="Times New Roman" w:eastAsia="Times New Roman"/>
          <w:color w:val="2C2C2C"/>
        </w:rPr>
        <w:t>,</w:t>
      </w:r>
      <w:r>
        <w:rPr>
          <w:color w:val="2C2C2C"/>
          <w:spacing w:val="-5"/>
        </w:rPr>
        <w:t>将土壤划分为黄土、红土、沼泽土、褐土、</w:t>
      </w:r>
      <w:r>
        <w:rPr>
          <w:color w:val="2C2C2C"/>
        </w:rPr>
        <w:t>岩石、砾石、垆土、潮土、淤土</w:t>
      </w:r>
      <w:r>
        <w:rPr>
          <w:rFonts w:ascii="Times New Roman" w:eastAsia="Times New Roman"/>
          <w:color w:val="2C2C2C"/>
        </w:rPr>
        <w:t>9</w:t>
      </w:r>
      <w:r>
        <w:rPr>
          <w:color w:val="2C2C2C"/>
        </w:rPr>
        <w:t>个土类、</w:t>
      </w:r>
      <w:r>
        <w:rPr>
          <w:rFonts w:ascii="Times New Roman" w:eastAsia="Times New Roman"/>
          <w:color w:val="2C2C2C"/>
        </w:rPr>
        <w:t>17</w:t>
      </w:r>
      <w:r>
        <w:rPr>
          <w:color w:val="2C2C2C"/>
        </w:rPr>
        <w:t>个亚类、</w:t>
      </w:r>
      <w:r>
        <w:rPr>
          <w:rFonts w:ascii="Times New Roman" w:eastAsia="Times New Roman"/>
          <w:color w:val="2C2C2C"/>
        </w:rPr>
        <w:t>37</w:t>
      </w:r>
      <w:r>
        <w:rPr>
          <w:color w:val="2C2C2C"/>
        </w:rPr>
        <w:t>个土属、</w:t>
      </w:r>
      <w:r>
        <w:rPr>
          <w:rFonts w:ascii="Times New Roman" w:eastAsia="Times New Roman"/>
          <w:color w:val="2C2C2C"/>
        </w:rPr>
        <w:t>81</w:t>
      </w:r>
      <w:r>
        <w:rPr>
          <w:color w:val="2C2C2C"/>
        </w:rPr>
        <w:t>个土种。其</w:t>
      </w:r>
      <w:r>
        <w:rPr>
          <w:color w:val="2C2C2C"/>
          <w:spacing w:val="-5"/>
        </w:rPr>
        <w:t>中，垆土分布于县境内南、北黄土台塬的广大地区，面积</w:t>
      </w:r>
      <w:r>
        <w:rPr>
          <w:rFonts w:ascii="Times New Roman" w:eastAsia="Times New Roman"/>
          <w:color w:val="2C2C2C"/>
        </w:rPr>
        <w:t>222016.3</w:t>
      </w:r>
      <w:r>
        <w:rPr>
          <w:color w:val="2C2C2C"/>
          <w:spacing w:val="-3"/>
        </w:rPr>
        <w:t>亩，占全县土地面积的</w:t>
      </w:r>
      <w:r>
        <w:rPr>
          <w:rFonts w:ascii="Times New Roman" w:eastAsia="Times New Roman"/>
          <w:color w:val="2C2C2C"/>
          <w:spacing w:val="-3"/>
        </w:rPr>
        <w:t>18.9%</w:t>
      </w:r>
      <w:r>
        <w:rPr>
          <w:color w:val="2C2C2C"/>
          <w:spacing w:val="-3"/>
        </w:rPr>
        <w:t>，有油土、垆土性土两个亚类。其次为灌淤土，灌淤土广泛分布</w:t>
      </w:r>
      <w:r>
        <w:rPr>
          <w:color w:val="2C2C2C"/>
          <w:spacing w:val="-10"/>
        </w:rPr>
        <w:t>于洪冲积平原上，除兴隆、白王、蒋刘、太平、口镇等乡镇外，其他乡镇均有分</w:t>
      </w:r>
      <w:r>
        <w:rPr>
          <w:color w:val="2C2C2C"/>
          <w:spacing w:val="-6"/>
        </w:rPr>
        <w:t>布。该土是本县农业土壤的主体，面积</w:t>
      </w:r>
      <w:r>
        <w:rPr>
          <w:rFonts w:ascii="Times New Roman" w:eastAsia="Times New Roman"/>
          <w:color w:val="2C2C2C"/>
        </w:rPr>
        <w:t>465326.7</w:t>
      </w:r>
      <w:r>
        <w:rPr>
          <w:color w:val="2C2C2C"/>
          <w:spacing w:val="-4"/>
        </w:rPr>
        <w:t>亩，占土地面积的</w:t>
      </w:r>
      <w:r>
        <w:rPr>
          <w:rFonts w:ascii="Times New Roman" w:eastAsia="Times New Roman"/>
          <w:color w:val="2C2C2C"/>
        </w:rPr>
        <w:t>39.7%</w:t>
      </w:r>
      <w:r>
        <w:rPr>
          <w:color w:val="2C2C2C"/>
          <w:spacing w:val="-4"/>
        </w:rPr>
        <w:t>。共有</w:t>
      </w:r>
      <w:r>
        <w:rPr>
          <w:rFonts w:ascii="Times New Roman" w:eastAsia="Times New Roman"/>
          <w:color w:val="2C2C2C"/>
        </w:rPr>
        <w:t>4 </w:t>
      </w:r>
      <w:r>
        <w:rPr>
          <w:color w:val="2C2C2C"/>
        </w:rPr>
        <w:t>个亚类</w:t>
      </w:r>
      <w:r>
        <w:rPr>
          <w:rFonts w:ascii="Times New Roman" w:eastAsia="Times New Roman"/>
          <w:color w:val="2C2C2C"/>
        </w:rPr>
        <w:t>,</w:t>
      </w:r>
      <w:r>
        <w:rPr>
          <w:color w:val="2C2C2C"/>
        </w:rPr>
        <w:t>即普通灌淤土、潮灌淤土、湿灌淤土及盐化灌淤土。该土适应性强</w:t>
      </w:r>
      <w:r>
        <w:rPr>
          <w:rFonts w:ascii="Times New Roman" w:eastAsia="Times New Roman"/>
          <w:color w:val="2C2C2C"/>
        </w:rPr>
        <w:t>,</w:t>
      </w:r>
      <w:r>
        <w:rPr>
          <w:color w:val="2C2C2C"/>
        </w:rPr>
        <w:t>后劲足</w:t>
      </w:r>
      <w:r>
        <w:rPr>
          <w:rFonts w:ascii="Times New Roman" w:eastAsia="Times New Roman"/>
          <w:color w:val="2C2C2C"/>
        </w:rPr>
        <w:t>,</w:t>
      </w:r>
      <w:r>
        <w:rPr>
          <w:color w:val="2C2C2C"/>
        </w:rPr>
        <w:t>适种作物广</w:t>
      </w:r>
      <w:r>
        <w:rPr>
          <w:rFonts w:ascii="Times New Roman" w:eastAsia="Times New Roman"/>
          <w:color w:val="2C2C2C"/>
        </w:rPr>
        <w:t>,</w:t>
      </w:r>
      <w:r>
        <w:rPr>
          <w:color w:val="2C2C2C"/>
        </w:rPr>
        <w:t>是本县小麦、玉米、棉花、油菜等作物生长的优质土壤。再次为黄土，黄土分布于塬面局部低凹地、壕地、塬地、沟坡以及山前老洪积扇地带</w:t>
      </w:r>
      <w:r>
        <w:rPr>
          <w:rFonts w:ascii="Times New Roman" w:eastAsia="Times New Roman"/>
          <w:color w:val="2C2C2C"/>
        </w:rPr>
        <w:t>, </w:t>
      </w:r>
      <w:r>
        <w:rPr>
          <w:color w:val="2C2C2C"/>
        </w:rPr>
        <w:t>山前缓坡地带亦有分布。面积</w:t>
      </w:r>
      <w:r>
        <w:rPr>
          <w:rFonts w:ascii="Times New Roman" w:eastAsia="Times New Roman"/>
          <w:color w:val="2C2C2C"/>
        </w:rPr>
        <w:t>262044.3</w:t>
      </w:r>
      <w:r>
        <w:rPr>
          <w:color w:val="2C2C2C"/>
        </w:rPr>
        <w:t>亩，占土地面积的</w:t>
      </w:r>
      <w:r>
        <w:rPr>
          <w:rFonts w:ascii="Times New Roman" w:eastAsia="Times New Roman"/>
          <w:color w:val="2C2C2C"/>
        </w:rPr>
        <w:t>22.3%</w:t>
      </w:r>
      <w:r>
        <w:rPr>
          <w:color w:val="2C2C2C"/>
        </w:rPr>
        <w:t>。有白土、黄土和淤土</w:t>
      </w:r>
      <w:r>
        <w:rPr>
          <w:rFonts w:ascii="Times New Roman" w:eastAsia="Times New Roman"/>
          <w:color w:val="2C2C2C"/>
        </w:rPr>
        <w:t>3</w:t>
      </w:r>
      <w:r>
        <w:rPr>
          <w:color w:val="2C2C2C"/>
        </w:rPr>
        <w:t>个土属。该土具有疏松、多孔、通气、透水等特点，抗蚀能力差，养分和有机质含量不高，后劲不足，且多是旱地，水分条件差</w:t>
      </w:r>
      <w:r>
        <w:rPr>
          <w:rFonts w:ascii="Times New Roman" w:eastAsia="Times New Roman"/>
          <w:color w:val="2C2C2C"/>
        </w:rPr>
        <w:t>,</w:t>
      </w:r>
      <w:r>
        <w:rPr>
          <w:color w:val="2C2C2C"/>
        </w:rPr>
        <w:t>应加强培肥措施。</w:t>
      </w:r>
      <w:r>
        <w:rPr/>
        <w:t>其他土类面积为</w:t>
      </w:r>
      <w:r>
        <w:rPr>
          <w:rFonts w:ascii="Times New Roman" w:eastAsia="Times New Roman"/>
        </w:rPr>
        <w:t>14070.82</w:t>
      </w:r>
      <w:r>
        <w:rPr/>
        <w:t>亩，占土地面积</w:t>
      </w:r>
      <w:r>
        <w:rPr>
          <w:rFonts w:ascii="Times New Roman" w:eastAsia="Times New Roman"/>
        </w:rPr>
        <w:t>3.51%</w:t>
      </w:r>
      <w:r>
        <w:rPr/>
        <w:t>。</w:t>
      </w:r>
    </w:p>
    <w:p>
      <w:pPr>
        <w:pStyle w:val="BodyText"/>
        <w:spacing w:before="8"/>
        <w:ind w:left="700"/>
      </w:pPr>
      <w:r>
        <w:rPr>
          <w:spacing w:val="-1"/>
        </w:rPr>
        <w:t>场址区地貌为黄土残塬斜坡，地势北高南低，高程自南向北由</w:t>
      </w:r>
      <w:r>
        <w:rPr>
          <w:rFonts w:ascii="Times New Roman" w:eastAsia="Times New Roman"/>
        </w:rPr>
        <w:t>450m</w:t>
      </w:r>
      <w:r>
        <w:rPr/>
        <w:t>抬升到</w:t>
      </w:r>
    </w:p>
    <w:p>
      <w:pPr>
        <w:pStyle w:val="BodyText"/>
        <w:spacing w:before="160"/>
      </w:pPr>
      <w:r>
        <w:rPr>
          <w:rFonts w:ascii="Times New Roman" w:eastAsia="Times New Roman"/>
          <w:spacing w:val="-1"/>
        </w:rPr>
        <w:t>526m</w:t>
      </w:r>
      <w:r>
        <w:rPr>
          <w:spacing w:val="-1"/>
        </w:rPr>
        <w:t>，总体分为二十余级黄土梯田，每级梯田呈窄条状且地势平坦开阔，高差</w:t>
      </w:r>
    </w:p>
    <w:p>
      <w:pPr>
        <w:pStyle w:val="BodyText"/>
        <w:spacing w:line="364" w:lineRule="auto" w:before="161"/>
        <w:ind w:right="317"/>
        <w:jc w:val="both"/>
      </w:pPr>
      <w:r>
        <w:rPr>
          <w:rFonts w:ascii="Times New Roman" w:eastAsia="Times New Roman"/>
        </w:rPr>
        <w:t>1m~5m</w:t>
      </w:r>
      <w:r>
        <w:rPr>
          <w:spacing w:val="-12"/>
        </w:rPr>
        <w:t>不等。评价区主要土壤类型以粘底灌淤土、黄土型灌淤土为主，土壤质地</w:t>
      </w:r>
      <w:r>
        <w:rPr>
          <w:spacing w:val="-11"/>
        </w:rPr>
        <w:t>较好，适应性强，适种作物广，是本县小麦、玉米、蔬菜、葡萄等作物生长的优</w:t>
      </w:r>
      <w:r>
        <w:rPr/>
        <w:t>质土壤。</w:t>
      </w:r>
    </w:p>
    <w:p>
      <w:pPr>
        <w:pStyle w:val="Heading3"/>
        <w:numPr>
          <w:ilvl w:val="1"/>
          <w:numId w:val="2"/>
        </w:numPr>
        <w:tabs>
          <w:tab w:pos="710" w:val="left" w:leader="none"/>
        </w:tabs>
        <w:spacing w:line="240" w:lineRule="auto" w:before="55" w:after="0"/>
        <w:ind w:left="709" w:right="0" w:hanging="490"/>
        <w:jc w:val="left"/>
      </w:pPr>
      <w:bookmarkStart w:name="_bookmark18" w:id="37"/>
      <w:bookmarkEnd w:id="37"/>
      <w:r>
        <w:rPr>
          <w:b w:val="0"/>
        </w:rPr>
      </w:r>
      <w:bookmarkStart w:name="_bookmark18" w:id="38"/>
      <w:bookmarkEnd w:id="38"/>
      <w:r>
        <w:rPr/>
        <w:t>野生动物现状</w:t>
      </w:r>
    </w:p>
    <w:p>
      <w:pPr>
        <w:pStyle w:val="BodyText"/>
        <w:spacing w:line="364" w:lineRule="auto" w:before="212"/>
        <w:ind w:right="317" w:firstLine="480"/>
      </w:pPr>
      <w:bookmarkStart w:name="根据现场调查，项目所在区域的野生动物主要有野兔、鼠类、麻雀等，无省级和国家级重点" w:id="39"/>
      <w:bookmarkEnd w:id="39"/>
      <w:r>
        <w:rPr/>
      </w:r>
      <w:r>
        <w:rPr>
          <w:spacing w:val="-8"/>
        </w:rPr>
        <w:t>根据现场调查，项目所在区域的野生动物主要有野兔、鼠类、麻雀等，无省</w:t>
      </w:r>
      <w:r>
        <w:rPr/>
        <w:t>级和国家级重点保护野生动物分布。</w:t>
      </w:r>
    </w:p>
    <w:p>
      <w:pPr>
        <w:pStyle w:val="Heading3"/>
        <w:numPr>
          <w:ilvl w:val="1"/>
          <w:numId w:val="2"/>
        </w:numPr>
        <w:tabs>
          <w:tab w:pos="710" w:val="left" w:leader="none"/>
        </w:tabs>
        <w:spacing w:line="240" w:lineRule="auto" w:before="55" w:after="0"/>
        <w:ind w:left="709" w:right="0" w:hanging="490"/>
        <w:jc w:val="left"/>
      </w:pPr>
      <w:bookmarkStart w:name="_bookmark19" w:id="40"/>
      <w:bookmarkEnd w:id="40"/>
      <w:r>
        <w:rPr>
          <w:b w:val="0"/>
        </w:rPr>
      </w:r>
      <w:bookmarkStart w:name="_bookmark19" w:id="41"/>
      <w:bookmarkEnd w:id="41"/>
      <w:r>
        <w:rPr/>
        <w:t>水土流失现状</w:t>
      </w:r>
    </w:p>
    <w:p>
      <w:pPr>
        <w:pStyle w:val="BodyText"/>
        <w:spacing w:line="364" w:lineRule="auto" w:before="211"/>
        <w:ind w:right="317" w:firstLine="480"/>
        <w:jc w:val="both"/>
      </w:pPr>
      <w:r>
        <w:rPr>
          <w:spacing w:val="-5"/>
        </w:rPr>
        <w:t>评价区土壤侵蚀强度的划分在区域土壤侵蚀模数的基础上进行，参照《全国</w:t>
      </w:r>
      <w:r>
        <w:rPr>
          <w:spacing w:val="-7"/>
        </w:rPr>
        <w:t>土壤侵蚀遥感调查技术规程》的土壤侵蚀类型与强度的分类分级系统，以土地利</w:t>
      </w:r>
      <w:r>
        <w:rPr>
          <w:spacing w:val="-10"/>
        </w:rPr>
        <w:t>用类型、植被覆盖度和地面坡度等间接指标进行综合分析而实现，将项目区土壤</w:t>
      </w:r>
      <w:r>
        <w:rPr/>
        <w:t>蚀划分为微度侵蚀、轻度侵蚀、中度侵蚀、强度侵蚀</w:t>
      </w:r>
      <w:r>
        <w:rPr>
          <w:rFonts w:ascii="Times New Roman" w:eastAsia="Times New Roman"/>
        </w:rPr>
        <w:t>4</w:t>
      </w:r>
      <w:r>
        <w:rPr/>
        <w:t>个级别。评价区内土壤侵蚀强度面积统计见表</w:t>
      </w:r>
      <w:r>
        <w:rPr>
          <w:rFonts w:ascii="Times New Roman" w:eastAsia="Times New Roman"/>
          <w:spacing w:val="-3"/>
        </w:rPr>
        <w:t>5-7</w:t>
      </w:r>
      <w:r>
        <w:rPr>
          <w:spacing w:val="-2"/>
        </w:rPr>
        <w:t>，项目区内土壤侵蚀强度面积统计见表</w:t>
      </w:r>
      <w:r>
        <w:rPr>
          <w:rFonts w:ascii="Times New Roman" w:eastAsia="Times New Roman"/>
        </w:rPr>
        <w:t>5-8</w:t>
      </w:r>
      <w:r>
        <w:rPr>
          <w:spacing w:val="-3"/>
        </w:rPr>
        <w:t>，土壤侵蚀现</w:t>
      </w:r>
      <w:r>
        <w:rPr/>
        <w:t>状图见图</w:t>
      </w:r>
      <w:r>
        <w:rPr>
          <w:rFonts w:ascii="Times New Roman" w:eastAsia="Times New Roman"/>
        </w:rPr>
        <w:t>5-5</w:t>
      </w:r>
      <w:r>
        <w:rPr/>
        <w:t>。</w:t>
      </w:r>
    </w:p>
    <w:p>
      <w:pPr>
        <w:tabs>
          <w:tab w:pos="748" w:val="left" w:leader="none"/>
        </w:tabs>
        <w:spacing w:before="24"/>
        <w:ind w:left="0" w:right="87" w:firstLine="0"/>
        <w:jc w:val="center"/>
        <w:rPr>
          <w:b/>
          <w:sz w:val="21"/>
        </w:rPr>
      </w:pPr>
      <w:r>
        <w:rPr>
          <w:b/>
          <w:sz w:val="21"/>
        </w:rPr>
        <w:t>表</w:t>
      </w:r>
      <w:r>
        <w:rPr>
          <w:b/>
          <w:spacing w:val="-56"/>
          <w:sz w:val="21"/>
        </w:rPr>
        <w:t> </w:t>
      </w:r>
      <w:r>
        <w:rPr>
          <w:rFonts w:ascii="Calibri" w:eastAsia="Calibri"/>
          <w:b/>
          <w:sz w:val="21"/>
        </w:rPr>
        <w:t>5-7</w:t>
        <w:tab/>
      </w:r>
      <w:r>
        <w:rPr>
          <w:b/>
          <w:sz w:val="21"/>
        </w:rPr>
        <w:t>评价区内土壤侵蚀强度面积统计</w:t>
      </w:r>
    </w:p>
    <w:p>
      <w:pPr>
        <w:spacing w:after="0"/>
        <w:jc w:val="center"/>
        <w:rPr>
          <w:sz w:val="21"/>
        </w:rPr>
        <w:sectPr>
          <w:pgSz w:w="11910" w:h="16840"/>
          <w:pgMar w:header="0" w:footer="970" w:top="1440" w:bottom="1160" w:left="1580" w:right="148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0"/>
        <w:gridCol w:w="2841"/>
        <w:gridCol w:w="2841"/>
      </w:tblGrid>
      <w:tr>
        <w:trPr>
          <w:trHeight w:val="312" w:hRule="atLeast"/>
        </w:trPr>
        <w:tc>
          <w:tcPr>
            <w:tcW w:w="2840" w:type="dxa"/>
          </w:tcPr>
          <w:p>
            <w:pPr>
              <w:pStyle w:val="TableParagraph"/>
              <w:ind w:left="487" w:right="479"/>
              <w:rPr>
                <w:rFonts w:ascii="宋体" w:eastAsia="宋体" w:hint="eastAsia"/>
                <w:sz w:val="21"/>
              </w:rPr>
            </w:pPr>
            <w:r>
              <w:rPr>
                <w:rFonts w:ascii="宋体" w:eastAsia="宋体" w:hint="eastAsia"/>
                <w:sz w:val="21"/>
              </w:rPr>
              <w:t>侵蚀强度</w:t>
            </w:r>
          </w:p>
        </w:tc>
        <w:tc>
          <w:tcPr>
            <w:tcW w:w="2841" w:type="dxa"/>
          </w:tcPr>
          <w:p>
            <w:pPr>
              <w:pStyle w:val="TableParagraph"/>
              <w:ind w:right="805"/>
              <w:rPr>
                <w:rFonts w:ascii="宋体" w:eastAsia="宋体" w:hint="eastAsia"/>
                <w:sz w:val="21"/>
              </w:rPr>
            </w:pPr>
            <w:r>
              <w:rPr>
                <w:rFonts w:ascii="宋体" w:eastAsia="宋体" w:hint="eastAsia"/>
                <w:sz w:val="21"/>
              </w:rPr>
              <w:t>面积（</w:t>
            </w:r>
            <w:r>
              <w:rPr>
                <w:sz w:val="21"/>
              </w:rPr>
              <w:t>km</w:t>
            </w:r>
            <w:r>
              <w:rPr>
                <w:position w:val="7"/>
                <w:sz w:val="13"/>
              </w:rPr>
              <w:t>2</w:t>
            </w:r>
            <w:r>
              <w:rPr>
                <w:rFonts w:ascii="宋体" w:eastAsia="宋体" w:hint="eastAsia"/>
                <w:sz w:val="21"/>
              </w:rPr>
              <w:t>）</w:t>
            </w:r>
          </w:p>
        </w:tc>
        <w:tc>
          <w:tcPr>
            <w:tcW w:w="2841" w:type="dxa"/>
          </w:tcPr>
          <w:p>
            <w:pPr>
              <w:pStyle w:val="TableParagraph"/>
              <w:ind w:left="810" w:right="805"/>
              <w:rPr>
                <w:rFonts w:ascii="宋体" w:eastAsia="宋体" w:hint="eastAsia"/>
                <w:sz w:val="21"/>
              </w:rPr>
            </w:pPr>
            <w:r>
              <w:rPr>
                <w:rFonts w:ascii="宋体" w:eastAsia="宋体" w:hint="eastAsia"/>
                <w:sz w:val="21"/>
              </w:rPr>
              <w:t>比例（</w:t>
            </w:r>
            <w:r>
              <w:rPr>
                <w:sz w:val="21"/>
              </w:rPr>
              <w:t>%</w:t>
            </w:r>
            <w:r>
              <w:rPr>
                <w:rFonts w:ascii="宋体" w:eastAsia="宋体" w:hint="eastAsia"/>
                <w:sz w:val="21"/>
              </w:rPr>
              <w:t>）</w:t>
            </w:r>
          </w:p>
        </w:tc>
      </w:tr>
      <w:tr>
        <w:trPr>
          <w:trHeight w:val="311" w:hRule="atLeast"/>
        </w:trPr>
        <w:tc>
          <w:tcPr>
            <w:tcW w:w="2840" w:type="dxa"/>
          </w:tcPr>
          <w:p>
            <w:pPr>
              <w:pStyle w:val="TableParagraph"/>
              <w:spacing w:before="20"/>
              <w:ind w:left="487" w:right="479"/>
              <w:rPr>
                <w:rFonts w:ascii="宋体" w:eastAsia="宋体" w:hint="eastAsia"/>
                <w:sz w:val="21"/>
              </w:rPr>
            </w:pPr>
            <w:r>
              <w:rPr>
                <w:rFonts w:ascii="宋体" w:eastAsia="宋体" w:hint="eastAsia"/>
                <w:sz w:val="21"/>
              </w:rPr>
              <w:t>微度侵蚀</w:t>
            </w:r>
          </w:p>
        </w:tc>
        <w:tc>
          <w:tcPr>
            <w:tcW w:w="2841" w:type="dxa"/>
          </w:tcPr>
          <w:p>
            <w:pPr>
              <w:pStyle w:val="TableParagraph"/>
              <w:spacing w:before="34"/>
              <w:ind w:right="802"/>
              <w:rPr>
                <w:sz w:val="21"/>
              </w:rPr>
            </w:pPr>
            <w:r>
              <w:rPr>
                <w:sz w:val="21"/>
              </w:rPr>
              <w:t>2.4614</w:t>
            </w:r>
          </w:p>
        </w:tc>
        <w:tc>
          <w:tcPr>
            <w:tcW w:w="2841" w:type="dxa"/>
          </w:tcPr>
          <w:p>
            <w:pPr>
              <w:pStyle w:val="TableParagraph"/>
              <w:spacing w:before="34"/>
              <w:ind w:right="803"/>
              <w:rPr>
                <w:sz w:val="21"/>
              </w:rPr>
            </w:pPr>
            <w:r>
              <w:rPr>
                <w:sz w:val="21"/>
              </w:rPr>
              <w:t>33.88</w:t>
            </w:r>
          </w:p>
        </w:tc>
      </w:tr>
      <w:tr>
        <w:trPr>
          <w:trHeight w:val="312" w:hRule="atLeast"/>
        </w:trPr>
        <w:tc>
          <w:tcPr>
            <w:tcW w:w="2840" w:type="dxa"/>
          </w:tcPr>
          <w:p>
            <w:pPr>
              <w:pStyle w:val="TableParagraph"/>
              <w:spacing w:before="20"/>
              <w:ind w:left="487" w:right="479"/>
              <w:rPr>
                <w:rFonts w:ascii="宋体" w:eastAsia="宋体" w:hint="eastAsia"/>
                <w:sz w:val="21"/>
              </w:rPr>
            </w:pPr>
            <w:r>
              <w:rPr>
                <w:rFonts w:ascii="宋体" w:eastAsia="宋体" w:hint="eastAsia"/>
                <w:sz w:val="21"/>
              </w:rPr>
              <w:t>轻度侵蚀</w:t>
            </w:r>
          </w:p>
        </w:tc>
        <w:tc>
          <w:tcPr>
            <w:tcW w:w="2841" w:type="dxa"/>
          </w:tcPr>
          <w:p>
            <w:pPr>
              <w:pStyle w:val="TableParagraph"/>
              <w:spacing w:before="34"/>
              <w:ind w:right="802"/>
              <w:rPr>
                <w:sz w:val="21"/>
              </w:rPr>
            </w:pPr>
            <w:r>
              <w:rPr>
                <w:sz w:val="21"/>
              </w:rPr>
              <w:t>4.1202</w:t>
            </w:r>
          </w:p>
        </w:tc>
        <w:tc>
          <w:tcPr>
            <w:tcW w:w="2841" w:type="dxa"/>
          </w:tcPr>
          <w:p>
            <w:pPr>
              <w:pStyle w:val="TableParagraph"/>
              <w:spacing w:before="34"/>
              <w:ind w:right="803"/>
              <w:rPr>
                <w:sz w:val="21"/>
              </w:rPr>
            </w:pPr>
            <w:r>
              <w:rPr>
                <w:sz w:val="21"/>
              </w:rPr>
              <w:t>56.71</w:t>
            </w:r>
          </w:p>
        </w:tc>
      </w:tr>
      <w:tr>
        <w:trPr>
          <w:trHeight w:val="312" w:hRule="atLeast"/>
        </w:trPr>
        <w:tc>
          <w:tcPr>
            <w:tcW w:w="2840" w:type="dxa"/>
          </w:tcPr>
          <w:p>
            <w:pPr>
              <w:pStyle w:val="TableParagraph"/>
              <w:spacing w:before="20"/>
              <w:ind w:left="487" w:right="479"/>
              <w:rPr>
                <w:rFonts w:ascii="宋体" w:eastAsia="宋体" w:hint="eastAsia"/>
                <w:sz w:val="21"/>
              </w:rPr>
            </w:pPr>
            <w:r>
              <w:rPr>
                <w:rFonts w:ascii="宋体" w:eastAsia="宋体" w:hint="eastAsia"/>
                <w:sz w:val="21"/>
              </w:rPr>
              <w:t>中度侵蚀</w:t>
            </w:r>
          </w:p>
        </w:tc>
        <w:tc>
          <w:tcPr>
            <w:tcW w:w="2841" w:type="dxa"/>
          </w:tcPr>
          <w:p>
            <w:pPr>
              <w:pStyle w:val="TableParagraph"/>
              <w:spacing w:before="34"/>
              <w:ind w:right="802"/>
              <w:rPr>
                <w:sz w:val="21"/>
              </w:rPr>
            </w:pPr>
            <w:r>
              <w:rPr>
                <w:sz w:val="21"/>
              </w:rPr>
              <w:t>0.1514</w:t>
            </w:r>
          </w:p>
        </w:tc>
        <w:tc>
          <w:tcPr>
            <w:tcW w:w="2841" w:type="dxa"/>
          </w:tcPr>
          <w:p>
            <w:pPr>
              <w:pStyle w:val="TableParagraph"/>
              <w:spacing w:before="34"/>
              <w:ind w:right="803"/>
              <w:rPr>
                <w:sz w:val="21"/>
              </w:rPr>
            </w:pPr>
            <w:r>
              <w:rPr>
                <w:sz w:val="21"/>
              </w:rPr>
              <w:t>2.08</w:t>
            </w:r>
          </w:p>
        </w:tc>
      </w:tr>
      <w:tr>
        <w:trPr>
          <w:trHeight w:val="312" w:hRule="atLeast"/>
        </w:trPr>
        <w:tc>
          <w:tcPr>
            <w:tcW w:w="2840" w:type="dxa"/>
          </w:tcPr>
          <w:p>
            <w:pPr>
              <w:pStyle w:val="TableParagraph"/>
              <w:spacing w:before="22"/>
              <w:ind w:left="487" w:right="479"/>
              <w:rPr>
                <w:rFonts w:ascii="宋体" w:eastAsia="宋体" w:hint="eastAsia"/>
                <w:sz w:val="21"/>
              </w:rPr>
            </w:pPr>
            <w:r>
              <w:rPr>
                <w:rFonts w:ascii="宋体" w:eastAsia="宋体" w:hint="eastAsia"/>
                <w:sz w:val="21"/>
              </w:rPr>
              <w:t>强度侵蚀</w:t>
            </w:r>
          </w:p>
        </w:tc>
        <w:tc>
          <w:tcPr>
            <w:tcW w:w="2841" w:type="dxa"/>
          </w:tcPr>
          <w:p>
            <w:pPr>
              <w:pStyle w:val="TableParagraph"/>
              <w:spacing w:before="36"/>
              <w:ind w:right="802"/>
              <w:rPr>
                <w:sz w:val="21"/>
              </w:rPr>
            </w:pPr>
            <w:r>
              <w:rPr>
                <w:sz w:val="21"/>
              </w:rPr>
              <w:t>0.533</w:t>
            </w:r>
          </w:p>
        </w:tc>
        <w:tc>
          <w:tcPr>
            <w:tcW w:w="2841" w:type="dxa"/>
          </w:tcPr>
          <w:p>
            <w:pPr>
              <w:pStyle w:val="TableParagraph"/>
              <w:spacing w:before="36"/>
              <w:ind w:right="803"/>
              <w:rPr>
                <w:sz w:val="21"/>
              </w:rPr>
            </w:pPr>
            <w:r>
              <w:rPr>
                <w:sz w:val="21"/>
              </w:rPr>
              <w:t>7.34</w:t>
            </w:r>
          </w:p>
        </w:tc>
      </w:tr>
      <w:tr>
        <w:trPr>
          <w:trHeight w:val="312" w:hRule="atLeast"/>
        </w:trPr>
        <w:tc>
          <w:tcPr>
            <w:tcW w:w="2840" w:type="dxa"/>
          </w:tcPr>
          <w:p>
            <w:pPr>
              <w:pStyle w:val="TableParagraph"/>
              <w:ind w:left="485" w:right="479"/>
              <w:rPr>
                <w:rFonts w:ascii="宋体" w:eastAsia="宋体" w:hint="eastAsia"/>
                <w:sz w:val="21"/>
              </w:rPr>
            </w:pPr>
            <w:r>
              <w:rPr>
                <w:rFonts w:ascii="宋体" w:eastAsia="宋体" w:hint="eastAsia"/>
                <w:sz w:val="21"/>
              </w:rPr>
              <w:t>合计</w:t>
            </w:r>
          </w:p>
        </w:tc>
        <w:tc>
          <w:tcPr>
            <w:tcW w:w="2841" w:type="dxa"/>
          </w:tcPr>
          <w:p>
            <w:pPr>
              <w:pStyle w:val="TableParagraph"/>
              <w:spacing w:before="35"/>
              <w:ind w:right="802"/>
              <w:rPr>
                <w:sz w:val="21"/>
              </w:rPr>
            </w:pPr>
            <w:r>
              <w:rPr>
                <w:sz w:val="21"/>
              </w:rPr>
              <w:t>7.266</w:t>
            </w:r>
          </w:p>
        </w:tc>
        <w:tc>
          <w:tcPr>
            <w:tcW w:w="2841" w:type="dxa"/>
          </w:tcPr>
          <w:p>
            <w:pPr>
              <w:pStyle w:val="TableParagraph"/>
              <w:spacing w:before="35"/>
              <w:ind w:right="803"/>
              <w:rPr>
                <w:sz w:val="21"/>
              </w:rPr>
            </w:pPr>
            <w:r>
              <w:rPr>
                <w:sz w:val="21"/>
              </w:rPr>
              <w:t>100</w:t>
            </w:r>
          </w:p>
        </w:tc>
      </w:tr>
    </w:tbl>
    <w:p>
      <w:pPr>
        <w:tabs>
          <w:tab w:pos="700" w:val="left" w:leader="none"/>
        </w:tabs>
        <w:spacing w:before="98"/>
        <w:ind w:left="0" w:right="87" w:firstLine="0"/>
        <w:jc w:val="center"/>
        <w:rPr>
          <w:b/>
          <w:sz w:val="21"/>
        </w:rPr>
      </w:pPr>
      <w:r>
        <w:rPr>
          <w:b/>
          <w:sz w:val="21"/>
        </w:rPr>
        <w:t>表</w:t>
      </w:r>
      <w:r>
        <w:rPr>
          <w:rFonts w:ascii="Times New Roman" w:eastAsia="Times New Roman"/>
          <w:b/>
          <w:sz w:val="21"/>
        </w:rPr>
        <w:t>5-8</w:t>
        <w:tab/>
      </w:r>
      <w:r>
        <w:rPr>
          <w:b/>
          <w:sz w:val="21"/>
        </w:rPr>
        <w:t>项目区内土壤侵蚀强度面积统计</w:t>
      </w:r>
    </w:p>
    <w:p>
      <w:pPr>
        <w:pStyle w:val="BodyText"/>
        <w:spacing w:before="11"/>
        <w:ind w:left="0"/>
        <w:rPr>
          <w:b/>
          <w:sz w:val="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0"/>
        <w:gridCol w:w="2841"/>
        <w:gridCol w:w="2841"/>
      </w:tblGrid>
      <w:tr>
        <w:trPr>
          <w:trHeight w:val="312" w:hRule="atLeast"/>
        </w:trPr>
        <w:tc>
          <w:tcPr>
            <w:tcW w:w="2840" w:type="dxa"/>
          </w:tcPr>
          <w:p>
            <w:pPr>
              <w:pStyle w:val="TableParagraph"/>
              <w:ind w:left="487" w:right="479"/>
              <w:rPr>
                <w:rFonts w:ascii="宋体" w:eastAsia="宋体" w:hint="eastAsia"/>
                <w:sz w:val="21"/>
              </w:rPr>
            </w:pPr>
            <w:r>
              <w:rPr>
                <w:rFonts w:ascii="宋体" w:eastAsia="宋体" w:hint="eastAsia"/>
                <w:sz w:val="21"/>
              </w:rPr>
              <w:t>侵蚀强度</w:t>
            </w:r>
          </w:p>
        </w:tc>
        <w:tc>
          <w:tcPr>
            <w:tcW w:w="2841" w:type="dxa"/>
          </w:tcPr>
          <w:p>
            <w:pPr>
              <w:pStyle w:val="TableParagraph"/>
              <w:ind w:right="805"/>
              <w:rPr>
                <w:rFonts w:ascii="宋体" w:eastAsia="宋体" w:hint="eastAsia"/>
                <w:sz w:val="21"/>
              </w:rPr>
            </w:pPr>
            <w:r>
              <w:rPr>
                <w:rFonts w:ascii="宋体" w:eastAsia="宋体" w:hint="eastAsia"/>
                <w:sz w:val="21"/>
              </w:rPr>
              <w:t>面积（</w:t>
            </w:r>
            <w:r>
              <w:rPr>
                <w:sz w:val="21"/>
              </w:rPr>
              <w:t>km</w:t>
            </w:r>
            <w:r>
              <w:rPr>
                <w:position w:val="7"/>
                <w:sz w:val="13"/>
              </w:rPr>
              <w:t>2</w:t>
            </w:r>
            <w:r>
              <w:rPr>
                <w:rFonts w:ascii="宋体" w:eastAsia="宋体" w:hint="eastAsia"/>
                <w:sz w:val="21"/>
              </w:rPr>
              <w:t>）</w:t>
            </w:r>
          </w:p>
        </w:tc>
        <w:tc>
          <w:tcPr>
            <w:tcW w:w="2841" w:type="dxa"/>
          </w:tcPr>
          <w:p>
            <w:pPr>
              <w:pStyle w:val="TableParagraph"/>
              <w:ind w:left="810" w:right="805"/>
              <w:rPr>
                <w:rFonts w:ascii="宋体" w:eastAsia="宋体" w:hint="eastAsia"/>
                <w:sz w:val="21"/>
              </w:rPr>
            </w:pPr>
            <w:r>
              <w:rPr>
                <w:rFonts w:ascii="宋体" w:eastAsia="宋体" w:hint="eastAsia"/>
                <w:sz w:val="21"/>
              </w:rPr>
              <w:t>比例（</w:t>
            </w:r>
            <w:r>
              <w:rPr>
                <w:sz w:val="21"/>
              </w:rPr>
              <w:t>%</w:t>
            </w:r>
            <w:r>
              <w:rPr>
                <w:rFonts w:ascii="宋体" w:eastAsia="宋体" w:hint="eastAsia"/>
                <w:sz w:val="21"/>
              </w:rPr>
              <w:t>）</w:t>
            </w:r>
          </w:p>
        </w:tc>
      </w:tr>
      <w:tr>
        <w:trPr>
          <w:trHeight w:val="311" w:hRule="atLeast"/>
        </w:trPr>
        <w:tc>
          <w:tcPr>
            <w:tcW w:w="2840" w:type="dxa"/>
          </w:tcPr>
          <w:p>
            <w:pPr>
              <w:pStyle w:val="TableParagraph"/>
              <w:spacing w:before="20"/>
              <w:ind w:left="487" w:right="479"/>
              <w:rPr>
                <w:rFonts w:ascii="宋体" w:eastAsia="宋体" w:hint="eastAsia"/>
                <w:sz w:val="21"/>
              </w:rPr>
            </w:pPr>
            <w:r>
              <w:rPr>
                <w:rFonts w:ascii="宋体" w:eastAsia="宋体" w:hint="eastAsia"/>
                <w:sz w:val="21"/>
              </w:rPr>
              <w:t>微度侵蚀</w:t>
            </w:r>
          </w:p>
        </w:tc>
        <w:tc>
          <w:tcPr>
            <w:tcW w:w="2841" w:type="dxa"/>
          </w:tcPr>
          <w:p>
            <w:pPr>
              <w:pStyle w:val="TableParagraph"/>
              <w:spacing w:before="34"/>
              <w:ind w:right="802"/>
              <w:rPr>
                <w:sz w:val="21"/>
              </w:rPr>
            </w:pPr>
            <w:r>
              <w:rPr>
                <w:sz w:val="21"/>
              </w:rPr>
              <w:t>0.6854</w:t>
            </w:r>
          </w:p>
        </w:tc>
        <w:tc>
          <w:tcPr>
            <w:tcW w:w="2841" w:type="dxa"/>
          </w:tcPr>
          <w:p>
            <w:pPr>
              <w:pStyle w:val="TableParagraph"/>
              <w:spacing w:before="34"/>
              <w:ind w:right="805"/>
              <w:rPr>
                <w:sz w:val="21"/>
              </w:rPr>
            </w:pPr>
            <w:r>
              <w:rPr>
                <w:sz w:val="21"/>
              </w:rPr>
              <w:t>51.81</w:t>
            </w:r>
          </w:p>
        </w:tc>
      </w:tr>
      <w:tr>
        <w:trPr>
          <w:trHeight w:val="312" w:hRule="atLeast"/>
        </w:trPr>
        <w:tc>
          <w:tcPr>
            <w:tcW w:w="2840" w:type="dxa"/>
          </w:tcPr>
          <w:p>
            <w:pPr>
              <w:pStyle w:val="TableParagraph"/>
              <w:spacing w:before="20"/>
              <w:ind w:left="487" w:right="479"/>
              <w:rPr>
                <w:rFonts w:ascii="宋体" w:eastAsia="宋体" w:hint="eastAsia"/>
                <w:sz w:val="21"/>
              </w:rPr>
            </w:pPr>
            <w:r>
              <w:rPr>
                <w:rFonts w:ascii="宋体" w:eastAsia="宋体" w:hint="eastAsia"/>
                <w:sz w:val="21"/>
              </w:rPr>
              <w:t>轻度侵蚀</w:t>
            </w:r>
          </w:p>
        </w:tc>
        <w:tc>
          <w:tcPr>
            <w:tcW w:w="2841" w:type="dxa"/>
          </w:tcPr>
          <w:p>
            <w:pPr>
              <w:pStyle w:val="TableParagraph"/>
              <w:spacing w:before="34"/>
              <w:ind w:right="802"/>
              <w:rPr>
                <w:sz w:val="21"/>
              </w:rPr>
            </w:pPr>
            <w:r>
              <w:rPr>
                <w:sz w:val="21"/>
              </w:rPr>
              <w:t>0.4435</w:t>
            </w:r>
          </w:p>
        </w:tc>
        <w:tc>
          <w:tcPr>
            <w:tcW w:w="2841" w:type="dxa"/>
          </w:tcPr>
          <w:p>
            <w:pPr>
              <w:pStyle w:val="TableParagraph"/>
              <w:spacing w:before="34"/>
              <w:ind w:right="803"/>
              <w:rPr>
                <w:sz w:val="21"/>
              </w:rPr>
            </w:pPr>
            <w:r>
              <w:rPr>
                <w:sz w:val="21"/>
              </w:rPr>
              <w:t>33.52</w:t>
            </w:r>
          </w:p>
        </w:tc>
      </w:tr>
      <w:tr>
        <w:trPr>
          <w:trHeight w:val="312" w:hRule="atLeast"/>
        </w:trPr>
        <w:tc>
          <w:tcPr>
            <w:tcW w:w="2840" w:type="dxa"/>
          </w:tcPr>
          <w:p>
            <w:pPr>
              <w:pStyle w:val="TableParagraph"/>
              <w:spacing w:before="22"/>
              <w:ind w:left="487" w:right="479"/>
              <w:rPr>
                <w:rFonts w:ascii="宋体" w:eastAsia="宋体" w:hint="eastAsia"/>
                <w:sz w:val="21"/>
              </w:rPr>
            </w:pPr>
            <w:r>
              <w:rPr>
                <w:rFonts w:ascii="宋体" w:eastAsia="宋体" w:hint="eastAsia"/>
                <w:sz w:val="21"/>
              </w:rPr>
              <w:t>中度侵蚀</w:t>
            </w:r>
          </w:p>
        </w:tc>
        <w:tc>
          <w:tcPr>
            <w:tcW w:w="2841" w:type="dxa"/>
          </w:tcPr>
          <w:p>
            <w:pPr>
              <w:pStyle w:val="TableParagraph"/>
              <w:spacing w:before="36"/>
              <w:ind w:right="802"/>
              <w:rPr>
                <w:sz w:val="21"/>
              </w:rPr>
            </w:pPr>
            <w:r>
              <w:rPr>
                <w:sz w:val="21"/>
              </w:rPr>
              <w:t>0.0564</w:t>
            </w:r>
          </w:p>
        </w:tc>
        <w:tc>
          <w:tcPr>
            <w:tcW w:w="2841" w:type="dxa"/>
          </w:tcPr>
          <w:p>
            <w:pPr>
              <w:pStyle w:val="TableParagraph"/>
              <w:spacing w:before="36"/>
              <w:ind w:right="803"/>
              <w:rPr>
                <w:sz w:val="21"/>
              </w:rPr>
            </w:pPr>
            <w:r>
              <w:rPr>
                <w:sz w:val="21"/>
              </w:rPr>
              <w:t>4.27</w:t>
            </w:r>
          </w:p>
        </w:tc>
      </w:tr>
      <w:tr>
        <w:trPr>
          <w:trHeight w:val="312" w:hRule="atLeast"/>
        </w:trPr>
        <w:tc>
          <w:tcPr>
            <w:tcW w:w="2840" w:type="dxa"/>
          </w:tcPr>
          <w:p>
            <w:pPr>
              <w:pStyle w:val="TableParagraph"/>
              <w:ind w:left="487" w:right="479"/>
              <w:rPr>
                <w:rFonts w:ascii="宋体" w:eastAsia="宋体" w:hint="eastAsia"/>
                <w:sz w:val="21"/>
              </w:rPr>
            </w:pPr>
            <w:r>
              <w:rPr>
                <w:rFonts w:ascii="宋体" w:eastAsia="宋体" w:hint="eastAsia"/>
                <w:sz w:val="21"/>
              </w:rPr>
              <w:t>强度侵蚀</w:t>
            </w:r>
          </w:p>
        </w:tc>
        <w:tc>
          <w:tcPr>
            <w:tcW w:w="2841" w:type="dxa"/>
          </w:tcPr>
          <w:p>
            <w:pPr>
              <w:pStyle w:val="TableParagraph"/>
              <w:spacing w:before="35"/>
              <w:ind w:right="802"/>
              <w:rPr>
                <w:sz w:val="21"/>
              </w:rPr>
            </w:pPr>
            <w:r>
              <w:rPr>
                <w:sz w:val="21"/>
              </w:rPr>
              <w:t>0.1376</w:t>
            </w:r>
          </w:p>
        </w:tc>
        <w:tc>
          <w:tcPr>
            <w:tcW w:w="2841" w:type="dxa"/>
          </w:tcPr>
          <w:p>
            <w:pPr>
              <w:pStyle w:val="TableParagraph"/>
              <w:spacing w:before="35"/>
              <w:ind w:right="805"/>
              <w:rPr>
                <w:sz w:val="21"/>
              </w:rPr>
            </w:pPr>
            <w:r>
              <w:rPr>
                <w:sz w:val="21"/>
              </w:rPr>
              <w:t>10.40</w:t>
            </w:r>
          </w:p>
        </w:tc>
      </w:tr>
      <w:tr>
        <w:trPr>
          <w:trHeight w:val="312" w:hRule="atLeast"/>
        </w:trPr>
        <w:tc>
          <w:tcPr>
            <w:tcW w:w="2840" w:type="dxa"/>
          </w:tcPr>
          <w:p>
            <w:pPr>
              <w:pStyle w:val="TableParagraph"/>
              <w:ind w:left="485" w:right="479"/>
              <w:rPr>
                <w:rFonts w:ascii="宋体" w:eastAsia="宋体" w:hint="eastAsia"/>
                <w:sz w:val="21"/>
              </w:rPr>
            </w:pPr>
            <w:r>
              <w:rPr>
                <w:rFonts w:ascii="宋体" w:eastAsia="宋体" w:hint="eastAsia"/>
                <w:sz w:val="21"/>
              </w:rPr>
              <w:t>合计</w:t>
            </w:r>
          </w:p>
        </w:tc>
        <w:tc>
          <w:tcPr>
            <w:tcW w:w="2841" w:type="dxa"/>
          </w:tcPr>
          <w:p>
            <w:pPr>
              <w:pStyle w:val="TableParagraph"/>
              <w:spacing w:before="35"/>
              <w:ind w:right="802"/>
              <w:rPr>
                <w:sz w:val="21"/>
              </w:rPr>
            </w:pPr>
            <w:r>
              <w:rPr>
                <w:sz w:val="21"/>
              </w:rPr>
              <w:t>1.3229</w:t>
            </w:r>
          </w:p>
        </w:tc>
        <w:tc>
          <w:tcPr>
            <w:tcW w:w="2841" w:type="dxa"/>
          </w:tcPr>
          <w:p>
            <w:pPr>
              <w:pStyle w:val="TableParagraph"/>
              <w:spacing w:before="35"/>
              <w:ind w:right="803"/>
              <w:rPr>
                <w:sz w:val="21"/>
              </w:rPr>
            </w:pPr>
            <w:r>
              <w:rPr>
                <w:sz w:val="21"/>
              </w:rPr>
              <w:t>100</w:t>
            </w:r>
          </w:p>
        </w:tc>
      </w:tr>
    </w:tbl>
    <w:p>
      <w:pPr>
        <w:pStyle w:val="BodyText"/>
        <w:spacing w:before="9"/>
        <w:ind w:left="0"/>
        <w:rPr>
          <w:b/>
          <w:sz w:val="8"/>
        </w:rPr>
      </w:pPr>
      <w:r>
        <w:rPr/>
        <w:drawing>
          <wp:anchor distT="0" distB="0" distL="0" distR="0" allowOverlap="1" layoutInCell="1" locked="0" behindDoc="0" simplePos="0" relativeHeight="6">
            <wp:simplePos x="0" y="0"/>
            <wp:positionH relativeFrom="page">
              <wp:posOffset>1181491</wp:posOffset>
            </wp:positionH>
            <wp:positionV relativeFrom="paragraph">
              <wp:posOffset>95618</wp:posOffset>
            </wp:positionV>
            <wp:extent cx="5315485" cy="4386262"/>
            <wp:effectExtent l="0" t="0" r="0" b="0"/>
            <wp:wrapTopAndBottom/>
            <wp:docPr id="5" name="image5.jpeg"/>
            <wp:cNvGraphicFramePr>
              <a:graphicFrameLocks noChangeAspect="1"/>
            </wp:cNvGraphicFramePr>
            <a:graphic>
              <a:graphicData uri="http://schemas.openxmlformats.org/drawingml/2006/picture">
                <pic:pic>
                  <pic:nvPicPr>
                    <pic:cNvPr id="6" name="image5.jpeg"/>
                    <pic:cNvPicPr/>
                  </pic:nvPicPr>
                  <pic:blipFill>
                    <a:blip r:embed="rId11" cstate="print"/>
                    <a:stretch>
                      <a:fillRect/>
                    </a:stretch>
                  </pic:blipFill>
                  <pic:spPr>
                    <a:xfrm>
                      <a:off x="0" y="0"/>
                      <a:ext cx="5315485" cy="4386262"/>
                    </a:xfrm>
                    <a:prstGeom prst="rect">
                      <a:avLst/>
                    </a:prstGeom>
                  </pic:spPr>
                </pic:pic>
              </a:graphicData>
            </a:graphic>
          </wp:anchor>
        </w:drawing>
      </w:r>
    </w:p>
    <w:p>
      <w:pPr>
        <w:pStyle w:val="BodyText"/>
        <w:spacing w:before="10"/>
        <w:ind w:left="0"/>
        <w:rPr>
          <w:b/>
          <w:sz w:val="8"/>
        </w:rPr>
      </w:pPr>
    </w:p>
    <w:p>
      <w:pPr>
        <w:spacing w:after="0"/>
        <w:rPr>
          <w:sz w:val="8"/>
        </w:rPr>
        <w:sectPr>
          <w:pgSz w:w="11910" w:h="16840"/>
          <w:pgMar w:header="0" w:footer="970" w:top="1420" w:bottom="1160" w:left="1580" w:right="1480"/>
        </w:sectPr>
      </w:pPr>
    </w:p>
    <w:p>
      <w:pPr>
        <w:pStyle w:val="BodyText"/>
        <w:ind w:left="0"/>
        <w:rPr>
          <w:b/>
          <w:sz w:val="30"/>
        </w:rPr>
      </w:pPr>
    </w:p>
    <w:p>
      <w:pPr>
        <w:pStyle w:val="Heading3"/>
        <w:numPr>
          <w:ilvl w:val="1"/>
          <w:numId w:val="2"/>
        </w:numPr>
        <w:tabs>
          <w:tab w:pos="710" w:val="left" w:leader="none"/>
        </w:tabs>
        <w:spacing w:line="240" w:lineRule="auto" w:before="193" w:after="0"/>
        <w:ind w:left="709" w:right="0" w:hanging="490"/>
        <w:jc w:val="left"/>
      </w:pPr>
      <w:bookmarkStart w:name="_bookmark20" w:id="42"/>
      <w:bookmarkEnd w:id="42"/>
      <w:r>
        <w:rPr>
          <w:b w:val="0"/>
        </w:rPr>
      </w:r>
      <w:bookmarkStart w:name="_bookmark20" w:id="43"/>
      <w:bookmarkEnd w:id="43"/>
      <w:r>
        <w:rPr/>
        <w:t>生态功能区划</w:t>
      </w:r>
    </w:p>
    <w:p>
      <w:pPr>
        <w:tabs>
          <w:tab w:pos="920" w:val="left" w:leader="none"/>
        </w:tabs>
        <w:spacing w:before="76"/>
        <w:ind w:left="220" w:right="0" w:firstLine="0"/>
        <w:jc w:val="left"/>
        <w:rPr>
          <w:b/>
          <w:sz w:val="21"/>
        </w:rPr>
      </w:pPr>
      <w:r>
        <w:rPr/>
        <w:br w:type="column"/>
      </w:r>
      <w:r>
        <w:rPr>
          <w:b/>
          <w:sz w:val="21"/>
        </w:rPr>
        <w:t>图</w:t>
      </w:r>
      <w:r>
        <w:rPr>
          <w:rFonts w:ascii="Times New Roman" w:eastAsia="Times New Roman"/>
          <w:b/>
          <w:sz w:val="21"/>
        </w:rPr>
        <w:t>5-5</w:t>
        <w:tab/>
      </w:r>
      <w:r>
        <w:rPr>
          <w:b/>
          <w:sz w:val="21"/>
        </w:rPr>
        <w:t>土壤侵蚀现状图</w:t>
      </w:r>
    </w:p>
    <w:p>
      <w:pPr>
        <w:spacing w:after="0"/>
        <w:jc w:val="left"/>
        <w:rPr>
          <w:sz w:val="21"/>
        </w:rPr>
        <w:sectPr>
          <w:type w:val="continuous"/>
          <w:pgSz w:w="11910" w:h="16840"/>
          <w:pgMar w:top="1580" w:bottom="280" w:left="1580" w:right="1480"/>
          <w:cols w:num="2" w:equalWidth="0">
            <w:col w:w="2437" w:space="630"/>
            <w:col w:w="5783"/>
          </w:cols>
        </w:sectPr>
      </w:pPr>
    </w:p>
    <w:p>
      <w:pPr>
        <w:pStyle w:val="BodyText"/>
        <w:spacing w:before="7"/>
        <w:ind w:left="0"/>
        <w:rPr>
          <w:b/>
          <w:sz w:val="11"/>
        </w:rPr>
      </w:pPr>
    </w:p>
    <w:p>
      <w:pPr>
        <w:pStyle w:val="BodyText"/>
        <w:spacing w:line="364" w:lineRule="auto" w:before="66"/>
        <w:ind w:right="317" w:firstLine="480"/>
      </w:pPr>
      <w:r>
        <w:rPr>
          <w:spacing w:val="-11"/>
        </w:rPr>
        <w:t>根据《陕西省生态功能区划》，本光伏发电项目位于位于关中平原城镇及农</w:t>
      </w:r>
      <w:r>
        <w:rPr/>
        <w:t>业区。陕西省生态功能区划图见图</w:t>
      </w:r>
      <w:r>
        <w:rPr>
          <w:rFonts w:ascii="Times New Roman" w:eastAsia="Times New Roman"/>
        </w:rPr>
        <w:t>5-6</w:t>
      </w:r>
      <w:r>
        <w:rPr/>
        <w:t>。</w:t>
      </w:r>
    </w:p>
    <w:p>
      <w:pPr>
        <w:spacing w:after="0" w:line="364" w:lineRule="auto"/>
        <w:sectPr>
          <w:type w:val="continuous"/>
          <w:pgSz w:w="11910" w:h="16840"/>
          <w:pgMar w:top="1580" w:bottom="280" w:left="1580" w:right="1480"/>
        </w:sectPr>
      </w:pPr>
    </w:p>
    <w:p>
      <w:pPr>
        <w:pStyle w:val="BodyText"/>
        <w:ind w:left="0"/>
        <w:rPr>
          <w:sz w:val="20"/>
        </w:rPr>
      </w:pPr>
      <w:r>
        <w:rPr/>
        <w:pict>
          <v:group style="position:absolute;margin-left:89.970001pt;margin-top:78.930023pt;width:414.2pt;height:656.1pt;mso-position-horizontal-relative:page;mso-position-vertical-relative:page;z-index:-253131776" coordorigin="1799,1579" coordsize="8284,13122">
            <v:shape style="position:absolute;left:1814;top:1594;width:8237;height:13092" type="#_x0000_t75" stroked="false">
              <v:imagedata r:id="rId12" o:title=""/>
            </v:shape>
            <v:shape style="position:absolute;left:1799;top:1578;width:8284;height:13122" coordorigin="1799,1579" coordsize="8284,13122" path="m10083,14701l1799,14701,1799,1579,10083,1579,10083,1586,1814,1586,1807,1594,1814,1594,1814,14686,1807,14686,1814,14693,10083,14693,10083,14701xm1814,1594l1807,1594,1814,1586,1814,1594xm10068,1594l1814,1594,1814,1586,10068,1586,10068,1594xm10068,14693l10068,1586,10076,1594,10083,1594,10083,14686,10076,14686,10068,14693xm10083,1594l10076,1594,10068,1586,10083,1586,10083,1594xm1814,14693l1807,14686,1814,14686,1814,14693xm10068,14693l1814,14693,1814,14686,10068,14686,10068,14693xm10083,14693l10068,14693,10076,14686,10083,14686,10083,14693xe" filled="true" fillcolor="#000000" stroked="false">
              <v:path arrowok="t"/>
              <v:fill type="solid"/>
            </v:shape>
            <v:shape style="position:absolute;left:6504;top:8832;width:1424;height:1042" coordorigin="6504,8832" coordsize="1424,1042" path="m7927,9319l6511,9319,6511,8832,7927,8832,7927,9319xm6504,9874l6746,9319,7102,9319,6504,9874xe" filled="true" fillcolor="#ec7c30" stroked="false">
              <v:path arrowok="t"/>
              <v:fill type="solid"/>
            </v:shape>
            <v:shape style="position:absolute;left:6475;top:8822;width:1463;height:1093" coordorigin="6475,8823" coordsize="1463,1093" path="m6732,9328l6501,9328,6501,8823,7938,8823,7938,8833,6521,8833,6511,8843,6521,8843,6521,9308,6511,9308,6521,9318,6736,9318,6732,9328xm6521,8843l6511,8843,6521,8833,6521,8843xm7918,8843l6521,8843,6521,8833,7918,8833,7918,8843xm7918,9318l7918,8833,7928,8843,7938,8843,7938,9308,7928,9308,7918,9318xm7938,8843l7928,8843,7918,8833,7938,8833,7938,8843xm6521,9318l6511,9308,6521,9308,6521,9318xm6736,9318l6521,9318,6521,9308,6763,9308,6760,9314,6738,9314,6736,9318xm6514,9879l6513,9879,6532,9834,7098,9308,7918,9308,7918,9318,7938,9318,7938,9326,7108,9326,7102,9328,7105,9328,6514,9879xm7938,9318l7918,9318,7928,9308,7938,9308,7938,9318xm6475,9915l6738,9314,6747,9328,6754,9328,6532,9834,6497,9867,6513,9879,6514,9879,6475,9915xm6754,9328l6747,9328,6738,9314,6760,9314,6754,9328xm7105,9328l7102,9328,7108,9326,7105,9328xm7938,9328l7105,9328,7108,9326,7938,9326,7938,9328xm6513,9879l6497,9867,6532,9834,6513,9879xe" filled="true" fillcolor="#000000" stroked="false">
              <v:path arrowok="t"/>
              <v:fill type="solid"/>
            </v:shape>
            <w10:wrap type="none"/>
          </v:group>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28"/>
        </w:rPr>
      </w:pPr>
    </w:p>
    <w:p>
      <w:pPr>
        <w:spacing w:before="70"/>
        <w:ind w:left="5113" w:right="0" w:firstLine="0"/>
        <w:jc w:val="left"/>
        <w:rPr>
          <w:sz w:val="21"/>
        </w:rPr>
      </w:pPr>
      <w:r>
        <w:rPr>
          <w:sz w:val="21"/>
        </w:rPr>
        <w:t>项目所在地</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0"/>
        <w:ind w:left="0"/>
        <w:rPr>
          <w:sz w:val="28"/>
        </w:rPr>
      </w:pPr>
    </w:p>
    <w:p>
      <w:pPr>
        <w:tabs>
          <w:tab w:pos="700" w:val="left" w:leader="none"/>
        </w:tabs>
        <w:spacing w:before="0"/>
        <w:ind w:left="0" w:right="90" w:firstLine="0"/>
        <w:jc w:val="center"/>
        <w:rPr>
          <w:b/>
          <w:sz w:val="21"/>
        </w:rPr>
      </w:pPr>
      <w:r>
        <w:rPr>
          <w:b/>
          <w:sz w:val="21"/>
        </w:rPr>
        <w:t>图</w:t>
      </w:r>
      <w:r>
        <w:rPr>
          <w:rFonts w:ascii="Times New Roman" w:eastAsia="Times New Roman"/>
          <w:b/>
          <w:sz w:val="21"/>
        </w:rPr>
        <w:t>5-6</w:t>
        <w:tab/>
      </w:r>
      <w:r>
        <w:rPr>
          <w:b/>
          <w:sz w:val="21"/>
        </w:rPr>
        <w:t>陕西省生态功能区划图</w:t>
      </w:r>
    </w:p>
    <w:p>
      <w:pPr>
        <w:spacing w:after="0"/>
        <w:jc w:val="center"/>
        <w:rPr>
          <w:sz w:val="21"/>
        </w:rPr>
        <w:sectPr>
          <w:pgSz w:w="11910" w:h="16840"/>
          <w:pgMar w:header="0" w:footer="970" w:top="1560" w:bottom="1160" w:left="1580" w:right="1480"/>
        </w:sectPr>
      </w:pPr>
    </w:p>
    <w:p>
      <w:pPr>
        <w:pStyle w:val="Heading1"/>
        <w:numPr>
          <w:ilvl w:val="0"/>
          <w:numId w:val="2"/>
        </w:numPr>
        <w:tabs>
          <w:tab w:pos="540" w:val="left" w:leader="none"/>
        </w:tabs>
        <w:spacing w:line="240" w:lineRule="auto" w:before="50" w:after="0"/>
        <w:ind w:left="539" w:right="0" w:hanging="320"/>
        <w:jc w:val="left"/>
        <w:rPr>
          <w:rFonts w:ascii="Times New Roman" w:eastAsia="Times New Roman"/>
        </w:rPr>
      </w:pPr>
      <w:bookmarkStart w:name="_bookmark21" w:id="44"/>
      <w:bookmarkEnd w:id="44"/>
      <w:r>
        <w:rPr>
          <w:b w:val="0"/>
        </w:rPr>
      </w:r>
      <w:bookmarkStart w:name="_bookmark21" w:id="45"/>
      <w:bookmarkEnd w:id="45"/>
      <w:r>
        <w:rPr/>
        <w:t>生态环境影响分析</w:t>
      </w:r>
    </w:p>
    <w:p>
      <w:pPr>
        <w:pStyle w:val="Heading3"/>
        <w:numPr>
          <w:ilvl w:val="1"/>
          <w:numId w:val="2"/>
        </w:numPr>
        <w:tabs>
          <w:tab w:pos="710" w:val="left" w:leader="none"/>
        </w:tabs>
        <w:spacing w:line="240" w:lineRule="auto" w:before="239" w:after="0"/>
        <w:ind w:left="709" w:right="0" w:hanging="490"/>
        <w:jc w:val="left"/>
      </w:pPr>
      <w:bookmarkStart w:name="_bookmark22" w:id="46"/>
      <w:bookmarkEnd w:id="46"/>
      <w:r>
        <w:rPr>
          <w:b w:val="0"/>
        </w:rPr>
      </w:r>
      <w:bookmarkStart w:name="_bookmark22" w:id="47"/>
      <w:bookmarkEnd w:id="47"/>
      <w:r>
        <w:rPr/>
        <w:t>施工期生态环境影响分析</w:t>
      </w:r>
    </w:p>
    <w:p>
      <w:pPr>
        <w:pStyle w:val="BodyText"/>
        <w:spacing w:line="364" w:lineRule="auto" w:before="212"/>
        <w:ind w:right="225" w:firstLine="480"/>
      </w:pPr>
      <w:r>
        <w:rPr>
          <w:spacing w:val="-1"/>
        </w:rPr>
        <w:t>工程施工过程中将进行土石方的填挖，包括箱式变基础施工、电缆沟施工、</w:t>
      </w:r>
      <w:r>
        <w:rPr>
          <w:spacing w:val="-7"/>
        </w:rPr>
        <w:t>公用设施的施工、场内道路的修建、临时便道修建等工程。本项目电池组件支架</w:t>
      </w:r>
      <w:r>
        <w:rPr>
          <w:spacing w:val="-11"/>
        </w:rPr>
        <w:t>基础为桩基基础，项目光伏阵列依照场区现有的地形起伏，顺势布置，阵列区仅需简单的场地平整。</w:t>
      </w:r>
    </w:p>
    <w:p>
      <w:pPr>
        <w:pStyle w:val="BodyText"/>
        <w:spacing w:line="364" w:lineRule="auto" w:before="3"/>
        <w:ind w:right="317" w:firstLine="480"/>
        <w:jc w:val="both"/>
      </w:pPr>
      <w:r>
        <w:rPr>
          <w:spacing w:val="-1"/>
        </w:rPr>
        <w:t>项目可行性研究报告，工程土方开挖</w:t>
      </w:r>
      <w:r>
        <w:rPr>
          <w:rFonts w:ascii="Times New Roman" w:eastAsia="Times New Roman"/>
        </w:rPr>
        <w:t>9.7</w:t>
      </w:r>
      <w:r>
        <w:rPr/>
        <w:t>万</w:t>
      </w:r>
      <w:r>
        <w:rPr>
          <w:rFonts w:ascii="Times New Roman" w:eastAsia="Times New Roman"/>
          <w:spacing w:val="-4"/>
        </w:rPr>
        <w:t>m</w:t>
      </w:r>
      <w:r>
        <w:rPr>
          <w:rFonts w:ascii="Times New Roman" w:eastAsia="Times New Roman"/>
          <w:spacing w:val="-4"/>
          <w:position w:val="8"/>
          <w:sz w:val="15"/>
        </w:rPr>
        <w:t>3</w:t>
      </w:r>
      <w:r>
        <w:rPr>
          <w:spacing w:val="-2"/>
        </w:rPr>
        <w:t>，土方回填</w:t>
      </w:r>
      <w:r>
        <w:rPr>
          <w:rFonts w:ascii="Times New Roman" w:eastAsia="Times New Roman"/>
        </w:rPr>
        <w:t>9.7</w:t>
      </w:r>
      <w:r>
        <w:rPr/>
        <w:t>万</w:t>
      </w:r>
      <w:r>
        <w:rPr>
          <w:rFonts w:ascii="Times New Roman" w:eastAsia="Times New Roman"/>
          <w:spacing w:val="-3"/>
        </w:rPr>
        <w:t>m</w:t>
      </w:r>
      <w:r>
        <w:rPr>
          <w:rFonts w:ascii="Times New Roman" w:eastAsia="Times New Roman"/>
          <w:spacing w:val="-3"/>
          <w:position w:val="8"/>
          <w:sz w:val="15"/>
        </w:rPr>
        <w:t>3</w:t>
      </w:r>
      <w:r>
        <w:rPr>
          <w:spacing w:val="-5"/>
        </w:rPr>
        <w:t>，土石方基</w:t>
      </w:r>
      <w:r>
        <w:rPr>
          <w:spacing w:val="-10"/>
        </w:rPr>
        <w:t>本平衡。项目施工期通过土石方的填挖等途径，造成了原有地貌扰动，使地表植被遭到破坏，失去原有固沙和防冲能力，造成水土流失，项目施工中仅对场地地</w:t>
      </w:r>
      <w:r>
        <w:rPr>
          <w:spacing w:val="-7"/>
        </w:rPr>
        <w:t>势较高处地块进行局部修正、减小坡度，不对整个厂区进行大面积平整，施工过</w:t>
      </w:r>
      <w:r>
        <w:rPr/>
        <w:t>程中土地平整扰动面积小于光伏太阳能板区面积的</w:t>
      </w:r>
      <w:r>
        <w:rPr>
          <w:rFonts w:ascii="Times New Roman" w:eastAsia="Times New Roman"/>
          <w:spacing w:val="-14"/>
        </w:rPr>
        <w:t>10%</w:t>
      </w:r>
      <w:r>
        <w:rPr>
          <w:spacing w:val="-6"/>
        </w:rPr>
        <w:t>，项目施工期限定施工期</w:t>
      </w:r>
      <w:r>
        <w:rPr>
          <w:spacing w:val="-10"/>
        </w:rPr>
        <w:t>作业带范围，并严格施工界限，不得超出项目占地范围，施工过程不得超出划定</w:t>
      </w:r>
      <w:r>
        <w:rPr>
          <w:spacing w:val="-11"/>
        </w:rPr>
        <w:t>施工范围，减少临时用地，且项目施工期时间较短，六个月内将完成全部工程施</w:t>
      </w:r>
      <w:r>
        <w:rPr>
          <w:spacing w:val="-10"/>
        </w:rPr>
        <w:t>工，工程施工结束后立即进行场地植被恢复和绿化，并采取工程措施、植物措施</w:t>
      </w:r>
      <w:r>
        <w:rPr/>
        <w:t>相结合的方式控制水土流失，因此工程的建设对区域内地生态环境影响较小。</w:t>
      </w:r>
    </w:p>
    <w:p>
      <w:pPr>
        <w:pStyle w:val="Heading3"/>
        <w:numPr>
          <w:ilvl w:val="2"/>
          <w:numId w:val="9"/>
        </w:numPr>
        <w:tabs>
          <w:tab w:pos="921" w:val="left" w:leader="none"/>
        </w:tabs>
        <w:spacing w:line="240" w:lineRule="auto" w:before="59" w:after="0"/>
        <w:ind w:left="920" w:right="0" w:hanging="701"/>
        <w:jc w:val="left"/>
      </w:pPr>
      <w:r>
        <w:rPr/>
        <w:t>植被影响分析</w:t>
      </w:r>
    </w:p>
    <w:p>
      <w:pPr>
        <w:pStyle w:val="BodyText"/>
        <w:spacing w:line="364" w:lineRule="auto" w:before="211"/>
        <w:ind w:right="317" w:firstLine="480"/>
        <w:jc w:val="both"/>
      </w:pPr>
      <w:r>
        <w:rPr>
          <w:spacing w:val="-8"/>
        </w:rPr>
        <w:t>工程建设包括以下内容：场内修路、埋设输电电缆、电池组件支架、箱变基</w:t>
      </w:r>
      <w:r>
        <w:rPr>
          <w:spacing w:val="-7"/>
        </w:rPr>
        <w:t>础以及材料运输等人为活动，将会造成施工区域内的植被破坏，影响区域内的植</w:t>
      </w:r>
      <w:r>
        <w:rPr>
          <w:spacing w:val="-9"/>
        </w:rPr>
        <w:t>被覆盖率、植物群落种类组成和数量分布，使区域植物生产能力降低。此外，施</w:t>
      </w:r>
      <w:r>
        <w:rPr/>
        <w:t>工时搭建工棚、仓库等临时性建筑物也需要占地，破坏地表植被。</w:t>
      </w:r>
    </w:p>
    <w:p>
      <w:pPr>
        <w:pStyle w:val="Heading5"/>
        <w:numPr>
          <w:ilvl w:val="3"/>
          <w:numId w:val="9"/>
        </w:numPr>
        <w:tabs>
          <w:tab w:pos="1480" w:val="left" w:leader="none"/>
        </w:tabs>
        <w:spacing w:line="240" w:lineRule="auto" w:before="3" w:after="0"/>
        <w:ind w:left="1480" w:right="0" w:hanging="780"/>
        <w:jc w:val="both"/>
      </w:pPr>
      <w:r>
        <w:rPr/>
        <w:t>永久占地对植被的影响</w:t>
      </w:r>
    </w:p>
    <w:p>
      <w:pPr>
        <w:pStyle w:val="BodyText"/>
        <w:spacing w:line="364" w:lineRule="auto" w:before="160"/>
        <w:ind w:right="197" w:firstLine="480"/>
      </w:pPr>
      <w:r>
        <w:rPr/>
        <w:t>项目永久性占地</w:t>
      </w:r>
      <w:r>
        <w:rPr>
          <w:rFonts w:ascii="Times New Roman" w:eastAsia="Times New Roman"/>
        </w:rPr>
        <w:t>0.78hm</w:t>
      </w:r>
      <w:r>
        <w:rPr>
          <w:rFonts w:ascii="Times New Roman" w:eastAsia="Times New Roman"/>
          <w:position w:val="8"/>
          <w:sz w:val="15"/>
        </w:rPr>
        <w:t>2</w:t>
      </w:r>
      <w:r>
        <w:rPr/>
        <w:t>，占地类型属草丛地，其主要分布植被为常见的白</w:t>
      </w:r>
      <w:r>
        <w:rPr>
          <w:spacing w:val="-16"/>
        </w:rPr>
        <w:t>羊草、蒿草杂类草丛等。工程永久性占地造成原有植物物种多样性和生物量降低， </w:t>
      </w:r>
      <w:r>
        <w:rPr>
          <w:spacing w:val="-6"/>
        </w:rPr>
        <w:t>通过采取占补平衡和场地绿化等措施，使评价区域造成的植被生物量损失得到补偿，从而降低永久性占地对植被生态环境的影响。</w:t>
      </w:r>
    </w:p>
    <w:p>
      <w:pPr>
        <w:pStyle w:val="BodyText"/>
        <w:spacing w:line="364" w:lineRule="auto" w:before="2"/>
        <w:ind w:right="197" w:firstLine="480"/>
        <w:jc w:val="both"/>
      </w:pPr>
      <w:r>
        <w:rPr>
          <w:spacing w:val="-5"/>
        </w:rPr>
        <w:t>项目拟建区域的植被系统类型单一，植被覆盖率相对较低。项目区目前场地</w:t>
      </w:r>
      <w:r>
        <w:rPr>
          <w:spacing w:val="-11"/>
        </w:rPr>
        <w:t>已进行平整，无草类生长。变电站及输电线路施工时，仅在站址及杄塔塔基施工</w:t>
      </w:r>
      <w:r>
        <w:rPr>
          <w:spacing w:val="-20"/>
        </w:rPr>
        <w:t>处会对地表生态环境产生较小、暂时生态影响，施工结束后，及时进行土地整治，</w:t>
      </w:r>
    </w:p>
    <w:p>
      <w:pPr>
        <w:spacing w:after="0" w:line="364" w:lineRule="auto"/>
        <w:jc w:val="both"/>
        <w:sectPr>
          <w:pgSz w:w="11910" w:h="16840"/>
          <w:pgMar w:header="0" w:footer="970" w:top="1480" w:bottom="1160" w:left="1580" w:right="1480"/>
        </w:sectPr>
      </w:pPr>
    </w:p>
    <w:p>
      <w:pPr>
        <w:pStyle w:val="BodyText"/>
        <w:spacing w:before="42"/>
      </w:pPr>
      <w:r>
        <w:rPr/>
        <w:t>生态恢复，基本不对生态环境产生较大的影响。</w:t>
      </w:r>
    </w:p>
    <w:p>
      <w:pPr>
        <w:pStyle w:val="Heading5"/>
        <w:numPr>
          <w:ilvl w:val="3"/>
          <w:numId w:val="9"/>
        </w:numPr>
        <w:tabs>
          <w:tab w:pos="1480" w:val="left" w:leader="none"/>
        </w:tabs>
        <w:spacing w:line="240" w:lineRule="auto" w:before="160" w:after="0"/>
        <w:ind w:left="1480" w:right="0" w:hanging="780"/>
        <w:jc w:val="both"/>
      </w:pPr>
      <w:r>
        <w:rPr>
          <w:w w:val="95"/>
        </w:rPr>
        <w:t>临时占地对植被的影响</w:t>
      </w:r>
    </w:p>
    <w:p>
      <w:pPr>
        <w:pStyle w:val="BodyText"/>
        <w:spacing w:line="364" w:lineRule="auto" w:before="161"/>
        <w:ind w:right="225" w:firstLine="480"/>
        <w:jc w:val="both"/>
      </w:pPr>
      <w:r>
        <w:rPr/>
        <w:t>项目临时占地面积临时用地面积为</w:t>
      </w:r>
      <w:r>
        <w:rPr>
          <w:rFonts w:ascii="Times New Roman" w:eastAsia="Times New Roman"/>
        </w:rPr>
        <w:t>131.51hm</w:t>
      </w:r>
      <w:r>
        <w:rPr>
          <w:rFonts w:ascii="Times New Roman" w:eastAsia="Times New Roman"/>
          <w:position w:val="8"/>
          <w:sz w:val="15"/>
        </w:rPr>
        <w:t>2</w:t>
      </w:r>
      <w:r>
        <w:rPr/>
        <w:t>，其中光伏区临时用地面积为</w:t>
      </w:r>
      <w:r>
        <w:rPr>
          <w:rFonts w:ascii="Times New Roman" w:eastAsia="Times New Roman"/>
        </w:rPr>
        <w:t>131.01hm</w:t>
      </w:r>
      <w:r>
        <w:rPr>
          <w:rFonts w:ascii="Times New Roman" w:eastAsia="Times New Roman"/>
          <w:position w:val="8"/>
          <w:sz w:val="15"/>
        </w:rPr>
        <w:t>2</w:t>
      </w:r>
      <w:r>
        <w:rPr/>
        <w:t>，项目施工临建用地面积为</w:t>
      </w:r>
      <w:r>
        <w:rPr>
          <w:rFonts w:ascii="Times New Roman" w:eastAsia="Times New Roman"/>
        </w:rPr>
        <w:t>5000m</w:t>
      </w:r>
      <w:r>
        <w:rPr>
          <w:rFonts w:ascii="Times New Roman" w:eastAsia="Times New Roman"/>
          <w:position w:val="8"/>
          <w:sz w:val="15"/>
        </w:rPr>
        <w:t>2</w:t>
      </w:r>
      <w:r>
        <w:rPr/>
        <w:t>。占地类型主要为草丛地，其主要</w:t>
      </w:r>
      <w:r>
        <w:rPr>
          <w:spacing w:val="-7"/>
        </w:rPr>
        <w:t>分布植被为常见的长芒草、蒿草杂类草丛等。工程临时性占地造成原有植物物种</w:t>
      </w:r>
      <w:r>
        <w:rPr>
          <w:spacing w:val="-13"/>
        </w:rPr>
        <w:t>多样性和生物量降低，通过采取占补平衡和场地绿化等措施，使评价区域的植被</w:t>
      </w:r>
      <w:r>
        <w:rPr>
          <w:spacing w:val="-15"/>
        </w:rPr>
        <w:t>生物量损失得到补偿。本工程为农光互补光伏发电项目，农业种植主要以白花三</w:t>
      </w:r>
      <w:r>
        <w:rPr>
          <w:spacing w:val="-16"/>
        </w:rPr>
        <w:t>叶草和中草药等低矮耐旱作物为主，从而降低临时占地对植被生态环境的影响。</w:t>
      </w:r>
    </w:p>
    <w:p>
      <w:pPr>
        <w:pStyle w:val="BodyText"/>
        <w:spacing w:line="364" w:lineRule="auto" w:before="3"/>
        <w:ind w:right="225" w:firstLine="480"/>
      </w:pPr>
      <w:r>
        <w:rPr>
          <w:spacing w:val="-4"/>
        </w:rPr>
        <w:t>工程施工过程中，临时占地面积为</w:t>
      </w:r>
      <w:r>
        <w:rPr>
          <w:rFonts w:ascii="Times New Roman" w:eastAsia="Times New Roman"/>
          <w:spacing w:val="-5"/>
        </w:rPr>
        <w:t>5000m</w:t>
      </w:r>
      <w:r>
        <w:rPr>
          <w:rFonts w:ascii="Times New Roman" w:eastAsia="Times New Roman"/>
          <w:spacing w:val="-5"/>
          <w:position w:val="8"/>
          <w:sz w:val="15"/>
        </w:rPr>
        <w:t>2</w:t>
      </w:r>
      <w:r>
        <w:rPr>
          <w:spacing w:val="-7"/>
        </w:rPr>
        <w:t>，临时占地堆料场、设备停放、施</w:t>
      </w:r>
      <w:r>
        <w:rPr>
          <w:spacing w:val="-11"/>
        </w:rPr>
        <w:t>工营地等，这些施工临时占地将对当地植被产生直接的破坏怍用，但这种破坏是</w:t>
      </w:r>
      <w:r>
        <w:rPr>
          <w:spacing w:val="-12"/>
        </w:rPr>
        <w:t>短暂的，可恢复的。环评建议占压植被时，应在施工开挖前首先进行表土剥离， </w:t>
      </w:r>
      <w:r>
        <w:rPr>
          <w:spacing w:val="-8"/>
        </w:rPr>
        <w:t>待施工结束后，及时对施工场地进行全面平整，并对占压土地进行复垦，恢复植被。</w:t>
      </w:r>
    </w:p>
    <w:p>
      <w:pPr>
        <w:pStyle w:val="BodyText"/>
        <w:spacing w:line="364" w:lineRule="auto" w:before="3"/>
        <w:ind w:right="317" w:firstLine="480"/>
      </w:pPr>
      <w:r>
        <w:rPr>
          <w:spacing w:val="-9"/>
        </w:rPr>
        <w:t>通过采取措施，项目堆料场、设备停放、加工区、施工营地等临时占地对区</w:t>
      </w:r>
      <w:r>
        <w:rPr/>
        <w:t>域生态环境影响较小</w:t>
      </w:r>
    </w:p>
    <w:p>
      <w:pPr>
        <w:pStyle w:val="Heading5"/>
        <w:numPr>
          <w:ilvl w:val="3"/>
          <w:numId w:val="9"/>
        </w:numPr>
        <w:tabs>
          <w:tab w:pos="1480" w:val="left" w:leader="none"/>
        </w:tabs>
        <w:spacing w:line="240" w:lineRule="auto" w:before="2" w:after="0"/>
        <w:ind w:left="1480" w:right="0" w:hanging="780"/>
        <w:jc w:val="left"/>
      </w:pPr>
      <w:r>
        <w:rPr/>
        <w:t>施工扬尘对植被的影响</w:t>
      </w:r>
    </w:p>
    <w:p>
      <w:pPr>
        <w:pStyle w:val="BodyText"/>
        <w:spacing w:line="364" w:lineRule="auto" w:before="160"/>
        <w:ind w:right="317" w:firstLine="480"/>
      </w:pPr>
      <w:r>
        <w:rPr>
          <w:spacing w:val="-5"/>
        </w:rPr>
        <w:t>工程施工过程中扬尘主要来自材料运输过程中的漏撒，临时道路及未铺装道</w:t>
      </w:r>
      <w:r>
        <w:rPr/>
        <w:t>路路面起尘等。</w:t>
      </w:r>
    </w:p>
    <w:p>
      <w:pPr>
        <w:pStyle w:val="BodyText"/>
        <w:spacing w:line="364" w:lineRule="auto" w:before="1"/>
        <w:ind w:right="317" w:firstLine="480"/>
        <w:jc w:val="both"/>
      </w:pPr>
      <w:r>
        <w:rPr>
          <w:spacing w:val="-7"/>
        </w:rPr>
        <w:t>施工扬尘会造成局部地段降尘量增多，扬尘对植物的不利影响主要表现为扬</w:t>
      </w:r>
      <w:r>
        <w:rPr>
          <w:spacing w:val="-5"/>
        </w:rPr>
        <w:t>尘降落在植物叶面上吸收水分形成深灰色的一层薄壳，降低叶面的光合作用，堵</w:t>
      </w:r>
      <w:r>
        <w:rPr>
          <w:spacing w:val="-9"/>
        </w:rPr>
        <w:t>塞叶面气孔，碍其呼吸作用；阻碍水分蒸发，减少调湿和有机体代谢功能，造成</w:t>
      </w:r>
      <w:r>
        <w:rPr/>
        <w:t>叶尖失水、干落叶和减产，使植物抗逆性下降，从而使其生长能力衰退。</w:t>
      </w:r>
    </w:p>
    <w:p>
      <w:pPr>
        <w:pStyle w:val="BodyText"/>
        <w:spacing w:line="364" w:lineRule="auto" w:before="3"/>
        <w:ind w:right="225" w:firstLine="480"/>
      </w:pPr>
      <w:r>
        <w:rPr>
          <w:spacing w:val="-1"/>
        </w:rPr>
        <w:t>工程施工期较短，扬尘对项目区及其周围植被的影响也是局部的、短期的， </w:t>
      </w:r>
      <w:r>
        <w:rPr>
          <w:spacing w:val="-6"/>
        </w:rPr>
        <w:t>工程完成之后这种影响就会消失，工程可通过洒水抑尘、物料运送采用密闭蓬遮</w:t>
      </w:r>
      <w:r>
        <w:rPr>
          <w:spacing w:val="-10"/>
        </w:rPr>
        <w:t>盖等措施将其影响程度降至最低项目区植被稀少，类型为常见耐旱长芒草、蒿草</w:t>
      </w:r>
      <w:r>
        <w:rPr>
          <w:spacing w:val="-14"/>
        </w:rPr>
        <w:t>类草丛等沙地灌丛植被，没有较珍稀的植物。因此，根据上述分析可知，本项目</w:t>
      </w:r>
      <w:r>
        <w:rPr>
          <w:spacing w:val="-17"/>
        </w:rPr>
        <w:t>建设对当地植被的总体影响并不大。因施工造成的部分植被灭失不会导致评价区植物群落的改变、生物多样性改变等不良后果。</w:t>
      </w:r>
    </w:p>
    <w:p>
      <w:pPr>
        <w:pStyle w:val="Heading3"/>
        <w:numPr>
          <w:ilvl w:val="2"/>
          <w:numId w:val="9"/>
        </w:numPr>
        <w:tabs>
          <w:tab w:pos="921" w:val="left" w:leader="none"/>
        </w:tabs>
        <w:spacing w:line="240" w:lineRule="auto" w:before="57" w:after="0"/>
        <w:ind w:left="920" w:right="0" w:hanging="701"/>
        <w:jc w:val="left"/>
      </w:pPr>
      <w:r>
        <w:rPr/>
        <w:t>野生动物影响分析</w:t>
      </w:r>
    </w:p>
    <w:p>
      <w:pPr>
        <w:spacing w:after="0" w:line="240" w:lineRule="auto"/>
        <w:jc w:val="left"/>
        <w:sectPr>
          <w:pgSz w:w="11910" w:h="16840"/>
          <w:pgMar w:header="0" w:footer="970" w:top="1460" w:bottom="1160" w:left="1580" w:right="1480"/>
        </w:sectPr>
      </w:pPr>
    </w:p>
    <w:p>
      <w:pPr>
        <w:pStyle w:val="BodyText"/>
        <w:spacing w:line="364" w:lineRule="auto" w:before="42"/>
        <w:ind w:right="317" w:firstLine="480"/>
        <w:jc w:val="both"/>
      </w:pPr>
      <w:r>
        <w:rPr>
          <w:spacing w:val="-5"/>
        </w:rPr>
        <w:t>施工机械噪声和人类活动噪声是影响野生动物的主要因素，各种施工机械如</w:t>
      </w:r>
      <w:r>
        <w:rPr>
          <w:spacing w:val="-11"/>
        </w:rPr>
        <w:t>运输车辆、光伏打桩机、切割机等均可能产生较强的噪声。虽然这些施工机械属</w:t>
      </w:r>
      <w:r>
        <w:rPr>
          <w:spacing w:val="-8"/>
        </w:rPr>
        <w:t>非连续性间歇排放，但由于噪声源相对集中，且多为裸露声源，故其有一定辐射</w:t>
      </w:r>
      <w:r>
        <w:rPr/>
        <w:t>范围。</w:t>
      </w:r>
    </w:p>
    <w:p>
      <w:pPr>
        <w:pStyle w:val="BodyText"/>
        <w:spacing w:line="364" w:lineRule="auto" w:before="2"/>
        <w:ind w:right="197" w:firstLine="480"/>
      </w:pPr>
      <w:r>
        <w:rPr>
          <w:spacing w:val="-8"/>
        </w:rPr>
        <w:t>预计在施工期，本区的野生动物都将产生规避反应，远离这一地区，特别是</w:t>
      </w:r>
      <w:r>
        <w:rPr>
          <w:spacing w:val="-11"/>
        </w:rPr>
        <w:t>鸟类，其栖息和繁殖环境需要相对的安静。根据当地居民反映，项目区主要野生</w:t>
      </w:r>
      <w:r>
        <w:rPr>
          <w:spacing w:val="-19"/>
        </w:rPr>
        <w:t>鸟类为喜鹊、麻雀、乌鸦等常见鸟类，区域内未发现较为珍稀的野生鸟类；因此， </w:t>
      </w:r>
      <w:r>
        <w:rPr/>
        <w:t>本项目的建设对国家保护鸟类的迁徙路线和栖息环境不会产生太大干扰。据调 </w:t>
      </w:r>
      <w:r>
        <w:rPr>
          <w:spacing w:val="-10"/>
        </w:rPr>
        <w:t>査，本区无大型野生动物，哺乳动物主要是鼠、兔等小型动物；因此，施工期对野生动物的影响很小。</w:t>
      </w:r>
    </w:p>
    <w:p>
      <w:pPr>
        <w:pStyle w:val="Heading3"/>
        <w:numPr>
          <w:ilvl w:val="2"/>
          <w:numId w:val="9"/>
        </w:numPr>
        <w:tabs>
          <w:tab w:pos="921" w:val="left" w:leader="none"/>
        </w:tabs>
        <w:spacing w:line="240" w:lineRule="auto" w:before="57" w:after="0"/>
        <w:ind w:left="920" w:right="0" w:hanging="701"/>
        <w:jc w:val="left"/>
      </w:pPr>
      <w:r>
        <w:rPr/>
        <w:t>水土流失重点治理区影响分析</w:t>
      </w:r>
    </w:p>
    <w:p>
      <w:pPr>
        <w:pStyle w:val="BodyText"/>
        <w:spacing w:line="364" w:lineRule="auto" w:before="212"/>
        <w:ind w:right="465" w:firstLine="480"/>
      </w:pPr>
      <w:r>
        <w:rPr/>
        <w:t>项目建设过程水土流失主要表现在工程区域场地平整过程造成的土壤扰动及光伏电池阵列单元支架埋设过程中所产生的水土流失。</w:t>
      </w:r>
    </w:p>
    <w:p>
      <w:pPr>
        <w:pStyle w:val="BodyText"/>
        <w:spacing w:line="364" w:lineRule="auto" w:before="1"/>
        <w:ind w:right="197" w:firstLine="480"/>
        <w:jc w:val="both"/>
      </w:pPr>
      <w:r>
        <w:rPr>
          <w:spacing w:val="-5"/>
        </w:rPr>
        <w:t>项目区仅对地势较高的地块进行局部平整，产生的土方量很少且位置较为分</w:t>
      </w:r>
      <w:r>
        <w:rPr>
          <w:spacing w:val="-10"/>
        </w:rPr>
        <w:t>散，考虑光伏电站施工特点和环境保护的要求，建设单位对场内产生的开挖土方</w:t>
      </w:r>
      <w:r>
        <w:rPr>
          <w:spacing w:val="-15"/>
        </w:rPr>
        <w:t>量在其场区进行就地摊平、压实，不做弃渣外运处理。施工期土方开挖阶段最好</w:t>
      </w:r>
      <w:r>
        <w:rPr>
          <w:spacing w:val="-18"/>
        </w:rPr>
        <w:t>避开雨季，若雨季施工，要有排水、挡土、土工布围遮挡等措施，以防水土流失。</w:t>
      </w:r>
    </w:p>
    <w:p>
      <w:pPr>
        <w:pStyle w:val="BodyText"/>
        <w:spacing w:line="364" w:lineRule="auto" w:before="3"/>
        <w:ind w:right="197" w:firstLine="480"/>
      </w:pPr>
      <w:r>
        <w:rPr>
          <w:spacing w:val="-8"/>
        </w:rPr>
        <w:t>项目建设区域植被较少，主要为草丛地，对于开挖地表应采取无纺布进行苫</w:t>
      </w:r>
      <w:r>
        <w:rPr>
          <w:spacing w:val="-10"/>
        </w:rPr>
        <w:t>盖，设置草袋装土进行拦挡压盖，保护已扰动的裸露地表，减少施工期的水土流</w:t>
      </w:r>
      <w:r>
        <w:rPr>
          <w:spacing w:val="-13"/>
        </w:rPr>
        <w:t>失。对于植被覆盖度低的地表设置稻草沙障，稻草沙障采用</w:t>
      </w:r>
      <w:r>
        <w:rPr>
          <w:rFonts w:ascii="Times New Roman" w:hAnsi="Times New Roman" w:eastAsia="Times New Roman"/>
        </w:rPr>
        <w:t>lm×lm</w:t>
      </w:r>
      <w:r>
        <w:rPr>
          <w:spacing w:val="-2"/>
        </w:rPr>
        <w:t>网格形式搭设， </w:t>
      </w:r>
      <w:r>
        <w:rPr/>
        <w:t>稻草埋入沙土深度</w:t>
      </w:r>
      <w:r>
        <w:rPr>
          <w:rFonts w:ascii="Times New Roman" w:hAnsi="Times New Roman" w:eastAsia="Times New Roman"/>
        </w:rPr>
        <w:t>10cm</w:t>
      </w:r>
      <w:r>
        <w:rPr/>
        <w:t>，地面留高</w:t>
      </w:r>
      <w:r>
        <w:rPr>
          <w:rFonts w:ascii="Times New Roman" w:hAnsi="Times New Roman" w:eastAsia="Times New Roman"/>
        </w:rPr>
        <w:t>20cm</w:t>
      </w:r>
      <w:r>
        <w:rPr/>
        <w:t>，障蔽行分别沿南北和东西方向延伸， 夹角为</w:t>
      </w:r>
      <w:r>
        <w:rPr>
          <w:rFonts w:ascii="Times New Roman" w:hAnsi="Times New Roman" w:eastAsia="Times New Roman"/>
        </w:rPr>
        <w:t>90</w:t>
      </w:r>
      <w:r>
        <w:rPr>
          <w:spacing w:val="-6"/>
        </w:rPr>
        <w:t>度，与主导风东北风的夹角均为</w:t>
      </w:r>
      <w:r>
        <w:rPr>
          <w:rFonts w:ascii="Times New Roman" w:hAnsi="Times New Roman" w:eastAsia="Times New Roman"/>
        </w:rPr>
        <w:t>45</w:t>
      </w:r>
      <w:r>
        <w:rPr>
          <w:spacing w:val="-9"/>
        </w:rPr>
        <w:t>度，挡风效果较好，一方向的障蔽行相互平行，间距为</w:t>
      </w:r>
      <w:r>
        <w:rPr>
          <w:rFonts w:ascii="Times New Roman" w:hAnsi="Times New Roman" w:eastAsia="Times New Roman"/>
          <w:spacing w:val="-9"/>
        </w:rPr>
        <w:t>1m</w:t>
      </w:r>
      <w:r>
        <w:rPr>
          <w:spacing w:val="-9"/>
        </w:rPr>
        <w:t>。为了防止临时堆土、砂石料堆放场由于风蚀产生新的水</w:t>
      </w:r>
      <w:r>
        <w:rPr>
          <w:spacing w:val="-11"/>
        </w:rPr>
        <w:t>土流失，堆土场周围进行简易防护，采用无纺布进行苫盖措施，在堆土周围进行部分拦挡；施工结束后，施工单位必须对施工场地及施工生活区进行土地整治， </w:t>
      </w:r>
      <w:r>
        <w:rPr>
          <w:spacing w:val="-14"/>
        </w:rPr>
        <w:t>拆除临时建筑物，并将建筑垃圾可回用部分全部回用，不可回用部分及时运往城建部门指定的建筑垃圾处理场统一处置，避免产生新的水土流失。</w:t>
      </w:r>
    </w:p>
    <w:p>
      <w:pPr>
        <w:pStyle w:val="BodyText"/>
        <w:spacing w:line="364" w:lineRule="auto" w:before="6"/>
        <w:ind w:right="317" w:firstLine="480"/>
      </w:pPr>
      <w:r>
        <w:rPr>
          <w:spacing w:val="-10"/>
        </w:rPr>
        <w:t>施工便道、施工营地开挖等临时占地，在工程结束后要全部恢复植被。对进</w:t>
      </w:r>
      <w:r>
        <w:rPr>
          <w:spacing w:val="-6"/>
        </w:rPr>
        <w:t>场道路和场内施工主干道路面进行硬化，同时加强周围绿化种植，确保道路路基</w:t>
      </w:r>
    </w:p>
    <w:p>
      <w:pPr>
        <w:spacing w:after="0" w:line="364" w:lineRule="auto"/>
        <w:sectPr>
          <w:pgSz w:w="11910" w:h="16840"/>
          <w:pgMar w:header="0" w:footer="970" w:top="1460" w:bottom="1160" w:left="1580" w:right="1480"/>
        </w:sectPr>
      </w:pPr>
    </w:p>
    <w:p>
      <w:pPr>
        <w:pStyle w:val="BodyText"/>
        <w:spacing w:line="364" w:lineRule="auto" w:before="42"/>
        <w:ind w:right="317"/>
        <w:jc w:val="both"/>
      </w:pPr>
      <w:r>
        <w:rPr>
          <w:spacing w:val="-11"/>
        </w:rPr>
        <w:t>稳定。通过采取以上措施后，项目施工期对水土流失重点治理区影响较项目建设</w:t>
      </w:r>
      <w:r>
        <w:rPr>
          <w:spacing w:val="-9"/>
        </w:rPr>
        <w:t>周期相对较长，建议在项目开发实施过程，绿化工程应与主体工程同步实施，同</w:t>
      </w:r>
      <w:r>
        <w:rPr/>
        <w:t>步完成。</w:t>
      </w:r>
    </w:p>
    <w:p>
      <w:pPr>
        <w:pStyle w:val="Heading3"/>
        <w:numPr>
          <w:ilvl w:val="1"/>
          <w:numId w:val="2"/>
        </w:numPr>
        <w:tabs>
          <w:tab w:pos="710" w:val="left" w:leader="none"/>
        </w:tabs>
        <w:spacing w:line="240" w:lineRule="auto" w:before="55" w:after="0"/>
        <w:ind w:left="709" w:right="0" w:hanging="490"/>
        <w:jc w:val="left"/>
      </w:pPr>
      <w:bookmarkStart w:name="_bookmark23" w:id="48"/>
      <w:bookmarkEnd w:id="48"/>
      <w:r>
        <w:rPr>
          <w:b w:val="0"/>
        </w:rPr>
      </w:r>
      <w:bookmarkStart w:name="_bookmark23" w:id="49"/>
      <w:bookmarkEnd w:id="49"/>
      <w:r>
        <w:rPr/>
        <w:t>运营期生态环境影响分析</w:t>
      </w:r>
    </w:p>
    <w:p>
      <w:pPr>
        <w:pStyle w:val="ListParagraph"/>
        <w:numPr>
          <w:ilvl w:val="2"/>
          <w:numId w:val="10"/>
        </w:numPr>
        <w:tabs>
          <w:tab w:pos="921" w:val="left" w:leader="none"/>
        </w:tabs>
        <w:spacing w:line="240" w:lineRule="auto" w:before="266" w:after="0"/>
        <w:ind w:left="920" w:right="0" w:hanging="701"/>
        <w:jc w:val="left"/>
        <w:rPr>
          <w:b/>
          <w:sz w:val="28"/>
        </w:rPr>
      </w:pPr>
      <w:r>
        <w:rPr>
          <w:b/>
          <w:sz w:val="28"/>
        </w:rPr>
        <w:t>工程占地对植被影响分析</w:t>
      </w:r>
    </w:p>
    <w:p>
      <w:pPr>
        <w:pStyle w:val="BodyText"/>
        <w:spacing w:line="364" w:lineRule="auto" w:before="211"/>
        <w:ind w:right="317" w:firstLine="480"/>
        <w:jc w:val="both"/>
      </w:pPr>
      <w:r>
        <w:rPr>
          <w:spacing w:val="-9"/>
        </w:rPr>
        <w:t>项目施工结束后，仍有部分土地不可绿化而成为永久占地，主要为光伏电池组件支架基础、箱式变电站基础、场内道路等。因此，会减少生物量，由于拟建</w:t>
      </w:r>
      <w:r>
        <w:rPr>
          <w:spacing w:val="-7"/>
        </w:rPr>
        <w:t>场区现有植被主要为长茅草、蒿草等杂类草丛，植被十分稀疏，生物量很小，项</w:t>
      </w:r>
      <w:r>
        <w:rPr>
          <w:spacing w:val="-8"/>
        </w:rPr>
        <w:t>目建设会破坏现有植物，但项目为农光互补光伏发电项目，农业种植主要以白花</w:t>
      </w:r>
      <w:r>
        <w:rPr>
          <w:spacing w:val="-6"/>
        </w:rPr>
        <w:t>三叶草和中草药等低矮耐旱作物为主，可使破坏的植被得到补偿。因此，本期工</w:t>
      </w:r>
      <w:r>
        <w:rPr/>
        <w:t>程建成对区域植被不会造成明显的不利影响。</w:t>
      </w:r>
    </w:p>
    <w:p>
      <w:pPr>
        <w:pStyle w:val="Heading3"/>
        <w:numPr>
          <w:ilvl w:val="2"/>
          <w:numId w:val="10"/>
        </w:numPr>
        <w:tabs>
          <w:tab w:pos="921" w:val="left" w:leader="none"/>
        </w:tabs>
        <w:spacing w:line="240" w:lineRule="auto" w:before="57" w:after="0"/>
        <w:ind w:left="920" w:right="0" w:hanging="701"/>
        <w:jc w:val="left"/>
      </w:pPr>
      <w:r>
        <w:rPr/>
        <w:t>光伏电池组件阴影对植被影响</w:t>
      </w:r>
    </w:p>
    <w:p>
      <w:pPr>
        <w:pStyle w:val="BodyText"/>
        <w:spacing w:line="364" w:lineRule="auto" w:before="212"/>
        <w:ind w:right="317" w:firstLine="480"/>
        <w:jc w:val="both"/>
      </w:pPr>
      <w:r>
        <w:rPr>
          <w:spacing w:val="-5"/>
        </w:rPr>
        <w:t>项目太阳能发电区由于电池板下植被光照被部分遮盖，将对该区域植被生长</w:t>
      </w:r>
      <w:r>
        <w:rPr>
          <w:spacing w:val="-10"/>
        </w:rPr>
        <w:t>造成一定影响，采用太阳能电池组件支架为固定倾角可调式支架安装，太阳能电</w:t>
      </w:r>
      <w:r>
        <w:rPr>
          <w:spacing w:val="-1"/>
        </w:rPr>
        <w:t>池板组件单元尺寸为</w:t>
      </w:r>
      <w:r>
        <w:rPr>
          <w:rFonts w:ascii="Times New Roman" w:hAnsi="Times New Roman" w:eastAsia="Times New Roman"/>
        </w:rPr>
        <w:t>2094mm</w:t>
      </w:r>
      <w:r>
        <w:rPr/>
        <w:t>×</w:t>
      </w:r>
      <w:r>
        <w:rPr>
          <w:rFonts w:ascii="Times New Roman" w:hAnsi="Times New Roman" w:eastAsia="Times New Roman"/>
        </w:rPr>
        <w:t>1038mm</w:t>
      </w:r>
      <w:r>
        <w:rPr/>
        <w:t>×</w:t>
      </w:r>
      <w:r>
        <w:rPr>
          <w:rFonts w:ascii="Times New Roman" w:hAnsi="Times New Roman" w:eastAsia="Times New Roman"/>
        </w:rPr>
        <w:t>35mm</w:t>
      </w:r>
      <w:r>
        <w:rPr>
          <w:spacing w:val="-2"/>
        </w:rPr>
        <w:t>，计算可得太阳能电池阵列阴影</w:t>
      </w:r>
      <w:r>
        <w:rPr/>
        <w:t>面积为</w:t>
      </w:r>
      <w:r>
        <w:rPr>
          <w:rFonts w:ascii="Times New Roman" w:hAnsi="Times New Roman" w:eastAsia="Times New Roman"/>
        </w:rPr>
        <w:t>356483m</w:t>
      </w:r>
      <w:r>
        <w:rPr>
          <w:rFonts w:ascii="Times New Roman" w:hAnsi="Times New Roman" w:eastAsia="Times New Roman"/>
          <w:position w:val="8"/>
          <w:sz w:val="15"/>
        </w:rPr>
        <w:t>2</w:t>
      </w:r>
      <w:r>
        <w:rPr/>
        <w:t>。安装倾角为</w:t>
      </w:r>
      <w:r>
        <w:rPr>
          <w:rFonts w:ascii="Times New Roman" w:hAnsi="Times New Roman" w:eastAsia="Times New Roman"/>
        </w:rPr>
        <w:t>40</w:t>
      </w:r>
      <w:r>
        <w:rPr/>
        <w:t>°、</w:t>
      </w:r>
      <w:r>
        <w:rPr>
          <w:rFonts w:ascii="Times New Roman" w:hAnsi="Times New Roman" w:eastAsia="Times New Roman"/>
        </w:rPr>
        <w:t>34</w:t>
      </w:r>
      <w:r>
        <w:rPr/>
        <w:t>°、</w:t>
      </w:r>
      <w:r>
        <w:rPr>
          <w:rFonts w:ascii="Times New Roman" w:hAnsi="Times New Roman" w:eastAsia="Times New Roman"/>
        </w:rPr>
        <w:t>22</w:t>
      </w:r>
      <w:r>
        <w:rPr/>
        <w:t>°和</w:t>
      </w:r>
      <w:r>
        <w:rPr>
          <w:rFonts w:ascii="Times New Roman" w:hAnsi="Times New Roman" w:eastAsia="Times New Roman"/>
        </w:rPr>
        <w:t>8</w:t>
      </w:r>
      <w:r>
        <w:rPr>
          <w:spacing w:val="-2"/>
        </w:rPr>
        <w:t>°，采用电动固定倾角可调</w:t>
      </w:r>
      <w:r>
        <w:rPr/>
        <w:t>支架。</w:t>
      </w:r>
    </w:p>
    <w:p>
      <w:pPr>
        <w:pStyle w:val="BodyText"/>
        <w:spacing w:line="364" w:lineRule="auto" w:before="3"/>
        <w:ind w:right="225" w:firstLine="480"/>
      </w:pPr>
      <w:r>
        <w:rPr>
          <w:spacing w:val="-6"/>
        </w:rPr>
        <w:t>由于区域现有主要植被以长芒草、蒿草、白羊草、赖草杂草类草丛为主，面积约</w:t>
      </w:r>
      <w:r>
        <w:rPr>
          <w:rFonts w:ascii="Times New Roman" w:eastAsia="Times New Roman"/>
          <w:spacing w:val="-6"/>
        </w:rPr>
        <w:t>1.3229km</w:t>
      </w:r>
      <w:r>
        <w:rPr>
          <w:rFonts w:ascii="Times New Roman" w:eastAsia="Times New Roman"/>
          <w:spacing w:val="-6"/>
          <w:position w:val="8"/>
          <w:sz w:val="15"/>
        </w:rPr>
        <w:t>2</w:t>
      </w:r>
      <w:r>
        <w:rPr>
          <w:spacing w:val="-6"/>
        </w:rPr>
        <w:t>，其生长受水分制约较小，受日照影响相对较大，从而在一定程</w:t>
      </w:r>
      <w:r>
        <w:rPr>
          <w:spacing w:val="-7"/>
        </w:rPr>
        <w:t>度上对电池板覆盖区域的植被产生影响，此外，由于电池板阵列之间留有间隙， </w:t>
      </w:r>
      <w:r>
        <w:rPr>
          <w:spacing w:val="-4"/>
        </w:rPr>
        <w:t>电池板下植被仍能接收到散射光与反射光以及部分时段的直射光照射，不会出现</w:t>
      </w:r>
      <w:r>
        <w:rPr>
          <w:spacing w:val="-10"/>
        </w:rPr>
        <w:t>大面积植被死亡的现象。根据类似工程情况分析，本项目光伏阵列覆盖将造原生物量减少约</w:t>
      </w:r>
      <w:r>
        <w:rPr>
          <w:rFonts w:ascii="Times New Roman" w:eastAsia="Times New Roman"/>
          <w:spacing w:val="-10"/>
        </w:rPr>
        <w:t>30%</w:t>
      </w:r>
      <w:r>
        <w:rPr>
          <w:spacing w:val="-3"/>
        </w:rPr>
        <w:t>，项目光伏阵列覆盖阴影最大面积为</w:t>
      </w:r>
      <w:r>
        <w:rPr>
          <w:rFonts w:ascii="Times New Roman" w:eastAsia="Times New Roman"/>
          <w:spacing w:val="-5"/>
        </w:rPr>
        <w:t>353014m</w:t>
      </w:r>
      <w:r>
        <w:rPr>
          <w:rFonts w:ascii="Times New Roman" w:eastAsia="Times New Roman"/>
          <w:spacing w:val="-5"/>
          <w:position w:val="8"/>
          <w:sz w:val="15"/>
        </w:rPr>
        <w:t>2</w:t>
      </w:r>
      <w:r>
        <w:rPr>
          <w:spacing w:val="-2"/>
        </w:rPr>
        <w:t>，即原生物量最大减少量约</w:t>
      </w:r>
      <w:r>
        <w:rPr>
          <w:rFonts w:ascii="Times New Roman" w:eastAsia="Times New Roman"/>
          <w:spacing w:val="-2"/>
        </w:rPr>
        <w:t>105904m</w:t>
      </w:r>
      <w:r>
        <w:rPr>
          <w:rFonts w:ascii="Times New Roman" w:eastAsia="Times New Roman"/>
          <w:spacing w:val="-2"/>
          <w:position w:val="8"/>
          <w:sz w:val="15"/>
        </w:rPr>
        <w:t>2</w:t>
      </w:r>
      <w:r>
        <w:rPr>
          <w:spacing w:val="-2"/>
        </w:rPr>
        <w:t>。</w:t>
      </w:r>
    </w:p>
    <w:p>
      <w:pPr>
        <w:pStyle w:val="BodyText"/>
        <w:spacing w:line="364" w:lineRule="auto" w:before="4"/>
        <w:ind w:right="225" w:firstLine="480"/>
      </w:pPr>
      <w:r>
        <w:rPr>
          <w:spacing w:val="-8"/>
        </w:rPr>
        <w:t>根据上述分析，为弥补生物量损失，并考虑到电池板下太阳阴影影响，本项</w:t>
      </w:r>
      <w:r>
        <w:rPr>
          <w:spacing w:val="-14"/>
        </w:rPr>
        <w:t>目将实施农光互补种植方案，对在太阳能电池板遮挡较严重地区，种植能有效提</w:t>
      </w:r>
      <w:r>
        <w:rPr>
          <w:spacing w:val="-15"/>
        </w:rPr>
        <w:t>高光伏组件发电效率的白花三叶草；光伏阵列行间空地种植黄芩、柴胡等药材。</w:t>
      </w:r>
      <w:r>
        <w:rPr>
          <w:spacing w:val="-6"/>
        </w:rPr>
        <w:t>减少土壤水分的蒸发损失，促进植物的生长。因此，通过合理配置植物物种，可</w:t>
      </w:r>
    </w:p>
    <w:p>
      <w:pPr>
        <w:spacing w:after="0" w:line="364" w:lineRule="auto"/>
        <w:sectPr>
          <w:pgSz w:w="11910" w:h="16840"/>
          <w:pgMar w:header="0" w:footer="970" w:top="1460" w:bottom="1160" w:left="1580" w:right="1480"/>
        </w:sectPr>
      </w:pPr>
    </w:p>
    <w:p>
      <w:pPr>
        <w:pStyle w:val="BodyText"/>
        <w:spacing w:before="42"/>
      </w:pPr>
      <w:r>
        <w:rPr/>
        <w:t>减少阴影对植被生态环境的影响。</w:t>
      </w:r>
    </w:p>
    <w:p>
      <w:pPr>
        <w:pStyle w:val="Heading3"/>
        <w:numPr>
          <w:ilvl w:val="2"/>
          <w:numId w:val="10"/>
        </w:numPr>
        <w:tabs>
          <w:tab w:pos="921" w:val="left" w:leader="none"/>
        </w:tabs>
        <w:spacing w:line="240" w:lineRule="auto" w:before="214" w:after="0"/>
        <w:ind w:left="920" w:right="0" w:hanging="701"/>
        <w:jc w:val="left"/>
      </w:pPr>
      <w:r>
        <w:rPr/>
        <w:t>区域景观生态影响分析</w:t>
      </w:r>
    </w:p>
    <w:p>
      <w:pPr>
        <w:pStyle w:val="BodyText"/>
        <w:spacing w:line="364" w:lineRule="auto" w:before="212"/>
        <w:ind w:right="197" w:firstLine="480"/>
      </w:pPr>
      <w:r>
        <w:rPr>
          <w:spacing w:val="-15"/>
        </w:rPr>
        <w:t>本期工程建成后，将构成一个独特的景观，这种景观具有群体性、可观赏性， </w:t>
      </w:r>
      <w:r>
        <w:rPr>
          <w:spacing w:val="-6"/>
        </w:rPr>
        <w:t>虽与自然景观有明显差异，但可以反映人与自然结合的完美性。如果电站内能够</w:t>
      </w:r>
      <w:r>
        <w:rPr>
          <w:spacing w:val="-10"/>
        </w:rPr>
        <w:t>按规划，有计划的实施植被恢复，种植白花三叶草、黄芩、柴胡等中草药，形成</w:t>
      </w:r>
      <w:r>
        <w:rPr>
          <w:spacing w:val="-11"/>
        </w:rPr>
        <w:t>规模，将使场区形成一个结构合理、系统稳定的生态环境，不仅可以大大改变原</w:t>
      </w:r>
      <w:r>
        <w:rPr>
          <w:spacing w:val="-12"/>
        </w:rPr>
        <w:t>有较脆弱、抗御自然灾害能力差的自然环境，而且可以起到以点代面、示范推广的作用。</w:t>
      </w:r>
    </w:p>
    <w:p>
      <w:pPr>
        <w:pStyle w:val="Heading3"/>
        <w:numPr>
          <w:ilvl w:val="2"/>
          <w:numId w:val="10"/>
        </w:numPr>
        <w:tabs>
          <w:tab w:pos="921" w:val="left" w:leader="none"/>
        </w:tabs>
        <w:spacing w:line="240" w:lineRule="auto" w:before="57" w:after="0"/>
        <w:ind w:left="920" w:right="0" w:hanging="701"/>
        <w:jc w:val="left"/>
      </w:pPr>
      <w:r>
        <w:rPr/>
        <w:t>水土流失重点治理区影响分析</w:t>
      </w:r>
    </w:p>
    <w:p>
      <w:pPr>
        <w:pStyle w:val="BodyText"/>
        <w:spacing w:line="364" w:lineRule="auto" w:before="211"/>
        <w:ind w:right="197" w:firstLine="480"/>
      </w:pPr>
      <w:r>
        <w:rPr>
          <w:spacing w:val="-3"/>
        </w:rPr>
        <w:t>项目运营期造成水土流失影响主要为雨季太阳能电池板上雨水直流而下，冲刷地面场区局部土地遭到强力水力侵蚀，造成水土流失。为防止雨水冲刷地面， </w:t>
      </w:r>
      <w:r>
        <w:rPr>
          <w:spacing w:val="-16"/>
        </w:rPr>
        <w:t>减缓水力侵蚀作用力，项目在太阳能板下雨水集聚区设碎石地面，缓冲接纳雨水， </w:t>
      </w:r>
      <w:r>
        <w:rPr/>
        <w:t>散排区内。</w:t>
      </w:r>
    </w:p>
    <w:p>
      <w:pPr>
        <w:pStyle w:val="BodyText"/>
        <w:spacing w:line="364" w:lineRule="auto" w:before="3"/>
        <w:ind w:right="317" w:firstLine="480"/>
        <w:jc w:val="both"/>
      </w:pPr>
      <w:r>
        <w:rPr>
          <w:spacing w:val="-8"/>
        </w:rPr>
        <w:t>通过采取上述措施，不仅可以防止雨水冲刷地面，减缓水力侵蚀作用力，在</w:t>
      </w:r>
      <w:r>
        <w:rPr>
          <w:spacing w:val="-7"/>
        </w:rPr>
        <w:t>一定程度上减少地面水土流失，同时，还能将雨水散排用于绿化，达到节约用水</w:t>
      </w:r>
      <w:r>
        <w:rPr/>
        <w:t>的目的。项目运营期对水土流失重点治理区影响较小。</w:t>
      </w:r>
    </w:p>
    <w:p>
      <w:pPr>
        <w:pStyle w:val="Heading3"/>
        <w:numPr>
          <w:ilvl w:val="2"/>
          <w:numId w:val="10"/>
        </w:numPr>
        <w:tabs>
          <w:tab w:pos="921" w:val="left" w:leader="none"/>
        </w:tabs>
        <w:spacing w:line="240" w:lineRule="auto" w:before="55" w:after="0"/>
        <w:ind w:left="920" w:right="0" w:hanging="701"/>
        <w:jc w:val="left"/>
      </w:pPr>
      <w:r>
        <w:rPr/>
        <w:t>光污染环境影响的分析</w:t>
      </w:r>
    </w:p>
    <w:p>
      <w:pPr>
        <w:pStyle w:val="BodyText"/>
        <w:spacing w:line="364" w:lineRule="auto" w:before="212"/>
        <w:ind w:right="317" w:firstLine="480"/>
        <w:jc w:val="both"/>
      </w:pPr>
      <w:r>
        <w:rPr>
          <w:spacing w:val="-7"/>
        </w:rPr>
        <w:t>光污染可能影响人类的健康，长时间在光污染环境下工作和生活的人，容易</w:t>
      </w:r>
      <w:r>
        <w:rPr>
          <w:spacing w:val="-11"/>
        </w:rPr>
        <w:t>导致视力下降，干扰大脑中枢神经等，尤其是视力干扰对附近道路车辆驾驶者造</w:t>
      </w:r>
      <w:r>
        <w:rPr/>
        <w:t>成影响，可能导致道路交通事故。</w:t>
      </w:r>
    </w:p>
    <w:p>
      <w:pPr>
        <w:pStyle w:val="BodyText"/>
        <w:spacing w:line="364" w:lineRule="auto" w:before="2"/>
        <w:ind w:right="317" w:firstLine="480"/>
        <w:jc w:val="both"/>
      </w:pPr>
      <w:r>
        <w:rPr>
          <w:spacing w:val="-6"/>
        </w:rPr>
        <w:t>项目选用的单晶硅太阳能组件表面的透光率非常高，其反射率很低，基本不</w:t>
      </w:r>
      <w:r>
        <w:rPr>
          <w:spacing w:val="-11"/>
        </w:rPr>
        <w:t>会产生光污染。所有外露在强光下的金属构件可采用亚光处理或是刷涂色漆等处</w:t>
      </w:r>
      <w:r>
        <w:rPr/>
        <w:t>理工艺，光污染影响较小。</w:t>
      </w:r>
    </w:p>
    <w:p>
      <w:pPr>
        <w:pStyle w:val="Heading3"/>
        <w:numPr>
          <w:ilvl w:val="2"/>
          <w:numId w:val="10"/>
        </w:numPr>
        <w:tabs>
          <w:tab w:pos="921" w:val="left" w:leader="none"/>
        </w:tabs>
        <w:spacing w:line="240" w:lineRule="auto" w:before="55" w:after="0"/>
        <w:ind w:left="920" w:right="0" w:hanging="701"/>
        <w:jc w:val="left"/>
      </w:pPr>
      <w:r>
        <w:rPr/>
        <w:t>电磁辐射环境影响的分析</w:t>
      </w:r>
    </w:p>
    <w:p>
      <w:pPr>
        <w:pStyle w:val="BodyText"/>
        <w:spacing w:line="364" w:lineRule="auto" w:before="212"/>
        <w:ind w:right="317" w:firstLine="480"/>
      </w:pPr>
      <w:r>
        <w:rPr>
          <w:spacing w:val="-8"/>
        </w:rPr>
        <w:t>拟建工程光伏发电系统中逆变器、变压器等电气设备容量小按照原环境保护</w:t>
      </w:r>
      <w:r>
        <w:rPr/>
        <w:t>部环办函</w:t>
      </w:r>
      <w:r>
        <w:rPr>
          <w:rFonts w:ascii="Calibri" w:hAnsi="Calibri" w:eastAsia="Calibri"/>
        </w:rPr>
        <w:t>[2007]886</w:t>
      </w:r>
      <w:r>
        <w:rPr/>
        <w:t>号“关于</w:t>
      </w:r>
      <w:r>
        <w:rPr>
          <w:rFonts w:ascii="Calibri" w:hAnsi="Calibri" w:eastAsia="Calibri"/>
        </w:rPr>
        <w:t>35</w:t>
      </w:r>
      <w:r>
        <w:rPr/>
        <w:t>千伏送、变电系统建设项目环境管理有关问题的</w:t>
      </w:r>
      <w:r>
        <w:rPr>
          <w:spacing w:val="-3"/>
        </w:rPr>
        <w:t>复函”</w:t>
      </w:r>
      <w:r>
        <w:rPr>
          <w:rFonts w:ascii="Calibri" w:hAnsi="Calibri" w:eastAsia="Calibri"/>
          <w:spacing w:val="-8"/>
        </w:rPr>
        <w:t>35kV</w:t>
      </w:r>
      <w:r>
        <w:rPr>
          <w:spacing w:val="-9"/>
        </w:rPr>
        <w:t>送、变电系统属于电磁豁免工程。因此项目太阳能发电和集电线路产</w:t>
      </w:r>
      <w:r>
        <w:rPr>
          <w:spacing w:val="-7"/>
        </w:rPr>
        <w:t>生的电磁辐射强度较低，且距离居民区较远，不会对居民身体健康产生危害，周</w:t>
      </w:r>
    </w:p>
    <w:p>
      <w:pPr>
        <w:spacing w:after="0" w:line="364" w:lineRule="auto"/>
        <w:sectPr>
          <w:pgSz w:w="11910" w:h="16840"/>
          <w:pgMar w:header="0" w:footer="970" w:top="1460" w:bottom="1160" w:left="1580" w:right="1480"/>
        </w:sectPr>
      </w:pPr>
    </w:p>
    <w:p>
      <w:pPr>
        <w:pStyle w:val="BodyText"/>
        <w:spacing w:before="42"/>
      </w:pPr>
      <w:r>
        <w:rPr/>
        <w:t>围无线电、电视等电器设备较少，不会对其产生影响。</w:t>
      </w:r>
    </w:p>
    <w:p>
      <w:pPr>
        <w:pStyle w:val="BodyText"/>
        <w:spacing w:line="364" w:lineRule="auto" w:before="160"/>
        <w:ind w:right="151" w:firstLine="480"/>
      </w:pPr>
      <w:r>
        <w:rPr/>
        <w:t>依据《环境影响评价技术导则输变电工程》（</w:t>
      </w:r>
      <w:r>
        <w:rPr>
          <w:rFonts w:ascii="Times New Roman" w:eastAsia="Times New Roman"/>
        </w:rPr>
        <w:t>HJ24-2014</w:t>
      </w:r>
      <w:r>
        <w:rPr/>
        <w:t>）中评价工作等级划分，本次</w:t>
      </w:r>
      <w:r>
        <w:rPr>
          <w:rFonts w:ascii="Times New Roman" w:eastAsia="Times New Roman"/>
        </w:rPr>
        <w:t>l10kV</w:t>
      </w:r>
      <w:r>
        <w:rPr/>
        <w:t>输变电项目，新建</w:t>
      </w:r>
      <w:r>
        <w:rPr>
          <w:rFonts w:ascii="Times New Roman" w:eastAsia="Times New Roman"/>
        </w:rPr>
        <w:t>110kV</w:t>
      </w:r>
      <w:r>
        <w:rPr/>
        <w:t>升压站电磁环境影响评价等级为二级， 按照</w:t>
      </w:r>
      <w:r>
        <w:rPr>
          <w:rFonts w:ascii="Times New Roman" w:eastAsia="Times New Roman"/>
        </w:rPr>
        <w:t>HJ24-2014</w:t>
      </w:r>
      <w:r>
        <w:rPr/>
        <w:t>中电磁环境影响评价的基本要求，变电站的电磁环境影响预测采用类比监测的方式。（详见电磁环境影响专项评价）</w:t>
      </w:r>
    </w:p>
    <w:p>
      <w:pPr>
        <w:pStyle w:val="ListParagraph"/>
        <w:numPr>
          <w:ilvl w:val="0"/>
          <w:numId w:val="2"/>
        </w:numPr>
        <w:tabs>
          <w:tab w:pos="520" w:val="left" w:leader="none"/>
        </w:tabs>
        <w:spacing w:line="240" w:lineRule="auto" w:before="44" w:after="0"/>
        <w:ind w:left="520" w:right="0" w:hanging="300"/>
        <w:jc w:val="left"/>
        <w:rPr>
          <w:rFonts w:ascii="Times New Roman" w:eastAsia="Times New Roman"/>
          <w:b/>
          <w:sz w:val="30"/>
        </w:rPr>
      </w:pPr>
      <w:bookmarkStart w:name="_bookmark24" w:id="50"/>
      <w:bookmarkEnd w:id="50"/>
      <w:r>
        <w:rPr/>
      </w:r>
      <w:bookmarkStart w:name="_bookmark24" w:id="51"/>
      <w:bookmarkEnd w:id="51"/>
      <w:r>
        <w:rPr>
          <w:b/>
          <w:sz w:val="30"/>
        </w:rPr>
        <w:t>生态环境保护与恢复</w:t>
      </w:r>
    </w:p>
    <w:p>
      <w:pPr>
        <w:pStyle w:val="Heading3"/>
        <w:numPr>
          <w:ilvl w:val="1"/>
          <w:numId w:val="2"/>
        </w:numPr>
        <w:tabs>
          <w:tab w:pos="710" w:val="left" w:leader="none"/>
        </w:tabs>
        <w:spacing w:line="240" w:lineRule="auto" w:before="252" w:after="0"/>
        <w:ind w:left="709" w:right="0" w:hanging="490"/>
        <w:jc w:val="both"/>
      </w:pPr>
      <w:bookmarkStart w:name="7.1 生态减缓措施" w:id="52"/>
      <w:bookmarkEnd w:id="52"/>
      <w:r>
        <w:rPr>
          <w:b w:val="0"/>
        </w:rPr>
      </w:r>
      <w:bookmarkStart w:name="_bookmark25" w:id="53"/>
      <w:bookmarkEnd w:id="53"/>
      <w:r>
        <w:rPr>
          <w:b w:val="0"/>
        </w:rPr>
      </w:r>
      <w:bookmarkStart w:name="_bookmark25" w:id="54"/>
      <w:bookmarkEnd w:id="54"/>
      <w:r>
        <w:rPr/>
        <w:t>生态减缓措施</w:t>
      </w:r>
    </w:p>
    <w:p>
      <w:pPr>
        <w:pStyle w:val="BodyText"/>
        <w:spacing w:before="212"/>
        <w:ind w:left="700"/>
      </w:pPr>
      <w:r>
        <w:rPr/>
        <w:t>工程拟采取的生态减缓措施有：</w:t>
      </w:r>
    </w:p>
    <w:p>
      <w:pPr>
        <w:pStyle w:val="ListParagraph"/>
        <w:numPr>
          <w:ilvl w:val="0"/>
          <w:numId w:val="11"/>
        </w:numPr>
        <w:tabs>
          <w:tab w:pos="1301" w:val="left" w:leader="none"/>
        </w:tabs>
        <w:spacing w:line="364" w:lineRule="auto" w:before="160" w:after="0"/>
        <w:ind w:left="220" w:right="320" w:firstLine="480"/>
        <w:jc w:val="left"/>
        <w:rPr>
          <w:sz w:val="24"/>
        </w:rPr>
      </w:pPr>
      <w:r>
        <w:rPr>
          <w:spacing w:val="-1"/>
          <w:sz w:val="24"/>
        </w:rPr>
        <w:t>合理安排施工时间及工序，挖填作业应避开大风天气及雨季，将土壤</w:t>
      </w:r>
      <w:r>
        <w:rPr>
          <w:sz w:val="24"/>
        </w:rPr>
        <w:t>受风蚀、水蚀的影响降至最小程度。</w:t>
      </w:r>
    </w:p>
    <w:p>
      <w:pPr>
        <w:pStyle w:val="ListParagraph"/>
        <w:numPr>
          <w:ilvl w:val="0"/>
          <w:numId w:val="11"/>
        </w:numPr>
        <w:tabs>
          <w:tab w:pos="1301" w:val="left" w:leader="none"/>
        </w:tabs>
        <w:spacing w:line="364" w:lineRule="auto" w:before="1" w:after="0"/>
        <w:ind w:left="220" w:right="317" w:firstLine="480"/>
        <w:jc w:val="both"/>
        <w:rPr>
          <w:sz w:val="24"/>
        </w:rPr>
      </w:pPr>
      <w:r>
        <w:rPr>
          <w:spacing w:val="-1"/>
          <w:sz w:val="24"/>
        </w:rPr>
        <w:t>强化施工管理，努力增强施工人员的环境保护意识，规范施工人员的</w:t>
      </w:r>
      <w:r>
        <w:rPr>
          <w:spacing w:val="-11"/>
          <w:sz w:val="24"/>
        </w:rPr>
        <w:t>行为，严禁砍伐、破坏施工区以外的作物和植被，杜绝破坏动物巢穴，捕杀野生</w:t>
      </w:r>
      <w:r>
        <w:rPr>
          <w:sz w:val="24"/>
        </w:rPr>
        <w:t>动物。</w:t>
      </w:r>
    </w:p>
    <w:p>
      <w:pPr>
        <w:pStyle w:val="ListParagraph"/>
        <w:numPr>
          <w:ilvl w:val="0"/>
          <w:numId w:val="11"/>
        </w:numPr>
        <w:tabs>
          <w:tab w:pos="1301" w:val="left" w:leader="none"/>
        </w:tabs>
        <w:spacing w:line="364" w:lineRule="auto" w:before="2" w:after="0"/>
        <w:ind w:left="220" w:right="197" w:firstLine="480"/>
        <w:jc w:val="left"/>
        <w:rPr>
          <w:sz w:val="24"/>
        </w:rPr>
      </w:pPr>
      <w:r>
        <w:rPr>
          <w:spacing w:val="-5"/>
          <w:sz w:val="24"/>
        </w:rPr>
        <w:t>施工过程应采取平行作业，边开挖、边回填平整，边采取临时性排水</w:t>
      </w:r>
      <w:r>
        <w:rPr>
          <w:spacing w:val="-4"/>
          <w:sz w:val="24"/>
        </w:rPr>
        <w:t>、护坡措施，及时绿化种植进行生态恢复。</w:t>
      </w:r>
    </w:p>
    <w:p>
      <w:pPr>
        <w:pStyle w:val="ListParagraph"/>
        <w:numPr>
          <w:ilvl w:val="0"/>
          <w:numId w:val="11"/>
        </w:numPr>
        <w:tabs>
          <w:tab w:pos="1301" w:val="left" w:leader="none"/>
        </w:tabs>
        <w:spacing w:line="364" w:lineRule="auto" w:before="1" w:after="0"/>
        <w:ind w:left="220" w:right="320" w:firstLine="480"/>
        <w:jc w:val="left"/>
        <w:rPr>
          <w:sz w:val="24"/>
        </w:rPr>
      </w:pPr>
      <w:r>
        <w:rPr>
          <w:spacing w:val="-1"/>
          <w:sz w:val="24"/>
        </w:rPr>
        <w:t>严禁对项目场地进行大面积平整，仅对高地势场地进行局部修整，以</w:t>
      </w:r>
      <w:r>
        <w:rPr>
          <w:sz w:val="24"/>
        </w:rPr>
        <w:t>最大限度的减小施工对生态环境的影响。</w:t>
      </w:r>
    </w:p>
    <w:p>
      <w:pPr>
        <w:pStyle w:val="ListParagraph"/>
        <w:numPr>
          <w:ilvl w:val="0"/>
          <w:numId w:val="11"/>
        </w:numPr>
        <w:tabs>
          <w:tab w:pos="1301" w:val="left" w:leader="none"/>
        </w:tabs>
        <w:spacing w:line="364" w:lineRule="auto" w:before="2" w:after="0"/>
        <w:ind w:left="220" w:right="320" w:firstLine="480"/>
        <w:jc w:val="left"/>
        <w:rPr>
          <w:sz w:val="24"/>
        </w:rPr>
      </w:pPr>
      <w:r>
        <w:rPr>
          <w:spacing w:val="-1"/>
          <w:sz w:val="24"/>
        </w:rPr>
        <w:t>挖填作业时，建议将表层种植土单独存放，待施工结束后将表层土回</w:t>
      </w:r>
      <w:r>
        <w:rPr>
          <w:sz w:val="24"/>
        </w:rPr>
        <w:t>覆于场以利于植被恢复。</w:t>
      </w:r>
    </w:p>
    <w:p>
      <w:pPr>
        <w:pStyle w:val="ListParagraph"/>
        <w:numPr>
          <w:ilvl w:val="0"/>
          <w:numId w:val="11"/>
        </w:numPr>
        <w:tabs>
          <w:tab w:pos="1301" w:val="left" w:leader="none"/>
        </w:tabs>
        <w:spacing w:line="364" w:lineRule="auto" w:before="1" w:after="0"/>
        <w:ind w:left="220" w:right="317" w:firstLine="480"/>
        <w:jc w:val="both"/>
        <w:rPr>
          <w:sz w:val="24"/>
        </w:rPr>
      </w:pPr>
      <w:r>
        <w:rPr>
          <w:spacing w:val="-1"/>
          <w:sz w:val="24"/>
        </w:rPr>
        <w:t>应划定施工区域界限，在保证施工顺利进行的前提下，严格控制施工</w:t>
      </w:r>
      <w:r>
        <w:rPr>
          <w:spacing w:val="-7"/>
          <w:sz w:val="24"/>
        </w:rPr>
        <w:t>人员和施工机械的活动范围，严禁超越施工带作业。电器线路敷设依据《电力电</w:t>
      </w:r>
      <w:r>
        <w:rPr>
          <w:sz w:val="24"/>
        </w:rPr>
        <w:t>缆铺设设计规范》（</w:t>
      </w:r>
      <w:r>
        <w:rPr>
          <w:rFonts w:ascii="Times New Roman" w:eastAsia="Times New Roman"/>
          <w:sz w:val="24"/>
        </w:rPr>
        <w:t>GB50217-94</w:t>
      </w:r>
      <w:r>
        <w:rPr>
          <w:sz w:val="24"/>
        </w:rPr>
        <w:t>），本项目集电线路电缆采用直埋敷设，电缆</w:t>
      </w:r>
      <w:r>
        <w:rPr>
          <w:spacing w:val="-6"/>
          <w:sz w:val="24"/>
        </w:rPr>
        <w:t>外皮至地面距离不小于 </w:t>
      </w:r>
      <w:r>
        <w:rPr>
          <w:rFonts w:ascii="Times New Roman" w:eastAsia="Times New Roman"/>
          <w:sz w:val="24"/>
        </w:rPr>
        <w:t>0.7 </w:t>
      </w:r>
      <w:r>
        <w:rPr>
          <w:spacing w:val="-8"/>
          <w:sz w:val="24"/>
        </w:rPr>
        <w:t>米，当位于车行道时，不宜小于 </w:t>
      </w:r>
      <w:r>
        <w:rPr>
          <w:rFonts w:ascii="Times New Roman" w:eastAsia="Times New Roman"/>
          <w:sz w:val="24"/>
        </w:rPr>
        <w:t>1 </w:t>
      </w:r>
      <w:r>
        <w:rPr>
          <w:spacing w:val="-5"/>
          <w:sz w:val="24"/>
        </w:rPr>
        <w:t>米。直埋敷设于冻</w:t>
      </w:r>
      <w:r>
        <w:rPr>
          <w:spacing w:val="-10"/>
          <w:sz w:val="24"/>
        </w:rPr>
        <w:t>土地区时，宜埋入冻土层以下，无法深埋时，可在沿电缆全长的上、下紧邻侧铺</w:t>
      </w:r>
      <w:r>
        <w:rPr>
          <w:spacing w:val="-9"/>
          <w:sz w:val="24"/>
        </w:rPr>
        <w:t>以厚度不小于 </w:t>
      </w:r>
      <w:r>
        <w:rPr>
          <w:rFonts w:ascii="Times New Roman" w:eastAsia="Times New Roman"/>
          <w:sz w:val="24"/>
        </w:rPr>
        <w:t>100 </w:t>
      </w:r>
      <w:r>
        <w:rPr>
          <w:spacing w:val="-10"/>
          <w:sz w:val="24"/>
        </w:rPr>
        <w:t>毫米的细砂层，再沿电缆全长覆盖混凝土保护板，这样可防止</w:t>
      </w:r>
    </w:p>
    <w:p>
      <w:pPr>
        <w:pStyle w:val="BodyText"/>
        <w:spacing w:line="364" w:lineRule="auto" w:before="3"/>
        <w:ind w:right="317"/>
        <w:jc w:val="both"/>
      </w:pPr>
      <w:r>
        <w:rPr>
          <w:spacing w:val="-7"/>
        </w:rPr>
        <w:t>电缆在运行中受到损坏。在直线段每隔 </w:t>
      </w:r>
      <w:r>
        <w:rPr>
          <w:rFonts w:ascii="Times New Roman" w:eastAsia="Times New Roman"/>
        </w:rPr>
        <w:t>100 </w:t>
      </w:r>
      <w:r>
        <w:rPr>
          <w:spacing w:val="-11"/>
        </w:rPr>
        <w:t>米处、电缆接头处、转弯处、应设置</w:t>
      </w:r>
      <w:r>
        <w:rPr>
          <w:spacing w:val="-10"/>
        </w:rPr>
        <w:t>明显的方位标志桩。回填土应分层夯实。有可能受到机械损伤的地方应穿内径不</w:t>
      </w:r>
      <w:r>
        <w:rPr>
          <w:spacing w:val="-9"/>
        </w:rPr>
        <w:t>小于电缆外径 </w:t>
      </w:r>
      <w:r>
        <w:rPr>
          <w:rFonts w:ascii="Times New Roman" w:eastAsia="Times New Roman"/>
        </w:rPr>
        <w:t>1.5 </w:t>
      </w:r>
      <w:r>
        <w:rPr>
          <w:spacing w:val="-5"/>
        </w:rPr>
        <w:t>倍的热镀锌钢管。并列电缆的接头位置宜相互错开，且不小于</w:t>
      </w:r>
    </w:p>
    <w:p>
      <w:pPr>
        <w:pStyle w:val="BodyText"/>
        <w:spacing w:before="2"/>
        <w:jc w:val="both"/>
      </w:pPr>
      <w:r>
        <w:rPr>
          <w:rFonts w:ascii="Times New Roman" w:eastAsia="Times New Roman"/>
        </w:rPr>
        <w:t>0.5</w:t>
      </w:r>
      <w:r>
        <w:rPr>
          <w:rFonts w:ascii="Times New Roman" w:eastAsia="Times New Roman"/>
          <w:spacing w:val="6"/>
        </w:rPr>
        <w:t> </w:t>
      </w:r>
      <w:r>
        <w:rPr>
          <w:spacing w:val="-2"/>
        </w:rPr>
        <w:t>米的净距。斜坡地形处的接头应呈水平状。电缆接头处，宜在其两侧约 </w:t>
      </w:r>
      <w:r>
        <w:rPr>
          <w:rFonts w:ascii="Times New Roman" w:eastAsia="Times New Roman"/>
        </w:rPr>
        <w:t>1</w:t>
      </w:r>
      <w:r>
        <w:rPr>
          <w:rFonts w:ascii="Times New Roman" w:eastAsia="Times New Roman"/>
          <w:spacing w:val="9"/>
        </w:rPr>
        <w:t> </w:t>
      </w:r>
      <w:r>
        <w:rPr/>
        <w:t>米</w:t>
      </w:r>
    </w:p>
    <w:p>
      <w:pPr>
        <w:spacing w:after="0"/>
        <w:jc w:val="both"/>
        <w:sectPr>
          <w:footerReference w:type="default" r:id="rId13"/>
          <w:pgSz w:w="11910" w:h="16840"/>
          <w:pgMar w:footer="970" w:header="0" w:top="1460" w:bottom="1160" w:left="1580" w:right="1480"/>
          <w:pgNumType w:start="20"/>
        </w:sectPr>
      </w:pPr>
    </w:p>
    <w:p>
      <w:pPr>
        <w:pStyle w:val="BodyText"/>
        <w:spacing w:line="364" w:lineRule="auto" w:before="62"/>
        <w:ind w:right="315"/>
        <w:jc w:val="both"/>
      </w:pPr>
      <w:r>
        <w:rPr>
          <w:spacing w:val="-13"/>
        </w:rPr>
        <w:t>开始留有备用余量。环评建议堆土带宽为 </w:t>
      </w:r>
      <w:r>
        <w:rPr>
          <w:rFonts w:ascii="Times New Roman" w:eastAsia="Times New Roman"/>
          <w:spacing w:val="-20"/>
        </w:rPr>
        <w:t>0.6m</w:t>
      </w:r>
      <w:r>
        <w:rPr>
          <w:spacing w:val="-10"/>
        </w:rPr>
        <w:t>，敷设施工带宽控制在 </w:t>
      </w:r>
      <w:r>
        <w:rPr>
          <w:rFonts w:ascii="Times New Roman" w:eastAsia="Times New Roman"/>
        </w:rPr>
        <w:t>1.2m </w:t>
      </w:r>
      <w:r>
        <w:rPr>
          <w:spacing w:val="-92"/>
        </w:rPr>
        <w:t>内</w:t>
      </w:r>
      <w:r>
        <w:rPr/>
        <w:t>（</w:t>
      </w:r>
      <w:r>
        <w:rPr>
          <w:spacing w:val="-17"/>
        </w:rPr>
        <w:t>施</w:t>
      </w:r>
      <w:r>
        <w:rPr>
          <w:spacing w:val="-9"/>
        </w:rPr>
        <w:t>工作业带见图 </w:t>
      </w:r>
      <w:r>
        <w:rPr>
          <w:rFonts w:ascii="Times New Roman" w:eastAsia="Times New Roman"/>
        </w:rPr>
        <w:t>7-1</w:t>
      </w:r>
      <w:r>
        <w:rPr/>
        <w:t>）；</w:t>
      </w:r>
      <w:r>
        <w:rPr>
          <w:spacing w:val="-1"/>
        </w:rPr>
        <w:t>要求施工单位采用人工开挖方式，避免机械设备扰动，以</w:t>
      </w:r>
      <w:r>
        <w:rPr/>
        <w:t>缩小施工作业面和减少破土面积，降低其对植被和土体结构的影响。</w:t>
      </w:r>
    </w:p>
    <w:p>
      <w:pPr>
        <w:pStyle w:val="BodyText"/>
        <w:spacing w:before="8"/>
        <w:ind w:left="0"/>
        <w:rPr>
          <w:sz w:val="8"/>
        </w:rPr>
      </w:pPr>
      <w:r>
        <w:rPr/>
        <w:drawing>
          <wp:anchor distT="0" distB="0" distL="0" distR="0" allowOverlap="1" layoutInCell="1" locked="0" behindDoc="0" simplePos="0" relativeHeight="8">
            <wp:simplePos x="0" y="0"/>
            <wp:positionH relativeFrom="page">
              <wp:posOffset>2065020</wp:posOffset>
            </wp:positionH>
            <wp:positionV relativeFrom="paragraph">
              <wp:posOffset>95122</wp:posOffset>
            </wp:positionV>
            <wp:extent cx="3505200" cy="1295400"/>
            <wp:effectExtent l="0" t="0" r="0" b="0"/>
            <wp:wrapTopAndBottom/>
            <wp:docPr id="7" name="image7.jpeg"/>
            <wp:cNvGraphicFramePr>
              <a:graphicFrameLocks noChangeAspect="1"/>
            </wp:cNvGraphicFramePr>
            <a:graphic>
              <a:graphicData uri="http://schemas.openxmlformats.org/drawingml/2006/picture">
                <pic:pic>
                  <pic:nvPicPr>
                    <pic:cNvPr id="8" name="image7.jpeg"/>
                    <pic:cNvPicPr/>
                  </pic:nvPicPr>
                  <pic:blipFill>
                    <a:blip r:embed="rId14" cstate="print"/>
                    <a:stretch>
                      <a:fillRect/>
                    </a:stretch>
                  </pic:blipFill>
                  <pic:spPr>
                    <a:xfrm>
                      <a:off x="0" y="0"/>
                      <a:ext cx="3505200" cy="1295400"/>
                    </a:xfrm>
                    <a:prstGeom prst="rect">
                      <a:avLst/>
                    </a:prstGeom>
                  </pic:spPr>
                </pic:pic>
              </a:graphicData>
            </a:graphic>
          </wp:anchor>
        </w:drawing>
      </w:r>
    </w:p>
    <w:p>
      <w:pPr>
        <w:pStyle w:val="BodyText"/>
        <w:spacing w:before="2"/>
        <w:ind w:left="0"/>
        <w:rPr>
          <w:sz w:val="23"/>
        </w:rPr>
      </w:pPr>
    </w:p>
    <w:p>
      <w:pPr>
        <w:spacing w:before="0"/>
        <w:ind w:left="3208" w:right="0" w:firstLine="0"/>
        <w:jc w:val="left"/>
        <w:rPr>
          <w:b/>
          <w:sz w:val="21"/>
        </w:rPr>
      </w:pPr>
      <w:bookmarkStart w:name="图7-1 施工作业带示意图" w:id="55"/>
      <w:bookmarkEnd w:id="55"/>
      <w:r>
        <w:rPr/>
      </w:r>
      <w:r>
        <w:rPr>
          <w:b/>
          <w:spacing w:val="-26"/>
          <w:sz w:val="21"/>
        </w:rPr>
        <w:t>图 </w:t>
      </w:r>
      <w:r>
        <w:rPr>
          <w:rFonts w:ascii="Times New Roman" w:eastAsia="Times New Roman"/>
          <w:b/>
          <w:sz w:val="21"/>
        </w:rPr>
        <w:t>7-1</w:t>
      </w:r>
      <w:r>
        <w:rPr>
          <w:rFonts w:ascii="Times New Roman" w:eastAsia="Times New Roman"/>
          <w:b/>
          <w:spacing w:val="52"/>
          <w:sz w:val="21"/>
        </w:rPr>
        <w:t> </w:t>
      </w:r>
      <w:r>
        <w:rPr>
          <w:b/>
          <w:sz w:val="21"/>
        </w:rPr>
        <w:t>施工作业带示意图</w:t>
      </w:r>
    </w:p>
    <w:p>
      <w:pPr>
        <w:pStyle w:val="ListParagraph"/>
        <w:numPr>
          <w:ilvl w:val="0"/>
          <w:numId w:val="11"/>
        </w:numPr>
        <w:tabs>
          <w:tab w:pos="1301" w:val="left" w:leader="none"/>
        </w:tabs>
        <w:spacing w:line="364" w:lineRule="auto" w:before="181" w:after="0"/>
        <w:ind w:left="220" w:right="345" w:firstLine="480"/>
        <w:jc w:val="left"/>
        <w:rPr>
          <w:sz w:val="24"/>
        </w:rPr>
      </w:pPr>
      <w:r>
        <w:rPr>
          <w:spacing w:val="-1"/>
          <w:sz w:val="24"/>
        </w:rPr>
        <w:t>对施工期易产生扬尘的环节要采用洒水、遮挡和覆盖等方法，降低扬</w:t>
      </w:r>
      <w:r>
        <w:rPr>
          <w:sz w:val="24"/>
        </w:rPr>
        <w:t>尘对项目区域植被的影响。</w:t>
      </w:r>
    </w:p>
    <w:p>
      <w:pPr>
        <w:pStyle w:val="ListParagraph"/>
        <w:numPr>
          <w:ilvl w:val="0"/>
          <w:numId w:val="11"/>
        </w:numPr>
        <w:tabs>
          <w:tab w:pos="1301" w:val="left" w:leader="none"/>
        </w:tabs>
        <w:spacing w:line="364" w:lineRule="auto" w:before="1" w:after="0"/>
        <w:ind w:left="220" w:right="317" w:firstLine="480"/>
        <w:jc w:val="both"/>
        <w:rPr>
          <w:sz w:val="24"/>
        </w:rPr>
      </w:pPr>
      <w:r>
        <w:rPr>
          <w:sz w:val="24"/>
        </w:rPr>
        <w:t>对施工期产生的各类污染物要妥善处理，施工产生的固体废物和生活</w:t>
      </w:r>
      <w:r>
        <w:rPr>
          <w:spacing w:val="-9"/>
          <w:sz w:val="24"/>
        </w:rPr>
        <w:t>垃圾要集中处理，应设置专门的废物堆放场地堆存，施工结束后分别送往建筑垃</w:t>
      </w:r>
      <w:r>
        <w:rPr>
          <w:sz w:val="24"/>
        </w:rPr>
        <w:t>圾填埋场及生活垃圾填埋场卫生填埋。</w:t>
      </w:r>
    </w:p>
    <w:p>
      <w:pPr>
        <w:pStyle w:val="Heading3"/>
        <w:numPr>
          <w:ilvl w:val="1"/>
          <w:numId w:val="12"/>
        </w:numPr>
        <w:tabs>
          <w:tab w:pos="710" w:val="left" w:leader="none"/>
        </w:tabs>
        <w:spacing w:line="240" w:lineRule="auto" w:before="56" w:after="0"/>
        <w:ind w:left="709" w:right="0" w:hanging="490"/>
        <w:jc w:val="left"/>
      </w:pPr>
      <w:bookmarkStart w:name="7.2 植被恢复措施" w:id="56"/>
      <w:bookmarkEnd w:id="56"/>
      <w:r>
        <w:rPr>
          <w:b w:val="0"/>
        </w:rPr>
      </w:r>
      <w:bookmarkStart w:name="_bookmark26" w:id="57"/>
      <w:bookmarkEnd w:id="57"/>
      <w:r>
        <w:rPr>
          <w:b w:val="0"/>
        </w:rPr>
      </w:r>
      <w:bookmarkStart w:name="_bookmark26" w:id="58"/>
      <w:bookmarkEnd w:id="58"/>
      <w:r>
        <w:rPr/>
        <w:t>植被恢复措施</w:t>
      </w:r>
    </w:p>
    <w:p>
      <w:pPr>
        <w:pStyle w:val="BodyText"/>
        <w:spacing w:line="364" w:lineRule="auto" w:before="211"/>
        <w:ind w:right="317" w:firstLine="480"/>
      </w:pPr>
      <w:r>
        <w:rPr>
          <w:spacing w:val="-5"/>
        </w:rPr>
        <w:t>为弥补工程引起的土地占用和植被破坏导致的生态损失，项目区需同时进行</w:t>
      </w:r>
      <w:r>
        <w:rPr/>
        <w:t>植被恢复。</w:t>
      </w:r>
    </w:p>
    <w:p>
      <w:pPr>
        <w:pStyle w:val="Heading3"/>
        <w:numPr>
          <w:ilvl w:val="2"/>
          <w:numId w:val="12"/>
        </w:numPr>
        <w:tabs>
          <w:tab w:pos="921" w:val="left" w:leader="none"/>
        </w:tabs>
        <w:spacing w:line="240" w:lineRule="auto" w:before="55" w:after="0"/>
        <w:ind w:left="920" w:right="0" w:hanging="701"/>
        <w:jc w:val="left"/>
      </w:pPr>
      <w:r>
        <w:rPr/>
        <w:t>以生态恢复为建设基本目标</w:t>
      </w:r>
    </w:p>
    <w:p>
      <w:pPr>
        <w:pStyle w:val="BodyText"/>
        <w:spacing w:line="364" w:lineRule="auto" w:before="212"/>
        <w:ind w:right="197" w:firstLine="480"/>
      </w:pPr>
      <w:r>
        <w:rPr>
          <w:spacing w:val="-15"/>
        </w:rPr>
        <w:t>项目建设活动中占用土地、改变土地使用功能，破坏了生态系统的原有结构。</w:t>
      </w:r>
      <w:r>
        <w:rPr>
          <w:spacing w:val="-5"/>
        </w:rPr>
        <w:t>因而生态环境的恢复主要是指恢复其生态环境功能，包括破坏土地的复垦、恢复</w:t>
      </w:r>
      <w:r>
        <w:rPr>
          <w:spacing w:val="-10"/>
        </w:rPr>
        <w:t>植被等。建设项目虽然对生态环境造成一定影响，但对于可通过事后努力而使生态系统的结构或环境功能得到修复的区域应全面实施生态恢复措施。</w:t>
      </w:r>
    </w:p>
    <w:p>
      <w:pPr>
        <w:pStyle w:val="Heading3"/>
        <w:numPr>
          <w:ilvl w:val="2"/>
          <w:numId w:val="12"/>
        </w:numPr>
        <w:tabs>
          <w:tab w:pos="921" w:val="left" w:leader="none"/>
        </w:tabs>
        <w:spacing w:line="240" w:lineRule="auto" w:before="56" w:after="0"/>
        <w:ind w:left="920" w:right="0" w:hanging="701"/>
        <w:jc w:val="left"/>
      </w:pPr>
      <w:bookmarkStart w:name="7.2.2 选择适宜的作物种类" w:id="59"/>
      <w:bookmarkEnd w:id="59"/>
      <w:r>
        <w:rPr>
          <w:b w:val="0"/>
        </w:rPr>
      </w:r>
      <w:bookmarkStart w:name="7.2.2 选择适宜的作物种类" w:id="60"/>
      <w:bookmarkEnd w:id="60"/>
      <w:r>
        <w:rPr/>
        <w:t>选择适宜的作物种类</w:t>
      </w:r>
    </w:p>
    <w:p>
      <w:pPr>
        <w:pStyle w:val="BodyText"/>
        <w:spacing w:line="364" w:lineRule="auto" w:before="211"/>
        <w:ind w:right="317" w:firstLine="480"/>
        <w:jc w:val="both"/>
      </w:pPr>
      <w:bookmarkStart w:name="本项目所在地属温带半干旱大陆性季风气候，不易发生暴雨天气。项目建设采用“农光互补" w:id="61"/>
      <w:bookmarkEnd w:id="61"/>
      <w:r>
        <w:rPr/>
      </w:r>
      <w:r>
        <w:rPr>
          <w:spacing w:val="-6"/>
        </w:rPr>
        <w:t>本项目所在地属温带半干旱大陆性季风气候，不易发生暴雨天气。项目建设</w:t>
      </w:r>
      <w:r>
        <w:rPr>
          <w:spacing w:val="-12"/>
        </w:rPr>
        <w:t>采用“农光互补”模式，在保证太阳能光伏正常发电的前提下，选用科学治理措</w:t>
      </w:r>
      <w:r>
        <w:rPr>
          <w:spacing w:val="-10"/>
        </w:rPr>
        <w:t>施，促使环境优质治理、电能生产顺利，实现生态效益和经济效益双赢。根据项</w:t>
      </w:r>
      <w:r>
        <w:rPr>
          <w:spacing w:val="-8"/>
        </w:rPr>
        <w:t>目区域实地调查，并参考项目可行性研究报告，按照“因地制宜，适地发展”的</w:t>
      </w:r>
      <w:r>
        <w:rPr>
          <w:spacing w:val="-10"/>
        </w:rPr>
        <w:t>原则，充分利用当地丰富的土地资源和光热、气候条件，在品种选择上应重点突</w:t>
      </w:r>
    </w:p>
    <w:p>
      <w:pPr>
        <w:spacing w:after="0" w:line="364" w:lineRule="auto"/>
        <w:jc w:val="both"/>
        <w:sectPr>
          <w:pgSz w:w="11910" w:h="16840"/>
          <w:pgMar w:header="0" w:footer="970" w:top="1440" w:bottom="1160" w:left="1580" w:right="1480"/>
        </w:sectPr>
      </w:pPr>
    </w:p>
    <w:p>
      <w:pPr>
        <w:pStyle w:val="BodyText"/>
        <w:spacing w:line="364" w:lineRule="auto" w:before="42"/>
        <w:ind w:right="321"/>
      </w:pPr>
      <w:r>
        <w:rPr>
          <w:spacing w:val="-9"/>
        </w:rPr>
        <w:t>出泾阳县药材品种，如黄芩、柴胡、远志、苍术、连翘、金银花等品种。考虑规</w:t>
      </w:r>
      <w:r>
        <w:rPr/>
        <w:t>模化、机械化作业，种植品种可选择黄芩、柴胡、远志、苍术等。</w:t>
      </w:r>
    </w:p>
    <w:p>
      <w:pPr>
        <w:pStyle w:val="BodyText"/>
        <w:spacing w:before="1"/>
        <w:ind w:left="700"/>
      </w:pPr>
      <w:r>
        <w:rPr/>
        <w:t>中药材品种推荐：黄芩、柴胡。</w:t>
      </w:r>
    </w:p>
    <w:p>
      <w:pPr>
        <w:pStyle w:val="BodyText"/>
        <w:spacing w:line="364" w:lineRule="auto" w:before="161"/>
        <w:ind w:right="317" w:firstLine="480"/>
        <w:jc w:val="both"/>
      </w:pPr>
      <w:r>
        <w:rPr/>
        <w:t>黄芩唇形科黄芩属多年生草本植物，喜温暖，耐严寒，地下都可忍受</w:t>
      </w:r>
      <w:r>
        <w:rPr>
          <w:rFonts w:ascii="Times New Roman" w:hAnsi="Times New Roman" w:eastAsia="Times New Roman"/>
        </w:rPr>
        <w:t>-30</w:t>
      </w:r>
      <w:r>
        <w:rPr/>
        <w:t>℃ </w:t>
      </w:r>
      <w:r>
        <w:rPr>
          <w:spacing w:val="-11"/>
        </w:rPr>
        <w:t>的低温；耐旱怕涝，在排水不良或多雨地区种植生长不良，重者烂根死亡。以壤</w:t>
      </w:r>
      <w:r>
        <w:rPr/>
        <w:t>土和沙质壤土，酸碱度以中性和微碱性为好，忌连作。</w:t>
      </w:r>
    </w:p>
    <w:p>
      <w:pPr>
        <w:pStyle w:val="BodyText"/>
        <w:spacing w:line="364" w:lineRule="auto" w:before="1"/>
        <w:ind w:right="225" w:firstLine="480"/>
      </w:pPr>
      <w:bookmarkStart w:name="柴胡为伞形科多年生草本植物，多生于干燥的荒山坡、林缘、灌木丛、林间空隙、荒原草甸" w:id="62"/>
      <w:bookmarkEnd w:id="62"/>
      <w:r>
        <w:rPr/>
      </w:r>
      <w:r>
        <w:rPr>
          <w:spacing w:val="-5"/>
        </w:rPr>
        <w:t>柴胡为伞形科多年生草本植物，多生于干燥的荒山坡、林缘、灌木丛、林间</w:t>
      </w:r>
      <w:r>
        <w:rPr>
          <w:spacing w:val="-6"/>
        </w:rPr>
        <w:t>空隙、荒原草甸等地，土壤多为棕色森林土，富含腐殖质的黑土或草原沙质土。</w:t>
      </w:r>
      <w:r>
        <w:rPr/>
        <w:t>喜温暖湿润气候条件，具有耐寒、耐旱、怕涝的特性。</w:t>
      </w:r>
    </w:p>
    <w:p>
      <w:pPr>
        <w:pStyle w:val="BodyText"/>
        <w:spacing w:line="364" w:lineRule="auto" w:before="2"/>
        <w:ind w:right="317" w:firstLine="480"/>
        <w:jc w:val="both"/>
      </w:pPr>
      <w:r>
        <w:rPr>
          <w:spacing w:val="-6"/>
        </w:rPr>
        <w:t>现代化牧草种植生产主要考虑规模化机械化作业，牧草品种选择主要考虑紫</w:t>
      </w:r>
      <w:r>
        <w:rPr>
          <w:spacing w:val="-11"/>
        </w:rPr>
        <w:t>花苜蓿、燕麦、无芒雀麦、毛苕子、羊草等耐旱、适应性强、营养价值高的优质</w:t>
      </w:r>
      <w:r>
        <w:rPr/>
        <w:t>牧草品种。</w:t>
      </w:r>
    </w:p>
    <w:p>
      <w:pPr>
        <w:pStyle w:val="BodyText"/>
        <w:spacing w:before="2"/>
        <w:ind w:left="700"/>
      </w:pPr>
      <w:r>
        <w:rPr/>
        <w:t>牧草品种推荐：羊草、毛苕子。</w:t>
      </w:r>
    </w:p>
    <w:p>
      <w:pPr>
        <w:pStyle w:val="BodyText"/>
        <w:spacing w:line="364" w:lineRule="auto" w:before="160"/>
        <w:ind w:right="312" w:firstLine="480"/>
        <w:jc w:val="both"/>
      </w:pPr>
      <w:r>
        <w:rPr>
          <w:spacing w:val="-10"/>
        </w:rPr>
        <w:t>羊草：羊草又名碱草，禾本科赖草属多年生草本，耐碱、耐寒、耐旱，在河北、山西、河南、陕西、宁夏、甘肃、青海、新疆等省</w:t>
      </w:r>
      <w:r>
        <w:rPr/>
        <w:t>（自治区</w:t>
      </w:r>
      <w:r>
        <w:rPr>
          <w:spacing w:val="-8"/>
        </w:rPr>
        <w:t>）</w:t>
      </w:r>
      <w:r>
        <w:rPr>
          <w:spacing w:val="-4"/>
        </w:rPr>
        <w:t>均有分布。羊</w:t>
      </w:r>
      <w:r>
        <w:rPr>
          <w:spacing w:val="-8"/>
        </w:rPr>
        <w:t>草最适宜在寒冷、干燥地区生长，春季返青早，秋季枯黄晚，能在较长时间内提</w:t>
      </w:r>
      <w:r>
        <w:rPr/>
        <w:t>供较多青饲料。</w:t>
      </w:r>
    </w:p>
    <w:p>
      <w:pPr>
        <w:pStyle w:val="BodyText"/>
        <w:spacing w:line="364" w:lineRule="auto" w:before="3"/>
        <w:ind w:right="197" w:firstLine="480"/>
      </w:pPr>
      <w:r>
        <w:rPr/>
        <w:pict>
          <v:group style="position:absolute;margin-left:84.360001pt;margin-top:113.141006pt;width:426.6pt;height:156.9pt;mso-position-horizontal-relative:page;mso-position-vertical-relative:paragraph;z-index:-253127680" coordorigin="1687,2263" coordsize="8532,3138">
            <v:shape style="position:absolute;left:1800;top:2327;width:4040;height:2693" type="#_x0000_t75" stroked="false">
              <v:imagedata r:id="rId15" o:title=""/>
            </v:shape>
            <v:shape style="position:absolute;left:6060;top:2282;width:4040;height:2760" type="#_x0000_t75" stroked="false">
              <v:imagedata r:id="rId16" o:title=""/>
            </v:shape>
            <v:shape style="position:absolute;left:1687;top:-7504;width:8532;height:3133" coordorigin="1687,-7504" coordsize="8532,3133" path="m1687,2268l10219,2268m1687,5396l10219,5396m1692,2263l1692,5391m5953,2263l5953,5391m10214,2263l10214,5391e" filled="false" stroked="true" strokeweight=".48pt" strokecolor="#000000">
              <v:path arrowok="t"/>
              <v:stroke dashstyle="solid"/>
            </v:shape>
            <v:shape style="position:absolute;left:7872;top:5132;width:441;height:209" type="#_x0000_t202" filled="false" stroked="false">
              <v:textbox inset="0,0,0,0">
                <w:txbxContent>
                  <w:p>
                    <w:pPr>
                      <w:spacing w:line="209" w:lineRule="exact" w:before="0"/>
                      <w:ind w:left="0" w:right="0" w:firstLine="0"/>
                      <w:jc w:val="left"/>
                      <w:rPr>
                        <w:b/>
                        <w:sz w:val="21"/>
                      </w:rPr>
                    </w:pPr>
                    <w:r>
                      <w:rPr>
                        <w:b/>
                        <w:sz w:val="21"/>
                      </w:rPr>
                      <w:t>柴胡</w:t>
                    </w:r>
                  </w:p>
                </w:txbxContent>
              </v:textbox>
              <w10:wrap type="none"/>
            </v:shape>
            <v:shape style="position:absolute;left:3612;top:5132;width:441;height:209" type="#_x0000_t202" filled="false" stroked="false">
              <v:textbox inset="0,0,0,0">
                <w:txbxContent>
                  <w:p>
                    <w:pPr>
                      <w:spacing w:line="209" w:lineRule="exact" w:before="0"/>
                      <w:ind w:left="0" w:right="0" w:firstLine="0"/>
                      <w:jc w:val="left"/>
                      <w:rPr>
                        <w:b/>
                        <w:sz w:val="21"/>
                      </w:rPr>
                    </w:pPr>
                    <w:r>
                      <w:rPr>
                        <w:b/>
                        <w:sz w:val="21"/>
                      </w:rPr>
                      <w:t>黄芩</w:t>
                    </w:r>
                  </w:p>
                </w:txbxContent>
              </v:textbox>
              <w10:wrap type="none"/>
            </v:shape>
            <w10:wrap type="none"/>
          </v:group>
        </w:pict>
      </w:r>
      <w:r>
        <w:rPr>
          <w:spacing w:val="-16"/>
        </w:rPr>
        <w:t>毛苕子：豆科野豌豆属，一年生或越年生草本植物。耐寒能力、耐瘠薄性强， </w:t>
      </w:r>
      <w:r>
        <w:rPr>
          <w:spacing w:val="-7"/>
        </w:rPr>
        <w:t>是畜禽夏秋季高蛋白、多汁青绿饲料和冬春季的优质青干草或草粉来源之一。在</w:t>
      </w:r>
      <w:r>
        <w:rPr>
          <w:spacing w:val="-11"/>
        </w:rPr>
        <w:t>其他豆科牧草难以生长的盐碱地、贫瘠地上都能种植，并能获得较高产量。毛苕子对土壤要求不严，但性喜砂质、壤质中性土壤，也可在微酸性或微碱性土壤、干旱贫瘠地种植。不适宜在低凹潮湿或积水地种植。</w:t>
      </w:r>
    </w:p>
    <w:p>
      <w:pPr>
        <w:spacing w:after="0" w:line="364" w:lineRule="auto"/>
        <w:sectPr>
          <w:pgSz w:w="11910" w:h="16840"/>
          <w:pgMar w:header="0" w:footer="970" w:top="1460" w:bottom="1160" w:left="1580" w:right="1480"/>
        </w:sectPr>
      </w:pPr>
    </w:p>
    <w:p>
      <w:pPr>
        <w:pStyle w:val="BodyText"/>
        <w:ind w:left="102"/>
        <w:rPr>
          <w:sz w:val="20"/>
        </w:rPr>
      </w:pPr>
      <w:r>
        <w:rPr>
          <w:sz w:val="20"/>
        </w:rPr>
        <w:pict>
          <v:group style="width:426.6pt;height:172.6pt;mso-position-horizontal-relative:char;mso-position-vertical-relative:line" coordorigin="0,0" coordsize="8532,3452">
            <v:shape style="position:absolute;left:112;top:55;width:4035;height:3027" type="#_x0000_t75" stroked="false">
              <v:imagedata r:id="rId17" o:title=""/>
            </v:shape>
            <v:shape style="position:absolute;left:4372;top:9;width:4040;height:3111" type="#_x0000_t75" stroked="false">
              <v:imagedata r:id="rId18" o:title=""/>
            </v:shape>
            <v:line style="position:absolute" from="0,5" to="8532,5" stroked="true" strokeweight=".48pt" strokecolor="#000000">
              <v:stroke dashstyle="solid"/>
            </v:line>
            <v:line style="position:absolute" from="0,3447" to="8532,3447" stroked="true" strokeweight=".48pt" strokecolor="#000000">
              <v:stroke dashstyle="solid"/>
            </v:line>
            <v:line style="position:absolute" from="5,0" to="5,3442" stroked="true" strokeweight=".48pt" strokecolor="#000000">
              <v:stroke dashstyle="solid"/>
            </v:line>
            <v:line style="position:absolute" from="4266,0" to="4266,3442" stroked="true" strokeweight=".48pt" strokecolor="#000000">
              <v:stroke dashstyle="solid"/>
            </v:line>
            <v:line style="position:absolute" from="8527,0" to="8527,3442" stroked="true" strokeweight=".48pt" strokecolor="#000000">
              <v:stroke dashstyle="solid"/>
            </v:line>
            <v:shape style="position:absolute;left:6081;top:3181;width:652;height:209" type="#_x0000_t202" filled="false" stroked="false">
              <v:textbox inset="0,0,0,0">
                <w:txbxContent>
                  <w:p>
                    <w:pPr>
                      <w:spacing w:line="209" w:lineRule="exact" w:before="0"/>
                      <w:ind w:left="0" w:right="0" w:firstLine="0"/>
                      <w:jc w:val="left"/>
                      <w:rPr>
                        <w:b/>
                        <w:sz w:val="21"/>
                      </w:rPr>
                    </w:pPr>
                    <w:r>
                      <w:rPr>
                        <w:b/>
                        <w:sz w:val="21"/>
                      </w:rPr>
                      <w:t>毛苕子</w:t>
                    </w:r>
                  </w:p>
                </w:txbxContent>
              </v:textbox>
              <w10:wrap type="none"/>
            </v:shape>
            <v:shape style="position:absolute;left:1924;top:3181;width:441;height:209" type="#_x0000_t202" filled="false" stroked="false">
              <v:textbox inset="0,0,0,0">
                <w:txbxContent>
                  <w:p>
                    <w:pPr>
                      <w:spacing w:line="209" w:lineRule="exact" w:before="0"/>
                      <w:ind w:left="0" w:right="0" w:firstLine="0"/>
                      <w:jc w:val="left"/>
                      <w:rPr>
                        <w:b/>
                        <w:sz w:val="21"/>
                      </w:rPr>
                    </w:pPr>
                    <w:r>
                      <w:rPr>
                        <w:b/>
                        <w:sz w:val="21"/>
                      </w:rPr>
                      <w:t>羊草</w:t>
                    </w:r>
                  </w:p>
                </w:txbxContent>
              </v:textbox>
              <w10:wrap type="none"/>
            </v:shape>
          </v:group>
        </w:pict>
      </w:r>
      <w:r>
        <w:rPr>
          <w:sz w:val="20"/>
        </w:rPr>
      </w:r>
    </w:p>
    <w:p>
      <w:pPr>
        <w:tabs>
          <w:tab w:pos="4014" w:val="left" w:leader="none"/>
        </w:tabs>
        <w:spacing w:before="63"/>
        <w:ind w:left="3260" w:right="0" w:firstLine="0"/>
        <w:jc w:val="left"/>
        <w:rPr>
          <w:b/>
          <w:sz w:val="21"/>
        </w:rPr>
      </w:pPr>
      <w:r>
        <w:rPr>
          <w:b/>
          <w:sz w:val="21"/>
        </w:rPr>
        <w:t>图</w:t>
      </w:r>
      <w:r>
        <w:rPr>
          <w:b/>
          <w:spacing w:val="-52"/>
          <w:sz w:val="21"/>
        </w:rPr>
        <w:t> </w:t>
      </w:r>
      <w:r>
        <w:rPr>
          <w:rFonts w:ascii="Times New Roman" w:eastAsia="Times New Roman"/>
          <w:b/>
          <w:sz w:val="21"/>
        </w:rPr>
        <w:t>7-2</w:t>
        <w:tab/>
      </w:r>
      <w:r>
        <w:rPr>
          <w:b/>
          <w:w w:val="95"/>
          <w:sz w:val="21"/>
        </w:rPr>
        <w:t>植被品种示意图</w:t>
      </w:r>
    </w:p>
    <w:p>
      <w:pPr>
        <w:pStyle w:val="BodyText"/>
        <w:spacing w:line="364" w:lineRule="auto" w:before="181"/>
        <w:ind w:right="225" w:firstLine="480"/>
      </w:pPr>
      <w:bookmarkStart w:name="农光互补过程中首先考虑黄芩、柴胡、羊草、毛苕子等植物，农业种植按照“一地多用、立" w:id="63"/>
      <w:bookmarkEnd w:id="63"/>
      <w:r>
        <w:rPr/>
      </w:r>
      <w:r>
        <w:rPr>
          <w:spacing w:val="-6"/>
        </w:rPr>
        <w:t>农光互补过程中首先考虑黄芩、柴胡、羊草、毛苕子等植物，农业种植按照</w:t>
      </w:r>
      <w:r>
        <w:rPr>
          <w:spacing w:val="-7"/>
        </w:rPr>
        <w:t>“一地多用、立体开发、循环发展”的原则，把光伏发电与农业种植有机结合， </w:t>
      </w:r>
      <w:r>
        <w:rPr>
          <w:spacing w:val="-1"/>
        </w:rPr>
        <w:t>在节省土地资源的基础上有效促进地方农业产业结构调整，提升农业种植效益， </w:t>
      </w:r>
      <w:r>
        <w:rPr>
          <w:spacing w:val="-6"/>
        </w:rPr>
        <w:t>达到光伏产业与农业产业双赢，实现良好的社会、经济和环境效益。光伏组件底</w:t>
      </w:r>
      <w:r>
        <w:rPr>
          <w:spacing w:val="-10"/>
        </w:rPr>
        <w:t>下空地种植能有效提高光伏组件发电效率的白花三叶草；光伏阵列行间空地种植</w:t>
      </w:r>
      <w:r>
        <w:rPr>
          <w:spacing w:val="-13"/>
        </w:rPr>
        <w:t>药材为主的现代农业。可使裸地迅速被植物所覆盖，形成草丛群落，土壤逐渐得</w:t>
      </w:r>
      <w:r>
        <w:rPr>
          <w:spacing w:val="-12"/>
        </w:rPr>
        <w:t>以改良。草本植物群落发展到一定阶段，特别是土壤的改良程度能够适宜灌木生</w:t>
      </w:r>
      <w:r>
        <w:rPr>
          <w:spacing w:val="-11"/>
        </w:rPr>
        <w:t>长时，应及时引进先锋灌木如樟子松、柠条、紫穗槐、沙地柏等一些阳性、喜光灌木，在道路两旁种植，使群落冋草灌群落转化。</w:t>
      </w:r>
    </w:p>
    <w:p>
      <w:pPr>
        <w:pStyle w:val="Heading3"/>
        <w:numPr>
          <w:ilvl w:val="2"/>
          <w:numId w:val="12"/>
        </w:numPr>
        <w:tabs>
          <w:tab w:pos="921" w:val="left" w:leader="none"/>
        </w:tabs>
        <w:spacing w:line="240" w:lineRule="auto" w:before="57" w:after="0"/>
        <w:ind w:left="920" w:right="0" w:hanging="701"/>
        <w:jc w:val="left"/>
      </w:pPr>
      <w:bookmarkStart w:name="7.2.3 土壤的改良与培肥措施" w:id="64"/>
      <w:bookmarkEnd w:id="64"/>
      <w:r>
        <w:rPr>
          <w:b w:val="0"/>
        </w:rPr>
      </w:r>
      <w:bookmarkStart w:name="7.2.3 土壤的改良与培肥措施" w:id="65"/>
      <w:bookmarkEnd w:id="65"/>
      <w:r>
        <w:rPr/>
        <w:t>土壤的改良与培肥措施</w:t>
      </w:r>
    </w:p>
    <w:p>
      <w:pPr>
        <w:pStyle w:val="BodyText"/>
        <w:spacing w:line="364" w:lineRule="auto" w:before="214"/>
        <w:ind w:right="225" w:firstLine="480"/>
      </w:pPr>
      <w:r>
        <w:rPr>
          <w:spacing w:val="-1"/>
        </w:rPr>
        <w:t>植被恢复最主要的限制因子是土壤肥力，项目区土地平整后，土壤质地差、</w:t>
      </w:r>
      <w:r>
        <w:rPr>
          <w:spacing w:val="-8"/>
        </w:rPr>
        <w:t>无任何土壤结构、渗透性差、土壤坚实、土壤有效水分和有机质含量极低，不利于植物生长，因此需进行土壤改良与培肥。</w:t>
      </w:r>
    </w:p>
    <w:p>
      <w:pPr>
        <w:pStyle w:val="Heading5"/>
        <w:numPr>
          <w:ilvl w:val="3"/>
          <w:numId w:val="12"/>
        </w:numPr>
        <w:tabs>
          <w:tab w:pos="1480" w:val="left" w:leader="none"/>
        </w:tabs>
        <w:spacing w:line="240" w:lineRule="auto" w:before="1" w:after="0"/>
        <w:ind w:left="1480" w:right="0" w:hanging="780"/>
        <w:jc w:val="left"/>
      </w:pPr>
      <w:r>
        <w:rPr/>
        <w:t>人工施肥</w:t>
      </w:r>
    </w:p>
    <w:p>
      <w:pPr>
        <w:pStyle w:val="BodyText"/>
        <w:spacing w:line="364" w:lineRule="auto" w:before="161"/>
        <w:ind w:right="317" w:firstLine="480"/>
        <w:jc w:val="both"/>
      </w:pPr>
      <w:r>
        <w:rPr>
          <w:spacing w:val="-7"/>
        </w:rPr>
        <w:t>对复垦后的土地施用适当的有机、无机肥料以提高土壤中有机物含量，改良</w:t>
      </w:r>
      <w:r>
        <w:rPr>
          <w:spacing w:val="-10"/>
        </w:rPr>
        <w:t>土壤结构，消除其不良理化性质，并作为绿肥法的启动方式，为以后进一步改良</w:t>
      </w:r>
      <w:r>
        <w:rPr/>
        <w:t>做好基础</w:t>
      </w:r>
    </w:p>
    <w:p>
      <w:pPr>
        <w:pStyle w:val="Heading5"/>
        <w:numPr>
          <w:ilvl w:val="3"/>
          <w:numId w:val="12"/>
        </w:numPr>
        <w:tabs>
          <w:tab w:pos="1480" w:val="left" w:leader="none"/>
        </w:tabs>
        <w:spacing w:line="240" w:lineRule="auto" w:before="2" w:after="0"/>
        <w:ind w:left="1480" w:right="0" w:hanging="780"/>
        <w:jc w:val="left"/>
      </w:pPr>
      <w:r>
        <w:rPr/>
        <w:t>绿肥法</w:t>
      </w:r>
    </w:p>
    <w:p>
      <w:pPr>
        <w:pStyle w:val="BodyText"/>
        <w:spacing w:line="364" w:lineRule="auto" w:before="160"/>
        <w:ind w:right="225" w:firstLine="480"/>
      </w:pPr>
      <w:r>
        <w:rPr>
          <w:spacing w:val="-7"/>
        </w:rPr>
        <w:t>绿肥是改良复垦土壤，增加有机质和氮磷钾等营养元素的最有效方法。凡是</w:t>
      </w:r>
      <w:r>
        <w:rPr>
          <w:spacing w:val="-8"/>
        </w:rPr>
        <w:t>以植物的绿色部分当做肥料的称为绿肥，将这些植物通过压青等多种方式复垦， </w:t>
      </w:r>
      <w:r>
        <w:rPr>
          <w:spacing w:val="-7"/>
        </w:rPr>
        <w:t>在土壤微生物作用下，除释放大量养分外，还可以转化为腐殖质，其根系腐烂后</w:t>
      </w:r>
    </w:p>
    <w:p>
      <w:pPr>
        <w:spacing w:after="0" w:line="364" w:lineRule="auto"/>
        <w:sectPr>
          <w:pgSz w:w="11910" w:h="16840"/>
          <w:pgMar w:header="0" w:footer="970" w:top="1420" w:bottom="1160" w:left="1580" w:right="1480"/>
        </w:sectPr>
      </w:pPr>
    </w:p>
    <w:p>
      <w:pPr>
        <w:pStyle w:val="BodyText"/>
        <w:spacing w:before="42"/>
      </w:pPr>
      <w:r>
        <w:rPr/>
        <w:t>也有胶结和团聚的作用，可以有效改良土壤理化性质。</w:t>
      </w:r>
    </w:p>
    <w:p>
      <w:pPr>
        <w:pStyle w:val="Heading5"/>
        <w:numPr>
          <w:ilvl w:val="3"/>
          <w:numId w:val="12"/>
        </w:numPr>
        <w:tabs>
          <w:tab w:pos="1480" w:val="left" w:leader="none"/>
        </w:tabs>
        <w:spacing w:line="240" w:lineRule="auto" w:before="160" w:after="0"/>
        <w:ind w:left="1480" w:right="0" w:hanging="780"/>
        <w:jc w:val="left"/>
      </w:pPr>
      <w:bookmarkStart w:name="7.2.3.3 客土法" w:id="66"/>
      <w:bookmarkEnd w:id="66"/>
      <w:r>
        <w:rPr>
          <w:b w:val="0"/>
        </w:rPr>
      </w:r>
      <w:bookmarkStart w:name="7.2.3.3 客土法" w:id="67"/>
      <w:bookmarkEnd w:id="67"/>
      <w:r>
        <w:rPr/>
        <w:t>客土法</w:t>
      </w:r>
    </w:p>
    <w:p>
      <w:pPr>
        <w:pStyle w:val="BodyText"/>
        <w:spacing w:line="364" w:lineRule="auto" w:before="161"/>
        <w:ind w:right="317" w:firstLine="480"/>
      </w:pPr>
      <w:bookmarkStart w:name="对过砂、过粘土壤，合理添加调配物，调整耕作层的泥砂比例，达到改良土壤质地改善耕性" w:id="68"/>
      <w:bookmarkEnd w:id="68"/>
      <w:r>
        <w:rPr/>
      </w:r>
      <w:r>
        <w:rPr>
          <w:spacing w:val="-11"/>
        </w:rPr>
        <w:t>对过砂、过粘土壤，合理添加调配物，调整耕作层的泥砂比例，达到改良土</w:t>
      </w:r>
      <w:r>
        <w:rPr/>
        <w:t>壤质地改善耕性、提高肥力的目的。</w:t>
      </w:r>
    </w:p>
    <w:p>
      <w:pPr>
        <w:pStyle w:val="Heading5"/>
        <w:numPr>
          <w:ilvl w:val="3"/>
          <w:numId w:val="12"/>
        </w:numPr>
        <w:tabs>
          <w:tab w:pos="1480" w:val="left" w:leader="none"/>
        </w:tabs>
        <w:spacing w:line="240" w:lineRule="auto" w:before="1" w:after="0"/>
        <w:ind w:left="1480" w:right="0" w:hanging="780"/>
        <w:jc w:val="left"/>
      </w:pPr>
      <w:bookmarkStart w:name="7.2.3.4 临时占地植被恢复措施" w:id="69"/>
      <w:bookmarkEnd w:id="69"/>
      <w:r>
        <w:rPr>
          <w:b w:val="0"/>
        </w:rPr>
      </w:r>
      <w:bookmarkStart w:name="7.2.3.4 临时占地植被恢复措施" w:id="70"/>
      <w:bookmarkEnd w:id="70"/>
      <w:r>
        <w:rPr/>
        <w:t>临时占地植被恢复措施</w:t>
      </w:r>
    </w:p>
    <w:p>
      <w:pPr>
        <w:pStyle w:val="BodyText"/>
        <w:spacing w:line="364" w:lineRule="auto" w:before="161"/>
        <w:ind w:right="197" w:firstLine="480"/>
      </w:pPr>
      <w:bookmarkStart w:name="对于施工中建筑材料临时卸载、堆放地、施工营地等临时性占地，应在施工过程中严格要求" w:id="71"/>
      <w:bookmarkEnd w:id="71"/>
      <w:r>
        <w:rPr/>
      </w:r>
      <w:r>
        <w:rPr>
          <w:spacing w:val="-6"/>
        </w:rPr>
        <w:t>对于施工中建筑材料临时卸载、堆放地、施工营地等临时性占地，应在施工</w:t>
      </w:r>
      <w:r>
        <w:rPr>
          <w:spacing w:val="-17"/>
        </w:rPr>
        <w:t>过程中严格要求施工行为，除尽量不压占或少压占植被外，同时应采取以下措施：</w:t>
      </w:r>
    </w:p>
    <w:p>
      <w:pPr>
        <w:pStyle w:val="ListParagraph"/>
        <w:numPr>
          <w:ilvl w:val="0"/>
          <w:numId w:val="13"/>
        </w:numPr>
        <w:tabs>
          <w:tab w:pos="1301" w:val="left" w:leader="none"/>
        </w:tabs>
        <w:spacing w:line="364" w:lineRule="auto" w:before="1" w:after="0"/>
        <w:ind w:left="220" w:right="317" w:firstLine="480"/>
        <w:jc w:val="left"/>
        <w:rPr>
          <w:sz w:val="24"/>
        </w:rPr>
      </w:pPr>
      <w:bookmarkStart w:name="（1）在施工开挖前首先进行表土剥离，将表层土皮（10-12cm）保留，并集中存放" w:id="72"/>
      <w:bookmarkEnd w:id="72"/>
      <w:r>
        <w:rPr/>
      </w:r>
      <w:bookmarkStart w:name="（1）在施工开挖前首先进行表土剥离，将表层土皮（10-12cm）保留，并集中存放" w:id="73"/>
      <w:bookmarkEnd w:id="73"/>
      <w:r>
        <w:rPr>
          <w:spacing w:val="-4"/>
          <w:sz w:val="24"/>
        </w:rPr>
        <w:t>在施工开挖前首先进行表土剥离，将表层土皮</w:t>
      </w:r>
      <w:r>
        <w:rPr>
          <w:spacing w:val="-4"/>
          <w:sz w:val="24"/>
        </w:rPr>
        <w:t>（</w:t>
      </w:r>
      <w:r>
        <w:rPr>
          <w:rFonts w:ascii="Times New Roman" w:eastAsia="Times New Roman"/>
          <w:spacing w:val="-4"/>
          <w:sz w:val="24"/>
        </w:rPr>
        <w:t>10-12cm</w:t>
      </w:r>
      <w:r>
        <w:rPr>
          <w:spacing w:val="-4"/>
          <w:sz w:val="24"/>
        </w:rPr>
        <w:t>）</w:t>
      </w:r>
      <w:r>
        <w:rPr>
          <w:spacing w:val="-9"/>
          <w:sz w:val="24"/>
        </w:rPr>
        <w:t>保留，并集</w:t>
      </w:r>
      <w:r>
        <w:rPr>
          <w:sz w:val="24"/>
        </w:rPr>
        <w:t>中存放，剥离的表土堆放下层，用无纺布进行隔离。</w:t>
      </w:r>
    </w:p>
    <w:p>
      <w:pPr>
        <w:pStyle w:val="ListParagraph"/>
        <w:numPr>
          <w:ilvl w:val="0"/>
          <w:numId w:val="13"/>
        </w:numPr>
        <w:tabs>
          <w:tab w:pos="1301" w:val="left" w:leader="none"/>
        </w:tabs>
        <w:spacing w:line="364" w:lineRule="auto" w:before="1" w:after="0"/>
        <w:ind w:left="220" w:right="345" w:firstLine="480"/>
        <w:jc w:val="left"/>
        <w:rPr>
          <w:sz w:val="24"/>
        </w:rPr>
      </w:pPr>
      <w:bookmarkStart w:name="（2）在施工过程中开挖的其他土方需采用无纺布进行苫盖，并设置草袋装土进行拦挡压盖" w:id="74"/>
      <w:bookmarkEnd w:id="74"/>
      <w:r>
        <w:rPr/>
      </w:r>
      <w:bookmarkStart w:name="（2）在施工过程中开挖的其他土方需采用无纺布进行苫盖，并设置草袋装土进行拦挡压盖" w:id="75"/>
      <w:bookmarkEnd w:id="75"/>
      <w:r>
        <w:rPr>
          <w:spacing w:val="-1"/>
          <w:sz w:val="24"/>
        </w:rPr>
        <w:t>在施工过程中开挖的其他土方需采用无纺布进行苫盖，并设置草袋装</w:t>
      </w:r>
      <w:r>
        <w:rPr>
          <w:sz w:val="24"/>
        </w:rPr>
        <w:t>土进行拦挡压盖，同时采取洒水降尘措施。</w:t>
      </w:r>
    </w:p>
    <w:p>
      <w:pPr>
        <w:pStyle w:val="ListParagraph"/>
        <w:numPr>
          <w:ilvl w:val="0"/>
          <w:numId w:val="13"/>
        </w:numPr>
        <w:tabs>
          <w:tab w:pos="1301" w:val="left" w:leader="none"/>
        </w:tabs>
        <w:spacing w:line="364" w:lineRule="auto" w:before="1" w:after="0"/>
        <w:ind w:left="220" w:right="345" w:firstLine="480"/>
        <w:jc w:val="left"/>
        <w:rPr>
          <w:sz w:val="24"/>
        </w:rPr>
      </w:pPr>
      <w:r>
        <w:rPr>
          <w:spacing w:val="-1"/>
          <w:sz w:val="24"/>
        </w:rPr>
        <w:t>待施工结束后，及时对施工场地进行全面平整，并将表土全部作为复</w:t>
      </w:r>
      <w:r>
        <w:rPr>
          <w:sz w:val="24"/>
        </w:rPr>
        <w:t>垦土进行回覆用，然后播撒沙草种。</w:t>
      </w:r>
    </w:p>
    <w:p>
      <w:pPr>
        <w:pStyle w:val="Heading3"/>
        <w:numPr>
          <w:ilvl w:val="1"/>
          <w:numId w:val="14"/>
        </w:numPr>
        <w:tabs>
          <w:tab w:pos="710" w:val="left" w:leader="none"/>
        </w:tabs>
        <w:spacing w:line="240" w:lineRule="auto" w:before="55" w:after="0"/>
        <w:ind w:left="709" w:right="0" w:hanging="490"/>
        <w:jc w:val="left"/>
        <w:rPr>
          <w:rFonts w:ascii="Times New Roman" w:eastAsia="Times New Roman"/>
        </w:rPr>
      </w:pPr>
      <w:bookmarkStart w:name="7.3 水土流失重点治理区保护措施" w:id="76"/>
      <w:bookmarkEnd w:id="76"/>
      <w:r>
        <w:rPr>
          <w:b w:val="0"/>
        </w:rPr>
      </w:r>
      <w:bookmarkStart w:name="_bookmark27" w:id="77"/>
      <w:bookmarkEnd w:id="77"/>
      <w:r>
        <w:rPr>
          <w:b w:val="0"/>
        </w:rPr>
      </w:r>
      <w:bookmarkStart w:name="_bookmark27" w:id="78"/>
      <w:bookmarkEnd w:id="78"/>
      <w:r>
        <w:rPr/>
        <w:t>水土流失重点治理区保护措施</w:t>
      </w:r>
    </w:p>
    <w:p>
      <w:pPr>
        <w:pStyle w:val="BodyText"/>
        <w:spacing w:line="364" w:lineRule="auto" w:before="212"/>
        <w:ind w:right="317" w:firstLine="480"/>
        <w:jc w:val="both"/>
      </w:pPr>
      <w:r>
        <w:rPr>
          <w:spacing w:val="-10"/>
        </w:rPr>
        <w:t>施工结束后，永久占地基本被路面及植被覆盖，不会再发生土壤的侵蚀。临</w:t>
      </w:r>
      <w:r>
        <w:rPr>
          <w:spacing w:val="-8"/>
        </w:rPr>
        <w:t>时占地可进行植被恢复，在采取种草等措施后，土壤侵蚀模数可降至或优于施工</w:t>
      </w:r>
      <w:r>
        <w:rPr>
          <w:spacing w:val="-11"/>
        </w:rPr>
        <w:t>前水平，从而大大降低土壤侵蚀量。但为了能切实有效的将工程开发帶来的水土</w:t>
      </w:r>
      <w:r>
        <w:rPr>
          <w:spacing w:val="-10"/>
        </w:rPr>
        <w:t>流失降到最低，需针对工程建设生产中各防治分区的水土流失情况，因地制宜地</w:t>
      </w:r>
      <w:r>
        <w:rPr/>
        <w:t>布置水土保持防治措施。</w:t>
      </w:r>
    </w:p>
    <w:p>
      <w:pPr>
        <w:pStyle w:val="Heading3"/>
        <w:numPr>
          <w:ilvl w:val="2"/>
          <w:numId w:val="14"/>
        </w:numPr>
        <w:tabs>
          <w:tab w:pos="849" w:val="left" w:leader="none"/>
        </w:tabs>
        <w:spacing w:line="240" w:lineRule="auto" w:before="56" w:after="0"/>
        <w:ind w:left="848" w:right="0" w:hanging="629"/>
        <w:jc w:val="left"/>
      </w:pPr>
      <w:r>
        <w:rPr/>
        <w:t>太阳能光伏电池阵列及变压器区域水土保措施</w:t>
      </w:r>
    </w:p>
    <w:p>
      <w:pPr>
        <w:pStyle w:val="ListParagraph"/>
        <w:numPr>
          <w:ilvl w:val="3"/>
          <w:numId w:val="14"/>
        </w:numPr>
        <w:tabs>
          <w:tab w:pos="1301" w:val="left" w:leader="none"/>
        </w:tabs>
        <w:spacing w:line="364" w:lineRule="auto" w:before="212" w:after="0"/>
        <w:ind w:left="220" w:right="317" w:firstLine="480"/>
        <w:jc w:val="both"/>
        <w:rPr>
          <w:sz w:val="24"/>
        </w:rPr>
      </w:pPr>
      <w:r>
        <w:rPr>
          <w:sz w:val="24"/>
        </w:rPr>
        <w:t>平衡施工：太阳能光伏电池阵列基础及变压器区域场地平整、土方开</w:t>
      </w:r>
      <w:r>
        <w:rPr>
          <w:spacing w:val="-7"/>
          <w:sz w:val="24"/>
        </w:rPr>
        <w:t>挖的进度必须按比例进行。先期进行的场地平整和土方开挖的数量，不能预留过</w:t>
      </w:r>
      <w:r>
        <w:rPr>
          <w:spacing w:val="-10"/>
          <w:sz w:val="24"/>
        </w:rPr>
        <w:t>多。因为平整的场地植被已遭破坏，表层土壤疏松，预留时间过长，势必遭受当</w:t>
      </w:r>
      <w:r>
        <w:rPr>
          <w:sz w:val="24"/>
        </w:rPr>
        <w:t>地大风侵蚀的频率增大，加大风蚀的危害。</w:t>
      </w:r>
    </w:p>
    <w:p>
      <w:pPr>
        <w:pStyle w:val="ListParagraph"/>
        <w:numPr>
          <w:ilvl w:val="3"/>
          <w:numId w:val="14"/>
        </w:numPr>
        <w:tabs>
          <w:tab w:pos="1301" w:val="left" w:leader="none"/>
        </w:tabs>
        <w:spacing w:line="364" w:lineRule="auto" w:before="2" w:after="0"/>
        <w:ind w:left="220" w:right="345" w:firstLine="480"/>
        <w:jc w:val="left"/>
        <w:rPr>
          <w:sz w:val="24"/>
        </w:rPr>
      </w:pPr>
      <w:bookmarkStart w:name="（2）作业场地面积应控制在一定的范围内：因为作业场地扩大会造成更大面积的植被破坏" w:id="79"/>
      <w:bookmarkEnd w:id="79"/>
      <w:r>
        <w:rPr/>
      </w:r>
      <w:bookmarkStart w:name="（2）作业场地面积应控制在一定的范围内：因为作业场地扩大会造成更大面积的植被破坏" w:id="80"/>
      <w:bookmarkEnd w:id="80"/>
      <w:r>
        <w:rPr>
          <w:spacing w:val="-1"/>
          <w:sz w:val="24"/>
        </w:rPr>
        <w:t>作业场地面积应控制在一定的范围内：因为作业场地扩大会造成更大</w:t>
      </w:r>
      <w:r>
        <w:rPr>
          <w:sz w:val="24"/>
        </w:rPr>
        <w:t>面积的植被破坏和土壤表层的破坏，造成风沙侵蚀的增强。</w:t>
      </w:r>
    </w:p>
    <w:p>
      <w:pPr>
        <w:pStyle w:val="ListParagraph"/>
        <w:numPr>
          <w:ilvl w:val="3"/>
          <w:numId w:val="14"/>
        </w:numPr>
        <w:tabs>
          <w:tab w:pos="1301" w:val="left" w:leader="none"/>
        </w:tabs>
        <w:spacing w:line="364" w:lineRule="auto" w:before="1" w:after="0"/>
        <w:ind w:left="220" w:right="345" w:firstLine="480"/>
        <w:jc w:val="left"/>
        <w:rPr>
          <w:sz w:val="24"/>
        </w:rPr>
      </w:pPr>
      <w:bookmarkStart w:name="（3）太阳能板下雨水集聚区设碎石地面，缓冲接纳雨水，以防暴雨冲刷地面造成水土流失" w:id="81"/>
      <w:bookmarkEnd w:id="81"/>
      <w:r>
        <w:rPr/>
      </w:r>
      <w:bookmarkStart w:name="（3）太阳能板下雨水集聚区设碎石地面，缓冲接纳雨水，以防暴雨冲刷地面造成水土流失" w:id="82"/>
      <w:bookmarkEnd w:id="82"/>
      <w:r>
        <w:rPr>
          <w:spacing w:val="-1"/>
          <w:sz w:val="24"/>
        </w:rPr>
        <w:t>太阳能板下雨水集聚区设碎石地面，缓冲接纳雨水，以防暴雨冲刷地</w:t>
      </w:r>
      <w:r>
        <w:rPr>
          <w:sz w:val="24"/>
        </w:rPr>
        <w:t>面造成水土流失。</w:t>
      </w:r>
    </w:p>
    <w:p>
      <w:pPr>
        <w:pStyle w:val="ListParagraph"/>
        <w:numPr>
          <w:ilvl w:val="3"/>
          <w:numId w:val="14"/>
        </w:numPr>
        <w:tabs>
          <w:tab w:pos="1301" w:val="left" w:leader="none"/>
        </w:tabs>
        <w:spacing w:line="240" w:lineRule="auto" w:before="2" w:after="0"/>
        <w:ind w:left="1301" w:right="0" w:hanging="601"/>
        <w:jc w:val="left"/>
        <w:rPr>
          <w:sz w:val="24"/>
        </w:rPr>
      </w:pPr>
      <w:bookmarkStart w:name="（4）开挖地表应采取无纺布进行苫盖，设置草袋装土进行拦挡压盖，保护已扰动的裸露地" w:id="83"/>
      <w:bookmarkEnd w:id="83"/>
      <w:r>
        <w:rPr/>
      </w:r>
      <w:bookmarkStart w:name="（4）开挖地表应采取无纺布进行苫盖，设置草袋装土进行拦挡压盖，保护已扰动的裸露地" w:id="84"/>
      <w:bookmarkEnd w:id="84"/>
      <w:r>
        <w:rPr>
          <w:sz w:val="24"/>
        </w:rPr>
        <w:t>开挖地表应采取无纺布进行苫盖，设置草袋装土进行拦挡压盖，保护</w:t>
      </w:r>
    </w:p>
    <w:p>
      <w:pPr>
        <w:spacing w:after="0" w:line="240" w:lineRule="auto"/>
        <w:jc w:val="left"/>
        <w:rPr>
          <w:sz w:val="24"/>
        </w:rPr>
        <w:sectPr>
          <w:pgSz w:w="11910" w:h="16840"/>
          <w:pgMar w:header="0" w:footer="970" w:top="1460" w:bottom="1160" w:left="1580" w:right="1480"/>
        </w:sectPr>
      </w:pPr>
    </w:p>
    <w:p>
      <w:pPr>
        <w:pStyle w:val="BodyText"/>
        <w:spacing w:before="42"/>
      </w:pPr>
      <w:r>
        <w:rPr/>
        <w:t>已扰动的裸露地表，减少施工期的水土流失。</w:t>
      </w:r>
    </w:p>
    <w:p>
      <w:pPr>
        <w:pStyle w:val="ListParagraph"/>
        <w:numPr>
          <w:ilvl w:val="3"/>
          <w:numId w:val="14"/>
        </w:numPr>
        <w:tabs>
          <w:tab w:pos="1301" w:val="left" w:leader="none"/>
        </w:tabs>
        <w:spacing w:line="364" w:lineRule="auto" w:before="160" w:after="0"/>
        <w:ind w:left="220" w:right="317" w:firstLine="480"/>
        <w:jc w:val="left"/>
        <w:rPr>
          <w:sz w:val="24"/>
        </w:rPr>
      </w:pPr>
      <w:bookmarkStart w:name="（5）区域植被覆盖度低的地表设置稻草沙障，稻草沙障采用lm×lm网格形式搭设，稻" w:id="85"/>
      <w:bookmarkEnd w:id="85"/>
      <w:r>
        <w:rPr/>
      </w:r>
      <w:bookmarkStart w:name="（5）区域植被覆盖度低的地表设置稻草沙障，稻草沙障采用lm×lm网格形式搭设，稻" w:id="86"/>
      <w:bookmarkEnd w:id="86"/>
      <w:r>
        <w:rPr>
          <w:spacing w:val="-4"/>
          <w:sz w:val="24"/>
        </w:rPr>
        <w:t>区域植被覆盖度低的地表设置稻草沙障，稻草沙障采用 </w:t>
      </w:r>
      <w:r>
        <w:rPr>
          <w:rFonts w:ascii="Times New Roman" w:hAnsi="Times New Roman" w:eastAsia="Times New Roman"/>
          <w:sz w:val="24"/>
        </w:rPr>
        <w:t>lm×lm </w:t>
      </w:r>
      <w:r>
        <w:rPr>
          <w:spacing w:val="-5"/>
          <w:sz w:val="24"/>
        </w:rPr>
        <w:t>网格形式搭设，稻草埋入沙土深度 </w:t>
      </w:r>
      <w:r>
        <w:rPr>
          <w:rFonts w:ascii="Times New Roman" w:hAnsi="Times New Roman" w:eastAsia="Times New Roman"/>
          <w:sz w:val="24"/>
        </w:rPr>
        <w:t>10m</w:t>
      </w:r>
      <w:r>
        <w:rPr>
          <w:spacing w:val="-10"/>
          <w:sz w:val="24"/>
        </w:rPr>
        <w:t>，地面留高 </w:t>
      </w:r>
      <w:r>
        <w:rPr>
          <w:rFonts w:ascii="Times New Roman" w:hAnsi="Times New Roman" w:eastAsia="Times New Roman"/>
          <w:sz w:val="24"/>
        </w:rPr>
        <w:t>20cm</w:t>
      </w:r>
      <w:r>
        <w:rPr>
          <w:sz w:val="24"/>
        </w:rPr>
        <w:t>。</w:t>
      </w:r>
    </w:p>
    <w:p>
      <w:pPr>
        <w:pStyle w:val="Heading3"/>
        <w:numPr>
          <w:ilvl w:val="2"/>
          <w:numId w:val="14"/>
        </w:numPr>
        <w:tabs>
          <w:tab w:pos="921" w:val="left" w:leader="none"/>
        </w:tabs>
        <w:spacing w:line="240" w:lineRule="auto" w:before="55" w:after="0"/>
        <w:ind w:left="920" w:right="0" w:hanging="701"/>
        <w:jc w:val="left"/>
      </w:pPr>
      <w:bookmarkStart w:name="7.3.2 施工生产生活区水土保措施" w:id="87"/>
      <w:bookmarkEnd w:id="87"/>
      <w:r>
        <w:rPr>
          <w:b w:val="0"/>
        </w:rPr>
      </w:r>
      <w:bookmarkStart w:name="7.3.2 施工生产生活区水土保措施" w:id="88"/>
      <w:bookmarkEnd w:id="88"/>
      <w:r>
        <w:rPr/>
        <w:t>施工生产生活区水土保措施</w:t>
      </w:r>
    </w:p>
    <w:p>
      <w:pPr>
        <w:pStyle w:val="BodyText"/>
        <w:spacing w:line="364" w:lineRule="auto" w:before="212"/>
        <w:ind w:right="317" w:firstLine="480"/>
        <w:jc w:val="both"/>
      </w:pPr>
      <w:bookmarkStart w:name="工程措施：在施工生产生活区基础开挖前对进行表土清理并集中堆放，待施工结束后淸除施" w:id="89"/>
      <w:bookmarkEnd w:id="89"/>
      <w:r>
        <w:rPr/>
      </w:r>
      <w:r>
        <w:rPr>
          <w:spacing w:val="-10"/>
        </w:rPr>
        <w:t>工程措施：在施工生产生活区基础开挖前对进行表土清理并集中堆放，待施</w:t>
      </w:r>
      <w:r>
        <w:rPr>
          <w:spacing w:val="-7"/>
        </w:rPr>
        <w:t>工结束后淸除施工场地内碎石、砖块等施工残留物，覆土并按恢复植被要求平整</w:t>
      </w:r>
      <w:r>
        <w:rPr/>
        <w:t>翻松。</w:t>
      </w:r>
    </w:p>
    <w:p>
      <w:pPr>
        <w:pStyle w:val="BodyText"/>
        <w:spacing w:line="364" w:lineRule="auto" w:before="2"/>
        <w:ind w:right="317" w:firstLine="480"/>
      </w:pPr>
      <w:bookmarkStart w:name="植物措施：施工生产生活区土地整治后进行植被恢复。本着适地种植、提高经济的原则，选" w:id="90"/>
      <w:bookmarkEnd w:id="90"/>
      <w:r>
        <w:rPr/>
      </w:r>
      <w:r>
        <w:rPr>
          <w:spacing w:val="-10"/>
        </w:rPr>
        <w:t>植物措施：施工生产生活区土地整治后进行植被恢复。本着适地种植、提高</w:t>
      </w:r>
      <w:r>
        <w:rPr/>
        <w:t>经济的原则，选择黄芩、柴胡、羊草、毛苕子等具有经济价值的作物。</w:t>
      </w:r>
    </w:p>
    <w:p>
      <w:pPr>
        <w:pStyle w:val="BodyText"/>
        <w:spacing w:line="364" w:lineRule="auto" w:before="1"/>
        <w:ind w:right="317" w:firstLine="480"/>
        <w:jc w:val="both"/>
      </w:pPr>
      <w:bookmarkStart w:name="临时措施：在施工临时堆料场周边修建临时拦挡措施：需要排水的地方，采取临时排水措施" w:id="91"/>
      <w:bookmarkEnd w:id="91"/>
      <w:r>
        <w:rPr/>
      </w:r>
      <w:r>
        <w:rPr>
          <w:spacing w:val="-10"/>
        </w:rPr>
        <w:t>临时措施：在施工临时堆料场周边修建临时拦挡措施：需要排水的地方，采</w:t>
      </w:r>
      <w:r>
        <w:rPr>
          <w:spacing w:val="-9"/>
        </w:rPr>
        <w:t>取临时排水措施，排水措施采用人工开挖土质排水沟管理措施：定期对施工区空</w:t>
      </w:r>
      <w:r>
        <w:rPr/>
        <w:t>地洒水降尘。</w:t>
      </w:r>
    </w:p>
    <w:p>
      <w:pPr>
        <w:pStyle w:val="BodyText"/>
        <w:spacing w:before="2"/>
        <w:ind w:left="700"/>
      </w:pPr>
      <w:r>
        <w:rPr/>
        <w:t>管理措施：定期对施工区空地洒水降尘。</w:t>
      </w:r>
    </w:p>
    <w:p>
      <w:pPr>
        <w:pStyle w:val="Heading2"/>
        <w:numPr>
          <w:ilvl w:val="1"/>
          <w:numId w:val="14"/>
        </w:numPr>
        <w:tabs>
          <w:tab w:pos="746" w:val="left" w:leader="none"/>
        </w:tabs>
        <w:spacing w:line="240" w:lineRule="auto" w:before="201" w:after="0"/>
        <w:ind w:left="745" w:right="0" w:hanging="526"/>
        <w:jc w:val="left"/>
        <w:rPr>
          <w:rFonts w:ascii="Times New Roman" w:eastAsia="Times New Roman"/>
        </w:rPr>
      </w:pPr>
      <w:bookmarkStart w:name="_bookmark28" w:id="92"/>
      <w:bookmarkEnd w:id="92"/>
      <w:r>
        <w:rPr>
          <w:b w:val="0"/>
        </w:rPr>
      </w:r>
      <w:bookmarkStart w:name="_bookmark28" w:id="93"/>
      <w:bookmarkEnd w:id="93"/>
      <w:r>
        <w:rPr/>
        <w:t>管理措施</w:t>
      </w:r>
    </w:p>
    <w:p>
      <w:pPr>
        <w:pStyle w:val="Heading3"/>
        <w:numPr>
          <w:ilvl w:val="2"/>
          <w:numId w:val="14"/>
        </w:numPr>
        <w:tabs>
          <w:tab w:pos="921" w:val="left" w:leader="none"/>
        </w:tabs>
        <w:spacing w:line="240" w:lineRule="auto" w:before="252" w:after="0"/>
        <w:ind w:left="920" w:right="0" w:hanging="701"/>
        <w:jc w:val="left"/>
      </w:pPr>
      <w:r>
        <w:rPr/>
        <w:t>施工期环境管理</w:t>
      </w:r>
    </w:p>
    <w:p>
      <w:pPr>
        <w:pStyle w:val="ListParagraph"/>
        <w:numPr>
          <w:ilvl w:val="0"/>
          <w:numId w:val="15"/>
        </w:numPr>
        <w:tabs>
          <w:tab w:pos="1301" w:val="left" w:leader="none"/>
        </w:tabs>
        <w:spacing w:line="364" w:lineRule="auto" w:before="212" w:after="0"/>
        <w:ind w:left="220" w:right="345" w:firstLine="480"/>
        <w:jc w:val="left"/>
        <w:rPr>
          <w:sz w:val="24"/>
        </w:rPr>
      </w:pPr>
      <w:bookmarkStart w:name="（1）对施工单位提出要求，督促施工单位在施工过程中将作业场地面积控制在一定的范围" w:id="94"/>
      <w:bookmarkEnd w:id="94"/>
      <w:r>
        <w:rPr/>
      </w:r>
      <w:bookmarkStart w:name="（1）对施工单位提出要求，督促施工单位在施工过程中将作业场地面积控制在一定的范围" w:id="95"/>
      <w:bookmarkEnd w:id="95"/>
      <w:r>
        <w:rPr>
          <w:spacing w:val="-1"/>
          <w:sz w:val="24"/>
        </w:rPr>
        <w:t>对施工单位提出要求，督促施工单位在施工过程中将作业场地面积控</w:t>
      </w:r>
      <w:r>
        <w:rPr>
          <w:sz w:val="24"/>
        </w:rPr>
        <w:t>制在一定的范围内，尽量缩小施工作业面和减少破土面积。</w:t>
      </w:r>
    </w:p>
    <w:p>
      <w:pPr>
        <w:pStyle w:val="ListParagraph"/>
        <w:numPr>
          <w:ilvl w:val="0"/>
          <w:numId w:val="15"/>
        </w:numPr>
        <w:tabs>
          <w:tab w:pos="1301" w:val="left" w:leader="none"/>
        </w:tabs>
        <w:spacing w:line="240" w:lineRule="auto" w:before="1" w:after="0"/>
        <w:ind w:left="1301" w:right="0" w:hanging="601"/>
        <w:jc w:val="left"/>
        <w:rPr>
          <w:sz w:val="24"/>
        </w:rPr>
      </w:pPr>
      <w:bookmarkStart w:name="（2）定期检査，督促施工单位按要求收集和处理施工垃圾和生活垃圾。" w:id="96"/>
      <w:bookmarkEnd w:id="96"/>
      <w:r>
        <w:rPr/>
      </w:r>
      <w:bookmarkStart w:name="（2）定期检査，督促施工单位按要求收集和处理施工垃圾和生活垃圾。" w:id="97"/>
      <w:bookmarkEnd w:id="97"/>
      <w:r>
        <w:rPr>
          <w:sz w:val="24"/>
        </w:rPr>
        <w:t>定期检査，督促施工单位按要求收集和处理施工垃圾和生活垃圾。</w:t>
      </w:r>
    </w:p>
    <w:p>
      <w:pPr>
        <w:pStyle w:val="ListParagraph"/>
        <w:numPr>
          <w:ilvl w:val="0"/>
          <w:numId w:val="15"/>
        </w:numPr>
        <w:tabs>
          <w:tab w:pos="1301" w:val="left" w:leader="none"/>
        </w:tabs>
        <w:spacing w:line="240" w:lineRule="auto" w:before="161" w:after="0"/>
        <w:ind w:left="1301" w:right="0" w:hanging="601"/>
        <w:jc w:val="left"/>
        <w:rPr>
          <w:sz w:val="24"/>
        </w:rPr>
      </w:pPr>
      <w:bookmarkStart w:name="（3）绿化方案实施" w:id="98"/>
      <w:bookmarkEnd w:id="98"/>
      <w:r>
        <w:rPr/>
      </w:r>
      <w:bookmarkStart w:name="（3）绿化方案实施" w:id="99"/>
      <w:bookmarkEnd w:id="99"/>
      <w:r>
        <w:rPr>
          <w:sz w:val="24"/>
        </w:rPr>
        <w:t>绿化方案实施</w:t>
      </w:r>
    </w:p>
    <w:p>
      <w:pPr>
        <w:pStyle w:val="BodyText"/>
        <w:spacing w:line="364" w:lineRule="auto" w:before="160"/>
        <w:ind w:right="317" w:firstLine="480"/>
      </w:pPr>
      <w:bookmarkStart w:name="绿化实施遵循立地条件，建设单位应检査委托绿化的执行情况，要求按照植被恢复方案落实" w:id="100"/>
      <w:bookmarkEnd w:id="100"/>
      <w:r>
        <w:rPr/>
      </w:r>
      <w:r>
        <w:rPr>
          <w:spacing w:val="-8"/>
        </w:rPr>
        <w:t>绿化实施遵循立地条件，建设单位应检査委托绿化的执行情况，要求按照植</w:t>
      </w:r>
      <w:r>
        <w:rPr/>
        <w:t>被恢复方案落实。</w:t>
      </w:r>
    </w:p>
    <w:p>
      <w:pPr>
        <w:pStyle w:val="ListParagraph"/>
        <w:numPr>
          <w:ilvl w:val="0"/>
          <w:numId w:val="15"/>
        </w:numPr>
        <w:tabs>
          <w:tab w:pos="1241" w:val="left" w:leader="none"/>
        </w:tabs>
        <w:spacing w:line="240" w:lineRule="auto" w:before="1" w:after="0"/>
        <w:ind w:left="1241" w:right="0" w:hanging="601"/>
        <w:jc w:val="left"/>
        <w:rPr>
          <w:sz w:val="24"/>
        </w:rPr>
      </w:pPr>
      <w:bookmarkStart w:name="（4）实施时间" w:id="101"/>
      <w:bookmarkEnd w:id="101"/>
      <w:r>
        <w:rPr/>
      </w:r>
      <w:bookmarkStart w:name="（4）实施时间" w:id="102"/>
      <w:bookmarkEnd w:id="102"/>
      <w:r>
        <w:rPr>
          <w:sz w:val="24"/>
        </w:rPr>
        <w:t>实施时间</w:t>
      </w:r>
    </w:p>
    <w:p>
      <w:pPr>
        <w:pStyle w:val="BodyText"/>
        <w:spacing w:line="364" w:lineRule="auto" w:before="161"/>
        <w:ind w:right="317" w:firstLine="480"/>
      </w:pPr>
      <w:r>
        <w:rPr>
          <w:spacing w:val="-6"/>
        </w:rPr>
        <w:t>应按照边施工建设边恢复植被的原则进行，并考虑工程竣工环境保护验收的</w:t>
      </w:r>
      <w:r>
        <w:rPr/>
        <w:t>要求，抓紧进行。缩短土地裸露时间也是减缓生态影响十分需要的。</w:t>
      </w:r>
    </w:p>
    <w:p>
      <w:pPr>
        <w:pStyle w:val="Heading3"/>
        <w:numPr>
          <w:ilvl w:val="2"/>
          <w:numId w:val="14"/>
        </w:numPr>
        <w:tabs>
          <w:tab w:pos="921" w:val="left" w:leader="none"/>
        </w:tabs>
        <w:spacing w:line="240" w:lineRule="auto" w:before="55" w:after="0"/>
        <w:ind w:left="920" w:right="0" w:hanging="701"/>
        <w:jc w:val="left"/>
      </w:pPr>
      <w:r>
        <w:rPr/>
        <w:t>制定植被优化管理方案</w:t>
      </w:r>
    </w:p>
    <w:p>
      <w:pPr>
        <w:pStyle w:val="Heading5"/>
        <w:numPr>
          <w:ilvl w:val="3"/>
          <w:numId w:val="16"/>
        </w:numPr>
        <w:tabs>
          <w:tab w:pos="1420" w:val="left" w:leader="none"/>
        </w:tabs>
        <w:spacing w:line="240" w:lineRule="auto" w:before="211" w:after="0"/>
        <w:ind w:left="1420" w:right="0" w:hanging="720"/>
        <w:jc w:val="left"/>
      </w:pPr>
      <w:bookmarkStart w:name="7.4.2.1对恢复后的草地进行巡查" w:id="103"/>
      <w:bookmarkEnd w:id="103"/>
      <w:r>
        <w:rPr>
          <w:b w:val="0"/>
        </w:rPr>
      </w:r>
      <w:bookmarkStart w:name="7.4.2.1对恢复后的草地进行巡查" w:id="104"/>
      <w:bookmarkEnd w:id="104"/>
      <w:r>
        <w:rPr/>
        <w:t>对恢复后的草地进行巡查</w:t>
      </w:r>
    </w:p>
    <w:p>
      <w:pPr>
        <w:pStyle w:val="BodyText"/>
        <w:spacing w:line="364" w:lineRule="auto" w:before="161"/>
        <w:ind w:right="317" w:firstLine="480"/>
        <w:jc w:val="both"/>
      </w:pPr>
      <w:bookmarkStart w:name="领导小组应每月至少巡查2次，并及时记录巡查结果。向自然学习，即按照当地自然生态系" w:id="105"/>
      <w:bookmarkEnd w:id="105"/>
      <w:r>
        <w:rPr/>
      </w:r>
      <w:r>
        <w:rPr>
          <w:spacing w:val="-5"/>
        </w:rPr>
        <w:t>领导小组应每月至少巡查 </w:t>
      </w:r>
      <w:r>
        <w:rPr>
          <w:rFonts w:ascii="Times New Roman" w:eastAsia="Times New Roman"/>
        </w:rPr>
        <w:t>2 </w:t>
      </w:r>
      <w:r>
        <w:rPr>
          <w:spacing w:val="-12"/>
        </w:rPr>
        <w:t>次，并及时记录巡查结果。向自然学习，即按照</w:t>
      </w:r>
      <w:r>
        <w:rPr>
          <w:spacing w:val="-6"/>
        </w:rPr>
        <w:t>当地自然生态系统的理想结构进行调整、优化。对需要补种的区域，督促专门的</w:t>
      </w:r>
    </w:p>
    <w:p>
      <w:pPr>
        <w:spacing w:after="0" w:line="364" w:lineRule="auto"/>
        <w:jc w:val="both"/>
        <w:sectPr>
          <w:pgSz w:w="11910" w:h="16840"/>
          <w:pgMar w:header="0" w:footer="970" w:top="1460" w:bottom="1160" w:left="1580" w:right="1480"/>
        </w:sectPr>
      </w:pPr>
    </w:p>
    <w:p>
      <w:pPr>
        <w:pStyle w:val="BodyText"/>
        <w:spacing w:before="42"/>
      </w:pPr>
      <w:r>
        <w:rPr/>
        <w:t>管护人员及时落实。</w:t>
      </w:r>
    </w:p>
    <w:p>
      <w:pPr>
        <w:pStyle w:val="Heading5"/>
        <w:numPr>
          <w:ilvl w:val="3"/>
          <w:numId w:val="16"/>
        </w:numPr>
        <w:tabs>
          <w:tab w:pos="1480" w:val="left" w:leader="none"/>
        </w:tabs>
        <w:spacing w:line="240" w:lineRule="auto" w:before="160" w:after="0"/>
        <w:ind w:left="1480" w:right="0" w:hanging="780"/>
        <w:jc w:val="left"/>
      </w:pPr>
      <w:bookmarkStart w:name="7.4.2.2 植被管护" w:id="106"/>
      <w:bookmarkEnd w:id="106"/>
      <w:r>
        <w:rPr>
          <w:b w:val="0"/>
        </w:rPr>
      </w:r>
      <w:bookmarkStart w:name="7.4.2.2 植被管护" w:id="107"/>
      <w:bookmarkEnd w:id="107"/>
      <w:r>
        <w:rPr/>
        <w:t>植被管护</w:t>
      </w:r>
    </w:p>
    <w:p>
      <w:pPr>
        <w:pStyle w:val="BodyText"/>
        <w:spacing w:line="364" w:lineRule="auto" w:before="161"/>
        <w:ind w:right="317" w:firstLine="480"/>
      </w:pPr>
      <w:bookmarkStart w:name="健全植被管护制度，严禁牲畜进入光伏区啃食中草药。对新种植的中草药区域竖立围栏、标" w:id="108"/>
      <w:bookmarkEnd w:id="108"/>
      <w:r>
        <w:rPr/>
      </w:r>
      <w:r>
        <w:rPr>
          <w:spacing w:val="-9"/>
        </w:rPr>
        <w:t>健全植被管护制度，严禁牲畜进入光伏区啃食中草药。对新种植的中草药区</w:t>
      </w:r>
      <w:r>
        <w:rPr/>
        <w:t>域竖立围栏、标牌，并进行人工巡查。</w:t>
      </w:r>
    </w:p>
    <w:p>
      <w:pPr>
        <w:pStyle w:val="Heading3"/>
        <w:numPr>
          <w:ilvl w:val="2"/>
          <w:numId w:val="14"/>
        </w:numPr>
        <w:tabs>
          <w:tab w:pos="921" w:val="left" w:leader="none"/>
        </w:tabs>
        <w:spacing w:line="240" w:lineRule="auto" w:before="55" w:after="0"/>
        <w:ind w:left="920" w:right="0" w:hanging="701"/>
        <w:jc w:val="left"/>
      </w:pPr>
      <w:bookmarkStart w:name="7.4.3 加强技术支撑" w:id="109"/>
      <w:bookmarkEnd w:id="109"/>
      <w:r>
        <w:rPr>
          <w:b w:val="0"/>
        </w:rPr>
      </w:r>
      <w:bookmarkStart w:name="7.4.3 加强技术支撑" w:id="110"/>
      <w:bookmarkEnd w:id="110"/>
      <w:r>
        <w:rPr/>
        <w:t>加强技术支撑</w:t>
      </w:r>
    </w:p>
    <w:p>
      <w:pPr>
        <w:pStyle w:val="BodyText"/>
        <w:spacing w:line="364" w:lineRule="auto" w:before="211"/>
        <w:ind w:right="197" w:firstLine="480"/>
      </w:pPr>
      <w:bookmarkStart w:name="建议在方案实施过程中，聘请水保、生态等专业人员进行技术咨询、培训、指导，并委托有" w:id="111"/>
      <w:bookmarkEnd w:id="111"/>
      <w:r>
        <w:rPr/>
      </w:r>
      <w:r>
        <w:rPr/>
        <w:t>建议在方案实施过程中，聘请水保、生态等专业人员进行技术咨询、培训、</w:t>
      </w:r>
      <w:r>
        <w:rPr>
          <w:spacing w:val="-16"/>
        </w:rPr>
        <w:t>指导，并委托有资质的单位对各项措施的实施进度、质量、投资进行全过程控制。</w:t>
      </w:r>
    </w:p>
    <w:p>
      <w:pPr>
        <w:pStyle w:val="Heading2"/>
        <w:numPr>
          <w:ilvl w:val="1"/>
          <w:numId w:val="14"/>
        </w:numPr>
        <w:tabs>
          <w:tab w:pos="746" w:val="left" w:leader="none"/>
        </w:tabs>
        <w:spacing w:line="240" w:lineRule="auto" w:before="42" w:after="0"/>
        <w:ind w:left="745" w:right="0" w:hanging="526"/>
        <w:jc w:val="left"/>
        <w:rPr>
          <w:rFonts w:ascii="Times New Roman" w:eastAsia="Times New Roman"/>
        </w:rPr>
      </w:pPr>
      <w:bookmarkStart w:name="_bookmark29" w:id="112"/>
      <w:bookmarkEnd w:id="112"/>
      <w:r>
        <w:rPr>
          <w:b w:val="0"/>
        </w:rPr>
      </w:r>
      <w:bookmarkStart w:name="_bookmark29" w:id="113"/>
      <w:bookmarkEnd w:id="113"/>
      <w:r>
        <w:rPr/>
        <w:t>服务期满后的生态防护措施</w:t>
      </w:r>
    </w:p>
    <w:p>
      <w:pPr>
        <w:pStyle w:val="BodyText"/>
        <w:spacing w:line="364" w:lineRule="auto" w:before="199"/>
        <w:ind w:right="317" w:firstLine="480"/>
        <w:jc w:val="both"/>
      </w:pPr>
      <w:r>
        <w:rPr/>
        <w:t>本项目太阳能电池板寿命约</w:t>
      </w:r>
      <w:r>
        <w:rPr>
          <w:rFonts w:ascii="Times New Roman" w:eastAsia="Times New Roman"/>
        </w:rPr>
        <w:t>25</w:t>
      </w:r>
      <w:r>
        <w:rPr>
          <w:spacing w:val="-12"/>
        </w:rPr>
        <w:t>年，待项目运营期满后，按国家相关要求，将</w:t>
      </w:r>
      <w:r>
        <w:rPr>
          <w:spacing w:val="-6"/>
        </w:rPr>
        <w:t>对生产区</w:t>
      </w:r>
      <w:r>
        <w:rPr/>
        <w:t>（</w:t>
      </w:r>
      <w:r>
        <w:rPr>
          <w:spacing w:val="-3"/>
        </w:rPr>
        <w:t>电池组件及支架、变压器等</w:t>
      </w:r>
      <w:r>
        <w:rPr>
          <w:spacing w:val="-24"/>
        </w:rPr>
        <w:t>）</w:t>
      </w:r>
      <w:r>
        <w:rPr>
          <w:spacing w:val="-5"/>
        </w:rPr>
        <w:t>进行全部拆除。这些活动会造成光伏组</w:t>
      </w:r>
      <w:r>
        <w:rPr>
          <w:spacing w:val="-8"/>
        </w:rPr>
        <w:t>件基础土地部分破坏，若拆除后不再进行重新更新安装，直接关闭，则应进行生</w:t>
      </w:r>
      <w:r>
        <w:rPr/>
        <w:t>态恢复：</w:t>
      </w:r>
    </w:p>
    <w:p>
      <w:pPr>
        <w:pStyle w:val="ListParagraph"/>
        <w:numPr>
          <w:ilvl w:val="0"/>
          <w:numId w:val="17"/>
        </w:numPr>
        <w:tabs>
          <w:tab w:pos="1301" w:val="left" w:leader="none"/>
        </w:tabs>
        <w:spacing w:line="240" w:lineRule="auto" w:before="3" w:after="0"/>
        <w:ind w:left="1301" w:right="0" w:hanging="601"/>
        <w:jc w:val="left"/>
        <w:rPr>
          <w:sz w:val="24"/>
        </w:rPr>
      </w:pPr>
      <w:r>
        <w:rPr>
          <w:sz w:val="24"/>
        </w:rPr>
        <w:t>掘除硬化地面基础，对场地进行恢复。</w:t>
      </w:r>
    </w:p>
    <w:p>
      <w:pPr>
        <w:pStyle w:val="ListParagraph"/>
        <w:numPr>
          <w:ilvl w:val="0"/>
          <w:numId w:val="17"/>
        </w:numPr>
        <w:tabs>
          <w:tab w:pos="1301" w:val="left" w:leader="none"/>
        </w:tabs>
        <w:spacing w:line="240" w:lineRule="auto" w:before="160" w:after="0"/>
        <w:ind w:left="1301" w:right="0" w:hanging="601"/>
        <w:jc w:val="left"/>
        <w:rPr>
          <w:sz w:val="24"/>
        </w:rPr>
      </w:pPr>
      <w:r>
        <w:rPr>
          <w:sz w:val="24"/>
        </w:rPr>
        <w:t>拆除过程中应尽量减小对土地的扰动，对于项目场区原绿化土地应保</w:t>
      </w:r>
    </w:p>
    <w:p>
      <w:pPr>
        <w:pStyle w:val="BodyText"/>
        <w:spacing w:before="161"/>
      </w:pPr>
      <w:r>
        <w:rPr/>
        <w:t>留</w:t>
      </w:r>
    </w:p>
    <w:p>
      <w:pPr>
        <w:pStyle w:val="ListParagraph"/>
        <w:numPr>
          <w:ilvl w:val="0"/>
          <w:numId w:val="17"/>
        </w:numPr>
        <w:tabs>
          <w:tab w:pos="1301" w:val="left" w:leader="none"/>
        </w:tabs>
        <w:spacing w:line="240" w:lineRule="auto" w:before="160" w:after="0"/>
        <w:ind w:left="1301" w:right="0" w:hanging="601"/>
        <w:jc w:val="left"/>
        <w:rPr>
          <w:sz w:val="24"/>
        </w:rPr>
      </w:pPr>
      <w:r>
        <w:rPr>
          <w:sz w:val="24"/>
        </w:rPr>
        <w:t>掘除桩基部分场地应进行恢复，恢复后的场地则进行洒水和压实，以</w:t>
      </w:r>
    </w:p>
    <w:p>
      <w:pPr>
        <w:pStyle w:val="BodyText"/>
        <w:spacing w:before="161"/>
      </w:pPr>
      <w:r>
        <w:rPr/>
        <w:t>固结地表，防止产生扬尘和对土壤的风蚀。</w:t>
      </w:r>
    </w:p>
    <w:p>
      <w:pPr>
        <w:pStyle w:val="Heading2"/>
        <w:numPr>
          <w:ilvl w:val="0"/>
          <w:numId w:val="2"/>
        </w:numPr>
        <w:tabs>
          <w:tab w:pos="520" w:val="left" w:leader="none"/>
        </w:tabs>
        <w:spacing w:line="240" w:lineRule="auto" w:before="201" w:after="0"/>
        <w:ind w:left="520" w:right="0" w:hanging="300"/>
        <w:jc w:val="left"/>
        <w:rPr>
          <w:rFonts w:ascii="Times New Roman" w:eastAsia="Times New Roman"/>
        </w:rPr>
      </w:pPr>
      <w:bookmarkStart w:name="_bookmark30" w:id="114"/>
      <w:bookmarkEnd w:id="114"/>
      <w:r>
        <w:rPr>
          <w:b w:val="0"/>
        </w:rPr>
      </w:r>
      <w:bookmarkStart w:name="_bookmark30" w:id="115"/>
      <w:bookmarkEnd w:id="115"/>
      <w:r>
        <w:rPr/>
        <w:t>评价结论</w:t>
      </w:r>
    </w:p>
    <w:p>
      <w:pPr>
        <w:pStyle w:val="Heading3"/>
        <w:numPr>
          <w:ilvl w:val="1"/>
          <w:numId w:val="2"/>
        </w:numPr>
        <w:tabs>
          <w:tab w:pos="710" w:val="left" w:leader="none"/>
        </w:tabs>
        <w:spacing w:line="240" w:lineRule="auto" w:before="252" w:after="0"/>
        <w:ind w:left="709" w:right="0" w:hanging="490"/>
        <w:jc w:val="left"/>
      </w:pPr>
      <w:bookmarkStart w:name="8.1 结论" w:id="116"/>
      <w:bookmarkEnd w:id="116"/>
      <w:r>
        <w:rPr>
          <w:b w:val="0"/>
        </w:rPr>
      </w:r>
      <w:bookmarkStart w:name="_bookmark31" w:id="117"/>
      <w:bookmarkEnd w:id="117"/>
      <w:r>
        <w:rPr>
          <w:b w:val="0"/>
        </w:rPr>
      </w:r>
      <w:bookmarkStart w:name="_bookmark31" w:id="118"/>
      <w:bookmarkEnd w:id="118"/>
      <w:r>
        <w:rPr/>
        <w:t>结论</w:t>
      </w:r>
    </w:p>
    <w:p>
      <w:pPr>
        <w:pStyle w:val="BodyText"/>
        <w:spacing w:line="364" w:lineRule="auto" w:before="212"/>
        <w:ind w:right="317" w:firstLine="480"/>
        <w:jc w:val="both"/>
      </w:pPr>
      <w:r>
        <w:rPr>
          <w:spacing w:val="-5"/>
        </w:rPr>
        <w:t>项目拟建场址位于陕西省咸阳市泾阳县王桥镇曹张村、寺背后村和兴隆镇双</w:t>
      </w:r>
      <w:r>
        <w:rPr>
          <w:spacing w:val="-10"/>
        </w:rPr>
        <w:t>槐村、郭家庄村日新现代农业园区，土地现状类型为草地、耕地及其他土地。该</w:t>
      </w:r>
      <w:r>
        <w:rPr>
          <w:spacing w:val="-8"/>
        </w:rPr>
        <w:t>项目不涉及自然保护区、风景名胜区等生态敏感区，评价范围内未见国家和地方</w:t>
      </w:r>
      <w:r>
        <w:rPr>
          <w:spacing w:val="-11"/>
        </w:rPr>
        <w:t>重点保护野生动植物。项目在采取本次评价提岀的污染防治措施和生态保护措施</w:t>
      </w:r>
      <w:r>
        <w:rPr>
          <w:spacing w:val="-10"/>
        </w:rPr>
        <w:t>后，对当地的生态环境影响不大。同时，项目生产利用清洁、可再生的太阳能资源，具有明显的节能和污染物减排效果，符合国家产业政策，符合陕西省发改委</w:t>
      </w:r>
      <w:r>
        <w:rPr/>
        <w:t>新能源发展规划。从满足环境质量目标要求分析，项目建设基本可行。</w:t>
      </w:r>
    </w:p>
    <w:p>
      <w:pPr>
        <w:pStyle w:val="Heading3"/>
        <w:numPr>
          <w:ilvl w:val="1"/>
          <w:numId w:val="2"/>
        </w:numPr>
        <w:tabs>
          <w:tab w:pos="710" w:val="left" w:leader="none"/>
        </w:tabs>
        <w:spacing w:line="240" w:lineRule="auto" w:before="58" w:after="0"/>
        <w:ind w:left="709" w:right="0" w:hanging="490"/>
        <w:jc w:val="left"/>
      </w:pPr>
      <w:bookmarkStart w:name="8.2 建议" w:id="119"/>
      <w:bookmarkEnd w:id="119"/>
      <w:r>
        <w:rPr>
          <w:b w:val="0"/>
        </w:rPr>
      </w:r>
      <w:bookmarkStart w:name="_bookmark32" w:id="120"/>
      <w:bookmarkEnd w:id="120"/>
      <w:r>
        <w:rPr>
          <w:b w:val="0"/>
        </w:rPr>
      </w:r>
      <w:bookmarkStart w:name="_bookmark32" w:id="121"/>
      <w:bookmarkEnd w:id="121"/>
      <w:r>
        <w:rPr/>
        <w:t>建议</w:t>
      </w:r>
    </w:p>
    <w:p>
      <w:pPr>
        <w:pStyle w:val="BodyText"/>
        <w:spacing w:before="211"/>
        <w:ind w:left="700"/>
      </w:pPr>
      <w:r>
        <w:rPr/>
        <w:t>为减少项目对生态环境的影响，本评价建议：</w:t>
      </w:r>
    </w:p>
    <w:p>
      <w:pPr>
        <w:spacing w:after="0"/>
        <w:sectPr>
          <w:pgSz w:w="11910" w:h="16840"/>
          <w:pgMar w:header="0" w:footer="970" w:top="1460" w:bottom="1160" w:left="1580" w:right="1480"/>
        </w:sectPr>
      </w:pPr>
    </w:p>
    <w:p>
      <w:pPr>
        <w:pStyle w:val="ListParagraph"/>
        <w:numPr>
          <w:ilvl w:val="0"/>
          <w:numId w:val="18"/>
        </w:numPr>
        <w:tabs>
          <w:tab w:pos="1301" w:val="left" w:leader="none"/>
        </w:tabs>
        <w:spacing w:line="364" w:lineRule="auto" w:before="62" w:after="0"/>
        <w:ind w:left="220" w:right="317" w:firstLine="480"/>
        <w:jc w:val="both"/>
        <w:rPr>
          <w:sz w:val="24"/>
        </w:rPr>
      </w:pPr>
      <w:r>
        <w:rPr>
          <w:spacing w:val="-1"/>
          <w:sz w:val="24"/>
        </w:rPr>
        <w:t>项目施工期限定施工期作业带范围，并严格施工界限，施工过程不得</w:t>
      </w:r>
      <w:r>
        <w:rPr>
          <w:spacing w:val="-10"/>
          <w:sz w:val="24"/>
        </w:rPr>
        <w:t>超出划定施工范围，减少临时用地，并于项目施工完成后及时对场地进行恢复及</w:t>
      </w:r>
      <w:r>
        <w:rPr>
          <w:sz w:val="24"/>
        </w:rPr>
        <w:t>绿化，避免场区土地受到破坏，造成水土流失。</w:t>
      </w:r>
    </w:p>
    <w:p>
      <w:pPr>
        <w:pStyle w:val="ListParagraph"/>
        <w:numPr>
          <w:ilvl w:val="0"/>
          <w:numId w:val="18"/>
        </w:numPr>
        <w:tabs>
          <w:tab w:pos="1301" w:val="left" w:leader="none"/>
        </w:tabs>
        <w:spacing w:line="364" w:lineRule="auto" w:before="2" w:after="0"/>
        <w:ind w:left="220" w:right="320" w:firstLine="480"/>
        <w:jc w:val="left"/>
        <w:rPr>
          <w:sz w:val="24"/>
        </w:rPr>
      </w:pPr>
      <w:r>
        <w:rPr>
          <w:spacing w:val="-1"/>
          <w:sz w:val="24"/>
        </w:rPr>
        <w:t>设计中应落实本评价提出的生态环境保护措施，加强施工期的环境管</w:t>
      </w:r>
      <w:r>
        <w:rPr>
          <w:sz w:val="24"/>
        </w:rPr>
        <w:t>理，要求合理安排施工时间，避免在雨季施工，减少施工对生态环境的影响。</w:t>
      </w:r>
    </w:p>
    <w:p>
      <w:pPr>
        <w:pStyle w:val="ListParagraph"/>
        <w:numPr>
          <w:ilvl w:val="0"/>
          <w:numId w:val="18"/>
        </w:numPr>
        <w:tabs>
          <w:tab w:pos="1301" w:val="left" w:leader="none"/>
        </w:tabs>
        <w:spacing w:line="240" w:lineRule="auto" w:before="1" w:after="0"/>
        <w:ind w:left="1301" w:right="0" w:hanging="601"/>
        <w:jc w:val="left"/>
        <w:rPr>
          <w:sz w:val="24"/>
        </w:rPr>
      </w:pPr>
      <w:r>
        <w:rPr>
          <w:sz w:val="24"/>
        </w:rPr>
        <w:t>项目建设过程中同时进行植被恢复，做好防风固沙，水土保持工作。</w:t>
      </w:r>
    </w:p>
    <w:p>
      <w:pPr>
        <w:spacing w:after="0" w:line="240" w:lineRule="auto"/>
        <w:jc w:val="left"/>
        <w:rPr>
          <w:sz w:val="24"/>
        </w:rPr>
        <w:sectPr>
          <w:pgSz w:w="11910" w:h="16840"/>
          <w:pgMar w:header="0" w:footer="970" w:top="1440" w:bottom="1160" w:left="1580" w:right="1480"/>
        </w:sectPr>
      </w:pPr>
    </w:p>
    <w:p>
      <w:pPr>
        <w:pStyle w:val="BodyText"/>
        <w:ind w:left="0"/>
        <w:rPr>
          <w:sz w:val="20"/>
        </w:rPr>
      </w:pPr>
      <w:r>
        <w:rPr/>
        <w:pict>
          <v:shape style="position:absolute;margin-left:79.360001pt;margin-top:98.060028pt;width:426.6pt;height:671.85pt;mso-position-horizontal-relative:page;mso-position-vertical-relative:page;z-index:-253123584" coordorigin="1587,1961" coordsize="8532,13437" path="m1587,1445l10119,1445m1587,14877l10119,14877m1592,1440l1592,14872m10114,1440l10114,14872e" filled="false" stroked="true" strokeweight=".48pt" strokecolor="#000000">
            <v:path arrowok="t"/>
            <v:stroke dashstyle="solid"/>
            <w10:wrap type="none"/>
          </v:shape>
        </w:pict>
      </w:r>
    </w:p>
    <w:p>
      <w:pPr>
        <w:pStyle w:val="BodyText"/>
        <w:spacing w:before="2"/>
        <w:ind w:left="0"/>
        <w:rPr>
          <w:sz w:val="18"/>
        </w:rPr>
      </w:pPr>
    </w:p>
    <w:p>
      <w:pPr>
        <w:spacing w:before="45"/>
        <w:ind w:left="199" w:right="495" w:firstLine="0"/>
        <w:jc w:val="center"/>
        <w:rPr>
          <w:b/>
          <w:sz w:val="40"/>
        </w:rPr>
      </w:pPr>
      <w:r>
        <w:rPr>
          <w:b/>
          <w:sz w:val="40"/>
        </w:rPr>
        <w:t>注释</w:t>
      </w:r>
    </w:p>
    <w:p>
      <w:pPr>
        <w:pStyle w:val="BodyText"/>
        <w:spacing w:before="3"/>
        <w:ind w:left="0"/>
        <w:rPr>
          <w:b/>
          <w:sz w:val="39"/>
        </w:rPr>
      </w:pPr>
    </w:p>
    <w:p>
      <w:pPr>
        <w:pStyle w:val="Heading4"/>
        <w:tabs>
          <w:tab w:pos="1659" w:val="left" w:leader="none"/>
        </w:tabs>
        <w:spacing w:line="417" w:lineRule="auto"/>
        <w:ind w:right="4243"/>
      </w:pPr>
      <w:r>
        <w:rPr/>
        <w:t>一</w:t>
      </w:r>
      <w:r>
        <w:rPr>
          <w:spacing w:val="-3"/>
        </w:rPr>
        <w:t>、</w:t>
      </w:r>
      <w:r>
        <w:rPr/>
        <w:t>本</w:t>
      </w:r>
      <w:r>
        <w:rPr>
          <w:spacing w:val="-3"/>
        </w:rPr>
        <w:t>报</w:t>
      </w:r>
      <w:r>
        <w:rPr/>
        <w:t>告应</w:t>
      </w:r>
      <w:r>
        <w:rPr>
          <w:spacing w:val="-3"/>
        </w:rPr>
        <w:t>附</w:t>
      </w:r>
      <w:r>
        <w:rPr/>
        <w:t>以下</w:t>
      </w:r>
      <w:r>
        <w:rPr>
          <w:spacing w:val="-3"/>
        </w:rPr>
        <w:t>附</w:t>
      </w:r>
      <w:r>
        <w:rPr/>
        <w:t>件、</w:t>
      </w:r>
      <w:r>
        <w:rPr>
          <w:spacing w:val="-3"/>
        </w:rPr>
        <w:t>附</w:t>
      </w:r>
      <w:r>
        <w:rPr/>
        <w:t>图附</w:t>
      </w:r>
      <w:r>
        <w:rPr>
          <w:spacing w:val="-3"/>
        </w:rPr>
        <w:t>件</w:t>
      </w:r>
      <w:r>
        <w:rPr/>
        <w:t>1</w:t>
        <w:tab/>
        <w:t>立</w:t>
      </w:r>
      <w:r>
        <w:rPr>
          <w:spacing w:val="-3"/>
        </w:rPr>
        <w:t>项</w:t>
      </w:r>
      <w:r>
        <w:rPr/>
        <w:t>批准</w:t>
      </w:r>
      <w:r>
        <w:rPr>
          <w:spacing w:val="-3"/>
        </w:rPr>
        <w:t>文</w:t>
      </w:r>
      <w:r>
        <w:rPr/>
        <w:t>件</w:t>
      </w:r>
    </w:p>
    <w:p>
      <w:pPr>
        <w:tabs>
          <w:tab w:pos="1659" w:val="left" w:leader="none"/>
        </w:tabs>
        <w:spacing w:line="358" w:lineRule="exact" w:before="0"/>
        <w:ind w:left="680" w:right="0" w:firstLine="0"/>
        <w:jc w:val="left"/>
        <w:rPr>
          <w:sz w:val="28"/>
        </w:rPr>
      </w:pPr>
      <w:r>
        <w:rPr>
          <w:sz w:val="28"/>
        </w:rPr>
        <w:t>附</w:t>
      </w:r>
      <w:r>
        <w:rPr>
          <w:spacing w:val="-3"/>
          <w:sz w:val="28"/>
        </w:rPr>
        <w:t>件</w:t>
      </w:r>
      <w:r>
        <w:rPr>
          <w:sz w:val="28"/>
        </w:rPr>
        <w:t>2</w:t>
        <w:tab/>
        <w:t>其</w:t>
      </w:r>
      <w:r>
        <w:rPr>
          <w:spacing w:val="-3"/>
          <w:sz w:val="28"/>
        </w:rPr>
        <w:t>他</w:t>
      </w:r>
      <w:r>
        <w:rPr>
          <w:sz w:val="28"/>
        </w:rPr>
        <w:t>与环</w:t>
      </w:r>
      <w:r>
        <w:rPr>
          <w:spacing w:val="-3"/>
          <w:sz w:val="28"/>
        </w:rPr>
        <w:t>评</w:t>
      </w:r>
      <w:r>
        <w:rPr>
          <w:sz w:val="28"/>
        </w:rPr>
        <w:t>有关</w:t>
      </w:r>
      <w:r>
        <w:rPr>
          <w:spacing w:val="-3"/>
          <w:sz w:val="28"/>
        </w:rPr>
        <w:t>的</w:t>
      </w:r>
      <w:r>
        <w:rPr>
          <w:sz w:val="28"/>
        </w:rPr>
        <w:t>行政</w:t>
      </w:r>
      <w:r>
        <w:rPr>
          <w:spacing w:val="-3"/>
          <w:sz w:val="28"/>
        </w:rPr>
        <w:t>管</w:t>
      </w:r>
      <w:r>
        <w:rPr>
          <w:sz w:val="28"/>
        </w:rPr>
        <w:t>理文件</w:t>
      </w:r>
    </w:p>
    <w:p>
      <w:pPr>
        <w:pStyle w:val="BodyText"/>
        <w:spacing w:before="9"/>
        <w:ind w:left="0"/>
        <w:rPr>
          <w:sz w:val="20"/>
        </w:rPr>
      </w:pPr>
    </w:p>
    <w:p>
      <w:pPr>
        <w:spacing w:line="417" w:lineRule="auto" w:before="0"/>
        <w:ind w:left="119" w:right="418" w:firstLine="561"/>
        <w:jc w:val="both"/>
        <w:rPr>
          <w:sz w:val="28"/>
        </w:rPr>
      </w:pPr>
      <w:r>
        <w:rPr>
          <w:sz w:val="28"/>
        </w:rPr>
        <w:t>附图1 项目地理位置图（应反映行政区划、水系、表明纳污口位置和地形貌等）</w:t>
      </w:r>
    </w:p>
    <w:p>
      <w:pPr>
        <w:spacing w:line="358" w:lineRule="exact" w:before="0"/>
        <w:ind w:left="680" w:right="0" w:firstLine="0"/>
        <w:jc w:val="both"/>
        <w:rPr>
          <w:sz w:val="28"/>
        </w:rPr>
      </w:pPr>
      <w:r>
        <w:rPr>
          <w:sz w:val="28"/>
        </w:rPr>
        <w:t>附图2 项目平面布置图</w:t>
      </w:r>
    </w:p>
    <w:p>
      <w:pPr>
        <w:pStyle w:val="BodyText"/>
        <w:spacing w:before="9"/>
        <w:ind w:left="0"/>
        <w:rPr>
          <w:sz w:val="20"/>
        </w:rPr>
      </w:pPr>
    </w:p>
    <w:p>
      <w:pPr>
        <w:spacing w:line="417" w:lineRule="auto" w:before="0"/>
        <w:ind w:left="119" w:right="417" w:firstLine="561"/>
        <w:jc w:val="both"/>
        <w:rPr>
          <w:sz w:val="28"/>
        </w:rPr>
      </w:pPr>
      <w:r>
        <w:rPr>
          <w:spacing w:val="-7"/>
          <w:sz w:val="28"/>
        </w:rPr>
        <w:t>二、本报告表不能说明项目产生的污染及对环境造成的影响，应进行专项评价。根据建设项目的特点和当地环境特征，应选下列1-2 </w:t>
      </w:r>
      <w:r>
        <w:rPr>
          <w:spacing w:val="-3"/>
          <w:sz w:val="28"/>
        </w:rPr>
        <w:t>项进行专项评价。</w:t>
      </w:r>
    </w:p>
    <w:p>
      <w:pPr>
        <w:spacing w:line="358" w:lineRule="exact" w:before="0"/>
        <w:ind w:left="680" w:right="0" w:firstLine="0"/>
        <w:jc w:val="left"/>
        <w:rPr>
          <w:sz w:val="28"/>
        </w:rPr>
      </w:pPr>
      <w:r>
        <w:rPr>
          <w:sz w:val="28"/>
        </w:rPr>
        <w:t>1、大气环境影响专项评价</w:t>
      </w:r>
    </w:p>
    <w:p>
      <w:pPr>
        <w:pStyle w:val="BodyText"/>
        <w:spacing w:before="9"/>
        <w:ind w:left="0"/>
        <w:rPr>
          <w:sz w:val="20"/>
        </w:rPr>
      </w:pPr>
    </w:p>
    <w:p>
      <w:pPr>
        <w:spacing w:before="0"/>
        <w:ind w:left="680" w:right="0" w:firstLine="0"/>
        <w:jc w:val="left"/>
        <w:rPr>
          <w:sz w:val="28"/>
        </w:rPr>
      </w:pPr>
      <w:r>
        <w:rPr>
          <w:sz w:val="28"/>
        </w:rPr>
        <w:t>2、水环境影响专项评价（包括地表水和地下水）</w:t>
      </w:r>
    </w:p>
    <w:p>
      <w:pPr>
        <w:pStyle w:val="BodyText"/>
        <w:spacing w:before="9"/>
        <w:ind w:left="0"/>
        <w:rPr>
          <w:sz w:val="20"/>
        </w:rPr>
      </w:pPr>
    </w:p>
    <w:p>
      <w:pPr>
        <w:spacing w:before="0"/>
        <w:ind w:left="680" w:right="0" w:firstLine="0"/>
        <w:jc w:val="left"/>
        <w:rPr>
          <w:sz w:val="28"/>
        </w:rPr>
      </w:pPr>
      <w:r>
        <w:rPr>
          <w:sz w:val="28"/>
        </w:rPr>
        <w:t>3、生态影响专项评价</w:t>
      </w:r>
    </w:p>
    <w:p>
      <w:pPr>
        <w:pStyle w:val="BodyText"/>
        <w:spacing w:before="9"/>
        <w:ind w:left="0"/>
        <w:rPr>
          <w:sz w:val="20"/>
        </w:rPr>
      </w:pPr>
    </w:p>
    <w:p>
      <w:pPr>
        <w:spacing w:before="0"/>
        <w:ind w:left="680" w:right="0" w:firstLine="0"/>
        <w:jc w:val="left"/>
        <w:rPr>
          <w:sz w:val="28"/>
        </w:rPr>
      </w:pPr>
      <w:r>
        <w:rPr>
          <w:sz w:val="28"/>
        </w:rPr>
        <w:t>4、声影响专项评价</w:t>
      </w:r>
    </w:p>
    <w:p>
      <w:pPr>
        <w:pStyle w:val="BodyText"/>
        <w:spacing w:before="9"/>
        <w:ind w:left="0"/>
        <w:rPr>
          <w:sz w:val="20"/>
        </w:rPr>
      </w:pPr>
    </w:p>
    <w:p>
      <w:pPr>
        <w:spacing w:before="0"/>
        <w:ind w:left="680" w:right="0" w:firstLine="0"/>
        <w:jc w:val="left"/>
        <w:rPr>
          <w:sz w:val="28"/>
        </w:rPr>
      </w:pPr>
      <w:r>
        <w:rPr>
          <w:sz w:val="28"/>
        </w:rPr>
        <w:t>5、土壤影响专项评价</w:t>
      </w:r>
    </w:p>
    <w:p>
      <w:pPr>
        <w:pStyle w:val="BodyText"/>
        <w:spacing w:before="9"/>
        <w:ind w:left="0"/>
        <w:rPr>
          <w:sz w:val="20"/>
        </w:rPr>
      </w:pPr>
    </w:p>
    <w:p>
      <w:pPr>
        <w:spacing w:before="0"/>
        <w:ind w:left="680" w:right="0" w:firstLine="0"/>
        <w:jc w:val="left"/>
        <w:rPr>
          <w:sz w:val="28"/>
        </w:rPr>
      </w:pPr>
      <w:r>
        <w:rPr>
          <w:sz w:val="28"/>
        </w:rPr>
        <w:t>6、固体废弃物影响专项评价</w:t>
      </w:r>
    </w:p>
    <w:p>
      <w:pPr>
        <w:pStyle w:val="BodyText"/>
        <w:spacing w:before="9"/>
        <w:ind w:left="0"/>
        <w:rPr>
          <w:sz w:val="20"/>
        </w:rPr>
      </w:pPr>
    </w:p>
    <w:p>
      <w:pPr>
        <w:spacing w:line="417" w:lineRule="auto" w:before="0"/>
        <w:ind w:left="119" w:right="418" w:firstLine="561"/>
        <w:jc w:val="left"/>
        <w:rPr>
          <w:sz w:val="28"/>
        </w:rPr>
      </w:pPr>
      <w:r>
        <w:rPr>
          <w:spacing w:val="-9"/>
          <w:sz w:val="28"/>
        </w:rPr>
        <w:t>以上专项评价包括生态影响专项，专项评价按照《环境影响评价</w:t>
      </w:r>
      <w:r>
        <w:rPr>
          <w:spacing w:val="-3"/>
          <w:sz w:val="28"/>
        </w:rPr>
        <w:t>技术导则》中的要求进行。</w:t>
      </w:r>
    </w:p>
    <w:sectPr>
      <w:pgSz w:w="11910" w:h="16840"/>
      <w:pgMar w:header="0" w:footer="970" w:top="1420" w:bottom="1160" w:left="1580" w:right="1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293.320007pt;margin-top:782.380005pt;width:8.6pt;height:11pt;mso-position-horizontal-relative:page;mso-position-vertical-relative:page;z-index:-253138944" type="#_x0000_t202" filled="false" stroked="false">
          <v:textbox inset="0,0,0,0">
            <w:txbxContent>
              <w:p>
                <w:pPr>
                  <w:spacing w:line="203" w:lineRule="exact" w:before="0"/>
                  <w:ind w:left="40" w:right="0" w:firstLine="0"/>
                  <w:jc w:val="left"/>
                  <w:rPr>
                    <w:rFonts w:ascii="Calibri"/>
                    <w:sz w:val="18"/>
                  </w:rPr>
                </w:pPr>
                <w:r>
                  <w:rPr/>
                  <w:fldChar w:fldCharType="begin"/>
                </w:r>
                <w:r>
                  <w:rPr>
                    <w:rFonts w:ascii="Calibri"/>
                    <w:sz w:val="18"/>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1.040009pt;margin-top:782.380005pt;width:13.15pt;height:11pt;mso-position-horizontal-relative:page;mso-position-vertical-relative:page;z-index:-253137920" type="#_x0000_t202" filled="false" stroked="false">
          <v:textbox inset="0,0,0,0">
            <w:txbxContent>
              <w:p>
                <w:pPr>
                  <w:spacing w:line="203" w:lineRule="exact" w:before="0"/>
                  <w:ind w:left="40" w:right="0" w:firstLine="0"/>
                  <w:jc w:val="left"/>
                  <w:rPr>
                    <w:rFonts w:ascii="Calibri"/>
                    <w:sz w:val="18"/>
                  </w:rPr>
                </w:pPr>
                <w:r>
                  <w:rPr/>
                  <w:fldChar w:fldCharType="begin"/>
                </w:r>
                <w:r>
                  <w:rPr>
                    <w:rFonts w:ascii="Calibri"/>
                    <w:sz w:val="18"/>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1.040009pt;margin-top:782.380005pt;width:13.15pt;height:11pt;mso-position-horizontal-relative:page;mso-position-vertical-relative:page;z-index:-253136896" type="#_x0000_t202" filled="false" stroked="false">
          <v:textbox inset="0,0,0,0">
            <w:txbxContent>
              <w:p>
                <w:pPr>
                  <w:spacing w:line="203" w:lineRule="exact" w:before="0"/>
                  <w:ind w:left="40" w:right="0" w:firstLine="0"/>
                  <w:jc w:val="left"/>
                  <w:rPr>
                    <w:rFonts w:ascii="Calibri"/>
                    <w:sz w:val="18"/>
                  </w:rPr>
                </w:pPr>
                <w:r>
                  <w:rPr/>
                  <w:fldChar w:fldCharType="begin"/>
                </w:r>
                <w:r>
                  <w:rPr>
                    <w:rFonts w:ascii="Calibri"/>
                    <w:sz w:val="18"/>
                  </w:rPr>
                  <w:instrText> PAGE </w:instrText>
                </w:r>
                <w:r>
                  <w:rPr/>
                  <w:fldChar w:fldCharType="separate"/>
                </w:r>
                <w:r>
                  <w:rPr/>
                  <w:t>20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
      <w:numFmt w:val="decimal"/>
      <w:lvlText w:val="（%1）"/>
      <w:lvlJc w:val="left"/>
      <w:pPr>
        <w:ind w:left="220"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1082" w:hanging="601"/>
      </w:pPr>
      <w:rPr>
        <w:rFonts w:hint="default"/>
        <w:lang w:val="zh-CN" w:eastAsia="zh-CN" w:bidi="zh-CN"/>
      </w:rPr>
    </w:lvl>
    <w:lvl w:ilvl="2">
      <w:start w:val="0"/>
      <w:numFmt w:val="bullet"/>
      <w:lvlText w:val="•"/>
      <w:lvlJc w:val="left"/>
      <w:pPr>
        <w:ind w:left="1945" w:hanging="601"/>
      </w:pPr>
      <w:rPr>
        <w:rFonts w:hint="default"/>
        <w:lang w:val="zh-CN" w:eastAsia="zh-CN" w:bidi="zh-CN"/>
      </w:rPr>
    </w:lvl>
    <w:lvl w:ilvl="3">
      <w:start w:val="0"/>
      <w:numFmt w:val="bullet"/>
      <w:lvlText w:val="•"/>
      <w:lvlJc w:val="left"/>
      <w:pPr>
        <w:ind w:left="2807" w:hanging="601"/>
      </w:pPr>
      <w:rPr>
        <w:rFonts w:hint="default"/>
        <w:lang w:val="zh-CN" w:eastAsia="zh-CN" w:bidi="zh-CN"/>
      </w:rPr>
    </w:lvl>
    <w:lvl w:ilvl="4">
      <w:start w:val="0"/>
      <w:numFmt w:val="bullet"/>
      <w:lvlText w:val="•"/>
      <w:lvlJc w:val="left"/>
      <w:pPr>
        <w:ind w:left="3670" w:hanging="601"/>
      </w:pPr>
      <w:rPr>
        <w:rFonts w:hint="default"/>
        <w:lang w:val="zh-CN" w:eastAsia="zh-CN" w:bidi="zh-CN"/>
      </w:rPr>
    </w:lvl>
    <w:lvl w:ilvl="5">
      <w:start w:val="0"/>
      <w:numFmt w:val="bullet"/>
      <w:lvlText w:val="•"/>
      <w:lvlJc w:val="left"/>
      <w:pPr>
        <w:ind w:left="4533" w:hanging="601"/>
      </w:pPr>
      <w:rPr>
        <w:rFonts w:hint="default"/>
        <w:lang w:val="zh-CN" w:eastAsia="zh-CN" w:bidi="zh-CN"/>
      </w:rPr>
    </w:lvl>
    <w:lvl w:ilvl="6">
      <w:start w:val="0"/>
      <w:numFmt w:val="bullet"/>
      <w:lvlText w:val="•"/>
      <w:lvlJc w:val="left"/>
      <w:pPr>
        <w:ind w:left="5395" w:hanging="601"/>
      </w:pPr>
      <w:rPr>
        <w:rFonts w:hint="default"/>
        <w:lang w:val="zh-CN" w:eastAsia="zh-CN" w:bidi="zh-CN"/>
      </w:rPr>
    </w:lvl>
    <w:lvl w:ilvl="7">
      <w:start w:val="0"/>
      <w:numFmt w:val="bullet"/>
      <w:lvlText w:val="•"/>
      <w:lvlJc w:val="left"/>
      <w:pPr>
        <w:ind w:left="6258" w:hanging="601"/>
      </w:pPr>
      <w:rPr>
        <w:rFonts w:hint="default"/>
        <w:lang w:val="zh-CN" w:eastAsia="zh-CN" w:bidi="zh-CN"/>
      </w:rPr>
    </w:lvl>
    <w:lvl w:ilvl="8">
      <w:start w:val="0"/>
      <w:numFmt w:val="bullet"/>
      <w:lvlText w:val="•"/>
      <w:lvlJc w:val="left"/>
      <w:pPr>
        <w:ind w:left="7120" w:hanging="601"/>
      </w:pPr>
      <w:rPr>
        <w:rFonts w:hint="default"/>
        <w:lang w:val="zh-CN" w:eastAsia="zh-CN" w:bidi="zh-CN"/>
      </w:rPr>
    </w:lvl>
  </w:abstractNum>
  <w:abstractNum w:abstractNumId="16">
    <w:multiLevelType w:val="hybridMultilevel"/>
    <w:lvl w:ilvl="0">
      <w:start w:val="1"/>
      <w:numFmt w:val="decimal"/>
      <w:lvlText w:val="（%1）"/>
      <w:lvlJc w:val="left"/>
      <w:pPr>
        <w:ind w:left="1301"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054" w:hanging="601"/>
      </w:pPr>
      <w:rPr>
        <w:rFonts w:hint="default"/>
        <w:lang w:val="zh-CN" w:eastAsia="zh-CN" w:bidi="zh-CN"/>
      </w:rPr>
    </w:lvl>
    <w:lvl w:ilvl="2">
      <w:start w:val="0"/>
      <w:numFmt w:val="bullet"/>
      <w:lvlText w:val="•"/>
      <w:lvlJc w:val="left"/>
      <w:pPr>
        <w:ind w:left="2809" w:hanging="601"/>
      </w:pPr>
      <w:rPr>
        <w:rFonts w:hint="default"/>
        <w:lang w:val="zh-CN" w:eastAsia="zh-CN" w:bidi="zh-CN"/>
      </w:rPr>
    </w:lvl>
    <w:lvl w:ilvl="3">
      <w:start w:val="0"/>
      <w:numFmt w:val="bullet"/>
      <w:lvlText w:val="•"/>
      <w:lvlJc w:val="left"/>
      <w:pPr>
        <w:ind w:left="3563" w:hanging="601"/>
      </w:pPr>
      <w:rPr>
        <w:rFonts w:hint="default"/>
        <w:lang w:val="zh-CN" w:eastAsia="zh-CN" w:bidi="zh-CN"/>
      </w:rPr>
    </w:lvl>
    <w:lvl w:ilvl="4">
      <w:start w:val="0"/>
      <w:numFmt w:val="bullet"/>
      <w:lvlText w:val="•"/>
      <w:lvlJc w:val="left"/>
      <w:pPr>
        <w:ind w:left="4318" w:hanging="601"/>
      </w:pPr>
      <w:rPr>
        <w:rFonts w:hint="default"/>
        <w:lang w:val="zh-CN" w:eastAsia="zh-CN" w:bidi="zh-CN"/>
      </w:rPr>
    </w:lvl>
    <w:lvl w:ilvl="5">
      <w:start w:val="0"/>
      <w:numFmt w:val="bullet"/>
      <w:lvlText w:val="•"/>
      <w:lvlJc w:val="left"/>
      <w:pPr>
        <w:ind w:left="5073" w:hanging="601"/>
      </w:pPr>
      <w:rPr>
        <w:rFonts w:hint="default"/>
        <w:lang w:val="zh-CN" w:eastAsia="zh-CN" w:bidi="zh-CN"/>
      </w:rPr>
    </w:lvl>
    <w:lvl w:ilvl="6">
      <w:start w:val="0"/>
      <w:numFmt w:val="bullet"/>
      <w:lvlText w:val="•"/>
      <w:lvlJc w:val="left"/>
      <w:pPr>
        <w:ind w:left="5827" w:hanging="601"/>
      </w:pPr>
      <w:rPr>
        <w:rFonts w:hint="default"/>
        <w:lang w:val="zh-CN" w:eastAsia="zh-CN" w:bidi="zh-CN"/>
      </w:rPr>
    </w:lvl>
    <w:lvl w:ilvl="7">
      <w:start w:val="0"/>
      <w:numFmt w:val="bullet"/>
      <w:lvlText w:val="•"/>
      <w:lvlJc w:val="left"/>
      <w:pPr>
        <w:ind w:left="6582" w:hanging="601"/>
      </w:pPr>
      <w:rPr>
        <w:rFonts w:hint="default"/>
        <w:lang w:val="zh-CN" w:eastAsia="zh-CN" w:bidi="zh-CN"/>
      </w:rPr>
    </w:lvl>
    <w:lvl w:ilvl="8">
      <w:start w:val="0"/>
      <w:numFmt w:val="bullet"/>
      <w:lvlText w:val="•"/>
      <w:lvlJc w:val="left"/>
      <w:pPr>
        <w:ind w:left="7336" w:hanging="601"/>
      </w:pPr>
      <w:rPr>
        <w:rFonts w:hint="default"/>
        <w:lang w:val="zh-CN" w:eastAsia="zh-CN" w:bidi="zh-CN"/>
      </w:rPr>
    </w:lvl>
  </w:abstractNum>
  <w:abstractNum w:abstractNumId="15">
    <w:multiLevelType w:val="hybridMultilevel"/>
    <w:lvl w:ilvl="0">
      <w:start w:val="7"/>
      <w:numFmt w:val="decimal"/>
      <w:lvlText w:val="%1"/>
      <w:lvlJc w:val="left"/>
      <w:pPr>
        <w:ind w:left="1420" w:hanging="720"/>
        <w:jc w:val="left"/>
      </w:pPr>
      <w:rPr>
        <w:rFonts w:hint="default"/>
        <w:lang w:val="zh-CN" w:eastAsia="zh-CN" w:bidi="zh-CN"/>
      </w:rPr>
    </w:lvl>
    <w:lvl w:ilvl="1">
      <w:start w:val="4"/>
      <w:numFmt w:val="decimal"/>
      <w:lvlText w:val="%1.%2"/>
      <w:lvlJc w:val="left"/>
      <w:pPr>
        <w:ind w:left="1420" w:hanging="720"/>
        <w:jc w:val="left"/>
      </w:pPr>
      <w:rPr>
        <w:rFonts w:hint="default"/>
        <w:lang w:val="zh-CN" w:eastAsia="zh-CN" w:bidi="zh-CN"/>
      </w:rPr>
    </w:lvl>
    <w:lvl w:ilvl="2">
      <w:start w:val="2"/>
      <w:numFmt w:val="decimal"/>
      <w:lvlText w:val="%1.%2.%3"/>
      <w:lvlJc w:val="left"/>
      <w:pPr>
        <w:ind w:left="1420" w:hanging="720"/>
        <w:jc w:val="left"/>
      </w:pPr>
      <w:rPr>
        <w:rFonts w:hint="default"/>
        <w:lang w:val="zh-CN" w:eastAsia="zh-CN" w:bidi="zh-CN"/>
      </w:rPr>
    </w:lvl>
    <w:lvl w:ilvl="3">
      <w:start w:val="1"/>
      <w:numFmt w:val="decimal"/>
      <w:lvlText w:val="%1.%2.%3.%4"/>
      <w:lvlJc w:val="left"/>
      <w:pPr>
        <w:ind w:left="1420" w:hanging="720"/>
        <w:jc w:val="left"/>
      </w:pPr>
      <w:rPr>
        <w:rFonts w:hint="default" w:ascii="Times New Roman" w:hAnsi="Times New Roman" w:eastAsia="Times New Roman" w:cs="Times New Roman"/>
        <w:b/>
        <w:bCs/>
        <w:w w:val="99"/>
        <w:sz w:val="24"/>
        <w:szCs w:val="24"/>
        <w:lang w:val="zh-CN" w:eastAsia="zh-CN" w:bidi="zh-CN"/>
      </w:rPr>
    </w:lvl>
    <w:lvl w:ilvl="4">
      <w:start w:val="0"/>
      <w:numFmt w:val="bullet"/>
      <w:lvlText w:val="•"/>
      <w:lvlJc w:val="left"/>
      <w:pPr>
        <w:ind w:left="4390" w:hanging="720"/>
      </w:pPr>
      <w:rPr>
        <w:rFonts w:hint="default"/>
        <w:lang w:val="zh-CN" w:eastAsia="zh-CN" w:bidi="zh-CN"/>
      </w:rPr>
    </w:lvl>
    <w:lvl w:ilvl="5">
      <w:start w:val="0"/>
      <w:numFmt w:val="bullet"/>
      <w:lvlText w:val="•"/>
      <w:lvlJc w:val="left"/>
      <w:pPr>
        <w:ind w:left="5133" w:hanging="720"/>
      </w:pPr>
      <w:rPr>
        <w:rFonts w:hint="default"/>
        <w:lang w:val="zh-CN" w:eastAsia="zh-CN" w:bidi="zh-CN"/>
      </w:rPr>
    </w:lvl>
    <w:lvl w:ilvl="6">
      <w:start w:val="0"/>
      <w:numFmt w:val="bullet"/>
      <w:lvlText w:val="•"/>
      <w:lvlJc w:val="left"/>
      <w:pPr>
        <w:ind w:left="5875" w:hanging="720"/>
      </w:pPr>
      <w:rPr>
        <w:rFonts w:hint="default"/>
        <w:lang w:val="zh-CN" w:eastAsia="zh-CN" w:bidi="zh-CN"/>
      </w:rPr>
    </w:lvl>
    <w:lvl w:ilvl="7">
      <w:start w:val="0"/>
      <w:numFmt w:val="bullet"/>
      <w:lvlText w:val="•"/>
      <w:lvlJc w:val="left"/>
      <w:pPr>
        <w:ind w:left="6618" w:hanging="720"/>
      </w:pPr>
      <w:rPr>
        <w:rFonts w:hint="default"/>
        <w:lang w:val="zh-CN" w:eastAsia="zh-CN" w:bidi="zh-CN"/>
      </w:rPr>
    </w:lvl>
    <w:lvl w:ilvl="8">
      <w:start w:val="0"/>
      <w:numFmt w:val="bullet"/>
      <w:lvlText w:val="•"/>
      <w:lvlJc w:val="left"/>
      <w:pPr>
        <w:ind w:left="7360" w:hanging="720"/>
      </w:pPr>
      <w:rPr>
        <w:rFonts w:hint="default"/>
        <w:lang w:val="zh-CN" w:eastAsia="zh-CN" w:bidi="zh-CN"/>
      </w:rPr>
    </w:lvl>
  </w:abstractNum>
  <w:abstractNum w:abstractNumId="14">
    <w:multiLevelType w:val="hybridMultilevel"/>
    <w:lvl w:ilvl="0">
      <w:start w:val="1"/>
      <w:numFmt w:val="decimal"/>
      <w:lvlText w:val="（%1）"/>
      <w:lvlJc w:val="left"/>
      <w:pPr>
        <w:ind w:left="220" w:hanging="601"/>
        <w:jc w:val="left"/>
      </w:pPr>
      <w:rPr>
        <w:rFonts w:hint="default" w:ascii="宋体" w:hAnsi="宋体" w:eastAsia="宋体" w:cs="宋体"/>
        <w:spacing w:val="-19"/>
        <w:w w:val="100"/>
        <w:sz w:val="22"/>
        <w:szCs w:val="22"/>
        <w:lang w:val="zh-CN" w:eastAsia="zh-CN" w:bidi="zh-CN"/>
      </w:rPr>
    </w:lvl>
    <w:lvl w:ilvl="1">
      <w:start w:val="0"/>
      <w:numFmt w:val="bullet"/>
      <w:lvlText w:val="•"/>
      <w:lvlJc w:val="left"/>
      <w:pPr>
        <w:ind w:left="1082" w:hanging="601"/>
      </w:pPr>
      <w:rPr>
        <w:rFonts w:hint="default"/>
        <w:lang w:val="zh-CN" w:eastAsia="zh-CN" w:bidi="zh-CN"/>
      </w:rPr>
    </w:lvl>
    <w:lvl w:ilvl="2">
      <w:start w:val="0"/>
      <w:numFmt w:val="bullet"/>
      <w:lvlText w:val="•"/>
      <w:lvlJc w:val="left"/>
      <w:pPr>
        <w:ind w:left="1945" w:hanging="601"/>
      </w:pPr>
      <w:rPr>
        <w:rFonts w:hint="default"/>
        <w:lang w:val="zh-CN" w:eastAsia="zh-CN" w:bidi="zh-CN"/>
      </w:rPr>
    </w:lvl>
    <w:lvl w:ilvl="3">
      <w:start w:val="0"/>
      <w:numFmt w:val="bullet"/>
      <w:lvlText w:val="•"/>
      <w:lvlJc w:val="left"/>
      <w:pPr>
        <w:ind w:left="2807" w:hanging="601"/>
      </w:pPr>
      <w:rPr>
        <w:rFonts w:hint="default"/>
        <w:lang w:val="zh-CN" w:eastAsia="zh-CN" w:bidi="zh-CN"/>
      </w:rPr>
    </w:lvl>
    <w:lvl w:ilvl="4">
      <w:start w:val="0"/>
      <w:numFmt w:val="bullet"/>
      <w:lvlText w:val="•"/>
      <w:lvlJc w:val="left"/>
      <w:pPr>
        <w:ind w:left="3670" w:hanging="601"/>
      </w:pPr>
      <w:rPr>
        <w:rFonts w:hint="default"/>
        <w:lang w:val="zh-CN" w:eastAsia="zh-CN" w:bidi="zh-CN"/>
      </w:rPr>
    </w:lvl>
    <w:lvl w:ilvl="5">
      <w:start w:val="0"/>
      <w:numFmt w:val="bullet"/>
      <w:lvlText w:val="•"/>
      <w:lvlJc w:val="left"/>
      <w:pPr>
        <w:ind w:left="4533" w:hanging="601"/>
      </w:pPr>
      <w:rPr>
        <w:rFonts w:hint="default"/>
        <w:lang w:val="zh-CN" w:eastAsia="zh-CN" w:bidi="zh-CN"/>
      </w:rPr>
    </w:lvl>
    <w:lvl w:ilvl="6">
      <w:start w:val="0"/>
      <w:numFmt w:val="bullet"/>
      <w:lvlText w:val="•"/>
      <w:lvlJc w:val="left"/>
      <w:pPr>
        <w:ind w:left="5395" w:hanging="601"/>
      </w:pPr>
      <w:rPr>
        <w:rFonts w:hint="default"/>
        <w:lang w:val="zh-CN" w:eastAsia="zh-CN" w:bidi="zh-CN"/>
      </w:rPr>
    </w:lvl>
    <w:lvl w:ilvl="7">
      <w:start w:val="0"/>
      <w:numFmt w:val="bullet"/>
      <w:lvlText w:val="•"/>
      <w:lvlJc w:val="left"/>
      <w:pPr>
        <w:ind w:left="6258" w:hanging="601"/>
      </w:pPr>
      <w:rPr>
        <w:rFonts w:hint="default"/>
        <w:lang w:val="zh-CN" w:eastAsia="zh-CN" w:bidi="zh-CN"/>
      </w:rPr>
    </w:lvl>
    <w:lvl w:ilvl="8">
      <w:start w:val="0"/>
      <w:numFmt w:val="bullet"/>
      <w:lvlText w:val="•"/>
      <w:lvlJc w:val="left"/>
      <w:pPr>
        <w:ind w:left="7120" w:hanging="601"/>
      </w:pPr>
      <w:rPr>
        <w:rFonts w:hint="default"/>
        <w:lang w:val="zh-CN" w:eastAsia="zh-CN" w:bidi="zh-CN"/>
      </w:rPr>
    </w:lvl>
  </w:abstractNum>
  <w:abstractNum w:abstractNumId="13">
    <w:multiLevelType w:val="hybridMultilevel"/>
    <w:lvl w:ilvl="0">
      <w:start w:val="7"/>
      <w:numFmt w:val="decimal"/>
      <w:lvlText w:val="%1"/>
      <w:lvlJc w:val="left"/>
      <w:pPr>
        <w:ind w:left="709" w:hanging="490"/>
        <w:jc w:val="left"/>
      </w:pPr>
      <w:rPr>
        <w:rFonts w:hint="default"/>
        <w:lang w:val="zh-CN" w:eastAsia="zh-CN" w:bidi="zh-CN"/>
      </w:rPr>
    </w:lvl>
    <w:lvl w:ilvl="1">
      <w:start w:val="3"/>
      <w:numFmt w:val="decimal"/>
      <w:lvlText w:val="%1.%2"/>
      <w:lvlJc w:val="left"/>
      <w:pPr>
        <w:ind w:left="709" w:hanging="490"/>
        <w:jc w:val="left"/>
      </w:pPr>
      <w:rPr>
        <w:rFonts w:hint="default"/>
        <w:b/>
        <w:bCs/>
        <w:spacing w:val="-1"/>
        <w:w w:val="100"/>
        <w:lang w:val="zh-CN" w:eastAsia="zh-CN" w:bidi="zh-CN"/>
      </w:rPr>
    </w:lvl>
    <w:lvl w:ilvl="2">
      <w:start w:val="1"/>
      <w:numFmt w:val="decimal"/>
      <w:lvlText w:val="%1.%2.%3"/>
      <w:lvlJc w:val="left"/>
      <w:pPr>
        <w:ind w:left="848" w:hanging="629"/>
        <w:jc w:val="left"/>
      </w:pPr>
      <w:rPr>
        <w:rFonts w:hint="default" w:ascii="Times New Roman" w:hAnsi="Times New Roman" w:eastAsia="Times New Roman" w:cs="Times New Roman"/>
        <w:b/>
        <w:bCs/>
        <w:spacing w:val="-2"/>
        <w:w w:val="100"/>
        <w:sz w:val="28"/>
        <w:szCs w:val="28"/>
        <w:lang w:val="zh-CN" w:eastAsia="zh-CN" w:bidi="zh-CN"/>
      </w:rPr>
    </w:lvl>
    <w:lvl w:ilvl="3">
      <w:start w:val="1"/>
      <w:numFmt w:val="decimal"/>
      <w:lvlText w:val="（%4）"/>
      <w:lvlJc w:val="left"/>
      <w:pPr>
        <w:ind w:left="220" w:hanging="601"/>
        <w:jc w:val="left"/>
      </w:pPr>
      <w:rPr>
        <w:rFonts w:hint="default" w:ascii="宋体" w:hAnsi="宋体" w:eastAsia="宋体" w:cs="宋体"/>
        <w:spacing w:val="-48"/>
        <w:w w:val="100"/>
        <w:sz w:val="22"/>
        <w:szCs w:val="22"/>
        <w:lang w:val="zh-CN" w:eastAsia="zh-CN" w:bidi="zh-CN"/>
      </w:rPr>
    </w:lvl>
    <w:lvl w:ilvl="4">
      <w:start w:val="0"/>
      <w:numFmt w:val="bullet"/>
      <w:lvlText w:val="•"/>
      <w:lvlJc w:val="left"/>
      <w:pPr>
        <w:ind w:left="2052" w:hanging="601"/>
      </w:pPr>
      <w:rPr>
        <w:rFonts w:hint="default"/>
        <w:lang w:val="zh-CN" w:eastAsia="zh-CN" w:bidi="zh-CN"/>
      </w:rPr>
    </w:lvl>
    <w:lvl w:ilvl="5">
      <w:start w:val="0"/>
      <w:numFmt w:val="bullet"/>
      <w:lvlText w:val="•"/>
      <w:lvlJc w:val="left"/>
      <w:pPr>
        <w:ind w:left="3184" w:hanging="601"/>
      </w:pPr>
      <w:rPr>
        <w:rFonts w:hint="default"/>
        <w:lang w:val="zh-CN" w:eastAsia="zh-CN" w:bidi="zh-CN"/>
      </w:rPr>
    </w:lvl>
    <w:lvl w:ilvl="6">
      <w:start w:val="0"/>
      <w:numFmt w:val="bullet"/>
      <w:lvlText w:val="•"/>
      <w:lvlJc w:val="left"/>
      <w:pPr>
        <w:ind w:left="4316" w:hanging="601"/>
      </w:pPr>
      <w:rPr>
        <w:rFonts w:hint="default"/>
        <w:lang w:val="zh-CN" w:eastAsia="zh-CN" w:bidi="zh-CN"/>
      </w:rPr>
    </w:lvl>
    <w:lvl w:ilvl="7">
      <w:start w:val="0"/>
      <w:numFmt w:val="bullet"/>
      <w:lvlText w:val="•"/>
      <w:lvlJc w:val="left"/>
      <w:pPr>
        <w:ind w:left="5449" w:hanging="601"/>
      </w:pPr>
      <w:rPr>
        <w:rFonts w:hint="default"/>
        <w:lang w:val="zh-CN" w:eastAsia="zh-CN" w:bidi="zh-CN"/>
      </w:rPr>
    </w:lvl>
    <w:lvl w:ilvl="8">
      <w:start w:val="0"/>
      <w:numFmt w:val="bullet"/>
      <w:lvlText w:val="•"/>
      <w:lvlJc w:val="left"/>
      <w:pPr>
        <w:ind w:left="6581" w:hanging="601"/>
      </w:pPr>
      <w:rPr>
        <w:rFonts w:hint="default"/>
        <w:lang w:val="zh-CN" w:eastAsia="zh-CN" w:bidi="zh-CN"/>
      </w:rPr>
    </w:lvl>
  </w:abstractNum>
  <w:abstractNum w:abstractNumId="12">
    <w:multiLevelType w:val="hybridMultilevel"/>
    <w:lvl w:ilvl="0">
      <w:start w:val="1"/>
      <w:numFmt w:val="decimal"/>
      <w:lvlText w:val="（%1）"/>
      <w:lvlJc w:val="left"/>
      <w:pPr>
        <w:ind w:left="220" w:hanging="601"/>
        <w:jc w:val="left"/>
      </w:pPr>
      <w:rPr>
        <w:rFonts w:hint="default" w:ascii="宋体" w:hAnsi="宋体" w:eastAsia="宋体" w:cs="宋体"/>
        <w:spacing w:val="-27"/>
        <w:w w:val="100"/>
        <w:sz w:val="22"/>
        <w:szCs w:val="22"/>
        <w:lang w:val="zh-CN" w:eastAsia="zh-CN" w:bidi="zh-CN"/>
      </w:rPr>
    </w:lvl>
    <w:lvl w:ilvl="1">
      <w:start w:val="0"/>
      <w:numFmt w:val="bullet"/>
      <w:lvlText w:val="•"/>
      <w:lvlJc w:val="left"/>
      <w:pPr>
        <w:ind w:left="1082" w:hanging="601"/>
      </w:pPr>
      <w:rPr>
        <w:rFonts w:hint="default"/>
        <w:lang w:val="zh-CN" w:eastAsia="zh-CN" w:bidi="zh-CN"/>
      </w:rPr>
    </w:lvl>
    <w:lvl w:ilvl="2">
      <w:start w:val="0"/>
      <w:numFmt w:val="bullet"/>
      <w:lvlText w:val="•"/>
      <w:lvlJc w:val="left"/>
      <w:pPr>
        <w:ind w:left="1945" w:hanging="601"/>
      </w:pPr>
      <w:rPr>
        <w:rFonts w:hint="default"/>
        <w:lang w:val="zh-CN" w:eastAsia="zh-CN" w:bidi="zh-CN"/>
      </w:rPr>
    </w:lvl>
    <w:lvl w:ilvl="3">
      <w:start w:val="0"/>
      <w:numFmt w:val="bullet"/>
      <w:lvlText w:val="•"/>
      <w:lvlJc w:val="left"/>
      <w:pPr>
        <w:ind w:left="2807" w:hanging="601"/>
      </w:pPr>
      <w:rPr>
        <w:rFonts w:hint="default"/>
        <w:lang w:val="zh-CN" w:eastAsia="zh-CN" w:bidi="zh-CN"/>
      </w:rPr>
    </w:lvl>
    <w:lvl w:ilvl="4">
      <w:start w:val="0"/>
      <w:numFmt w:val="bullet"/>
      <w:lvlText w:val="•"/>
      <w:lvlJc w:val="left"/>
      <w:pPr>
        <w:ind w:left="3670" w:hanging="601"/>
      </w:pPr>
      <w:rPr>
        <w:rFonts w:hint="default"/>
        <w:lang w:val="zh-CN" w:eastAsia="zh-CN" w:bidi="zh-CN"/>
      </w:rPr>
    </w:lvl>
    <w:lvl w:ilvl="5">
      <w:start w:val="0"/>
      <w:numFmt w:val="bullet"/>
      <w:lvlText w:val="•"/>
      <w:lvlJc w:val="left"/>
      <w:pPr>
        <w:ind w:left="4533" w:hanging="601"/>
      </w:pPr>
      <w:rPr>
        <w:rFonts w:hint="default"/>
        <w:lang w:val="zh-CN" w:eastAsia="zh-CN" w:bidi="zh-CN"/>
      </w:rPr>
    </w:lvl>
    <w:lvl w:ilvl="6">
      <w:start w:val="0"/>
      <w:numFmt w:val="bullet"/>
      <w:lvlText w:val="•"/>
      <w:lvlJc w:val="left"/>
      <w:pPr>
        <w:ind w:left="5395" w:hanging="601"/>
      </w:pPr>
      <w:rPr>
        <w:rFonts w:hint="default"/>
        <w:lang w:val="zh-CN" w:eastAsia="zh-CN" w:bidi="zh-CN"/>
      </w:rPr>
    </w:lvl>
    <w:lvl w:ilvl="7">
      <w:start w:val="0"/>
      <w:numFmt w:val="bullet"/>
      <w:lvlText w:val="•"/>
      <w:lvlJc w:val="left"/>
      <w:pPr>
        <w:ind w:left="6258" w:hanging="601"/>
      </w:pPr>
      <w:rPr>
        <w:rFonts w:hint="default"/>
        <w:lang w:val="zh-CN" w:eastAsia="zh-CN" w:bidi="zh-CN"/>
      </w:rPr>
    </w:lvl>
    <w:lvl w:ilvl="8">
      <w:start w:val="0"/>
      <w:numFmt w:val="bullet"/>
      <w:lvlText w:val="•"/>
      <w:lvlJc w:val="left"/>
      <w:pPr>
        <w:ind w:left="7120" w:hanging="601"/>
      </w:pPr>
      <w:rPr>
        <w:rFonts w:hint="default"/>
        <w:lang w:val="zh-CN" w:eastAsia="zh-CN" w:bidi="zh-CN"/>
      </w:rPr>
    </w:lvl>
  </w:abstractNum>
  <w:abstractNum w:abstractNumId="11">
    <w:multiLevelType w:val="hybridMultilevel"/>
    <w:lvl w:ilvl="0">
      <w:start w:val="7"/>
      <w:numFmt w:val="decimal"/>
      <w:lvlText w:val="%1"/>
      <w:lvlJc w:val="left"/>
      <w:pPr>
        <w:ind w:left="709" w:hanging="490"/>
        <w:jc w:val="left"/>
      </w:pPr>
      <w:rPr>
        <w:rFonts w:hint="default"/>
        <w:lang w:val="zh-CN" w:eastAsia="zh-CN" w:bidi="zh-CN"/>
      </w:rPr>
    </w:lvl>
    <w:lvl w:ilvl="1">
      <w:start w:val="2"/>
      <w:numFmt w:val="decimal"/>
      <w:lvlText w:val="%1.%2"/>
      <w:lvlJc w:val="left"/>
      <w:pPr>
        <w:ind w:left="709" w:hanging="490"/>
        <w:jc w:val="left"/>
      </w:pPr>
      <w:rPr>
        <w:rFonts w:hint="default" w:ascii="Times New Roman" w:hAnsi="Times New Roman" w:eastAsia="Times New Roman" w:cs="Times New Roman"/>
        <w:b/>
        <w:bCs/>
        <w:spacing w:val="-1"/>
        <w:w w:val="100"/>
        <w:sz w:val="28"/>
        <w:szCs w:val="28"/>
        <w:lang w:val="zh-CN" w:eastAsia="zh-CN" w:bidi="zh-CN"/>
      </w:rPr>
    </w:lvl>
    <w:lvl w:ilvl="2">
      <w:start w:val="1"/>
      <w:numFmt w:val="decimal"/>
      <w:lvlText w:val="%1.%2.%3"/>
      <w:lvlJc w:val="left"/>
      <w:pPr>
        <w:ind w:left="920" w:hanging="701"/>
        <w:jc w:val="left"/>
      </w:pPr>
      <w:rPr>
        <w:rFonts w:hint="default" w:ascii="Times New Roman" w:hAnsi="Times New Roman" w:eastAsia="Times New Roman" w:cs="Times New Roman"/>
        <w:b/>
        <w:bCs/>
        <w:spacing w:val="-2"/>
        <w:w w:val="100"/>
        <w:sz w:val="28"/>
        <w:szCs w:val="28"/>
        <w:lang w:val="zh-CN" w:eastAsia="zh-CN" w:bidi="zh-CN"/>
      </w:rPr>
    </w:lvl>
    <w:lvl w:ilvl="3">
      <w:start w:val="1"/>
      <w:numFmt w:val="decimal"/>
      <w:lvlText w:val="%1.%2.%3.%4"/>
      <w:lvlJc w:val="left"/>
      <w:pPr>
        <w:ind w:left="1480" w:hanging="780"/>
        <w:jc w:val="left"/>
      </w:pPr>
      <w:rPr>
        <w:rFonts w:hint="default" w:ascii="Times New Roman" w:hAnsi="Times New Roman" w:eastAsia="Times New Roman" w:cs="Times New Roman"/>
        <w:b/>
        <w:bCs/>
        <w:w w:val="99"/>
        <w:sz w:val="24"/>
        <w:szCs w:val="24"/>
        <w:lang w:val="zh-CN" w:eastAsia="zh-CN" w:bidi="zh-CN"/>
      </w:rPr>
    </w:lvl>
    <w:lvl w:ilvl="4">
      <w:start w:val="0"/>
      <w:numFmt w:val="bullet"/>
      <w:lvlText w:val="•"/>
      <w:lvlJc w:val="left"/>
      <w:pPr>
        <w:ind w:left="3321" w:hanging="780"/>
      </w:pPr>
      <w:rPr>
        <w:rFonts w:hint="default"/>
        <w:lang w:val="zh-CN" w:eastAsia="zh-CN" w:bidi="zh-CN"/>
      </w:rPr>
    </w:lvl>
    <w:lvl w:ilvl="5">
      <w:start w:val="0"/>
      <w:numFmt w:val="bullet"/>
      <w:lvlText w:val="•"/>
      <w:lvlJc w:val="left"/>
      <w:pPr>
        <w:ind w:left="4242" w:hanging="780"/>
      </w:pPr>
      <w:rPr>
        <w:rFonts w:hint="default"/>
        <w:lang w:val="zh-CN" w:eastAsia="zh-CN" w:bidi="zh-CN"/>
      </w:rPr>
    </w:lvl>
    <w:lvl w:ilvl="6">
      <w:start w:val="0"/>
      <w:numFmt w:val="bullet"/>
      <w:lvlText w:val="•"/>
      <w:lvlJc w:val="left"/>
      <w:pPr>
        <w:ind w:left="5163" w:hanging="780"/>
      </w:pPr>
      <w:rPr>
        <w:rFonts w:hint="default"/>
        <w:lang w:val="zh-CN" w:eastAsia="zh-CN" w:bidi="zh-CN"/>
      </w:rPr>
    </w:lvl>
    <w:lvl w:ilvl="7">
      <w:start w:val="0"/>
      <w:numFmt w:val="bullet"/>
      <w:lvlText w:val="•"/>
      <w:lvlJc w:val="left"/>
      <w:pPr>
        <w:ind w:left="6083" w:hanging="780"/>
      </w:pPr>
      <w:rPr>
        <w:rFonts w:hint="default"/>
        <w:lang w:val="zh-CN" w:eastAsia="zh-CN" w:bidi="zh-CN"/>
      </w:rPr>
    </w:lvl>
    <w:lvl w:ilvl="8">
      <w:start w:val="0"/>
      <w:numFmt w:val="bullet"/>
      <w:lvlText w:val="•"/>
      <w:lvlJc w:val="left"/>
      <w:pPr>
        <w:ind w:left="7004" w:hanging="780"/>
      </w:pPr>
      <w:rPr>
        <w:rFonts w:hint="default"/>
        <w:lang w:val="zh-CN" w:eastAsia="zh-CN" w:bidi="zh-CN"/>
      </w:rPr>
    </w:lvl>
  </w:abstractNum>
  <w:abstractNum w:abstractNumId="10">
    <w:multiLevelType w:val="hybridMultilevel"/>
    <w:lvl w:ilvl="0">
      <w:start w:val="1"/>
      <w:numFmt w:val="decimal"/>
      <w:lvlText w:val="（%1）"/>
      <w:lvlJc w:val="left"/>
      <w:pPr>
        <w:ind w:left="220"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1082" w:hanging="601"/>
      </w:pPr>
      <w:rPr>
        <w:rFonts w:hint="default"/>
        <w:lang w:val="zh-CN" w:eastAsia="zh-CN" w:bidi="zh-CN"/>
      </w:rPr>
    </w:lvl>
    <w:lvl w:ilvl="2">
      <w:start w:val="0"/>
      <w:numFmt w:val="bullet"/>
      <w:lvlText w:val="•"/>
      <w:lvlJc w:val="left"/>
      <w:pPr>
        <w:ind w:left="1945" w:hanging="601"/>
      </w:pPr>
      <w:rPr>
        <w:rFonts w:hint="default"/>
        <w:lang w:val="zh-CN" w:eastAsia="zh-CN" w:bidi="zh-CN"/>
      </w:rPr>
    </w:lvl>
    <w:lvl w:ilvl="3">
      <w:start w:val="0"/>
      <w:numFmt w:val="bullet"/>
      <w:lvlText w:val="•"/>
      <w:lvlJc w:val="left"/>
      <w:pPr>
        <w:ind w:left="2807" w:hanging="601"/>
      </w:pPr>
      <w:rPr>
        <w:rFonts w:hint="default"/>
        <w:lang w:val="zh-CN" w:eastAsia="zh-CN" w:bidi="zh-CN"/>
      </w:rPr>
    </w:lvl>
    <w:lvl w:ilvl="4">
      <w:start w:val="0"/>
      <w:numFmt w:val="bullet"/>
      <w:lvlText w:val="•"/>
      <w:lvlJc w:val="left"/>
      <w:pPr>
        <w:ind w:left="3670" w:hanging="601"/>
      </w:pPr>
      <w:rPr>
        <w:rFonts w:hint="default"/>
        <w:lang w:val="zh-CN" w:eastAsia="zh-CN" w:bidi="zh-CN"/>
      </w:rPr>
    </w:lvl>
    <w:lvl w:ilvl="5">
      <w:start w:val="0"/>
      <w:numFmt w:val="bullet"/>
      <w:lvlText w:val="•"/>
      <w:lvlJc w:val="left"/>
      <w:pPr>
        <w:ind w:left="4533" w:hanging="601"/>
      </w:pPr>
      <w:rPr>
        <w:rFonts w:hint="default"/>
        <w:lang w:val="zh-CN" w:eastAsia="zh-CN" w:bidi="zh-CN"/>
      </w:rPr>
    </w:lvl>
    <w:lvl w:ilvl="6">
      <w:start w:val="0"/>
      <w:numFmt w:val="bullet"/>
      <w:lvlText w:val="•"/>
      <w:lvlJc w:val="left"/>
      <w:pPr>
        <w:ind w:left="5395" w:hanging="601"/>
      </w:pPr>
      <w:rPr>
        <w:rFonts w:hint="default"/>
        <w:lang w:val="zh-CN" w:eastAsia="zh-CN" w:bidi="zh-CN"/>
      </w:rPr>
    </w:lvl>
    <w:lvl w:ilvl="7">
      <w:start w:val="0"/>
      <w:numFmt w:val="bullet"/>
      <w:lvlText w:val="•"/>
      <w:lvlJc w:val="left"/>
      <w:pPr>
        <w:ind w:left="6258" w:hanging="601"/>
      </w:pPr>
      <w:rPr>
        <w:rFonts w:hint="default"/>
        <w:lang w:val="zh-CN" w:eastAsia="zh-CN" w:bidi="zh-CN"/>
      </w:rPr>
    </w:lvl>
    <w:lvl w:ilvl="8">
      <w:start w:val="0"/>
      <w:numFmt w:val="bullet"/>
      <w:lvlText w:val="•"/>
      <w:lvlJc w:val="left"/>
      <w:pPr>
        <w:ind w:left="7120" w:hanging="601"/>
      </w:pPr>
      <w:rPr>
        <w:rFonts w:hint="default"/>
        <w:lang w:val="zh-CN" w:eastAsia="zh-CN" w:bidi="zh-CN"/>
      </w:rPr>
    </w:lvl>
  </w:abstractNum>
  <w:abstractNum w:abstractNumId="9">
    <w:multiLevelType w:val="hybridMultilevel"/>
    <w:lvl w:ilvl="0">
      <w:start w:val="6"/>
      <w:numFmt w:val="decimal"/>
      <w:lvlText w:val="%1"/>
      <w:lvlJc w:val="left"/>
      <w:pPr>
        <w:ind w:left="920" w:hanging="701"/>
        <w:jc w:val="left"/>
      </w:pPr>
      <w:rPr>
        <w:rFonts w:hint="default"/>
        <w:lang w:val="zh-CN" w:eastAsia="zh-CN" w:bidi="zh-CN"/>
      </w:rPr>
    </w:lvl>
    <w:lvl w:ilvl="1">
      <w:start w:val="2"/>
      <w:numFmt w:val="decimal"/>
      <w:lvlText w:val="%1.%2"/>
      <w:lvlJc w:val="left"/>
      <w:pPr>
        <w:ind w:left="920" w:hanging="701"/>
        <w:jc w:val="left"/>
      </w:pPr>
      <w:rPr>
        <w:rFonts w:hint="default"/>
        <w:lang w:val="zh-CN" w:eastAsia="zh-CN" w:bidi="zh-CN"/>
      </w:rPr>
    </w:lvl>
    <w:lvl w:ilvl="2">
      <w:start w:val="1"/>
      <w:numFmt w:val="decimal"/>
      <w:lvlText w:val="%1.%2.%3"/>
      <w:lvlJc w:val="left"/>
      <w:pPr>
        <w:ind w:left="920" w:hanging="701"/>
        <w:jc w:val="left"/>
      </w:pPr>
      <w:rPr>
        <w:rFonts w:hint="default" w:ascii="Times New Roman" w:hAnsi="Times New Roman" w:eastAsia="Times New Roman" w:cs="Times New Roman"/>
        <w:b/>
        <w:bCs/>
        <w:spacing w:val="-2"/>
        <w:w w:val="100"/>
        <w:sz w:val="28"/>
        <w:szCs w:val="28"/>
        <w:lang w:val="zh-CN" w:eastAsia="zh-CN" w:bidi="zh-CN"/>
      </w:rPr>
    </w:lvl>
    <w:lvl w:ilvl="3">
      <w:start w:val="0"/>
      <w:numFmt w:val="bullet"/>
      <w:lvlText w:val="•"/>
      <w:lvlJc w:val="left"/>
      <w:pPr>
        <w:ind w:left="3297" w:hanging="701"/>
      </w:pPr>
      <w:rPr>
        <w:rFonts w:hint="default"/>
        <w:lang w:val="zh-CN" w:eastAsia="zh-CN" w:bidi="zh-CN"/>
      </w:rPr>
    </w:lvl>
    <w:lvl w:ilvl="4">
      <w:start w:val="0"/>
      <w:numFmt w:val="bullet"/>
      <w:lvlText w:val="•"/>
      <w:lvlJc w:val="left"/>
      <w:pPr>
        <w:ind w:left="4090" w:hanging="701"/>
      </w:pPr>
      <w:rPr>
        <w:rFonts w:hint="default"/>
        <w:lang w:val="zh-CN" w:eastAsia="zh-CN" w:bidi="zh-CN"/>
      </w:rPr>
    </w:lvl>
    <w:lvl w:ilvl="5">
      <w:start w:val="0"/>
      <w:numFmt w:val="bullet"/>
      <w:lvlText w:val="•"/>
      <w:lvlJc w:val="left"/>
      <w:pPr>
        <w:ind w:left="4883" w:hanging="701"/>
      </w:pPr>
      <w:rPr>
        <w:rFonts w:hint="default"/>
        <w:lang w:val="zh-CN" w:eastAsia="zh-CN" w:bidi="zh-CN"/>
      </w:rPr>
    </w:lvl>
    <w:lvl w:ilvl="6">
      <w:start w:val="0"/>
      <w:numFmt w:val="bullet"/>
      <w:lvlText w:val="•"/>
      <w:lvlJc w:val="left"/>
      <w:pPr>
        <w:ind w:left="5675" w:hanging="701"/>
      </w:pPr>
      <w:rPr>
        <w:rFonts w:hint="default"/>
        <w:lang w:val="zh-CN" w:eastAsia="zh-CN" w:bidi="zh-CN"/>
      </w:rPr>
    </w:lvl>
    <w:lvl w:ilvl="7">
      <w:start w:val="0"/>
      <w:numFmt w:val="bullet"/>
      <w:lvlText w:val="•"/>
      <w:lvlJc w:val="left"/>
      <w:pPr>
        <w:ind w:left="6468" w:hanging="701"/>
      </w:pPr>
      <w:rPr>
        <w:rFonts w:hint="default"/>
        <w:lang w:val="zh-CN" w:eastAsia="zh-CN" w:bidi="zh-CN"/>
      </w:rPr>
    </w:lvl>
    <w:lvl w:ilvl="8">
      <w:start w:val="0"/>
      <w:numFmt w:val="bullet"/>
      <w:lvlText w:val="•"/>
      <w:lvlJc w:val="left"/>
      <w:pPr>
        <w:ind w:left="7260" w:hanging="701"/>
      </w:pPr>
      <w:rPr>
        <w:rFonts w:hint="default"/>
        <w:lang w:val="zh-CN" w:eastAsia="zh-CN" w:bidi="zh-CN"/>
      </w:rPr>
    </w:lvl>
  </w:abstractNum>
  <w:abstractNum w:abstractNumId="8">
    <w:multiLevelType w:val="hybridMultilevel"/>
    <w:lvl w:ilvl="0">
      <w:start w:val="6"/>
      <w:numFmt w:val="decimal"/>
      <w:lvlText w:val="%1"/>
      <w:lvlJc w:val="left"/>
      <w:pPr>
        <w:ind w:left="920" w:hanging="701"/>
        <w:jc w:val="left"/>
      </w:pPr>
      <w:rPr>
        <w:rFonts w:hint="default"/>
        <w:lang w:val="zh-CN" w:eastAsia="zh-CN" w:bidi="zh-CN"/>
      </w:rPr>
    </w:lvl>
    <w:lvl w:ilvl="1">
      <w:start w:val="1"/>
      <w:numFmt w:val="decimal"/>
      <w:lvlText w:val="%1.%2"/>
      <w:lvlJc w:val="left"/>
      <w:pPr>
        <w:ind w:left="920" w:hanging="701"/>
        <w:jc w:val="left"/>
      </w:pPr>
      <w:rPr>
        <w:rFonts w:hint="default"/>
        <w:lang w:val="zh-CN" w:eastAsia="zh-CN" w:bidi="zh-CN"/>
      </w:rPr>
    </w:lvl>
    <w:lvl w:ilvl="2">
      <w:start w:val="1"/>
      <w:numFmt w:val="decimal"/>
      <w:lvlText w:val="%1.%2.%3"/>
      <w:lvlJc w:val="left"/>
      <w:pPr>
        <w:ind w:left="920" w:hanging="701"/>
        <w:jc w:val="left"/>
      </w:pPr>
      <w:rPr>
        <w:rFonts w:hint="default" w:ascii="Times New Roman" w:hAnsi="Times New Roman" w:eastAsia="Times New Roman" w:cs="Times New Roman"/>
        <w:b/>
        <w:bCs/>
        <w:spacing w:val="-2"/>
        <w:w w:val="100"/>
        <w:sz w:val="28"/>
        <w:szCs w:val="28"/>
        <w:lang w:val="zh-CN" w:eastAsia="zh-CN" w:bidi="zh-CN"/>
      </w:rPr>
    </w:lvl>
    <w:lvl w:ilvl="3">
      <w:start w:val="1"/>
      <w:numFmt w:val="decimal"/>
      <w:lvlText w:val="%1.%2.%3.%4"/>
      <w:lvlJc w:val="left"/>
      <w:pPr>
        <w:ind w:left="1480" w:hanging="780"/>
        <w:jc w:val="left"/>
      </w:pPr>
      <w:rPr>
        <w:rFonts w:hint="default" w:ascii="Times New Roman" w:hAnsi="Times New Roman" w:eastAsia="Times New Roman" w:cs="Times New Roman"/>
        <w:b/>
        <w:bCs/>
        <w:w w:val="99"/>
        <w:sz w:val="24"/>
        <w:szCs w:val="24"/>
        <w:lang w:val="zh-CN" w:eastAsia="zh-CN" w:bidi="zh-CN"/>
      </w:rPr>
    </w:lvl>
    <w:lvl w:ilvl="4">
      <w:start w:val="0"/>
      <w:numFmt w:val="bullet"/>
      <w:lvlText w:val="•"/>
      <w:lvlJc w:val="left"/>
      <w:pPr>
        <w:ind w:left="3935" w:hanging="780"/>
      </w:pPr>
      <w:rPr>
        <w:rFonts w:hint="default"/>
        <w:lang w:val="zh-CN" w:eastAsia="zh-CN" w:bidi="zh-CN"/>
      </w:rPr>
    </w:lvl>
    <w:lvl w:ilvl="5">
      <w:start w:val="0"/>
      <w:numFmt w:val="bullet"/>
      <w:lvlText w:val="•"/>
      <w:lvlJc w:val="left"/>
      <w:pPr>
        <w:ind w:left="4753" w:hanging="780"/>
      </w:pPr>
      <w:rPr>
        <w:rFonts w:hint="default"/>
        <w:lang w:val="zh-CN" w:eastAsia="zh-CN" w:bidi="zh-CN"/>
      </w:rPr>
    </w:lvl>
    <w:lvl w:ilvl="6">
      <w:start w:val="0"/>
      <w:numFmt w:val="bullet"/>
      <w:lvlText w:val="•"/>
      <w:lvlJc w:val="left"/>
      <w:pPr>
        <w:ind w:left="5572" w:hanging="780"/>
      </w:pPr>
      <w:rPr>
        <w:rFonts w:hint="default"/>
        <w:lang w:val="zh-CN" w:eastAsia="zh-CN" w:bidi="zh-CN"/>
      </w:rPr>
    </w:lvl>
    <w:lvl w:ilvl="7">
      <w:start w:val="0"/>
      <w:numFmt w:val="bullet"/>
      <w:lvlText w:val="•"/>
      <w:lvlJc w:val="left"/>
      <w:pPr>
        <w:ind w:left="6390" w:hanging="780"/>
      </w:pPr>
      <w:rPr>
        <w:rFonts w:hint="default"/>
        <w:lang w:val="zh-CN" w:eastAsia="zh-CN" w:bidi="zh-CN"/>
      </w:rPr>
    </w:lvl>
    <w:lvl w:ilvl="8">
      <w:start w:val="0"/>
      <w:numFmt w:val="bullet"/>
      <w:lvlText w:val="•"/>
      <w:lvlJc w:val="left"/>
      <w:pPr>
        <w:ind w:left="7209" w:hanging="780"/>
      </w:pPr>
      <w:rPr>
        <w:rFonts w:hint="default"/>
        <w:lang w:val="zh-CN" w:eastAsia="zh-CN" w:bidi="zh-CN"/>
      </w:rPr>
    </w:lvl>
  </w:abstractNum>
  <w:abstractNum w:abstractNumId="7">
    <w:multiLevelType w:val="hybridMultilevel"/>
    <w:lvl w:ilvl="0">
      <w:start w:val="5"/>
      <w:numFmt w:val="decimal"/>
      <w:lvlText w:val="%1"/>
      <w:lvlJc w:val="left"/>
      <w:pPr>
        <w:ind w:left="920" w:hanging="701"/>
        <w:jc w:val="left"/>
      </w:pPr>
      <w:rPr>
        <w:rFonts w:hint="default"/>
        <w:lang w:val="zh-CN" w:eastAsia="zh-CN" w:bidi="zh-CN"/>
      </w:rPr>
    </w:lvl>
    <w:lvl w:ilvl="1">
      <w:start w:val="1"/>
      <w:numFmt w:val="decimal"/>
      <w:lvlText w:val="%1.%2"/>
      <w:lvlJc w:val="left"/>
      <w:pPr>
        <w:ind w:left="920" w:hanging="701"/>
        <w:jc w:val="left"/>
      </w:pPr>
      <w:rPr>
        <w:rFonts w:hint="default"/>
        <w:lang w:val="zh-CN" w:eastAsia="zh-CN" w:bidi="zh-CN"/>
      </w:rPr>
    </w:lvl>
    <w:lvl w:ilvl="2">
      <w:start w:val="1"/>
      <w:numFmt w:val="decimal"/>
      <w:lvlText w:val="%1.%2.%3"/>
      <w:lvlJc w:val="left"/>
      <w:pPr>
        <w:ind w:left="920" w:hanging="701"/>
        <w:jc w:val="left"/>
      </w:pPr>
      <w:rPr>
        <w:rFonts w:hint="default" w:ascii="Times New Roman" w:hAnsi="Times New Roman" w:eastAsia="Times New Roman" w:cs="Times New Roman"/>
        <w:b/>
        <w:bCs/>
        <w:spacing w:val="-2"/>
        <w:w w:val="100"/>
        <w:sz w:val="28"/>
        <w:szCs w:val="28"/>
        <w:lang w:val="zh-CN" w:eastAsia="zh-CN" w:bidi="zh-CN"/>
      </w:rPr>
    </w:lvl>
    <w:lvl w:ilvl="3">
      <w:start w:val="0"/>
      <w:numFmt w:val="bullet"/>
      <w:lvlText w:val="•"/>
      <w:lvlJc w:val="left"/>
      <w:pPr>
        <w:ind w:left="3297" w:hanging="701"/>
      </w:pPr>
      <w:rPr>
        <w:rFonts w:hint="default"/>
        <w:lang w:val="zh-CN" w:eastAsia="zh-CN" w:bidi="zh-CN"/>
      </w:rPr>
    </w:lvl>
    <w:lvl w:ilvl="4">
      <w:start w:val="0"/>
      <w:numFmt w:val="bullet"/>
      <w:lvlText w:val="•"/>
      <w:lvlJc w:val="left"/>
      <w:pPr>
        <w:ind w:left="4090" w:hanging="701"/>
      </w:pPr>
      <w:rPr>
        <w:rFonts w:hint="default"/>
        <w:lang w:val="zh-CN" w:eastAsia="zh-CN" w:bidi="zh-CN"/>
      </w:rPr>
    </w:lvl>
    <w:lvl w:ilvl="5">
      <w:start w:val="0"/>
      <w:numFmt w:val="bullet"/>
      <w:lvlText w:val="•"/>
      <w:lvlJc w:val="left"/>
      <w:pPr>
        <w:ind w:left="4883" w:hanging="701"/>
      </w:pPr>
      <w:rPr>
        <w:rFonts w:hint="default"/>
        <w:lang w:val="zh-CN" w:eastAsia="zh-CN" w:bidi="zh-CN"/>
      </w:rPr>
    </w:lvl>
    <w:lvl w:ilvl="6">
      <w:start w:val="0"/>
      <w:numFmt w:val="bullet"/>
      <w:lvlText w:val="•"/>
      <w:lvlJc w:val="left"/>
      <w:pPr>
        <w:ind w:left="5675" w:hanging="701"/>
      </w:pPr>
      <w:rPr>
        <w:rFonts w:hint="default"/>
        <w:lang w:val="zh-CN" w:eastAsia="zh-CN" w:bidi="zh-CN"/>
      </w:rPr>
    </w:lvl>
    <w:lvl w:ilvl="7">
      <w:start w:val="0"/>
      <w:numFmt w:val="bullet"/>
      <w:lvlText w:val="•"/>
      <w:lvlJc w:val="left"/>
      <w:pPr>
        <w:ind w:left="6468" w:hanging="701"/>
      </w:pPr>
      <w:rPr>
        <w:rFonts w:hint="default"/>
        <w:lang w:val="zh-CN" w:eastAsia="zh-CN" w:bidi="zh-CN"/>
      </w:rPr>
    </w:lvl>
    <w:lvl w:ilvl="8">
      <w:start w:val="0"/>
      <w:numFmt w:val="bullet"/>
      <w:lvlText w:val="•"/>
      <w:lvlJc w:val="left"/>
      <w:pPr>
        <w:ind w:left="7260" w:hanging="701"/>
      </w:pPr>
      <w:rPr>
        <w:rFonts w:hint="default"/>
        <w:lang w:val="zh-CN" w:eastAsia="zh-CN" w:bidi="zh-CN"/>
      </w:rPr>
    </w:lvl>
  </w:abstractNum>
  <w:abstractNum w:abstractNumId="6">
    <w:multiLevelType w:val="hybridMultilevel"/>
    <w:lvl w:ilvl="0">
      <w:start w:val="3"/>
      <w:numFmt w:val="decimal"/>
      <w:lvlText w:val="%1"/>
      <w:lvlJc w:val="left"/>
      <w:pPr>
        <w:ind w:left="920" w:hanging="701"/>
        <w:jc w:val="left"/>
      </w:pPr>
      <w:rPr>
        <w:rFonts w:hint="default"/>
        <w:lang w:val="zh-CN" w:eastAsia="zh-CN" w:bidi="zh-CN"/>
      </w:rPr>
    </w:lvl>
    <w:lvl w:ilvl="1">
      <w:start w:val="3"/>
      <w:numFmt w:val="decimal"/>
      <w:lvlText w:val="%1.%2"/>
      <w:lvlJc w:val="left"/>
      <w:pPr>
        <w:ind w:left="920" w:hanging="701"/>
        <w:jc w:val="left"/>
      </w:pPr>
      <w:rPr>
        <w:rFonts w:hint="default"/>
        <w:lang w:val="zh-CN" w:eastAsia="zh-CN" w:bidi="zh-CN"/>
      </w:rPr>
    </w:lvl>
    <w:lvl w:ilvl="2">
      <w:start w:val="1"/>
      <w:numFmt w:val="decimal"/>
      <w:lvlText w:val="%1.%2.%3"/>
      <w:lvlJc w:val="left"/>
      <w:pPr>
        <w:ind w:left="920" w:hanging="701"/>
        <w:jc w:val="left"/>
      </w:pPr>
      <w:rPr>
        <w:rFonts w:hint="default" w:ascii="Times New Roman" w:hAnsi="Times New Roman" w:eastAsia="Times New Roman" w:cs="Times New Roman"/>
        <w:b/>
        <w:bCs/>
        <w:spacing w:val="-2"/>
        <w:w w:val="100"/>
        <w:sz w:val="28"/>
        <w:szCs w:val="28"/>
        <w:lang w:val="zh-CN" w:eastAsia="zh-CN" w:bidi="zh-CN"/>
      </w:rPr>
    </w:lvl>
    <w:lvl w:ilvl="3">
      <w:start w:val="1"/>
      <w:numFmt w:val="decimal"/>
      <w:lvlText w:val="（%4）"/>
      <w:lvlJc w:val="left"/>
      <w:pPr>
        <w:ind w:left="220" w:hanging="601"/>
        <w:jc w:val="left"/>
      </w:pPr>
      <w:rPr>
        <w:rFonts w:hint="default" w:ascii="宋体" w:hAnsi="宋体" w:eastAsia="宋体" w:cs="宋体"/>
        <w:w w:val="100"/>
        <w:sz w:val="22"/>
        <w:szCs w:val="22"/>
        <w:lang w:val="zh-CN" w:eastAsia="zh-CN" w:bidi="zh-CN"/>
      </w:rPr>
    </w:lvl>
    <w:lvl w:ilvl="4">
      <w:start w:val="0"/>
      <w:numFmt w:val="bullet"/>
      <w:lvlText w:val="•"/>
      <w:lvlJc w:val="left"/>
      <w:pPr>
        <w:ind w:left="3562" w:hanging="601"/>
      </w:pPr>
      <w:rPr>
        <w:rFonts w:hint="default"/>
        <w:lang w:val="zh-CN" w:eastAsia="zh-CN" w:bidi="zh-CN"/>
      </w:rPr>
    </w:lvl>
    <w:lvl w:ilvl="5">
      <w:start w:val="0"/>
      <w:numFmt w:val="bullet"/>
      <w:lvlText w:val="•"/>
      <w:lvlJc w:val="left"/>
      <w:pPr>
        <w:ind w:left="4442" w:hanging="601"/>
      </w:pPr>
      <w:rPr>
        <w:rFonts w:hint="default"/>
        <w:lang w:val="zh-CN" w:eastAsia="zh-CN" w:bidi="zh-CN"/>
      </w:rPr>
    </w:lvl>
    <w:lvl w:ilvl="6">
      <w:start w:val="0"/>
      <w:numFmt w:val="bullet"/>
      <w:lvlText w:val="•"/>
      <w:lvlJc w:val="left"/>
      <w:pPr>
        <w:ind w:left="5323" w:hanging="601"/>
      </w:pPr>
      <w:rPr>
        <w:rFonts w:hint="default"/>
        <w:lang w:val="zh-CN" w:eastAsia="zh-CN" w:bidi="zh-CN"/>
      </w:rPr>
    </w:lvl>
    <w:lvl w:ilvl="7">
      <w:start w:val="0"/>
      <w:numFmt w:val="bullet"/>
      <w:lvlText w:val="•"/>
      <w:lvlJc w:val="left"/>
      <w:pPr>
        <w:ind w:left="6204" w:hanging="601"/>
      </w:pPr>
      <w:rPr>
        <w:rFonts w:hint="default"/>
        <w:lang w:val="zh-CN" w:eastAsia="zh-CN" w:bidi="zh-CN"/>
      </w:rPr>
    </w:lvl>
    <w:lvl w:ilvl="8">
      <w:start w:val="0"/>
      <w:numFmt w:val="bullet"/>
      <w:lvlText w:val="•"/>
      <w:lvlJc w:val="left"/>
      <w:pPr>
        <w:ind w:left="7084" w:hanging="601"/>
      </w:pPr>
      <w:rPr>
        <w:rFonts w:hint="default"/>
        <w:lang w:val="zh-CN" w:eastAsia="zh-CN" w:bidi="zh-CN"/>
      </w:rPr>
    </w:lvl>
  </w:abstractNum>
  <w:abstractNum w:abstractNumId="5">
    <w:multiLevelType w:val="hybridMultilevel"/>
    <w:lvl w:ilvl="0">
      <w:start w:val="1"/>
      <w:numFmt w:val="decimal"/>
      <w:lvlText w:val="（%1）"/>
      <w:lvlJc w:val="left"/>
      <w:pPr>
        <w:ind w:left="1301" w:hanging="601"/>
        <w:jc w:val="left"/>
      </w:pPr>
      <w:rPr>
        <w:rFonts w:hint="default" w:ascii="宋体" w:hAnsi="宋体" w:eastAsia="宋体" w:cs="宋体"/>
        <w:spacing w:val="-3"/>
        <w:w w:val="100"/>
        <w:sz w:val="22"/>
        <w:szCs w:val="22"/>
        <w:lang w:val="zh-CN" w:eastAsia="zh-CN" w:bidi="zh-CN"/>
      </w:rPr>
    </w:lvl>
    <w:lvl w:ilvl="1">
      <w:start w:val="0"/>
      <w:numFmt w:val="bullet"/>
      <w:lvlText w:val="•"/>
      <w:lvlJc w:val="left"/>
      <w:pPr>
        <w:ind w:left="2054" w:hanging="601"/>
      </w:pPr>
      <w:rPr>
        <w:rFonts w:hint="default"/>
        <w:lang w:val="zh-CN" w:eastAsia="zh-CN" w:bidi="zh-CN"/>
      </w:rPr>
    </w:lvl>
    <w:lvl w:ilvl="2">
      <w:start w:val="0"/>
      <w:numFmt w:val="bullet"/>
      <w:lvlText w:val="•"/>
      <w:lvlJc w:val="left"/>
      <w:pPr>
        <w:ind w:left="2809" w:hanging="601"/>
      </w:pPr>
      <w:rPr>
        <w:rFonts w:hint="default"/>
        <w:lang w:val="zh-CN" w:eastAsia="zh-CN" w:bidi="zh-CN"/>
      </w:rPr>
    </w:lvl>
    <w:lvl w:ilvl="3">
      <w:start w:val="0"/>
      <w:numFmt w:val="bullet"/>
      <w:lvlText w:val="•"/>
      <w:lvlJc w:val="left"/>
      <w:pPr>
        <w:ind w:left="3563" w:hanging="601"/>
      </w:pPr>
      <w:rPr>
        <w:rFonts w:hint="default"/>
        <w:lang w:val="zh-CN" w:eastAsia="zh-CN" w:bidi="zh-CN"/>
      </w:rPr>
    </w:lvl>
    <w:lvl w:ilvl="4">
      <w:start w:val="0"/>
      <w:numFmt w:val="bullet"/>
      <w:lvlText w:val="•"/>
      <w:lvlJc w:val="left"/>
      <w:pPr>
        <w:ind w:left="4318" w:hanging="601"/>
      </w:pPr>
      <w:rPr>
        <w:rFonts w:hint="default"/>
        <w:lang w:val="zh-CN" w:eastAsia="zh-CN" w:bidi="zh-CN"/>
      </w:rPr>
    </w:lvl>
    <w:lvl w:ilvl="5">
      <w:start w:val="0"/>
      <w:numFmt w:val="bullet"/>
      <w:lvlText w:val="•"/>
      <w:lvlJc w:val="left"/>
      <w:pPr>
        <w:ind w:left="5073" w:hanging="601"/>
      </w:pPr>
      <w:rPr>
        <w:rFonts w:hint="default"/>
        <w:lang w:val="zh-CN" w:eastAsia="zh-CN" w:bidi="zh-CN"/>
      </w:rPr>
    </w:lvl>
    <w:lvl w:ilvl="6">
      <w:start w:val="0"/>
      <w:numFmt w:val="bullet"/>
      <w:lvlText w:val="•"/>
      <w:lvlJc w:val="left"/>
      <w:pPr>
        <w:ind w:left="5827" w:hanging="601"/>
      </w:pPr>
      <w:rPr>
        <w:rFonts w:hint="default"/>
        <w:lang w:val="zh-CN" w:eastAsia="zh-CN" w:bidi="zh-CN"/>
      </w:rPr>
    </w:lvl>
    <w:lvl w:ilvl="7">
      <w:start w:val="0"/>
      <w:numFmt w:val="bullet"/>
      <w:lvlText w:val="•"/>
      <w:lvlJc w:val="left"/>
      <w:pPr>
        <w:ind w:left="6582" w:hanging="601"/>
      </w:pPr>
      <w:rPr>
        <w:rFonts w:hint="default"/>
        <w:lang w:val="zh-CN" w:eastAsia="zh-CN" w:bidi="zh-CN"/>
      </w:rPr>
    </w:lvl>
    <w:lvl w:ilvl="8">
      <w:start w:val="0"/>
      <w:numFmt w:val="bullet"/>
      <w:lvlText w:val="•"/>
      <w:lvlJc w:val="left"/>
      <w:pPr>
        <w:ind w:left="7336" w:hanging="601"/>
      </w:pPr>
      <w:rPr>
        <w:rFonts w:hint="default"/>
        <w:lang w:val="zh-CN" w:eastAsia="zh-CN" w:bidi="zh-CN"/>
      </w:rPr>
    </w:lvl>
  </w:abstractNum>
  <w:abstractNum w:abstractNumId="4">
    <w:multiLevelType w:val="hybridMultilevel"/>
    <w:lvl w:ilvl="0">
      <w:start w:val="1"/>
      <w:numFmt w:val="decimal"/>
      <w:lvlText w:val="（%1）"/>
      <w:lvlJc w:val="left"/>
      <w:pPr>
        <w:ind w:left="1301"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054" w:hanging="601"/>
      </w:pPr>
      <w:rPr>
        <w:rFonts w:hint="default"/>
        <w:lang w:val="zh-CN" w:eastAsia="zh-CN" w:bidi="zh-CN"/>
      </w:rPr>
    </w:lvl>
    <w:lvl w:ilvl="2">
      <w:start w:val="0"/>
      <w:numFmt w:val="bullet"/>
      <w:lvlText w:val="•"/>
      <w:lvlJc w:val="left"/>
      <w:pPr>
        <w:ind w:left="2809" w:hanging="601"/>
      </w:pPr>
      <w:rPr>
        <w:rFonts w:hint="default"/>
        <w:lang w:val="zh-CN" w:eastAsia="zh-CN" w:bidi="zh-CN"/>
      </w:rPr>
    </w:lvl>
    <w:lvl w:ilvl="3">
      <w:start w:val="0"/>
      <w:numFmt w:val="bullet"/>
      <w:lvlText w:val="•"/>
      <w:lvlJc w:val="left"/>
      <w:pPr>
        <w:ind w:left="3563" w:hanging="601"/>
      </w:pPr>
      <w:rPr>
        <w:rFonts w:hint="default"/>
        <w:lang w:val="zh-CN" w:eastAsia="zh-CN" w:bidi="zh-CN"/>
      </w:rPr>
    </w:lvl>
    <w:lvl w:ilvl="4">
      <w:start w:val="0"/>
      <w:numFmt w:val="bullet"/>
      <w:lvlText w:val="•"/>
      <w:lvlJc w:val="left"/>
      <w:pPr>
        <w:ind w:left="4318" w:hanging="601"/>
      </w:pPr>
      <w:rPr>
        <w:rFonts w:hint="default"/>
        <w:lang w:val="zh-CN" w:eastAsia="zh-CN" w:bidi="zh-CN"/>
      </w:rPr>
    </w:lvl>
    <w:lvl w:ilvl="5">
      <w:start w:val="0"/>
      <w:numFmt w:val="bullet"/>
      <w:lvlText w:val="•"/>
      <w:lvlJc w:val="left"/>
      <w:pPr>
        <w:ind w:left="5073" w:hanging="601"/>
      </w:pPr>
      <w:rPr>
        <w:rFonts w:hint="default"/>
        <w:lang w:val="zh-CN" w:eastAsia="zh-CN" w:bidi="zh-CN"/>
      </w:rPr>
    </w:lvl>
    <w:lvl w:ilvl="6">
      <w:start w:val="0"/>
      <w:numFmt w:val="bullet"/>
      <w:lvlText w:val="•"/>
      <w:lvlJc w:val="left"/>
      <w:pPr>
        <w:ind w:left="5827" w:hanging="601"/>
      </w:pPr>
      <w:rPr>
        <w:rFonts w:hint="default"/>
        <w:lang w:val="zh-CN" w:eastAsia="zh-CN" w:bidi="zh-CN"/>
      </w:rPr>
    </w:lvl>
    <w:lvl w:ilvl="7">
      <w:start w:val="0"/>
      <w:numFmt w:val="bullet"/>
      <w:lvlText w:val="•"/>
      <w:lvlJc w:val="left"/>
      <w:pPr>
        <w:ind w:left="6582" w:hanging="601"/>
      </w:pPr>
      <w:rPr>
        <w:rFonts w:hint="default"/>
        <w:lang w:val="zh-CN" w:eastAsia="zh-CN" w:bidi="zh-CN"/>
      </w:rPr>
    </w:lvl>
    <w:lvl w:ilvl="8">
      <w:start w:val="0"/>
      <w:numFmt w:val="bullet"/>
      <w:lvlText w:val="•"/>
      <w:lvlJc w:val="left"/>
      <w:pPr>
        <w:ind w:left="7336" w:hanging="601"/>
      </w:pPr>
      <w:rPr>
        <w:rFonts w:hint="default"/>
        <w:lang w:val="zh-CN" w:eastAsia="zh-CN" w:bidi="zh-CN"/>
      </w:rPr>
    </w:lvl>
  </w:abstractNum>
  <w:abstractNum w:abstractNumId="3">
    <w:multiLevelType w:val="hybridMultilevel"/>
    <w:lvl w:ilvl="0">
      <w:start w:val="1"/>
      <w:numFmt w:val="decimal"/>
      <w:lvlText w:val="（%1）"/>
      <w:lvlJc w:val="left"/>
      <w:pPr>
        <w:ind w:left="1301" w:hanging="601"/>
        <w:jc w:val="left"/>
      </w:pPr>
      <w:rPr>
        <w:rFonts w:hint="default" w:ascii="宋体" w:hAnsi="宋体" w:eastAsia="宋体" w:cs="宋体"/>
        <w:spacing w:val="-60"/>
        <w:w w:val="100"/>
        <w:sz w:val="22"/>
        <w:szCs w:val="22"/>
        <w:lang w:val="zh-CN" w:eastAsia="zh-CN" w:bidi="zh-CN"/>
      </w:rPr>
    </w:lvl>
    <w:lvl w:ilvl="1">
      <w:start w:val="0"/>
      <w:numFmt w:val="bullet"/>
      <w:lvlText w:val="•"/>
      <w:lvlJc w:val="left"/>
      <w:pPr>
        <w:ind w:left="2054" w:hanging="601"/>
      </w:pPr>
      <w:rPr>
        <w:rFonts w:hint="default"/>
        <w:lang w:val="zh-CN" w:eastAsia="zh-CN" w:bidi="zh-CN"/>
      </w:rPr>
    </w:lvl>
    <w:lvl w:ilvl="2">
      <w:start w:val="0"/>
      <w:numFmt w:val="bullet"/>
      <w:lvlText w:val="•"/>
      <w:lvlJc w:val="left"/>
      <w:pPr>
        <w:ind w:left="2809" w:hanging="601"/>
      </w:pPr>
      <w:rPr>
        <w:rFonts w:hint="default"/>
        <w:lang w:val="zh-CN" w:eastAsia="zh-CN" w:bidi="zh-CN"/>
      </w:rPr>
    </w:lvl>
    <w:lvl w:ilvl="3">
      <w:start w:val="0"/>
      <w:numFmt w:val="bullet"/>
      <w:lvlText w:val="•"/>
      <w:lvlJc w:val="left"/>
      <w:pPr>
        <w:ind w:left="3563" w:hanging="601"/>
      </w:pPr>
      <w:rPr>
        <w:rFonts w:hint="default"/>
        <w:lang w:val="zh-CN" w:eastAsia="zh-CN" w:bidi="zh-CN"/>
      </w:rPr>
    </w:lvl>
    <w:lvl w:ilvl="4">
      <w:start w:val="0"/>
      <w:numFmt w:val="bullet"/>
      <w:lvlText w:val="•"/>
      <w:lvlJc w:val="left"/>
      <w:pPr>
        <w:ind w:left="4318" w:hanging="601"/>
      </w:pPr>
      <w:rPr>
        <w:rFonts w:hint="default"/>
        <w:lang w:val="zh-CN" w:eastAsia="zh-CN" w:bidi="zh-CN"/>
      </w:rPr>
    </w:lvl>
    <w:lvl w:ilvl="5">
      <w:start w:val="0"/>
      <w:numFmt w:val="bullet"/>
      <w:lvlText w:val="•"/>
      <w:lvlJc w:val="left"/>
      <w:pPr>
        <w:ind w:left="5073" w:hanging="601"/>
      </w:pPr>
      <w:rPr>
        <w:rFonts w:hint="default"/>
        <w:lang w:val="zh-CN" w:eastAsia="zh-CN" w:bidi="zh-CN"/>
      </w:rPr>
    </w:lvl>
    <w:lvl w:ilvl="6">
      <w:start w:val="0"/>
      <w:numFmt w:val="bullet"/>
      <w:lvlText w:val="•"/>
      <w:lvlJc w:val="left"/>
      <w:pPr>
        <w:ind w:left="5827" w:hanging="601"/>
      </w:pPr>
      <w:rPr>
        <w:rFonts w:hint="default"/>
        <w:lang w:val="zh-CN" w:eastAsia="zh-CN" w:bidi="zh-CN"/>
      </w:rPr>
    </w:lvl>
    <w:lvl w:ilvl="7">
      <w:start w:val="0"/>
      <w:numFmt w:val="bullet"/>
      <w:lvlText w:val="•"/>
      <w:lvlJc w:val="left"/>
      <w:pPr>
        <w:ind w:left="6582" w:hanging="601"/>
      </w:pPr>
      <w:rPr>
        <w:rFonts w:hint="default"/>
        <w:lang w:val="zh-CN" w:eastAsia="zh-CN" w:bidi="zh-CN"/>
      </w:rPr>
    </w:lvl>
    <w:lvl w:ilvl="8">
      <w:start w:val="0"/>
      <w:numFmt w:val="bullet"/>
      <w:lvlText w:val="•"/>
      <w:lvlJc w:val="left"/>
      <w:pPr>
        <w:ind w:left="7336" w:hanging="601"/>
      </w:pPr>
      <w:rPr>
        <w:rFonts w:hint="default"/>
        <w:lang w:val="zh-CN" w:eastAsia="zh-CN" w:bidi="zh-CN"/>
      </w:rPr>
    </w:lvl>
  </w:abstractNum>
  <w:abstractNum w:abstractNumId="2">
    <w:multiLevelType w:val="hybridMultilevel"/>
    <w:lvl w:ilvl="0">
      <w:start w:val="1"/>
      <w:numFmt w:val="decimal"/>
      <w:lvlText w:val="%1"/>
      <w:lvlJc w:val="left"/>
      <w:pPr>
        <w:ind w:left="920" w:hanging="701"/>
        <w:jc w:val="left"/>
      </w:pPr>
      <w:rPr>
        <w:rFonts w:hint="default"/>
        <w:lang w:val="zh-CN" w:eastAsia="zh-CN" w:bidi="zh-CN"/>
      </w:rPr>
    </w:lvl>
    <w:lvl w:ilvl="1">
      <w:start w:val="2"/>
      <w:numFmt w:val="decimal"/>
      <w:lvlText w:val="%1.%2"/>
      <w:lvlJc w:val="left"/>
      <w:pPr>
        <w:ind w:left="920" w:hanging="701"/>
        <w:jc w:val="left"/>
      </w:pPr>
      <w:rPr>
        <w:rFonts w:hint="default"/>
        <w:lang w:val="zh-CN" w:eastAsia="zh-CN" w:bidi="zh-CN"/>
      </w:rPr>
    </w:lvl>
    <w:lvl w:ilvl="2">
      <w:start w:val="1"/>
      <w:numFmt w:val="decimal"/>
      <w:lvlText w:val="%1.%2.%3"/>
      <w:lvlJc w:val="left"/>
      <w:pPr>
        <w:ind w:left="920" w:hanging="701"/>
        <w:jc w:val="left"/>
      </w:pPr>
      <w:rPr>
        <w:rFonts w:hint="default" w:ascii="Times New Roman" w:hAnsi="Times New Roman" w:eastAsia="Times New Roman" w:cs="Times New Roman"/>
        <w:b/>
        <w:bCs/>
        <w:spacing w:val="-2"/>
        <w:w w:val="100"/>
        <w:sz w:val="28"/>
        <w:szCs w:val="28"/>
        <w:lang w:val="zh-CN" w:eastAsia="zh-CN" w:bidi="zh-CN"/>
      </w:rPr>
    </w:lvl>
    <w:lvl w:ilvl="3">
      <w:start w:val="1"/>
      <w:numFmt w:val="decimal"/>
      <w:lvlText w:val="（%4）"/>
      <w:lvlJc w:val="left"/>
      <w:pPr>
        <w:ind w:left="1301" w:hanging="601"/>
        <w:jc w:val="left"/>
      </w:pPr>
      <w:rPr>
        <w:rFonts w:hint="default" w:ascii="宋体" w:hAnsi="宋体" w:eastAsia="宋体" w:cs="宋体"/>
        <w:spacing w:val="-60"/>
        <w:w w:val="100"/>
        <w:sz w:val="22"/>
        <w:szCs w:val="22"/>
        <w:lang w:val="zh-CN" w:eastAsia="zh-CN" w:bidi="zh-CN"/>
      </w:rPr>
    </w:lvl>
    <w:lvl w:ilvl="4">
      <w:start w:val="0"/>
      <w:numFmt w:val="bullet"/>
      <w:lvlText w:val="•"/>
      <w:lvlJc w:val="left"/>
      <w:pPr>
        <w:ind w:left="3815" w:hanging="601"/>
      </w:pPr>
      <w:rPr>
        <w:rFonts w:hint="default"/>
        <w:lang w:val="zh-CN" w:eastAsia="zh-CN" w:bidi="zh-CN"/>
      </w:rPr>
    </w:lvl>
    <w:lvl w:ilvl="5">
      <w:start w:val="0"/>
      <w:numFmt w:val="bullet"/>
      <w:lvlText w:val="•"/>
      <w:lvlJc w:val="left"/>
      <w:pPr>
        <w:ind w:left="4653" w:hanging="601"/>
      </w:pPr>
      <w:rPr>
        <w:rFonts w:hint="default"/>
        <w:lang w:val="zh-CN" w:eastAsia="zh-CN" w:bidi="zh-CN"/>
      </w:rPr>
    </w:lvl>
    <w:lvl w:ilvl="6">
      <w:start w:val="0"/>
      <w:numFmt w:val="bullet"/>
      <w:lvlText w:val="•"/>
      <w:lvlJc w:val="left"/>
      <w:pPr>
        <w:ind w:left="5492" w:hanging="601"/>
      </w:pPr>
      <w:rPr>
        <w:rFonts w:hint="default"/>
        <w:lang w:val="zh-CN" w:eastAsia="zh-CN" w:bidi="zh-CN"/>
      </w:rPr>
    </w:lvl>
    <w:lvl w:ilvl="7">
      <w:start w:val="0"/>
      <w:numFmt w:val="bullet"/>
      <w:lvlText w:val="•"/>
      <w:lvlJc w:val="left"/>
      <w:pPr>
        <w:ind w:left="6330" w:hanging="601"/>
      </w:pPr>
      <w:rPr>
        <w:rFonts w:hint="default"/>
        <w:lang w:val="zh-CN" w:eastAsia="zh-CN" w:bidi="zh-CN"/>
      </w:rPr>
    </w:lvl>
    <w:lvl w:ilvl="8">
      <w:start w:val="0"/>
      <w:numFmt w:val="bullet"/>
      <w:lvlText w:val="•"/>
      <w:lvlJc w:val="left"/>
      <w:pPr>
        <w:ind w:left="7169" w:hanging="601"/>
      </w:pPr>
      <w:rPr>
        <w:rFonts w:hint="default"/>
        <w:lang w:val="zh-CN" w:eastAsia="zh-CN" w:bidi="zh-CN"/>
      </w:rPr>
    </w:lvl>
  </w:abstractNum>
  <w:abstractNum w:abstractNumId="1">
    <w:multiLevelType w:val="hybridMultilevel"/>
    <w:lvl w:ilvl="0">
      <w:start w:val="1"/>
      <w:numFmt w:val="decimal"/>
      <w:lvlText w:val="%1"/>
      <w:lvlJc w:val="left"/>
      <w:pPr>
        <w:ind w:left="520" w:hanging="300"/>
        <w:jc w:val="left"/>
      </w:pPr>
      <w:rPr>
        <w:rFonts w:hint="default"/>
        <w:b/>
        <w:bCs/>
        <w:w w:val="99"/>
        <w:lang w:val="zh-CN" w:eastAsia="zh-CN" w:bidi="zh-CN"/>
      </w:rPr>
    </w:lvl>
    <w:lvl w:ilvl="1">
      <w:start w:val="1"/>
      <w:numFmt w:val="decimal"/>
      <w:lvlText w:val="%1.%2"/>
      <w:lvlJc w:val="left"/>
      <w:pPr>
        <w:ind w:left="709" w:hanging="490"/>
        <w:jc w:val="left"/>
      </w:pPr>
      <w:rPr>
        <w:rFonts w:hint="default" w:ascii="Times New Roman" w:hAnsi="Times New Roman" w:eastAsia="Times New Roman" w:cs="Times New Roman"/>
        <w:b/>
        <w:bCs/>
        <w:spacing w:val="-1"/>
        <w:w w:val="100"/>
        <w:sz w:val="28"/>
        <w:szCs w:val="28"/>
        <w:lang w:val="zh-CN" w:eastAsia="zh-CN" w:bidi="zh-CN"/>
      </w:rPr>
    </w:lvl>
    <w:lvl w:ilvl="2">
      <w:start w:val="1"/>
      <w:numFmt w:val="decimal"/>
      <w:lvlText w:val="（%3）"/>
      <w:lvlJc w:val="left"/>
      <w:pPr>
        <w:ind w:left="220" w:hanging="601"/>
        <w:jc w:val="left"/>
      </w:pPr>
      <w:rPr>
        <w:rFonts w:hint="default" w:ascii="宋体" w:hAnsi="宋体" w:eastAsia="宋体" w:cs="宋体"/>
        <w:w w:val="100"/>
        <w:sz w:val="22"/>
        <w:szCs w:val="22"/>
        <w:lang w:val="zh-CN" w:eastAsia="zh-CN" w:bidi="zh-CN"/>
      </w:rPr>
    </w:lvl>
    <w:lvl w:ilvl="3">
      <w:start w:val="0"/>
      <w:numFmt w:val="bullet"/>
      <w:lvlText w:val="•"/>
      <w:lvlJc w:val="left"/>
      <w:pPr>
        <w:ind w:left="1718" w:hanging="601"/>
      </w:pPr>
      <w:rPr>
        <w:rFonts w:hint="default"/>
        <w:lang w:val="zh-CN" w:eastAsia="zh-CN" w:bidi="zh-CN"/>
      </w:rPr>
    </w:lvl>
    <w:lvl w:ilvl="4">
      <w:start w:val="0"/>
      <w:numFmt w:val="bullet"/>
      <w:lvlText w:val="•"/>
      <w:lvlJc w:val="left"/>
      <w:pPr>
        <w:ind w:left="2736" w:hanging="601"/>
      </w:pPr>
      <w:rPr>
        <w:rFonts w:hint="default"/>
        <w:lang w:val="zh-CN" w:eastAsia="zh-CN" w:bidi="zh-CN"/>
      </w:rPr>
    </w:lvl>
    <w:lvl w:ilvl="5">
      <w:start w:val="0"/>
      <w:numFmt w:val="bullet"/>
      <w:lvlText w:val="•"/>
      <w:lvlJc w:val="left"/>
      <w:pPr>
        <w:ind w:left="3754" w:hanging="601"/>
      </w:pPr>
      <w:rPr>
        <w:rFonts w:hint="default"/>
        <w:lang w:val="zh-CN" w:eastAsia="zh-CN" w:bidi="zh-CN"/>
      </w:rPr>
    </w:lvl>
    <w:lvl w:ilvl="6">
      <w:start w:val="0"/>
      <w:numFmt w:val="bullet"/>
      <w:lvlText w:val="•"/>
      <w:lvlJc w:val="left"/>
      <w:pPr>
        <w:ind w:left="4773" w:hanging="601"/>
      </w:pPr>
      <w:rPr>
        <w:rFonts w:hint="default"/>
        <w:lang w:val="zh-CN" w:eastAsia="zh-CN" w:bidi="zh-CN"/>
      </w:rPr>
    </w:lvl>
    <w:lvl w:ilvl="7">
      <w:start w:val="0"/>
      <w:numFmt w:val="bullet"/>
      <w:lvlText w:val="•"/>
      <w:lvlJc w:val="left"/>
      <w:pPr>
        <w:ind w:left="5791" w:hanging="601"/>
      </w:pPr>
      <w:rPr>
        <w:rFonts w:hint="default"/>
        <w:lang w:val="zh-CN" w:eastAsia="zh-CN" w:bidi="zh-CN"/>
      </w:rPr>
    </w:lvl>
    <w:lvl w:ilvl="8">
      <w:start w:val="0"/>
      <w:numFmt w:val="bullet"/>
      <w:lvlText w:val="•"/>
      <w:lvlJc w:val="left"/>
      <w:pPr>
        <w:ind w:left="6809" w:hanging="601"/>
      </w:pPr>
      <w:rPr>
        <w:rFonts w:hint="default"/>
        <w:lang w:val="zh-CN" w:eastAsia="zh-CN" w:bidi="zh-CN"/>
      </w:rPr>
    </w:lvl>
  </w:abstractNum>
  <w:abstractNum w:abstractNumId="0">
    <w:multiLevelType w:val="hybridMultilevel"/>
    <w:lvl w:ilvl="0">
      <w:start w:val="1"/>
      <w:numFmt w:val="decimal"/>
      <w:lvlText w:val="%1"/>
      <w:lvlJc w:val="left"/>
      <w:pPr>
        <w:ind w:left="460" w:hanging="240"/>
        <w:jc w:val="left"/>
      </w:pPr>
      <w:rPr>
        <w:rFonts w:hint="default" w:ascii="Times New Roman" w:hAnsi="Times New Roman" w:eastAsia="Times New Roman" w:cs="Times New Roman"/>
        <w:b/>
        <w:bCs/>
        <w:w w:val="99"/>
        <w:sz w:val="24"/>
        <w:szCs w:val="24"/>
        <w:lang w:val="zh-CN" w:eastAsia="zh-CN" w:bidi="zh-CN"/>
      </w:rPr>
    </w:lvl>
    <w:lvl w:ilvl="1">
      <w:start w:val="1"/>
      <w:numFmt w:val="decimal"/>
      <w:lvlText w:val="%1.%2"/>
      <w:lvlJc w:val="left"/>
      <w:pPr>
        <w:ind w:left="1060" w:hanging="420"/>
        <w:jc w:val="left"/>
      </w:pPr>
      <w:rPr>
        <w:rFonts w:hint="default" w:ascii="Times New Roman" w:hAnsi="Times New Roman" w:eastAsia="Times New Roman" w:cs="Times New Roman"/>
        <w:w w:val="100"/>
        <w:sz w:val="24"/>
        <w:szCs w:val="24"/>
        <w:lang w:val="zh-CN" w:eastAsia="zh-CN" w:bidi="zh-CN"/>
      </w:rPr>
    </w:lvl>
    <w:lvl w:ilvl="2">
      <w:start w:val="0"/>
      <w:numFmt w:val="bullet"/>
      <w:lvlText w:val="•"/>
      <w:lvlJc w:val="left"/>
      <w:pPr>
        <w:ind w:left="1925" w:hanging="420"/>
      </w:pPr>
      <w:rPr>
        <w:rFonts w:hint="default"/>
        <w:lang w:val="zh-CN" w:eastAsia="zh-CN" w:bidi="zh-CN"/>
      </w:rPr>
    </w:lvl>
    <w:lvl w:ilvl="3">
      <w:start w:val="0"/>
      <w:numFmt w:val="bullet"/>
      <w:lvlText w:val="•"/>
      <w:lvlJc w:val="left"/>
      <w:pPr>
        <w:ind w:left="2790" w:hanging="420"/>
      </w:pPr>
      <w:rPr>
        <w:rFonts w:hint="default"/>
        <w:lang w:val="zh-CN" w:eastAsia="zh-CN" w:bidi="zh-CN"/>
      </w:rPr>
    </w:lvl>
    <w:lvl w:ilvl="4">
      <w:start w:val="0"/>
      <w:numFmt w:val="bullet"/>
      <w:lvlText w:val="•"/>
      <w:lvlJc w:val="left"/>
      <w:pPr>
        <w:ind w:left="3655" w:hanging="420"/>
      </w:pPr>
      <w:rPr>
        <w:rFonts w:hint="default"/>
        <w:lang w:val="zh-CN" w:eastAsia="zh-CN" w:bidi="zh-CN"/>
      </w:rPr>
    </w:lvl>
    <w:lvl w:ilvl="5">
      <w:start w:val="0"/>
      <w:numFmt w:val="bullet"/>
      <w:lvlText w:val="•"/>
      <w:lvlJc w:val="left"/>
      <w:pPr>
        <w:ind w:left="4520" w:hanging="420"/>
      </w:pPr>
      <w:rPr>
        <w:rFonts w:hint="default"/>
        <w:lang w:val="zh-CN" w:eastAsia="zh-CN" w:bidi="zh-CN"/>
      </w:rPr>
    </w:lvl>
    <w:lvl w:ilvl="6">
      <w:start w:val="0"/>
      <w:numFmt w:val="bullet"/>
      <w:lvlText w:val="•"/>
      <w:lvlJc w:val="left"/>
      <w:pPr>
        <w:ind w:left="5385" w:hanging="420"/>
      </w:pPr>
      <w:rPr>
        <w:rFonts w:hint="default"/>
        <w:lang w:val="zh-CN" w:eastAsia="zh-CN" w:bidi="zh-CN"/>
      </w:rPr>
    </w:lvl>
    <w:lvl w:ilvl="7">
      <w:start w:val="0"/>
      <w:numFmt w:val="bullet"/>
      <w:lvlText w:val="•"/>
      <w:lvlJc w:val="left"/>
      <w:pPr>
        <w:ind w:left="6250" w:hanging="420"/>
      </w:pPr>
      <w:rPr>
        <w:rFonts w:hint="default"/>
        <w:lang w:val="zh-CN" w:eastAsia="zh-CN" w:bidi="zh-CN"/>
      </w:rPr>
    </w:lvl>
    <w:lvl w:ilvl="8">
      <w:start w:val="0"/>
      <w:numFmt w:val="bullet"/>
      <w:lvlText w:val="•"/>
      <w:lvlJc w:val="left"/>
      <w:pPr>
        <w:ind w:left="7115" w:hanging="420"/>
      </w:pPr>
      <w:rPr>
        <w:rFonts w:hint="default"/>
        <w:lang w:val="zh-CN" w:eastAsia="zh-CN" w:bidi="zh-CN"/>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TOC1" w:type="paragraph">
    <w:name w:val="TOC 1"/>
    <w:basedOn w:val="Normal"/>
    <w:uiPriority w:val="1"/>
    <w:qFormat/>
    <w:pPr>
      <w:spacing w:before="316"/>
      <w:ind w:left="460" w:right="317" w:hanging="460"/>
      <w:jc w:val="right"/>
    </w:pPr>
    <w:rPr>
      <w:rFonts w:ascii="宋体" w:hAnsi="宋体" w:eastAsia="宋体" w:cs="宋体"/>
      <w:b/>
      <w:bCs/>
      <w:sz w:val="24"/>
      <w:szCs w:val="24"/>
      <w:lang w:val="zh-CN" w:eastAsia="zh-CN" w:bidi="zh-CN"/>
    </w:rPr>
  </w:style>
  <w:style w:styleId="TOC2" w:type="paragraph">
    <w:name w:val="TOC 2"/>
    <w:basedOn w:val="Normal"/>
    <w:uiPriority w:val="1"/>
    <w:qFormat/>
    <w:pPr>
      <w:spacing w:before="316"/>
      <w:ind w:left="1060" w:right="317" w:hanging="1060"/>
      <w:jc w:val="right"/>
    </w:pPr>
    <w:rPr>
      <w:rFonts w:ascii="宋体" w:hAnsi="宋体" w:eastAsia="宋体" w:cs="宋体"/>
      <w:sz w:val="24"/>
      <w:szCs w:val="24"/>
      <w:lang w:val="zh-CN" w:eastAsia="zh-CN" w:bidi="zh-CN"/>
    </w:rPr>
  </w:style>
  <w:style w:styleId="BodyText" w:type="paragraph">
    <w:name w:val="Body Text"/>
    <w:basedOn w:val="Normal"/>
    <w:uiPriority w:val="1"/>
    <w:qFormat/>
    <w:pPr>
      <w:ind w:left="220"/>
    </w:pPr>
    <w:rPr>
      <w:rFonts w:ascii="宋体" w:hAnsi="宋体" w:eastAsia="宋体" w:cs="宋体"/>
      <w:sz w:val="24"/>
      <w:szCs w:val="24"/>
      <w:lang w:val="zh-CN" w:eastAsia="zh-CN" w:bidi="zh-CN"/>
    </w:rPr>
  </w:style>
  <w:style w:styleId="Heading1" w:type="paragraph">
    <w:name w:val="Heading 1"/>
    <w:basedOn w:val="Normal"/>
    <w:uiPriority w:val="1"/>
    <w:qFormat/>
    <w:pPr>
      <w:spacing w:before="29"/>
      <w:ind w:left="539" w:hanging="320"/>
      <w:outlineLvl w:val="1"/>
    </w:pPr>
    <w:rPr>
      <w:rFonts w:ascii="宋体" w:hAnsi="宋体" w:eastAsia="宋体" w:cs="宋体"/>
      <w:b/>
      <w:bCs/>
      <w:sz w:val="32"/>
      <w:szCs w:val="32"/>
      <w:lang w:val="zh-CN" w:eastAsia="zh-CN" w:bidi="zh-CN"/>
    </w:rPr>
  </w:style>
  <w:style w:styleId="Heading2" w:type="paragraph">
    <w:name w:val="Heading 2"/>
    <w:basedOn w:val="Normal"/>
    <w:uiPriority w:val="1"/>
    <w:qFormat/>
    <w:pPr>
      <w:spacing w:before="201"/>
      <w:ind w:left="520" w:hanging="300"/>
      <w:outlineLvl w:val="2"/>
    </w:pPr>
    <w:rPr>
      <w:rFonts w:ascii="宋体" w:hAnsi="宋体" w:eastAsia="宋体" w:cs="宋体"/>
      <w:b/>
      <w:bCs/>
      <w:sz w:val="30"/>
      <w:szCs w:val="30"/>
      <w:lang w:val="zh-CN" w:eastAsia="zh-CN" w:bidi="zh-CN"/>
    </w:rPr>
  </w:style>
  <w:style w:styleId="Heading3" w:type="paragraph">
    <w:name w:val="Heading 3"/>
    <w:basedOn w:val="Normal"/>
    <w:uiPriority w:val="1"/>
    <w:qFormat/>
    <w:pPr>
      <w:spacing w:before="55"/>
      <w:ind w:left="920" w:hanging="701"/>
      <w:outlineLvl w:val="3"/>
    </w:pPr>
    <w:rPr>
      <w:rFonts w:ascii="宋体" w:hAnsi="宋体" w:eastAsia="宋体" w:cs="宋体"/>
      <w:b/>
      <w:bCs/>
      <w:sz w:val="28"/>
      <w:szCs w:val="28"/>
      <w:lang w:val="zh-CN" w:eastAsia="zh-CN" w:bidi="zh-CN"/>
    </w:rPr>
  </w:style>
  <w:style w:styleId="Heading4" w:type="paragraph">
    <w:name w:val="Heading 4"/>
    <w:basedOn w:val="Normal"/>
    <w:uiPriority w:val="1"/>
    <w:qFormat/>
    <w:pPr>
      <w:ind w:left="680"/>
      <w:outlineLvl w:val="4"/>
    </w:pPr>
    <w:rPr>
      <w:rFonts w:ascii="宋体" w:hAnsi="宋体" w:eastAsia="宋体" w:cs="宋体"/>
      <w:sz w:val="28"/>
      <w:szCs w:val="28"/>
      <w:lang w:val="zh-CN" w:eastAsia="zh-CN" w:bidi="zh-CN"/>
    </w:rPr>
  </w:style>
  <w:style w:styleId="Heading5" w:type="paragraph">
    <w:name w:val="Heading 5"/>
    <w:basedOn w:val="Normal"/>
    <w:uiPriority w:val="1"/>
    <w:qFormat/>
    <w:pPr>
      <w:spacing w:before="160"/>
      <w:ind w:left="1480" w:hanging="780"/>
      <w:outlineLvl w:val="5"/>
    </w:pPr>
    <w:rPr>
      <w:rFonts w:ascii="宋体" w:hAnsi="宋体" w:eastAsia="宋体" w:cs="宋体"/>
      <w:b/>
      <w:bCs/>
      <w:sz w:val="24"/>
      <w:szCs w:val="24"/>
      <w:lang w:val="zh-CN" w:eastAsia="zh-CN" w:bidi="zh-CN"/>
    </w:rPr>
  </w:style>
  <w:style w:styleId="ListParagraph" w:type="paragraph">
    <w:name w:val="List Paragraph"/>
    <w:basedOn w:val="Normal"/>
    <w:uiPriority w:val="1"/>
    <w:qFormat/>
    <w:pPr>
      <w:spacing w:before="1"/>
      <w:ind w:left="220" w:firstLine="480"/>
    </w:pPr>
    <w:rPr>
      <w:rFonts w:ascii="宋体" w:hAnsi="宋体" w:eastAsia="宋体" w:cs="宋体"/>
      <w:lang w:val="zh-CN" w:eastAsia="zh-CN" w:bidi="zh-CN"/>
    </w:rPr>
  </w:style>
  <w:style w:styleId="TableParagraph" w:type="paragraph">
    <w:name w:val="Table Paragraph"/>
    <w:basedOn w:val="Normal"/>
    <w:uiPriority w:val="1"/>
    <w:qFormat/>
    <w:pPr>
      <w:spacing w:before="21"/>
      <w:ind w:left="811"/>
      <w:jc w:val="center"/>
    </w:pPr>
    <w:rPr>
      <w:rFonts w:ascii="Times New Roman" w:hAnsi="Times New Roman" w:eastAsia="Times New Roman" w:cs="Times New Roman"/>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oter" Target="footer2.xm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footer" Target="footer3.xml"/><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一缕阳光</dc:creator>
  <dcterms:created xsi:type="dcterms:W3CDTF">2020-07-20T02:56:39Z</dcterms:created>
  <dcterms:modified xsi:type="dcterms:W3CDTF">2020-07-20T02:56:39Z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2020-07-20T00:00:00Z</vt:filetime>
  </property>
  <property fmtid="{D5CDD505-2E9C-101B-9397-08002B2CF9AE}" pid="3" name="Creator">
    <vt:lpwstr>WPS 文字</vt:lpwstr>
  </property>
  <property fmtid="{D5CDD505-2E9C-101B-9397-08002B2CF9AE}" pid="4" name="LastSaved">
    <vt:filetime>2020-07-20T00:00:00Z</vt:filetime>
  </property>
</Properties>
</file>