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line="320" w:lineRule="exact"/>
        <w:ind w:left="5" w:leftChars="-4" w:hanging="13" w:hangingChars="4"/>
        <w:jc w:val="center"/>
        <w:rPr>
          <w:rFonts w:hint="default" w:ascii="Times New Roman" w:hAnsi="Times New Roman" w:cs="Times New Roman"/>
          <w:b/>
          <w:bCs/>
          <w:color w:val="auto"/>
          <w:sz w:val="32"/>
        </w:rPr>
      </w:pPr>
      <w:r>
        <w:rPr>
          <w:rFonts w:hint="default" w:ascii="Times New Roman" w:hAnsi="Times New Roman" w:cs="Times New Roman"/>
          <w:b/>
          <w:bCs/>
          <w:color w:val="auto"/>
          <w:sz w:val="32"/>
        </w:rPr>
        <w:t>建设项目环境影响报告表》编制说明</w:t>
      </w:r>
    </w:p>
    <w:p>
      <w:pPr>
        <w:ind w:firstLine="720"/>
        <w:rPr>
          <w:rFonts w:hint="default" w:ascii="Times New Roman" w:hAnsi="Times New Roman" w:cs="Times New Roman"/>
          <w:color w:val="auto"/>
          <w:sz w:val="28"/>
        </w:rPr>
      </w:pPr>
    </w:p>
    <w:p>
      <w:pPr>
        <w:spacing w:line="48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《建设项目环境影响报告表》由具有从事环境影响评价工作资质的单位编制。</w:t>
      </w:r>
    </w:p>
    <w:p>
      <w:pPr>
        <w:spacing w:line="48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1、项目名称——指项目立项批复时的名称，应不超过30个字（两个英文字段作一个汉字）。</w:t>
      </w:r>
    </w:p>
    <w:p>
      <w:pPr>
        <w:spacing w:line="48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2、建设地点——指项目所在地详细地址，公路、铁路应填写起止地点。</w:t>
      </w:r>
    </w:p>
    <w:p>
      <w:pPr>
        <w:spacing w:line="48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3、行业类别——按国标填写。</w:t>
      </w:r>
    </w:p>
    <w:p>
      <w:pPr>
        <w:spacing w:line="48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4、总投资——指项目投资总额。</w:t>
      </w:r>
    </w:p>
    <w:p>
      <w:pPr>
        <w:spacing w:line="48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5、主要环境保护目标——指项目区周围一定范围内集中居民住宅区、学校、医院、保护文物、风景名胜区、水源地和生态敏感点等，应尽可能给出保护目标、性质、规模和距厂界距离等。</w:t>
      </w:r>
    </w:p>
    <w:p>
      <w:pPr>
        <w:spacing w:line="48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480" w:lineRule="auto"/>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7、预审意见——由行业主管部门填写答复意见，无主管部门项目，可不填。</w:t>
      </w:r>
    </w:p>
    <w:p>
      <w:pPr>
        <w:spacing w:line="480" w:lineRule="auto"/>
        <w:ind w:firstLine="560" w:firstLineChars="200"/>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rPr>
        <w:t>8、审批意见——由负责审批该项目的环境保护行政主管部门批复。</w:t>
      </w:r>
    </w:p>
    <w:p>
      <w:pPr>
        <w:rPr>
          <w:rFonts w:hint="default" w:ascii="Times New Roman" w:hAnsi="Times New Roman" w:cs="Times New Roman"/>
          <w:lang w:val="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4"/>
          <w:lang w:val="en-US" w:eastAsia="zh-CN" w:bidi="ar-SA"/>
        </w:rPr>
        <w:id w:val="147477096"/>
        <w15:color w:val="DBDBDB"/>
        <w:docPartObj>
          <w:docPartGallery w:val="Table of Contents"/>
          <w:docPartUnique/>
        </w:docPartObj>
      </w:sdtPr>
      <w:sdtEndPr>
        <w:rPr>
          <w:rFonts w:hint="eastAsia" w:asciiTheme="minorEastAsia" w:hAnsiTheme="minorEastAsia" w:eastAsiaTheme="minorEastAsia" w:cstheme="minorEastAsia"/>
          <w:kern w:val="2"/>
          <w:sz w:val="20"/>
          <w:szCs w:val="28"/>
          <w:lang w:val="en-US" w:eastAsia="zh-CN" w:bidi="ar-SA"/>
        </w:rPr>
      </w:sdtEndPr>
      <w:sdtContent>
        <w:p>
          <w:pPr>
            <w:spacing w:before="0" w:beforeLines="0" w:after="0" w:afterLines="0" w:line="240" w:lineRule="auto"/>
            <w:ind w:left="0" w:leftChars="0" w:right="0" w:rightChars="0" w:firstLine="0" w:firstLineChars="0"/>
            <w:jc w:val="center"/>
            <w:rPr>
              <w:sz w:val="28"/>
              <w:szCs w:val="28"/>
            </w:rPr>
          </w:pPr>
          <w:r>
            <w:rPr>
              <w:rFonts w:ascii="宋体" w:hAnsi="宋体" w:eastAsia="宋体"/>
              <w:b/>
              <w:bCs/>
              <w:sz w:val="32"/>
              <w:szCs w:val="32"/>
            </w:rPr>
            <w:t>目录</w:t>
          </w:r>
        </w:p>
        <w:p>
          <w:pPr>
            <w:pStyle w:val="19"/>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TOC \o "1-1" \h \u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_Toc4178 </w:instrText>
          </w:r>
          <w:r>
            <w:rPr>
              <w:rFonts w:hint="eastAsia" w:asciiTheme="minorEastAsia" w:hAnsiTheme="minorEastAsia" w:eastAsiaTheme="minorEastAsia" w:cstheme="minorEastAsia"/>
              <w:sz w:val="28"/>
              <w:szCs w:val="28"/>
            </w:rPr>
            <w:fldChar w:fldCharType="separate"/>
          </w:r>
          <w:r>
            <w:rPr>
              <w:rFonts w:hint="default" w:ascii="Times New Roman" w:hAnsi="Times New Roman" w:eastAsia="宋体" w:cs="Times New Roman"/>
              <w:bCs/>
              <w:kern w:val="2"/>
              <w:sz w:val="28"/>
              <w:szCs w:val="28"/>
              <w:lang w:val="en-US" w:eastAsia="zh-CN" w:bidi="ar-SA"/>
            </w:rPr>
            <w:t>1 建设项目基本情况</w:t>
          </w:r>
          <w:r>
            <w:rPr>
              <w:sz w:val="28"/>
              <w:szCs w:val="28"/>
            </w:rPr>
            <w:tab/>
          </w:r>
          <w:r>
            <w:rPr>
              <w:sz w:val="28"/>
              <w:szCs w:val="28"/>
            </w:rPr>
            <w:fldChar w:fldCharType="begin"/>
          </w:r>
          <w:r>
            <w:rPr>
              <w:sz w:val="28"/>
              <w:szCs w:val="28"/>
            </w:rPr>
            <w:instrText xml:space="preserve"> PAGEREF _Toc4178 </w:instrText>
          </w:r>
          <w:r>
            <w:rPr>
              <w:sz w:val="28"/>
              <w:szCs w:val="28"/>
            </w:rPr>
            <w:fldChar w:fldCharType="separate"/>
          </w:r>
          <w:r>
            <w:rPr>
              <w:sz w:val="28"/>
              <w:szCs w:val="28"/>
            </w:rPr>
            <w:t>1</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9"/>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_Toc26031 </w:instrText>
          </w:r>
          <w:r>
            <w:rPr>
              <w:rFonts w:hint="eastAsia" w:asciiTheme="minorEastAsia" w:hAnsiTheme="minorEastAsia" w:eastAsiaTheme="minorEastAsia" w:cstheme="minorEastAsia"/>
              <w:sz w:val="28"/>
              <w:szCs w:val="28"/>
            </w:rPr>
            <w:fldChar w:fldCharType="separate"/>
          </w:r>
          <w:r>
            <w:rPr>
              <w:rFonts w:hint="eastAsia"/>
              <w:bCs/>
              <w:sz w:val="28"/>
              <w:szCs w:val="28"/>
              <w:lang w:val="en-US" w:eastAsia="zh-CN"/>
            </w:rPr>
            <w:t xml:space="preserve">2 </w:t>
          </w:r>
          <w:r>
            <w:rPr>
              <w:rFonts w:hint="eastAsia"/>
              <w:bCs/>
              <w:sz w:val="28"/>
              <w:szCs w:val="28"/>
              <w:lang w:eastAsia="zh-CN"/>
            </w:rPr>
            <w:t>建设项目所在地自然环境简况</w:t>
          </w:r>
          <w:r>
            <w:rPr>
              <w:sz w:val="28"/>
              <w:szCs w:val="28"/>
            </w:rPr>
            <w:tab/>
          </w:r>
          <w:r>
            <w:rPr>
              <w:sz w:val="28"/>
              <w:szCs w:val="28"/>
            </w:rPr>
            <w:fldChar w:fldCharType="begin"/>
          </w:r>
          <w:r>
            <w:rPr>
              <w:sz w:val="28"/>
              <w:szCs w:val="28"/>
            </w:rPr>
            <w:instrText xml:space="preserve"> PAGEREF _Toc26031 </w:instrText>
          </w:r>
          <w:r>
            <w:rPr>
              <w:sz w:val="28"/>
              <w:szCs w:val="28"/>
            </w:rPr>
            <w:fldChar w:fldCharType="separate"/>
          </w:r>
          <w:r>
            <w:rPr>
              <w:sz w:val="28"/>
              <w:szCs w:val="28"/>
            </w:rPr>
            <w:t>14</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9"/>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_Toc5433 </w:instrText>
          </w:r>
          <w:r>
            <w:rPr>
              <w:rFonts w:hint="eastAsia" w:asciiTheme="minorEastAsia" w:hAnsiTheme="minorEastAsia" w:eastAsiaTheme="minorEastAsia" w:cstheme="minorEastAsia"/>
              <w:sz w:val="28"/>
              <w:szCs w:val="28"/>
            </w:rPr>
            <w:fldChar w:fldCharType="separate"/>
          </w:r>
          <w:r>
            <w:rPr>
              <w:rFonts w:hint="eastAsia"/>
              <w:bCs/>
              <w:sz w:val="28"/>
              <w:szCs w:val="28"/>
              <w:lang w:val="en-US" w:eastAsia="zh-CN"/>
            </w:rPr>
            <w:t xml:space="preserve">3 </w:t>
          </w:r>
          <w:r>
            <w:rPr>
              <w:rFonts w:hint="eastAsia"/>
              <w:bCs/>
              <w:sz w:val="28"/>
              <w:szCs w:val="28"/>
              <w:lang w:eastAsia="zh-CN"/>
            </w:rPr>
            <w:t>环境质量现状</w:t>
          </w:r>
          <w:r>
            <w:rPr>
              <w:sz w:val="28"/>
              <w:szCs w:val="28"/>
            </w:rPr>
            <w:tab/>
          </w:r>
          <w:r>
            <w:rPr>
              <w:sz w:val="28"/>
              <w:szCs w:val="28"/>
            </w:rPr>
            <w:fldChar w:fldCharType="begin"/>
          </w:r>
          <w:r>
            <w:rPr>
              <w:sz w:val="28"/>
              <w:szCs w:val="28"/>
            </w:rPr>
            <w:instrText xml:space="preserve"> PAGEREF _Toc5433 </w:instrText>
          </w:r>
          <w:r>
            <w:rPr>
              <w:sz w:val="28"/>
              <w:szCs w:val="28"/>
            </w:rPr>
            <w:fldChar w:fldCharType="separate"/>
          </w:r>
          <w:r>
            <w:rPr>
              <w:sz w:val="28"/>
              <w:szCs w:val="28"/>
            </w:rPr>
            <w:t>20</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9"/>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_Toc20831 </w:instrText>
          </w:r>
          <w:r>
            <w:rPr>
              <w:rFonts w:hint="eastAsia" w:asciiTheme="minorEastAsia" w:hAnsiTheme="minorEastAsia" w:eastAsiaTheme="minorEastAsia" w:cstheme="minorEastAsia"/>
              <w:sz w:val="28"/>
              <w:szCs w:val="28"/>
            </w:rPr>
            <w:fldChar w:fldCharType="separate"/>
          </w:r>
          <w:r>
            <w:rPr>
              <w:rFonts w:hint="eastAsia"/>
              <w:bCs/>
              <w:sz w:val="28"/>
              <w:szCs w:val="28"/>
              <w:lang w:val="en-US" w:eastAsia="zh-CN"/>
            </w:rPr>
            <w:t xml:space="preserve">4 </w:t>
          </w:r>
          <w:r>
            <w:rPr>
              <w:rFonts w:hint="eastAsia"/>
              <w:bCs/>
              <w:sz w:val="28"/>
              <w:szCs w:val="28"/>
              <w:lang w:eastAsia="zh-CN"/>
            </w:rPr>
            <w:t>评价适用标准</w:t>
          </w:r>
          <w:r>
            <w:rPr>
              <w:sz w:val="28"/>
              <w:szCs w:val="28"/>
            </w:rPr>
            <w:tab/>
          </w:r>
          <w:r>
            <w:rPr>
              <w:sz w:val="28"/>
              <w:szCs w:val="28"/>
            </w:rPr>
            <w:fldChar w:fldCharType="begin"/>
          </w:r>
          <w:r>
            <w:rPr>
              <w:sz w:val="28"/>
              <w:szCs w:val="28"/>
            </w:rPr>
            <w:instrText xml:space="preserve"> PAGEREF _Toc20831 </w:instrText>
          </w:r>
          <w:r>
            <w:rPr>
              <w:sz w:val="28"/>
              <w:szCs w:val="28"/>
            </w:rPr>
            <w:fldChar w:fldCharType="separate"/>
          </w:r>
          <w:r>
            <w:rPr>
              <w:sz w:val="28"/>
              <w:szCs w:val="28"/>
            </w:rPr>
            <w:t>24</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9"/>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_Toc12701 </w:instrText>
          </w:r>
          <w:r>
            <w:rPr>
              <w:rFonts w:hint="eastAsia" w:asciiTheme="minorEastAsia" w:hAnsiTheme="minorEastAsia" w:eastAsiaTheme="minorEastAsia" w:cstheme="minorEastAsia"/>
              <w:sz w:val="28"/>
              <w:szCs w:val="28"/>
            </w:rPr>
            <w:fldChar w:fldCharType="separate"/>
          </w:r>
          <w:r>
            <w:rPr>
              <w:rFonts w:hint="eastAsia"/>
              <w:bCs/>
              <w:sz w:val="28"/>
              <w:szCs w:val="28"/>
              <w:lang w:val="en-US" w:eastAsia="zh-CN"/>
            </w:rPr>
            <w:t>5 建设项目工程分析</w:t>
          </w:r>
          <w:r>
            <w:rPr>
              <w:sz w:val="28"/>
              <w:szCs w:val="28"/>
            </w:rPr>
            <w:tab/>
          </w:r>
          <w:r>
            <w:rPr>
              <w:sz w:val="28"/>
              <w:szCs w:val="28"/>
            </w:rPr>
            <w:fldChar w:fldCharType="begin"/>
          </w:r>
          <w:r>
            <w:rPr>
              <w:sz w:val="28"/>
              <w:szCs w:val="28"/>
            </w:rPr>
            <w:instrText xml:space="preserve"> PAGEREF _Toc12701 </w:instrText>
          </w:r>
          <w:r>
            <w:rPr>
              <w:sz w:val="28"/>
              <w:szCs w:val="28"/>
            </w:rPr>
            <w:fldChar w:fldCharType="separate"/>
          </w:r>
          <w:r>
            <w:rPr>
              <w:sz w:val="28"/>
              <w:szCs w:val="28"/>
            </w:rPr>
            <w:t>26</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9"/>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_Toc14195 </w:instrText>
          </w:r>
          <w:r>
            <w:rPr>
              <w:rFonts w:hint="eastAsia" w:asciiTheme="minorEastAsia" w:hAnsiTheme="minorEastAsia" w:eastAsiaTheme="minorEastAsia" w:cstheme="minorEastAsia"/>
              <w:sz w:val="28"/>
              <w:szCs w:val="28"/>
            </w:rPr>
            <w:fldChar w:fldCharType="separate"/>
          </w:r>
          <w:r>
            <w:rPr>
              <w:rFonts w:hint="eastAsia"/>
              <w:bCs/>
              <w:sz w:val="28"/>
              <w:szCs w:val="28"/>
              <w:lang w:val="en-US" w:eastAsia="zh-CN"/>
            </w:rPr>
            <w:t>6 项目主要污染物产生及预计排放情况</w:t>
          </w:r>
          <w:r>
            <w:rPr>
              <w:sz w:val="28"/>
              <w:szCs w:val="28"/>
            </w:rPr>
            <w:tab/>
          </w:r>
          <w:r>
            <w:rPr>
              <w:sz w:val="28"/>
              <w:szCs w:val="28"/>
            </w:rPr>
            <w:fldChar w:fldCharType="begin"/>
          </w:r>
          <w:r>
            <w:rPr>
              <w:sz w:val="28"/>
              <w:szCs w:val="28"/>
            </w:rPr>
            <w:instrText xml:space="preserve"> PAGEREF _Toc14195 </w:instrText>
          </w:r>
          <w:r>
            <w:rPr>
              <w:sz w:val="28"/>
              <w:szCs w:val="28"/>
            </w:rPr>
            <w:fldChar w:fldCharType="separate"/>
          </w:r>
          <w:r>
            <w:rPr>
              <w:sz w:val="28"/>
              <w:szCs w:val="28"/>
            </w:rPr>
            <w:t>30</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9"/>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_Toc25261 </w:instrText>
          </w:r>
          <w:r>
            <w:rPr>
              <w:rFonts w:hint="eastAsia" w:asciiTheme="minorEastAsia" w:hAnsiTheme="minorEastAsia" w:eastAsiaTheme="minorEastAsia" w:cstheme="minorEastAsia"/>
              <w:sz w:val="28"/>
              <w:szCs w:val="28"/>
            </w:rPr>
            <w:fldChar w:fldCharType="separate"/>
          </w:r>
          <w:r>
            <w:rPr>
              <w:rFonts w:hint="eastAsia"/>
              <w:bCs/>
              <w:sz w:val="28"/>
              <w:szCs w:val="28"/>
              <w:lang w:val="en-US" w:eastAsia="zh-CN"/>
            </w:rPr>
            <w:t>7 环境影响分析</w:t>
          </w:r>
          <w:r>
            <w:rPr>
              <w:sz w:val="28"/>
              <w:szCs w:val="28"/>
            </w:rPr>
            <w:tab/>
          </w:r>
          <w:r>
            <w:rPr>
              <w:sz w:val="28"/>
              <w:szCs w:val="28"/>
            </w:rPr>
            <w:fldChar w:fldCharType="begin"/>
          </w:r>
          <w:r>
            <w:rPr>
              <w:sz w:val="28"/>
              <w:szCs w:val="28"/>
            </w:rPr>
            <w:instrText xml:space="preserve"> PAGEREF _Toc25261 </w:instrText>
          </w:r>
          <w:r>
            <w:rPr>
              <w:sz w:val="28"/>
              <w:szCs w:val="28"/>
            </w:rPr>
            <w:fldChar w:fldCharType="separate"/>
          </w:r>
          <w:r>
            <w:rPr>
              <w:sz w:val="28"/>
              <w:szCs w:val="28"/>
            </w:rPr>
            <w:t>32</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9"/>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_Toc22909 </w:instrText>
          </w:r>
          <w:r>
            <w:rPr>
              <w:rFonts w:hint="eastAsia" w:asciiTheme="minorEastAsia" w:hAnsiTheme="minorEastAsia" w:eastAsiaTheme="minorEastAsia" w:cstheme="minorEastAsia"/>
              <w:sz w:val="28"/>
              <w:szCs w:val="28"/>
            </w:rPr>
            <w:fldChar w:fldCharType="separate"/>
          </w:r>
          <w:r>
            <w:rPr>
              <w:rFonts w:hint="eastAsia"/>
              <w:bCs/>
              <w:sz w:val="28"/>
              <w:szCs w:val="28"/>
              <w:lang w:val="en-US" w:eastAsia="zh-CN"/>
            </w:rPr>
            <w:t>8 建设项目拟采取的防治措施及治理效果</w:t>
          </w:r>
          <w:r>
            <w:rPr>
              <w:sz w:val="28"/>
              <w:szCs w:val="28"/>
            </w:rPr>
            <w:tab/>
          </w:r>
          <w:r>
            <w:rPr>
              <w:sz w:val="28"/>
              <w:szCs w:val="28"/>
            </w:rPr>
            <w:fldChar w:fldCharType="begin"/>
          </w:r>
          <w:r>
            <w:rPr>
              <w:sz w:val="28"/>
              <w:szCs w:val="28"/>
            </w:rPr>
            <w:instrText xml:space="preserve"> PAGEREF _Toc22909 </w:instrText>
          </w:r>
          <w:r>
            <w:rPr>
              <w:sz w:val="28"/>
              <w:szCs w:val="28"/>
            </w:rPr>
            <w:fldChar w:fldCharType="separate"/>
          </w:r>
          <w:r>
            <w:rPr>
              <w:sz w:val="28"/>
              <w:szCs w:val="28"/>
            </w:rPr>
            <w:t>42</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9"/>
            <w:tabs>
              <w:tab w:val="right" w:leader="dot" w:pos="8306"/>
            </w:tabs>
            <w:rPr>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\l _Toc16262 </w:instrText>
          </w:r>
          <w:r>
            <w:rPr>
              <w:rFonts w:hint="eastAsia" w:asciiTheme="minorEastAsia" w:hAnsiTheme="minorEastAsia" w:eastAsiaTheme="minorEastAsia" w:cstheme="minorEastAsia"/>
              <w:sz w:val="28"/>
              <w:szCs w:val="28"/>
            </w:rPr>
            <w:fldChar w:fldCharType="separate"/>
          </w:r>
          <w:r>
            <w:rPr>
              <w:rFonts w:hint="eastAsia"/>
              <w:bCs/>
              <w:sz w:val="28"/>
              <w:szCs w:val="28"/>
              <w:lang w:val="en-US" w:eastAsia="zh-CN"/>
            </w:rPr>
            <w:t>9 结论与建议</w:t>
          </w:r>
          <w:r>
            <w:rPr>
              <w:sz w:val="28"/>
              <w:szCs w:val="28"/>
            </w:rPr>
            <w:tab/>
          </w:r>
          <w:r>
            <w:rPr>
              <w:sz w:val="28"/>
              <w:szCs w:val="28"/>
            </w:rPr>
            <w:fldChar w:fldCharType="begin"/>
          </w:r>
          <w:r>
            <w:rPr>
              <w:sz w:val="28"/>
              <w:szCs w:val="28"/>
            </w:rPr>
            <w:instrText xml:space="preserve"> PAGEREF _Toc16262 </w:instrText>
          </w:r>
          <w:r>
            <w:rPr>
              <w:sz w:val="28"/>
              <w:szCs w:val="28"/>
            </w:rPr>
            <w:fldChar w:fldCharType="separate"/>
          </w:r>
          <w:r>
            <w:rPr>
              <w:sz w:val="28"/>
              <w:szCs w:val="28"/>
            </w:rPr>
            <w:t>45</w:t>
          </w:r>
          <w:r>
            <w:rPr>
              <w:sz w:val="28"/>
              <w:szCs w:val="28"/>
            </w:rPr>
            <w:fldChar w:fldCharType="end"/>
          </w:r>
          <w:r>
            <w:rPr>
              <w:rFonts w:hint="eastAsia" w:asciiTheme="minorEastAsia" w:hAnsiTheme="minorEastAsia" w:eastAsiaTheme="minorEastAsia" w:cstheme="minorEastAsia"/>
              <w:sz w:val="28"/>
              <w:szCs w:val="28"/>
            </w:rPr>
            <w:fldChar w:fldCharType="end"/>
          </w:r>
        </w:p>
        <w:p>
          <w:pPr>
            <w:pStyle w:val="19"/>
            <w:tabs>
              <w:tab w:val="right" w:leader="dot" w:pos="8306"/>
            </w:tabs>
            <w:rPr>
              <w:sz w:val="28"/>
              <w:szCs w:val="28"/>
            </w:rPr>
          </w:pPr>
        </w:p>
        <w:p>
          <w:pPr>
            <w:pStyle w:val="19"/>
            <w:tabs>
              <w:tab w:val="right" w:leader="dot" w:pos="8306"/>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end"/>
          </w:r>
        </w:p>
      </w:sdtContent>
    </w:sdt>
    <w:p>
      <w:pPr>
        <w:pStyle w:val="19"/>
        <w:tabs>
          <w:tab w:val="right" w:leader="dot" w:pos="8306"/>
        </w:tabs>
        <w:rPr>
          <w:rFonts w:hint="eastAsia" w:asciiTheme="minorEastAsia" w:hAnsiTheme="minorEastAsia" w:eastAsiaTheme="minorEastAsia" w:cstheme="minorEastAsia"/>
          <w:sz w:val="28"/>
          <w:szCs w:val="28"/>
        </w:rPr>
      </w:pPr>
    </w:p>
    <w:p>
      <w:pPr>
        <w:pStyle w:val="19"/>
        <w:tabs>
          <w:tab w:val="right" w:leader="dot" w:pos="8306"/>
        </w:tabs>
        <w:rPr>
          <w:rFonts w:hint="eastAsia" w:asciiTheme="minorEastAsia" w:hAnsiTheme="minorEastAsia" w:eastAsiaTheme="minorEastAsia" w:cstheme="minorEastAsia"/>
          <w:sz w:val="28"/>
          <w:szCs w:val="28"/>
        </w:rPr>
      </w:pPr>
    </w:p>
    <w:p>
      <w:pPr>
        <w:pStyle w:val="19"/>
        <w:tabs>
          <w:tab w:val="right" w:leader="dot" w:pos="8306"/>
        </w:tabs>
        <w:rPr>
          <w:rFonts w:hint="eastAsia" w:asciiTheme="minorEastAsia" w:hAnsiTheme="minorEastAsia" w:eastAsiaTheme="minorEastAsia" w:cstheme="minorEastAsia"/>
          <w:sz w:val="28"/>
          <w:szCs w:val="28"/>
        </w:rPr>
      </w:pPr>
    </w:p>
    <w:p>
      <w:pPr>
        <w:pStyle w:val="19"/>
        <w:tabs>
          <w:tab w:val="right" w:leader="dot" w:pos="8306"/>
        </w:tabs>
        <w:rPr>
          <w:rFonts w:hint="eastAsia" w:asciiTheme="minorEastAsia" w:hAnsiTheme="minorEastAsia" w:eastAsiaTheme="minorEastAsia" w:cstheme="minorEastAsia"/>
          <w:sz w:val="28"/>
          <w:szCs w:val="28"/>
        </w:rPr>
        <w:sectPr>
          <w:pgSz w:w="11906" w:h="16838"/>
          <w:pgMar w:top="1440" w:right="1800" w:bottom="1440" w:left="1800" w:header="851" w:footer="992" w:gutter="0"/>
          <w:cols w:space="425" w:num="1"/>
          <w:docGrid w:type="lines" w:linePitch="312" w:charSpace="0"/>
        </w:sectPr>
      </w:pPr>
    </w:p>
    <w:p>
      <w:pPr>
        <w:sectPr>
          <w:pgSz w:w="11906" w:h="16838"/>
          <w:pgMar w:top="1440" w:right="1800" w:bottom="1440" w:left="1800" w:header="851" w:footer="992" w:gutter="0"/>
          <w:cols w:space="425" w:num="1"/>
          <w:docGrid w:type="lines" w:linePitch="312" w:charSpace="0"/>
        </w:sectPr>
      </w:pPr>
    </w:p>
    <w:p>
      <w:pPr>
        <w:pStyle w:val="18"/>
        <w:jc w:val="left"/>
        <w:outlineLvl w:val="0"/>
        <w:rPr>
          <w:rFonts w:hint="default" w:ascii="Times New Roman" w:hAnsi="Times New Roman" w:eastAsia="宋体" w:cs="Times New Roman"/>
          <w:b/>
          <w:bCs/>
          <w:color w:val="auto"/>
          <w:kern w:val="2"/>
          <w:sz w:val="30"/>
          <w:szCs w:val="30"/>
          <w:lang w:val="en-US" w:eastAsia="zh-CN" w:bidi="ar-SA"/>
        </w:rPr>
      </w:pPr>
      <w:bookmarkStart w:id="0" w:name="_Toc4178"/>
      <w:bookmarkStart w:id="1" w:name="_Toc9697_WPSOffice_Level1"/>
      <w:r>
        <w:rPr>
          <w:rFonts w:hint="default" w:ascii="Times New Roman" w:hAnsi="Times New Roman" w:eastAsia="宋体" w:cs="Times New Roman"/>
          <w:b/>
          <w:bCs/>
          <w:color w:val="auto"/>
          <w:kern w:val="2"/>
          <w:sz w:val="30"/>
          <w:szCs w:val="30"/>
          <w:lang w:val="en-US" w:eastAsia="zh-CN" w:bidi="ar-SA"/>
        </w:rPr>
        <w:t>1 建设项目基本情况</w:t>
      </w:r>
      <w:bookmarkEnd w:id="0"/>
      <w:bookmarkEnd w:id="1"/>
    </w:p>
    <w:tbl>
      <w:tblPr>
        <w:tblStyle w:val="15"/>
        <w:tblW w:w="9090"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560"/>
        <w:gridCol w:w="1249"/>
        <w:gridCol w:w="1320"/>
        <w:gridCol w:w="1455"/>
        <w:gridCol w:w="1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项目名称</w:t>
            </w:r>
          </w:p>
        </w:tc>
        <w:tc>
          <w:tcPr>
            <w:tcW w:w="7394" w:type="dxa"/>
            <w:gridSpan w:val="5"/>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eastAsia="宋体" w:cs="Times New Roman"/>
                <w:bCs/>
                <w:color w:val="auto"/>
                <w:kern w:val="2"/>
                <w:sz w:val="24"/>
                <w:szCs w:val="24"/>
                <w:lang w:val="en-US" w:eastAsia="zh-CN" w:bidi="ar-SA"/>
              </w:rPr>
              <w:t>国家电投吴起高胜新能源50</w:t>
            </w:r>
            <w:r>
              <w:rPr>
                <w:rFonts w:hint="eastAsia" w:ascii="Times New Roman" w:hAnsi="Times New Roman" w:cs="Times New Roman"/>
                <w:bCs/>
                <w:color w:val="auto"/>
                <w:kern w:val="2"/>
                <w:sz w:val="24"/>
                <w:szCs w:val="24"/>
                <w:lang w:val="en-US" w:eastAsia="zh-CN" w:bidi="ar-SA"/>
              </w:rPr>
              <w:t>MW风</w:t>
            </w:r>
            <w:r>
              <w:rPr>
                <w:rFonts w:hint="default" w:ascii="Times New Roman" w:hAnsi="Times New Roman" w:eastAsia="宋体" w:cs="Times New Roman"/>
                <w:bCs/>
                <w:color w:val="auto"/>
                <w:kern w:val="2"/>
                <w:sz w:val="24"/>
                <w:szCs w:val="24"/>
                <w:lang w:val="en-US" w:eastAsia="zh-CN" w:bidi="ar-SA"/>
              </w:rPr>
              <w:t>电场110kV送出工程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建设单位</w:t>
            </w:r>
          </w:p>
        </w:tc>
        <w:tc>
          <w:tcPr>
            <w:tcW w:w="7394" w:type="dxa"/>
            <w:gridSpan w:val="5"/>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国家电投集团吴起高胜新能源发电有限公司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法人代表</w:t>
            </w:r>
          </w:p>
        </w:tc>
        <w:tc>
          <w:tcPr>
            <w:tcW w:w="2809" w:type="dxa"/>
            <w:gridSpan w:val="2"/>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郭树良</w:t>
            </w:r>
          </w:p>
        </w:tc>
        <w:tc>
          <w:tcPr>
            <w:tcW w:w="1320"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联系人</w:t>
            </w:r>
          </w:p>
        </w:tc>
        <w:tc>
          <w:tcPr>
            <w:tcW w:w="3265" w:type="dxa"/>
            <w:gridSpan w:val="2"/>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石耀中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通讯地址</w:t>
            </w:r>
          </w:p>
        </w:tc>
        <w:tc>
          <w:tcPr>
            <w:tcW w:w="7394" w:type="dxa"/>
            <w:gridSpan w:val="5"/>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延安市吴起县洛源街景苑大厦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联系电话</w:t>
            </w:r>
          </w:p>
        </w:tc>
        <w:tc>
          <w:tcPr>
            <w:tcW w:w="1560"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17791975332</w:t>
            </w:r>
          </w:p>
        </w:tc>
        <w:tc>
          <w:tcPr>
            <w:tcW w:w="1249"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传真</w:t>
            </w:r>
          </w:p>
        </w:tc>
        <w:tc>
          <w:tcPr>
            <w:tcW w:w="1320"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w:t>
            </w:r>
          </w:p>
        </w:tc>
        <w:tc>
          <w:tcPr>
            <w:tcW w:w="1455"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邮政编码</w:t>
            </w:r>
          </w:p>
        </w:tc>
        <w:tc>
          <w:tcPr>
            <w:tcW w:w="1810"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717699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建设地点</w:t>
            </w:r>
          </w:p>
        </w:tc>
        <w:tc>
          <w:tcPr>
            <w:tcW w:w="7394" w:type="dxa"/>
            <w:gridSpan w:val="5"/>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陕西省延安市吴起县</w:t>
            </w:r>
            <w:r>
              <w:rPr>
                <w:rFonts w:hint="eastAsia" w:ascii="Times New Roman" w:hAnsi="Times New Roman" w:cs="Times New Roman" w:eastAsiaTheme="minorEastAsia"/>
                <w:b w:val="0"/>
                <w:bCs w:val="0"/>
                <w:color w:val="auto"/>
                <w:kern w:val="2"/>
                <w:sz w:val="24"/>
                <w:szCs w:val="24"/>
                <w:vertAlign w:val="baseline"/>
                <w:lang w:val="en-US" w:eastAsia="zh-CN" w:bidi="ar-SA"/>
              </w:rPr>
              <w:t>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立项审批部门</w:t>
            </w:r>
          </w:p>
        </w:tc>
        <w:tc>
          <w:tcPr>
            <w:tcW w:w="2809" w:type="dxa"/>
            <w:gridSpan w:val="2"/>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延安市</w:t>
            </w:r>
            <w:r>
              <w:rPr>
                <w:rFonts w:hint="default" w:ascii="Times New Roman" w:hAnsi="Times New Roman" w:cs="Times New Roman" w:eastAsiaTheme="minorEastAsia"/>
                <w:b w:val="0"/>
                <w:bCs w:val="0"/>
                <w:color w:val="auto"/>
                <w:kern w:val="2"/>
                <w:sz w:val="24"/>
                <w:szCs w:val="24"/>
                <w:vertAlign w:val="baseline"/>
                <w:lang w:val="en-US" w:eastAsia="zh-CN" w:bidi="ar-SA"/>
              </w:rPr>
              <w:t>行政审批服务局</w:t>
            </w:r>
          </w:p>
        </w:tc>
        <w:tc>
          <w:tcPr>
            <w:tcW w:w="1320"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批准文号</w:t>
            </w:r>
          </w:p>
        </w:tc>
        <w:tc>
          <w:tcPr>
            <w:tcW w:w="3265" w:type="dxa"/>
            <w:gridSpan w:val="2"/>
            <w:vAlign w:val="center"/>
          </w:tcPr>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2020-610626-44-01-033068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建设性质</w:t>
            </w:r>
          </w:p>
        </w:tc>
        <w:tc>
          <w:tcPr>
            <w:tcW w:w="2809" w:type="dxa"/>
            <w:gridSpan w:val="2"/>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新建</w:t>
            </w:r>
            <w:r>
              <w:rPr>
                <w:rFonts w:hint="default" w:ascii="Times New Roman" w:hAnsi="Times New Roman" w:cs="Times New Roman" w:eastAsiaTheme="minorEastAsia"/>
                <w:b w:val="0"/>
                <w:bCs w:val="0"/>
                <w:color w:val="auto"/>
                <w:kern w:val="2"/>
                <w:sz w:val="24"/>
                <w:szCs w:val="24"/>
                <w:vertAlign w:val="baseline"/>
                <w:lang w:val="en-US" w:eastAsia="zh-CN" w:bidi="ar-SA"/>
              </w:rPr>
              <w:sym w:font="Wingdings" w:char="00FE"/>
            </w:r>
            <w:r>
              <w:rPr>
                <w:rFonts w:hint="default" w:ascii="Times New Roman" w:hAnsi="Times New Roman" w:cs="Times New Roman" w:eastAsiaTheme="minorEastAsia"/>
                <w:b w:val="0"/>
                <w:bCs w:val="0"/>
                <w:color w:val="auto"/>
                <w:kern w:val="2"/>
                <w:sz w:val="24"/>
                <w:szCs w:val="24"/>
                <w:vertAlign w:val="baseline"/>
                <w:lang w:val="en-US" w:eastAsia="zh-CN" w:bidi="ar-SA"/>
              </w:rPr>
              <w:t xml:space="preserve">  改扩建  技改  </w:t>
            </w:r>
          </w:p>
        </w:tc>
        <w:tc>
          <w:tcPr>
            <w:tcW w:w="1320"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行业类别及代码</w:t>
            </w:r>
          </w:p>
        </w:tc>
        <w:tc>
          <w:tcPr>
            <w:tcW w:w="3265" w:type="dxa"/>
            <w:gridSpan w:val="2"/>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D4420</w:t>
            </w:r>
            <w:r>
              <w:rPr>
                <w:rFonts w:hint="eastAsia" w:ascii="Times New Roman" w:hAnsi="Times New Roman" w:cs="Times New Roman" w:eastAsiaTheme="minorEastAsia"/>
                <w:b w:val="0"/>
                <w:bCs w:val="0"/>
                <w:color w:val="auto"/>
                <w:kern w:val="2"/>
                <w:sz w:val="24"/>
                <w:szCs w:val="24"/>
                <w:vertAlign w:val="baseline"/>
                <w:lang w:val="en-US" w:eastAsia="zh-CN" w:bidi="ar-SA"/>
              </w:rPr>
              <w:t xml:space="preserve"> </w:t>
            </w:r>
            <w:r>
              <w:rPr>
                <w:rFonts w:hint="default" w:ascii="Times New Roman" w:hAnsi="Times New Roman" w:cs="Times New Roman" w:eastAsiaTheme="minorEastAsia"/>
                <w:b w:val="0"/>
                <w:bCs w:val="0"/>
                <w:color w:val="auto"/>
                <w:kern w:val="2"/>
                <w:sz w:val="24"/>
                <w:szCs w:val="24"/>
                <w:vertAlign w:val="baseline"/>
                <w:lang w:val="en-US" w:eastAsia="zh-CN" w:bidi="ar-SA"/>
              </w:rPr>
              <w:t>电力供应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占地面积</w:t>
            </w:r>
          </w:p>
        </w:tc>
        <w:tc>
          <w:tcPr>
            <w:tcW w:w="2809" w:type="dxa"/>
            <w:gridSpan w:val="2"/>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永久占地1260m</w:t>
            </w:r>
            <w:r>
              <w:rPr>
                <w:rFonts w:hint="eastAsia" w:ascii="Times New Roman" w:hAnsi="Times New Roman" w:cs="Times New Roman" w:eastAsiaTheme="minorEastAsia"/>
                <w:b w:val="0"/>
                <w:bCs w:val="0"/>
                <w:color w:val="auto"/>
                <w:kern w:val="2"/>
                <w:sz w:val="24"/>
                <w:szCs w:val="24"/>
                <w:vertAlign w:val="superscript"/>
                <w:lang w:val="en-US" w:eastAsia="zh-CN" w:bidi="ar-SA"/>
              </w:rPr>
              <w:t>2</w:t>
            </w:r>
          </w:p>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临时占地18500m</w:t>
            </w:r>
            <w:r>
              <w:rPr>
                <w:rFonts w:hint="eastAsia" w:ascii="Times New Roman" w:hAnsi="Times New Roman" w:cs="Times New Roman" w:eastAsiaTheme="minorEastAsia"/>
                <w:b w:val="0"/>
                <w:bCs w:val="0"/>
                <w:color w:val="auto"/>
                <w:kern w:val="2"/>
                <w:sz w:val="24"/>
                <w:szCs w:val="24"/>
                <w:vertAlign w:val="superscript"/>
                <w:lang w:val="en-US" w:eastAsia="zh-CN" w:bidi="ar-SA"/>
              </w:rPr>
              <w:t>2</w:t>
            </w:r>
          </w:p>
        </w:tc>
        <w:tc>
          <w:tcPr>
            <w:tcW w:w="1320"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绿化面积（平方米）</w:t>
            </w:r>
          </w:p>
        </w:tc>
        <w:tc>
          <w:tcPr>
            <w:tcW w:w="3265" w:type="dxa"/>
            <w:gridSpan w:val="2"/>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总投资</w:t>
            </w:r>
          </w:p>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（万元）</w:t>
            </w:r>
          </w:p>
        </w:tc>
        <w:tc>
          <w:tcPr>
            <w:tcW w:w="1560"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1049.99</w:t>
            </w:r>
          </w:p>
        </w:tc>
        <w:tc>
          <w:tcPr>
            <w:tcW w:w="1249"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环保投资</w:t>
            </w:r>
          </w:p>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（万元）</w:t>
            </w:r>
          </w:p>
        </w:tc>
        <w:tc>
          <w:tcPr>
            <w:tcW w:w="1320"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32</w:t>
            </w:r>
          </w:p>
        </w:tc>
        <w:tc>
          <w:tcPr>
            <w:tcW w:w="1455"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bCs/>
                <w:color w:val="auto"/>
                <w:kern w:val="2"/>
                <w:sz w:val="24"/>
                <w:szCs w:val="24"/>
                <w:highlight w:val="none"/>
                <w:vertAlign w:val="baseline"/>
                <w:lang w:val="en-US" w:eastAsia="zh-CN" w:bidi="ar-SA"/>
              </w:rPr>
              <w:t>环保投资占总投资比例</w:t>
            </w:r>
          </w:p>
        </w:tc>
        <w:tc>
          <w:tcPr>
            <w:tcW w:w="1810"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95"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评价经费</w:t>
            </w:r>
          </w:p>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（万元）</w:t>
            </w:r>
          </w:p>
        </w:tc>
        <w:tc>
          <w:tcPr>
            <w:tcW w:w="2809" w:type="dxa"/>
            <w:gridSpan w:val="2"/>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w:t>
            </w:r>
          </w:p>
        </w:tc>
        <w:tc>
          <w:tcPr>
            <w:tcW w:w="1320"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bCs/>
                <w:color w:val="auto"/>
                <w:kern w:val="2"/>
                <w:sz w:val="24"/>
                <w:szCs w:val="24"/>
                <w:vertAlign w:val="baseline"/>
                <w:lang w:val="en-US" w:eastAsia="zh-CN" w:bidi="ar-SA"/>
              </w:rPr>
              <w:t>预计投产日期</w:t>
            </w:r>
          </w:p>
        </w:tc>
        <w:tc>
          <w:tcPr>
            <w:tcW w:w="3265" w:type="dxa"/>
            <w:gridSpan w:val="2"/>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2020年12月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89" w:type="dxa"/>
            <w:gridSpan w:val="6"/>
            <w:vAlign w:val="center"/>
          </w:tcPr>
          <w:p>
            <w:pPr>
              <w:pStyle w:val="18"/>
              <w:keepNext w:val="0"/>
              <w:keepLines w:val="0"/>
              <w:pageBreakBefore w:val="0"/>
              <w:widowControl/>
              <w:numPr>
                <w:ilvl w:val="1"/>
                <w:numId w:val="1"/>
              </w:numPr>
              <w:kinsoku/>
              <w:wordWrap/>
              <w:overflowPunct/>
              <w:topLinePunct w:val="0"/>
              <w:autoSpaceDE w:val="0"/>
              <w:autoSpaceDN w:val="0"/>
              <w:bidi w:val="0"/>
              <w:adjustRightInd w:val="0"/>
              <w:snapToGrid/>
              <w:spacing w:line="360" w:lineRule="auto"/>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工程概述</w:t>
            </w:r>
          </w:p>
          <w:p>
            <w:pPr>
              <w:pStyle w:val="18"/>
              <w:keepNext w:val="0"/>
              <w:keepLines w:val="0"/>
              <w:pageBreakBefore w:val="0"/>
              <w:widowControl/>
              <w:numPr>
                <w:ilvl w:val="2"/>
                <w:numId w:val="1"/>
              </w:numPr>
              <w:kinsoku/>
              <w:wordWrap/>
              <w:overflowPunct/>
              <w:topLinePunct w:val="0"/>
              <w:autoSpaceDE w:val="0"/>
              <w:autoSpaceDN w:val="0"/>
              <w:bidi w:val="0"/>
              <w:adjustRightInd w:val="0"/>
              <w:snapToGrid/>
              <w:spacing w:line="360" w:lineRule="auto"/>
              <w:ind w:left="0" w:leftChars="0" w:firstLine="0" w:firstLineChars="0"/>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项目背景</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eastAsia" w:ascii="Times New Roman" w:hAnsi="Times New Roman" w:cs="Times New Roman" w:eastAsiaTheme="minorEastAsia"/>
                <w:b w:val="0"/>
                <w:bCs w:val="0"/>
                <w:color w:val="auto"/>
                <w:kern w:val="2"/>
                <w:sz w:val="24"/>
                <w:szCs w:val="24"/>
                <w:highlight w:val="yellow"/>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开发可再生能源是我国实现可持续发展的重要途径，也是能源战略的重要组成部分，我国政府对此十分重视，并制定出“开发与节约并存，重视环境保护，合理控制资源，实现可持续发展的能源战略”的方针。延安市风能资源较丰富，交通较便利，地质条件相对稳定，适宜风电场的建设。</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国家电投集团吴起高胜新能源发电有限公司</w:t>
            </w:r>
            <w:r>
              <w:rPr>
                <w:rFonts w:hint="eastAsia" w:ascii="Times New Roman" w:hAnsi="Times New Roman" w:cs="Times New Roman" w:eastAsiaTheme="minorEastAsia"/>
                <w:b w:val="0"/>
                <w:bCs w:val="0"/>
                <w:color w:val="auto"/>
                <w:kern w:val="2"/>
                <w:sz w:val="24"/>
                <w:szCs w:val="24"/>
                <w:vertAlign w:val="baseline"/>
                <w:lang w:val="en-US" w:eastAsia="zh-CN" w:bidi="ar-SA"/>
              </w:rPr>
              <w:t>充分利用该区域丰富的风能资源，在延安市吴起县投资建设国家电投吴起高胜新能源50MW风电项目，设计安装23台单机容量为2.2MW的风电机组，总装机容量为50MW，年上网电量10956.6万kW·h，年利用小时数2165h。目前，国家电投集团吴起高胜新能源发电有限公司已取得延安市行政审批服务局《关于国家电投吴起高胜新能源50MW风电项目环境影响报告表的批复》（延行审城环发【2019】7号）和《关于国家电投吴起高胜新能源50MW风电110kV升压站建设项目环境影响报告表的批复》（延行审城环发【2019】32号），详见附件5和附件6。</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为满足该风电项目的并网需求，国家电投集团吴起高胜新能源发电有限公司计划配套建设110kV送出线路工程</w:t>
            </w:r>
            <w:r>
              <w:rPr>
                <w:rFonts w:hint="eastAsia" w:ascii="Times New Roman" w:hAnsi="Times New Roman" w:cs="Times New Roman" w:eastAsiaTheme="minorEastAsia"/>
                <w:b w:val="0"/>
                <w:bCs w:val="0"/>
                <w:color w:val="auto"/>
                <w:kern w:val="2"/>
                <w:sz w:val="24"/>
                <w:szCs w:val="24"/>
                <w:vertAlign w:val="baseline"/>
                <w:lang w:val="en-US" w:eastAsia="zh-CN" w:bidi="ar-SA"/>
              </w:rPr>
              <w:t>（以下简称“项目”）</w:t>
            </w:r>
            <w:r>
              <w:rPr>
                <w:rFonts w:hint="default" w:ascii="Times New Roman" w:hAnsi="Times New Roman" w:cs="Times New Roman" w:eastAsiaTheme="minorEastAsia"/>
                <w:b w:val="0"/>
                <w:bCs w:val="0"/>
                <w:color w:val="auto"/>
                <w:kern w:val="2"/>
                <w:sz w:val="24"/>
                <w:szCs w:val="24"/>
                <w:vertAlign w:val="baseline"/>
                <w:lang w:val="en-US" w:eastAsia="zh-CN" w:bidi="ar-SA"/>
              </w:rPr>
              <w:t>，</w:t>
            </w:r>
            <w:r>
              <w:rPr>
                <w:rFonts w:hint="eastAsia" w:ascii="Times New Roman" w:hAnsi="Times New Roman" w:eastAsia="宋体" w:cs="Times New Roman"/>
                <w:b w:val="0"/>
                <w:bCs/>
                <w:color w:val="auto"/>
                <w:kern w:val="2"/>
                <w:sz w:val="24"/>
                <w:szCs w:val="24"/>
                <w:highlight w:val="none"/>
                <w:vertAlign w:val="baseline"/>
                <w:lang w:val="en-US" w:eastAsia="zh-CN" w:bidi="ar-SA"/>
              </w:rPr>
              <w:t>线路起点位于延安市吴起县周湾高胜50MW风电项目110kV升压站，终点位于吴起县周湾镇石宝湾村西南侧已建110kV树周线28#塔小号侧“T”接点</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，新建架空线路长度约7.105km。</w:t>
            </w:r>
            <w:r>
              <w:rPr>
                <w:rFonts w:hint="default" w:ascii="Times New Roman" w:hAnsi="Times New Roman" w:cs="Times New Roman" w:eastAsiaTheme="minorEastAsia"/>
                <w:b w:val="0"/>
                <w:bCs w:val="0"/>
                <w:color w:val="auto"/>
                <w:kern w:val="2"/>
                <w:sz w:val="24"/>
                <w:szCs w:val="24"/>
                <w:vertAlign w:val="baseline"/>
                <w:lang w:val="en-US" w:eastAsia="zh-CN" w:bidi="ar-SA"/>
              </w:rPr>
              <w:t>线路全线位于陕西省延安市</w:t>
            </w:r>
            <w:r>
              <w:rPr>
                <w:rFonts w:hint="eastAsia" w:ascii="Times New Roman" w:hAnsi="Times New Roman" w:cs="Times New Roman" w:eastAsiaTheme="minorEastAsia"/>
                <w:b w:val="0"/>
                <w:bCs w:val="0"/>
                <w:color w:val="auto"/>
                <w:kern w:val="2"/>
                <w:sz w:val="24"/>
                <w:szCs w:val="24"/>
                <w:vertAlign w:val="baseline"/>
                <w:lang w:val="en-US" w:eastAsia="zh-CN" w:bidi="ar-SA"/>
              </w:rPr>
              <w:t>吴起县</w:t>
            </w:r>
            <w:r>
              <w:rPr>
                <w:rFonts w:hint="default" w:ascii="Times New Roman" w:hAnsi="Times New Roman" w:cs="Times New Roman" w:eastAsiaTheme="minorEastAsia"/>
                <w:b w:val="0"/>
                <w:bCs w:val="0"/>
                <w:color w:val="auto"/>
                <w:kern w:val="2"/>
                <w:sz w:val="24"/>
                <w:szCs w:val="24"/>
                <w:vertAlign w:val="baseline"/>
                <w:lang w:val="en-US" w:eastAsia="zh-CN" w:bidi="ar-SA"/>
              </w:rPr>
              <w:t>境内</w:t>
            </w:r>
            <w:r>
              <w:rPr>
                <w:rFonts w:hint="eastAsia" w:ascii="Times New Roman" w:hAnsi="Times New Roman" w:cs="Times New Roman" w:eastAsiaTheme="minorEastAsia"/>
                <w:b w:val="0"/>
                <w:bCs w:val="0"/>
                <w:color w:val="auto"/>
                <w:kern w:val="2"/>
                <w:sz w:val="24"/>
                <w:szCs w:val="24"/>
                <w:vertAlign w:val="baseline"/>
                <w:lang w:val="en-US" w:eastAsia="zh-CN" w:bidi="ar-SA"/>
              </w:rPr>
              <w:t>。</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根据延安市行政审批服务局《关于国家电投吴起高胜新能源50MW风电项目110kV送出工程核准的批复》（延行审投资发【2020】129号）、吴起县行政审批服务局《国家电投吴起高胜新能源50W风电场110kV送出工程选址意向的函》（吴审服项函【2020】292号）及项目走径意见，国家电投吴起高胜新能源50W风电场110kV送出工程全线长度约7.95km，25基铁塔。其中项目选址意向的函、核准批复及走径意见根据《国家电投集团吴起高胜新能源发电有限公司 吴起高胜50MW风电项目110kV送出工程可行性研究报告（收口版）》（2020.4）确定。根据建设单位提供《吴起高胜T接长城一期风电～周湾风电升压站110kV线路工程初设说明书》（2020.6），项目新建架空线路长度</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约7.105km</w:t>
            </w: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，21基铁塔。项目初设设计线路从线路长度、铁塔数量、项目成本费用等方面优于项目可研设计线路。经与建设单位沟通，本次环评以项目初设说明书中架空线路路径为准。</w:t>
            </w:r>
          </w:p>
          <w:p>
            <w:pPr>
              <w:pStyle w:val="18"/>
              <w:keepNext w:val="0"/>
              <w:keepLines w:val="0"/>
              <w:pageBreakBefore w:val="0"/>
              <w:widowControl/>
              <w:numPr>
                <w:ilvl w:val="2"/>
                <w:numId w:val="1"/>
              </w:numPr>
              <w:kinsoku/>
              <w:wordWrap/>
              <w:overflowPunct/>
              <w:topLinePunct w:val="0"/>
              <w:autoSpaceDE w:val="0"/>
              <w:autoSpaceDN w:val="0"/>
              <w:bidi w:val="0"/>
              <w:adjustRightInd w:val="0"/>
              <w:snapToGrid/>
              <w:spacing w:line="360" w:lineRule="auto"/>
              <w:ind w:left="0" w:leftChars="0" w:firstLine="0" w:firstLineChars="0"/>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编制依据</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根据《中华人民共和国环境影响评价法》和《建设项目环境保护管理条例》等有关规定，该工程需进行环境影响评价。根据《建设项目环境影响评价分类管理名录》（环境保护部部令第44号）及其修改单，</w:t>
            </w: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vertAlign w:val="baseline"/>
                <w:lang w:val="en-US" w:eastAsia="zh-CN" w:bidi="ar-SA"/>
              </w:rPr>
              <w:t>五十、核与辐射</w:t>
            </w:r>
            <w:r>
              <w:rPr>
                <w:rFonts w:hint="eastAsia" w:ascii="Times New Roman" w:hAnsi="Times New Roman" w:cs="Times New Roman" w:eastAsiaTheme="minorEastAsia"/>
                <w:b w:val="0"/>
                <w:bCs w:val="0"/>
                <w:color w:val="auto"/>
                <w:kern w:val="2"/>
                <w:sz w:val="24"/>
                <w:szCs w:val="24"/>
                <w:vertAlign w:val="baseline"/>
                <w:lang w:val="en-US" w:eastAsia="zh-CN" w:bidi="ar-SA"/>
              </w:rPr>
              <w:t>”中“</w:t>
            </w:r>
            <w:r>
              <w:rPr>
                <w:rFonts w:hint="default" w:ascii="Times New Roman" w:hAnsi="Times New Roman" w:cs="Times New Roman" w:eastAsiaTheme="minorEastAsia"/>
                <w:b w:val="0"/>
                <w:bCs w:val="0"/>
                <w:color w:val="auto"/>
                <w:kern w:val="2"/>
                <w:sz w:val="24"/>
                <w:szCs w:val="24"/>
                <w:vertAlign w:val="baseline"/>
                <w:lang w:val="en-US" w:eastAsia="zh-CN" w:bidi="ar-SA"/>
              </w:rPr>
              <w:t>181</w:t>
            </w: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vertAlign w:val="baseline"/>
                <w:lang w:val="en-US" w:eastAsia="zh-CN" w:bidi="ar-SA"/>
              </w:rPr>
              <w:t>输变电工程</w:t>
            </w: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vertAlign w:val="baseline"/>
                <w:lang w:val="en-US" w:eastAsia="zh-CN" w:bidi="ar-SA"/>
              </w:rPr>
              <w:t>中的要求，</w:t>
            </w: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vertAlign w:val="baseline"/>
                <w:lang w:val="en-US" w:eastAsia="zh-CN" w:bidi="ar-SA"/>
              </w:rPr>
              <w:t>500千伏及以上</w:t>
            </w: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vertAlign w:val="baseline"/>
                <w:lang w:val="en-US" w:eastAsia="zh-CN" w:bidi="ar-SA"/>
              </w:rPr>
              <w:t>涉及环境敏感区的330千伏及以上</w:t>
            </w: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vertAlign w:val="baseline"/>
                <w:lang w:val="en-US" w:eastAsia="zh-CN" w:bidi="ar-SA"/>
              </w:rPr>
              <w:t>应编制环境影响报告书</w:t>
            </w: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vertAlign w:val="baseline"/>
                <w:lang w:val="en-US" w:eastAsia="zh-CN" w:bidi="ar-SA"/>
              </w:rPr>
              <w:t>其他（100千伏以下除外）</w:t>
            </w: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vertAlign w:val="baseline"/>
                <w:lang w:val="en-US" w:eastAsia="zh-CN" w:bidi="ar-SA"/>
              </w:rPr>
              <w:t>应编制环境影响报告表。本工程电压等级为</w:t>
            </w:r>
            <w:r>
              <w:rPr>
                <w:rFonts w:hint="eastAsia" w:ascii="Times New Roman" w:hAnsi="Times New Roman" w:cs="Times New Roman" w:eastAsiaTheme="minorEastAsia"/>
                <w:b w:val="0"/>
                <w:bCs w:val="0"/>
                <w:color w:val="auto"/>
                <w:kern w:val="2"/>
                <w:sz w:val="24"/>
                <w:szCs w:val="24"/>
                <w:vertAlign w:val="baseline"/>
                <w:lang w:val="en-US" w:eastAsia="zh-CN" w:bidi="ar-SA"/>
              </w:rPr>
              <w:t>1</w:t>
            </w:r>
            <w:r>
              <w:rPr>
                <w:rFonts w:hint="default" w:ascii="Times New Roman" w:hAnsi="Times New Roman" w:cs="Times New Roman" w:eastAsiaTheme="minorEastAsia"/>
                <w:b w:val="0"/>
                <w:bCs w:val="0"/>
                <w:color w:val="auto"/>
                <w:kern w:val="2"/>
                <w:sz w:val="24"/>
                <w:szCs w:val="24"/>
                <w:vertAlign w:val="baseline"/>
                <w:lang w:val="en-US" w:eastAsia="zh-CN" w:bidi="ar-SA"/>
              </w:rPr>
              <w:t>10kV</w:t>
            </w: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vertAlign w:val="baseline"/>
                <w:lang w:val="en-US" w:eastAsia="zh-CN" w:bidi="ar-SA"/>
              </w:rPr>
              <w:t>依据上述规定，应编制环境影响报告表</w:t>
            </w:r>
            <w:r>
              <w:rPr>
                <w:rFonts w:hint="eastAsia" w:ascii="Times New Roman" w:hAnsi="Times New Roman" w:cs="Times New Roman" w:eastAsiaTheme="minorEastAsia"/>
                <w:b w:val="0"/>
                <w:bCs w:val="0"/>
                <w:color w:val="auto"/>
                <w:kern w:val="2"/>
                <w:sz w:val="24"/>
                <w:szCs w:val="24"/>
                <w:vertAlign w:val="baseline"/>
                <w:lang w:val="en-US" w:eastAsia="zh-CN" w:bidi="ar-SA"/>
              </w:rPr>
              <w:t>。</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为此，</w:t>
            </w:r>
            <w:r>
              <w:rPr>
                <w:rFonts w:hint="default" w:ascii="Times New Roman" w:hAnsi="Times New Roman" w:cs="Times New Roman" w:eastAsiaTheme="minorEastAsia"/>
                <w:b w:val="0"/>
                <w:bCs w:val="0"/>
                <w:color w:val="auto"/>
                <w:kern w:val="2"/>
                <w:sz w:val="24"/>
                <w:szCs w:val="24"/>
                <w:vertAlign w:val="baseline"/>
                <w:lang w:val="en-US" w:eastAsia="zh-CN" w:bidi="ar-SA"/>
              </w:rPr>
              <w:t>国家电投集团吴起高胜新能源发电有限公司</w:t>
            </w:r>
            <w:r>
              <w:rPr>
                <w:rFonts w:hint="eastAsia" w:ascii="Times New Roman" w:hAnsi="Times New Roman" w:cs="Times New Roman" w:eastAsiaTheme="minorEastAsia"/>
                <w:b w:val="0"/>
                <w:bCs w:val="0"/>
                <w:color w:val="auto"/>
                <w:kern w:val="2"/>
                <w:sz w:val="24"/>
                <w:szCs w:val="24"/>
                <w:vertAlign w:val="baseline"/>
                <w:lang w:val="en-US" w:eastAsia="zh-CN" w:bidi="ar-SA"/>
              </w:rPr>
              <w:t>于2020年7月16日委托我公司承担本项目的环境影响评价工作。接受委托后，我公司立即组织技术人员踏勘现场，收集、整理有关技术资料，对工程的建设等情况进行初步分析，并根据工程的性质、规模及工程所在地周围区域的环境特征，在现场踏勘、资料调研、环境监测、数据核算的基础上，编制完成了《</w:t>
            </w:r>
            <w:r>
              <w:rPr>
                <w:rFonts w:hint="default" w:ascii="Times New Roman" w:hAnsi="Times New Roman" w:eastAsia="宋体" w:cs="Times New Roman"/>
                <w:bCs/>
                <w:color w:val="auto"/>
                <w:kern w:val="2"/>
                <w:sz w:val="24"/>
                <w:szCs w:val="24"/>
                <w:lang w:val="en-US" w:eastAsia="zh-CN" w:bidi="ar-SA"/>
              </w:rPr>
              <w:t>国家电投吴起高胜新能源50</w:t>
            </w:r>
            <w:r>
              <w:rPr>
                <w:rFonts w:hint="eastAsia" w:ascii="Times New Roman" w:hAnsi="Times New Roman" w:cs="Times New Roman"/>
                <w:bCs/>
                <w:color w:val="auto"/>
                <w:kern w:val="2"/>
                <w:sz w:val="24"/>
                <w:szCs w:val="24"/>
                <w:lang w:val="en-US" w:eastAsia="zh-CN" w:bidi="ar-SA"/>
              </w:rPr>
              <w:t>MW风</w:t>
            </w:r>
            <w:r>
              <w:rPr>
                <w:rFonts w:hint="default" w:ascii="Times New Roman" w:hAnsi="Times New Roman" w:eastAsia="宋体" w:cs="Times New Roman"/>
                <w:bCs/>
                <w:color w:val="auto"/>
                <w:kern w:val="2"/>
                <w:sz w:val="24"/>
                <w:szCs w:val="24"/>
                <w:lang w:val="en-US" w:eastAsia="zh-CN" w:bidi="ar-SA"/>
              </w:rPr>
              <w:t>电场110kV送出工程</w:t>
            </w:r>
            <w:r>
              <w:rPr>
                <w:rFonts w:hint="eastAsia" w:ascii="Times New Roman" w:hAnsi="Times New Roman" w:cs="Times New Roman" w:eastAsiaTheme="minorEastAsia"/>
                <w:b w:val="0"/>
                <w:bCs w:val="0"/>
                <w:color w:val="auto"/>
                <w:kern w:val="2"/>
                <w:sz w:val="24"/>
                <w:szCs w:val="24"/>
                <w:vertAlign w:val="baseline"/>
                <w:lang w:val="en-US" w:eastAsia="zh-CN" w:bidi="ar-SA"/>
              </w:rPr>
              <w:t>环境影响报告表》。</w:t>
            </w:r>
          </w:p>
          <w:p>
            <w:pPr>
              <w:pStyle w:val="18"/>
              <w:keepNext w:val="0"/>
              <w:keepLines w:val="0"/>
              <w:pageBreakBefore w:val="0"/>
              <w:widowControl/>
              <w:numPr>
                <w:ilvl w:val="2"/>
                <w:numId w:val="1"/>
              </w:numPr>
              <w:kinsoku/>
              <w:wordWrap/>
              <w:overflowPunct/>
              <w:topLinePunct w:val="0"/>
              <w:autoSpaceDE w:val="0"/>
              <w:autoSpaceDN w:val="0"/>
              <w:bidi w:val="0"/>
              <w:adjustRightInd w:val="0"/>
              <w:snapToGrid/>
              <w:spacing w:line="360" w:lineRule="auto"/>
              <w:ind w:left="0" w:leftChars="0" w:firstLine="0" w:firstLineChars="0"/>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本项目相关工程建设现状及本次环境影响评价范围</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b w:val="0"/>
                <w:bCs/>
                <w:color w:val="auto"/>
                <w:kern w:val="2"/>
                <w:sz w:val="24"/>
                <w:szCs w:val="24"/>
                <w:highlight w:val="none"/>
                <w:vertAlign w:val="baseline"/>
                <w:lang w:val="en-US" w:eastAsia="zh-CN" w:bidi="ar-SA"/>
              </w:rPr>
              <w:t>本项目</w:t>
            </w:r>
            <w:r>
              <w:rPr>
                <w:rFonts w:hint="eastAsia" w:ascii="Times New Roman" w:hAnsi="Times New Roman" w:eastAsia="宋体" w:cs="Times New Roman"/>
                <w:b w:val="0"/>
                <w:bCs/>
                <w:color w:val="auto"/>
                <w:kern w:val="2"/>
                <w:sz w:val="24"/>
                <w:szCs w:val="24"/>
                <w:highlight w:val="none"/>
                <w:vertAlign w:val="baseline"/>
                <w:lang w:val="en-US" w:eastAsia="zh-CN" w:bidi="ar-SA"/>
              </w:rPr>
              <w:t>线路起点位于延安市吴起县周湾高胜50MW风电项目110kV升压站，终点位于吴起县周湾镇石宝湾村西南侧已建110kV树周线28#塔小号侧“T”接点</w:t>
            </w: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。线路走向示意图见图1-1。</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bCs/>
                <w:color w:val="auto"/>
                <w:kern w:val="2"/>
                <w:sz w:val="21"/>
                <w:szCs w:val="21"/>
                <w:highlight w:val="none"/>
                <w:vertAlign w:val="baseline"/>
                <w:lang w:val="en-US" w:eastAsia="zh-CN" w:bidi="ar-SA"/>
              </w:rPr>
            </w:pPr>
            <w:r>
              <w:drawing>
                <wp:anchor distT="0" distB="0" distL="114300" distR="114300" simplePos="0" relativeHeight="251674624" behindDoc="0" locked="0" layoutInCell="1" allowOverlap="1">
                  <wp:simplePos x="0" y="0"/>
                  <wp:positionH relativeFrom="column">
                    <wp:posOffset>5210175</wp:posOffset>
                  </wp:positionH>
                  <wp:positionV relativeFrom="paragraph">
                    <wp:posOffset>40640</wp:posOffset>
                  </wp:positionV>
                  <wp:extent cx="413385" cy="576580"/>
                  <wp:effectExtent l="0" t="0" r="5715" b="13970"/>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6"/>
                          <a:srcRect t="2362"/>
                          <a:stretch>
                            <a:fillRect/>
                          </a:stretch>
                        </pic:blipFill>
                        <pic:spPr>
                          <a:xfrm>
                            <a:off x="0" y="0"/>
                            <a:ext cx="413385" cy="576580"/>
                          </a:xfrm>
                          <a:prstGeom prst="rect">
                            <a:avLst/>
                          </a:prstGeom>
                          <a:noFill/>
                          <a:ln>
                            <a:noFill/>
                          </a:ln>
                        </pic:spPr>
                      </pic:pic>
                    </a:graphicData>
                  </a:graphic>
                </wp:anchor>
              </w:drawing>
            </w:r>
            <w:r>
              <w:drawing>
                <wp:inline distT="0" distB="0" distL="114300" distR="114300">
                  <wp:extent cx="5630545" cy="3070225"/>
                  <wp:effectExtent l="0" t="0" r="8255" b="1587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7"/>
                          <a:stretch>
                            <a:fillRect/>
                          </a:stretch>
                        </pic:blipFill>
                        <pic:spPr>
                          <a:xfrm>
                            <a:off x="0" y="0"/>
                            <a:ext cx="5630545" cy="3070225"/>
                          </a:xfrm>
                          <a:prstGeom prst="rect">
                            <a:avLst/>
                          </a:prstGeom>
                          <a:noFill/>
                          <a:ln>
                            <a:noFill/>
                          </a:ln>
                        </pic:spPr>
                      </pic:pic>
                    </a:graphicData>
                  </a:graphic>
                </wp:inline>
              </w:drawing>
            </w:r>
            <w:r>
              <w:rPr>
                <w:rFonts w:hint="eastAsia" w:ascii="Times New Roman" w:hAnsi="Times New Roman" w:cs="Times New Roman" w:eastAsiaTheme="minorEastAsia"/>
                <w:b/>
                <w:bCs/>
                <w:color w:val="auto"/>
                <w:kern w:val="2"/>
                <w:sz w:val="21"/>
                <w:szCs w:val="21"/>
                <w:highlight w:val="none"/>
                <w:vertAlign w:val="baseline"/>
                <w:lang w:val="en-US" w:eastAsia="zh-CN" w:bidi="ar-SA"/>
              </w:rPr>
              <w:t>图1-1  线路走向示意图</w:t>
            </w:r>
          </w:p>
          <w:p>
            <w:pPr>
              <w:pStyle w:val="18"/>
              <w:keepNext w:val="0"/>
              <w:keepLines w:val="0"/>
              <w:pageBreakBefore w:val="0"/>
              <w:widowControl/>
              <w:numPr>
                <w:ilvl w:val="0"/>
                <w:numId w:val="0"/>
              </w:numPr>
              <w:tabs>
                <w:tab w:val="left" w:pos="652"/>
              </w:tabs>
              <w:kinsoku/>
              <w:wordWrap/>
              <w:overflowPunct/>
              <w:topLinePunct w:val="0"/>
              <w:autoSpaceDE w:val="0"/>
              <w:autoSpaceDN w:val="0"/>
              <w:bidi w:val="0"/>
              <w:adjustRightInd w:val="0"/>
              <w:snapToGrid/>
              <w:spacing w:line="360" w:lineRule="auto"/>
              <w:ind w:left="0" w:leftChars="0" w:firstLine="482" w:firstLineChars="200"/>
              <w:jc w:val="left"/>
              <w:textAlignment w:val="auto"/>
              <w:rPr>
                <w:rFonts w:hint="default" w:ascii="Times New Roman" w:hAnsi="Times New Roman" w:cs="Times New Roman" w:eastAsiaTheme="minorEastAsia"/>
                <w:b/>
                <w:bCs/>
                <w:color w:val="auto"/>
                <w:kern w:val="2"/>
                <w:sz w:val="24"/>
                <w:szCs w:val="24"/>
                <w:highlight w:val="none"/>
                <w:vertAlign w:val="baseline"/>
                <w:lang w:val="en-US" w:eastAsia="zh-CN" w:bidi="ar-SA"/>
              </w:rPr>
            </w:pPr>
            <w:r>
              <w:rPr>
                <w:rFonts w:hint="eastAsia" w:ascii="Times New Roman" w:hAnsi="Times New Roman" w:cs="Times New Roman" w:eastAsiaTheme="minorEastAsia"/>
                <w:b/>
                <w:bCs/>
                <w:color w:val="auto"/>
                <w:kern w:val="2"/>
                <w:sz w:val="24"/>
                <w:szCs w:val="24"/>
                <w:highlight w:val="none"/>
                <w:vertAlign w:val="baseline"/>
                <w:lang w:val="en-US" w:eastAsia="zh-CN" w:bidi="ar-SA"/>
              </w:rPr>
              <w:t>1.1.3.1 与本项目相关工程建设现状</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（1）国家电投吴起高胜新能源50MW风电项目</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该项目位于延安市吴起县周湾镇。本项目计划安装23台单机容量为2.2MW的风电机组，总装机容量为50MW，年上网电量为10956.6万kW·h，年利用小时数2165h。总投资42313万元，其中环保投资854万元，占总投资2.02%。该项目依托的110KV升压站及输出线路不在本次评价范围内。</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延安市行政审批服务局于2019年1月17日以延行审城环发【2019】7号文对国家电投吴起高胜新能源50MW风电项目环境影响报告表进行了批复，详批复见附件5。目前该项目已开工建设。</w:t>
            </w:r>
          </w:p>
          <w:p>
            <w:pPr>
              <w:pStyle w:val="18"/>
              <w:keepNext w:val="0"/>
              <w:keepLines w:val="0"/>
              <w:pageBreakBefore w:val="0"/>
              <w:widowControl/>
              <w:numPr>
                <w:ilvl w:val="0"/>
                <w:numId w:val="2"/>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国家电投吴起高胜新能源50MW风电110kV升压站建设项目</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该项目位于陕西省延安市吴起县周湾镇境内。项目新建座110kV升压站，安装1台容量为50MVA的主变。本风电场配电装置为户外GIS设备，采用2回相互独立的35kV集电线路送至110kV升压站，经主变升压至110kV，由1回110kV送出线路接入电网。工程总投资184万元，环保投资35万元，占项目总投资的19.02%。</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延安市行政审批服务局于2019年5月5日以延行审城环发【2019】32号文对国家电投吴起高胜新能源50MW风电110kV升压站建设项目环境影响报告表进行了批复，详见附件6。目前该项目已开工建设。升压站出线及施工现场见图1-2。</w:t>
            </w:r>
          </w:p>
          <w:tbl>
            <w:tblPr>
              <w:tblStyle w:val="15"/>
              <w:tblW w:w="88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3" w:type="dxa"/>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left"/>
                    <w:textAlignment w:val="auto"/>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drawing>
                      <wp:inline distT="0" distB="0" distL="114300" distR="114300">
                        <wp:extent cx="5491480" cy="2524760"/>
                        <wp:effectExtent l="0" t="0" r="13970" b="8890"/>
                        <wp:docPr id="27" name="图片 27" descr="高胜出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高胜出线图"/>
                                <pic:cNvPicPr>
                                  <a:picLocks noChangeAspect="1"/>
                                </pic:cNvPicPr>
                              </pic:nvPicPr>
                              <pic:blipFill>
                                <a:blip r:embed="rId8"/>
                                <a:stretch>
                                  <a:fillRect/>
                                </a:stretch>
                              </pic:blipFill>
                              <pic:spPr>
                                <a:xfrm>
                                  <a:off x="0" y="0"/>
                                  <a:ext cx="5491480" cy="25247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3" w:type="dxa"/>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1"/>
                      <w:szCs w:val="21"/>
                      <w:highlight w:val="none"/>
                      <w:vertAlign w:val="baseline"/>
                      <w:lang w:val="en-US" w:eastAsia="zh-CN" w:bidi="ar-SA"/>
                    </w:rPr>
                    <w:t>110kV高胜升压站出线平面图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3" w:type="dxa"/>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left"/>
                    <w:textAlignment w:val="auto"/>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drawing>
                      <wp:inline distT="0" distB="0" distL="114300" distR="114300">
                        <wp:extent cx="5442585" cy="4081780"/>
                        <wp:effectExtent l="0" t="0" r="5715" b="13970"/>
                        <wp:docPr id="26" name="图片 26" descr="升压站南侧综合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升压站南侧综合楼"/>
                                <pic:cNvPicPr>
                                  <a:picLocks noChangeAspect="1"/>
                                </pic:cNvPicPr>
                              </pic:nvPicPr>
                              <pic:blipFill>
                                <a:blip r:embed="rId9"/>
                                <a:stretch>
                                  <a:fillRect/>
                                </a:stretch>
                              </pic:blipFill>
                              <pic:spPr>
                                <a:xfrm>
                                  <a:off x="0" y="0"/>
                                  <a:ext cx="5442585" cy="40817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3" w:type="dxa"/>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1"/>
                      <w:szCs w:val="21"/>
                      <w:highlight w:val="none"/>
                      <w:vertAlign w:val="baseline"/>
                      <w:lang w:val="en-US" w:eastAsia="zh-CN" w:bidi="ar-SA"/>
                    </w:rPr>
                    <w:t>110kV高胜升压站施工现场图</w:t>
                  </w:r>
                </w:p>
              </w:tc>
            </w:tr>
          </w:tbl>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bCs/>
                <w:color w:val="auto"/>
                <w:kern w:val="2"/>
                <w:sz w:val="21"/>
                <w:szCs w:val="21"/>
                <w:highlight w:val="none"/>
                <w:vertAlign w:val="baseline"/>
                <w:lang w:val="en-US" w:eastAsia="zh-CN" w:bidi="ar-SA"/>
              </w:rPr>
            </w:pPr>
            <w:r>
              <w:rPr>
                <w:rFonts w:hint="eastAsia" w:ascii="Times New Roman" w:hAnsi="Times New Roman" w:cs="Times New Roman" w:eastAsiaTheme="minorEastAsia"/>
                <w:b/>
                <w:bCs/>
                <w:color w:val="auto"/>
                <w:kern w:val="2"/>
                <w:sz w:val="21"/>
                <w:szCs w:val="21"/>
                <w:highlight w:val="none"/>
                <w:vertAlign w:val="baseline"/>
                <w:lang w:val="en-US" w:eastAsia="zh-CN" w:bidi="ar-SA"/>
              </w:rPr>
              <w:t>图1-2  升压站出线及施工现场图</w:t>
            </w:r>
          </w:p>
          <w:p>
            <w:pPr>
              <w:pStyle w:val="18"/>
              <w:keepNext w:val="0"/>
              <w:keepLines w:val="0"/>
              <w:pageBreakBefore w:val="0"/>
              <w:widowControl/>
              <w:numPr>
                <w:ilvl w:val="0"/>
                <w:numId w:val="2"/>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T接</w:t>
            </w:r>
            <w:r>
              <w:rPr>
                <w:rFonts w:hint="eastAsia" w:ascii="Times New Roman" w:hAnsi="Times New Roman" w:eastAsia="宋体" w:cs="Times New Roman"/>
                <w:b w:val="0"/>
                <w:bCs/>
                <w:color w:val="auto"/>
                <w:kern w:val="2"/>
                <w:sz w:val="24"/>
                <w:szCs w:val="24"/>
                <w:highlight w:val="none"/>
                <w:vertAlign w:val="baseline"/>
                <w:lang w:val="en-US" w:eastAsia="zh-CN" w:bidi="ar-SA"/>
              </w:rPr>
              <w:t>吴起县周湾镇石宝湾村西南侧已建110kV树周线28#塔小号侧</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根据吴起高胜新能源50MW风电项目送出工程可研评审意见，本次吴起高胜风电场升压站以1回110kV线路“T”接在华润长城一期风电～周湾风电升压站110kV线路上，“T”接点位于110kV树周线28#塔小号侧20m处，采用架空十字“T”接方式，详见110kV树周线“T”接点平面布置示意图，线路终点T接线路点见图1-3。</w:t>
            </w:r>
          </w:p>
          <w:tbl>
            <w:tblPr>
              <w:tblStyle w:val="15"/>
              <w:tblW w:w="88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3"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pPr>
                  <w:r>
                    <w:rPr>
                      <w:color w:val="auto"/>
                    </w:rPr>
                    <w:drawing>
                      <wp:inline distT="0" distB="0" distL="114300" distR="114300">
                        <wp:extent cx="3124200" cy="3289935"/>
                        <wp:effectExtent l="0" t="0" r="0" b="5715"/>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pic:cNvPicPr>
                              </pic:nvPicPr>
                              <pic:blipFill>
                                <a:blip r:embed="rId10"/>
                                <a:stretch>
                                  <a:fillRect/>
                                </a:stretch>
                              </pic:blipFill>
                              <pic:spPr>
                                <a:xfrm>
                                  <a:off x="0" y="0"/>
                                  <a:ext cx="3124200" cy="32899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73"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110k</w:t>
                  </w:r>
                  <w:r>
                    <w:rPr>
                      <w:rFonts w:hint="eastAsia" w:ascii="Times New Roman" w:hAnsi="Times New Roman" w:cs="Times New Roman" w:eastAsiaTheme="minorEastAsia"/>
                      <w:b w:val="0"/>
                      <w:bCs w:val="0"/>
                      <w:color w:val="auto"/>
                      <w:kern w:val="2"/>
                      <w:sz w:val="21"/>
                      <w:szCs w:val="21"/>
                      <w:highlight w:val="none"/>
                      <w:vertAlign w:val="baseline"/>
                      <w:lang w:val="en-US" w:eastAsia="zh-CN" w:bidi="ar-SA"/>
                    </w:rPr>
                    <w:t>V树</w:t>
                  </w: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周线“T”接点平面布置示意图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73"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drawing>
                      <wp:inline distT="0" distB="0" distL="114300" distR="114300">
                        <wp:extent cx="5442585" cy="4081780"/>
                        <wp:effectExtent l="0" t="0" r="5715" b="13970"/>
                        <wp:docPr id="28" name="图片 28" descr="110kV 1274树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10kV 1274树周线"/>
                                <pic:cNvPicPr>
                                  <a:picLocks noChangeAspect="1"/>
                                </pic:cNvPicPr>
                              </pic:nvPicPr>
                              <pic:blipFill>
                                <a:blip r:embed="rId11"/>
                                <a:stretch>
                                  <a:fillRect/>
                                </a:stretch>
                              </pic:blipFill>
                              <pic:spPr>
                                <a:xfrm>
                                  <a:off x="0" y="0"/>
                                  <a:ext cx="5442585" cy="40817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73"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110kV 1274树周线028号</w:t>
                  </w:r>
                </w:p>
              </w:tc>
            </w:tr>
          </w:tbl>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eastAsiaTheme="minorEastAsia"/>
                <w:b/>
                <w:bCs/>
                <w:color w:val="auto"/>
                <w:kern w:val="2"/>
                <w:sz w:val="21"/>
                <w:szCs w:val="21"/>
                <w:highlight w:val="none"/>
                <w:vertAlign w:val="baseline"/>
                <w:lang w:val="en-US" w:eastAsia="zh-CN" w:bidi="ar-SA"/>
              </w:rPr>
            </w:pPr>
            <w:r>
              <w:rPr>
                <w:rFonts w:hint="eastAsia" w:ascii="Times New Roman" w:hAnsi="Times New Roman" w:cs="Times New Roman" w:eastAsiaTheme="minorEastAsia"/>
                <w:b/>
                <w:bCs/>
                <w:color w:val="auto"/>
                <w:kern w:val="2"/>
                <w:sz w:val="21"/>
                <w:szCs w:val="21"/>
                <w:highlight w:val="none"/>
                <w:vertAlign w:val="baseline"/>
                <w:lang w:val="en-US" w:eastAsia="zh-CN" w:bidi="ar-SA"/>
              </w:rPr>
              <w:t>图1-3  线路终点T接线路点</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2" w:firstLineChars="200"/>
              <w:jc w:val="left"/>
              <w:textAlignment w:val="auto"/>
              <w:rPr>
                <w:rFonts w:hint="eastAsia" w:ascii="Times New Roman" w:hAnsi="Times New Roman" w:cs="Times New Roman" w:eastAsiaTheme="minorEastAsia"/>
                <w:b/>
                <w:bCs/>
                <w:color w:val="auto"/>
                <w:kern w:val="2"/>
                <w:sz w:val="24"/>
                <w:szCs w:val="24"/>
                <w:vertAlign w:val="baseline"/>
                <w:lang w:val="en-US" w:eastAsia="zh-CN" w:bidi="ar-SA"/>
              </w:rPr>
            </w:pPr>
            <w:r>
              <w:rPr>
                <w:rFonts w:hint="eastAsia" w:ascii="Times New Roman" w:hAnsi="Times New Roman" w:cs="Times New Roman" w:eastAsiaTheme="minorEastAsia"/>
                <w:b/>
                <w:bCs/>
                <w:color w:val="auto"/>
                <w:kern w:val="2"/>
                <w:sz w:val="24"/>
                <w:szCs w:val="24"/>
                <w:vertAlign w:val="baseline"/>
                <w:lang w:val="en-US" w:eastAsia="zh-CN" w:bidi="ar-SA"/>
              </w:rPr>
              <w:t>1.1.3.2 本项目评价范围</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本项目评价范围只包含110V送出线路工程，</w:t>
            </w:r>
            <w:r>
              <w:rPr>
                <w:rFonts w:hint="eastAsia" w:ascii="Times New Roman" w:hAnsi="Times New Roman" w:eastAsia="宋体" w:cs="Times New Roman"/>
                <w:b w:val="0"/>
                <w:bCs/>
                <w:color w:val="auto"/>
                <w:kern w:val="2"/>
                <w:sz w:val="24"/>
                <w:szCs w:val="24"/>
                <w:highlight w:val="none"/>
                <w:vertAlign w:val="baseline"/>
                <w:lang w:val="en-US" w:eastAsia="zh-CN" w:bidi="ar-SA"/>
              </w:rPr>
              <w:t>线路起点位于延安市吴起县周湾高胜50MW风电项目110kV升压站，终点位于吴起县周湾镇石宝湾村西南侧已建110kV树周线28#塔小号侧“T”接点</w:t>
            </w: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1.2 分析判定相关情况</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1.2.1 产业政策符合性</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对照国家发展和改革委员会《产业结构调整指导目录（2019年本）》（2019年10月30日国家发展和改革委员会第29号令），该工程属于</w:t>
            </w: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vertAlign w:val="baseline"/>
                <w:lang w:val="en-US" w:eastAsia="zh-CN" w:bidi="ar-SA"/>
              </w:rPr>
              <w:t>四、电力</w:t>
            </w:r>
            <w:r>
              <w:rPr>
                <w:rFonts w:hint="eastAsia" w:ascii="Times New Roman" w:hAnsi="Times New Roman" w:cs="Times New Roman" w:eastAsiaTheme="minorEastAsia"/>
                <w:b w:val="0"/>
                <w:bCs w:val="0"/>
                <w:color w:val="auto"/>
                <w:kern w:val="2"/>
                <w:sz w:val="24"/>
                <w:szCs w:val="24"/>
                <w:vertAlign w:val="baseline"/>
                <w:lang w:val="en-US" w:eastAsia="zh-CN" w:bidi="ar-SA"/>
              </w:rPr>
              <w:t xml:space="preserve"> </w:t>
            </w:r>
            <w:r>
              <w:rPr>
                <w:rFonts w:hint="default" w:ascii="Times New Roman" w:hAnsi="Times New Roman" w:cs="Times New Roman" w:eastAsiaTheme="minorEastAsia"/>
                <w:b w:val="0"/>
                <w:bCs w:val="0"/>
                <w:color w:val="auto"/>
                <w:kern w:val="2"/>
                <w:sz w:val="24"/>
                <w:szCs w:val="24"/>
                <w:vertAlign w:val="baseline"/>
                <w:lang w:val="en-US" w:eastAsia="zh-CN" w:bidi="ar-SA"/>
              </w:rPr>
              <w:t>10、电网改造与建设，增量配电网建设</w:t>
            </w: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vertAlign w:val="baseline"/>
                <w:lang w:val="en-US" w:eastAsia="zh-CN" w:bidi="ar-SA"/>
              </w:rPr>
              <w:t>，为鼓励类项目</w:t>
            </w:r>
            <w:r>
              <w:rPr>
                <w:rFonts w:hint="eastAsia" w:ascii="Times New Roman" w:hAnsi="Times New Roman" w:cs="Times New Roman" w:eastAsiaTheme="minorEastAsia"/>
                <w:b w:val="0"/>
                <w:bCs w:val="0"/>
                <w:color w:val="auto"/>
                <w:kern w:val="2"/>
                <w:sz w:val="24"/>
                <w:szCs w:val="24"/>
                <w:vertAlign w:val="baseline"/>
                <w:lang w:val="en-US" w:eastAsia="zh-CN" w:bidi="ar-SA"/>
              </w:rPr>
              <w:t>。同时，项目已取得延安市行政审批服务局《关于国家电投吴起高胜新能源50MW风电项目110kV送出工程核准的批复》（延行审投资发【2020】129号），详见附件4。因此，本项目建设</w:t>
            </w:r>
            <w:r>
              <w:rPr>
                <w:rFonts w:hint="default" w:ascii="Times New Roman" w:hAnsi="Times New Roman" w:cs="Times New Roman" w:eastAsiaTheme="minorEastAsia"/>
                <w:b w:val="0"/>
                <w:bCs w:val="0"/>
                <w:color w:val="auto"/>
                <w:kern w:val="2"/>
                <w:sz w:val="24"/>
                <w:szCs w:val="24"/>
                <w:vertAlign w:val="baseline"/>
                <w:lang w:val="en-US" w:eastAsia="zh-CN" w:bidi="ar-SA"/>
              </w:rPr>
              <w:t>符合国家产业政策</w:t>
            </w:r>
            <w:r>
              <w:rPr>
                <w:rFonts w:hint="eastAsia" w:ascii="Times New Roman" w:hAnsi="Times New Roman" w:cs="Times New Roman" w:eastAsiaTheme="minorEastAsia"/>
                <w:b w:val="0"/>
                <w:bCs w:val="0"/>
                <w:color w:val="auto"/>
                <w:kern w:val="2"/>
                <w:sz w:val="24"/>
                <w:szCs w:val="24"/>
                <w:vertAlign w:val="baseline"/>
                <w:lang w:val="en-US" w:eastAsia="zh-CN" w:bidi="ar-SA"/>
              </w:rPr>
              <w:t>。</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1.2.2 规划符合性分析</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2" w:firstLineChars="200"/>
              <w:jc w:val="left"/>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eastAsia" w:ascii="Times New Roman" w:hAnsi="Times New Roman" w:cs="Times New Roman" w:eastAsiaTheme="minorEastAsia"/>
                <w:b/>
                <w:bCs/>
                <w:color w:val="auto"/>
                <w:kern w:val="2"/>
                <w:sz w:val="24"/>
                <w:szCs w:val="24"/>
                <w:vertAlign w:val="baseline"/>
                <w:lang w:val="en-US" w:eastAsia="zh-CN" w:bidi="ar-SA"/>
              </w:rPr>
              <w:t>1.2.2.1 陕西电网规划</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vertAlign w:val="baseline"/>
                <w:lang w:val="en-US" w:eastAsia="zh-CN" w:bidi="ar-SA"/>
              </w:rPr>
              <w:t>十三五</w:t>
            </w: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vertAlign w:val="baseline"/>
                <w:lang w:val="en-US" w:eastAsia="zh-CN" w:bidi="ar-SA"/>
              </w:rPr>
              <w:t>期间，建成陕北至关中750</w:t>
            </w:r>
            <w:r>
              <w:rPr>
                <w:rFonts w:hint="eastAsia" w:ascii="Times New Roman" w:hAnsi="Times New Roman" w:cs="Times New Roman" w:eastAsiaTheme="minorEastAsia"/>
                <w:b w:val="0"/>
                <w:bCs w:val="0"/>
                <w:color w:val="auto"/>
                <w:kern w:val="2"/>
                <w:sz w:val="24"/>
                <w:szCs w:val="24"/>
                <w:vertAlign w:val="baseline"/>
                <w:lang w:val="en-US" w:eastAsia="zh-CN" w:bidi="ar-SA"/>
              </w:rPr>
              <w:t>k</w:t>
            </w:r>
            <w:r>
              <w:rPr>
                <w:rFonts w:hint="default" w:ascii="Times New Roman" w:hAnsi="Times New Roman" w:cs="Times New Roman" w:eastAsiaTheme="minorEastAsia"/>
                <w:b w:val="0"/>
                <w:bCs w:val="0"/>
                <w:color w:val="auto"/>
                <w:kern w:val="2"/>
                <w:sz w:val="24"/>
                <w:szCs w:val="24"/>
                <w:vertAlign w:val="baseline"/>
                <w:lang w:val="en-US" w:eastAsia="zh-CN" w:bidi="ar-SA"/>
              </w:rPr>
              <w:t>V二通道工程、神木750kV输变电工程、西安北750</w:t>
            </w:r>
            <w:r>
              <w:rPr>
                <w:rFonts w:hint="eastAsia" w:ascii="Times New Roman" w:hAnsi="Times New Roman" w:cs="Times New Roman" w:eastAsiaTheme="minorEastAsia"/>
                <w:b w:val="0"/>
                <w:bCs w:val="0"/>
                <w:color w:val="auto"/>
                <w:kern w:val="2"/>
                <w:sz w:val="24"/>
                <w:szCs w:val="24"/>
                <w:vertAlign w:val="baseline"/>
                <w:lang w:val="en-US" w:eastAsia="zh-CN" w:bidi="ar-SA"/>
              </w:rPr>
              <w:t>k</w:t>
            </w:r>
            <w:r>
              <w:rPr>
                <w:rFonts w:hint="default" w:ascii="Times New Roman" w:hAnsi="Times New Roman" w:cs="Times New Roman" w:eastAsiaTheme="minorEastAsia"/>
                <w:b w:val="0"/>
                <w:bCs w:val="0"/>
                <w:color w:val="auto"/>
                <w:kern w:val="2"/>
                <w:sz w:val="24"/>
                <w:szCs w:val="24"/>
                <w:vertAlign w:val="baseline"/>
                <w:lang w:val="en-US" w:eastAsia="zh-CN" w:bidi="ar-SA"/>
              </w:rPr>
              <w:t>V输变电工程、信义—南山—宝鸡Ⅱ回750kV输变电工程等750k</w:t>
            </w:r>
            <w:r>
              <w:rPr>
                <w:rFonts w:hint="eastAsia" w:ascii="Times New Roman" w:hAnsi="Times New Roman" w:cs="Times New Roman" w:eastAsiaTheme="minorEastAsia"/>
                <w:b w:val="0"/>
                <w:bCs w:val="0"/>
                <w:color w:val="auto"/>
                <w:kern w:val="2"/>
                <w:sz w:val="24"/>
                <w:szCs w:val="24"/>
                <w:vertAlign w:val="baseline"/>
                <w:lang w:val="en-US" w:eastAsia="zh-CN" w:bidi="ar-SA"/>
              </w:rPr>
              <w:t>V</w:t>
            </w:r>
            <w:r>
              <w:rPr>
                <w:rFonts w:hint="default" w:ascii="Times New Roman" w:hAnsi="Times New Roman" w:cs="Times New Roman" w:eastAsiaTheme="minorEastAsia"/>
                <w:b w:val="0"/>
                <w:bCs w:val="0"/>
                <w:color w:val="auto"/>
                <w:kern w:val="2"/>
                <w:sz w:val="24"/>
                <w:szCs w:val="24"/>
                <w:vertAlign w:val="baseline"/>
                <w:lang w:val="en-US" w:eastAsia="zh-CN" w:bidi="ar-SA"/>
              </w:rPr>
              <w:t>重点项目。陕北向关中输电能力将由230×10</w:t>
            </w:r>
            <w:r>
              <w:rPr>
                <w:rFonts w:hint="default" w:ascii="Times New Roman" w:hAnsi="Times New Roman" w:cs="Times New Roman" w:eastAsiaTheme="minorEastAsia"/>
                <w:b w:val="0"/>
                <w:bCs w:val="0"/>
                <w:color w:val="auto"/>
                <w:kern w:val="2"/>
                <w:sz w:val="24"/>
                <w:szCs w:val="24"/>
                <w:vertAlign w:val="superscript"/>
                <w:lang w:val="en-US" w:eastAsia="zh-CN" w:bidi="ar-SA"/>
              </w:rPr>
              <w:t>4</w:t>
            </w:r>
            <w:r>
              <w:rPr>
                <w:rFonts w:hint="default" w:ascii="Times New Roman" w:hAnsi="Times New Roman" w:cs="Times New Roman" w:eastAsiaTheme="minorEastAsia"/>
                <w:b w:val="0"/>
                <w:bCs w:val="0"/>
                <w:color w:val="auto"/>
                <w:kern w:val="2"/>
                <w:sz w:val="24"/>
                <w:szCs w:val="24"/>
                <w:vertAlign w:val="baseline"/>
                <w:lang w:val="en-US" w:eastAsia="zh-CN" w:bidi="ar-SA"/>
              </w:rPr>
              <w:t>kW增加到650×10</w:t>
            </w:r>
            <w:r>
              <w:rPr>
                <w:rFonts w:hint="default" w:ascii="Times New Roman" w:hAnsi="Times New Roman" w:cs="Times New Roman" w:eastAsiaTheme="minorEastAsia"/>
                <w:b w:val="0"/>
                <w:bCs w:val="0"/>
                <w:color w:val="auto"/>
                <w:kern w:val="2"/>
                <w:sz w:val="24"/>
                <w:szCs w:val="24"/>
                <w:vertAlign w:val="superscript"/>
                <w:lang w:val="en-US" w:eastAsia="zh-CN" w:bidi="ar-SA"/>
              </w:rPr>
              <w:t>4</w:t>
            </w:r>
            <w:r>
              <w:rPr>
                <w:rFonts w:hint="default" w:ascii="Times New Roman" w:hAnsi="Times New Roman" w:cs="Times New Roman" w:eastAsiaTheme="minorEastAsia"/>
                <w:b w:val="0"/>
                <w:bCs w:val="0"/>
                <w:color w:val="auto"/>
                <w:kern w:val="2"/>
                <w:sz w:val="24"/>
                <w:szCs w:val="24"/>
                <w:vertAlign w:val="baseline"/>
                <w:lang w:val="en-US" w:eastAsia="zh-CN" w:bidi="ar-SA"/>
              </w:rPr>
              <w:t>kW，陕北电网与主网联络显著增强，满足陕北大规模风电、光伏基地送出需求。同时，关中地区将形成750kV双环网结构，供电能力和可靠性将大幅提高，既能缓解煤电运输矛盾，推动陕西清洁能源健康发展，又可有力保障东中部负荷中心区电力供应、防治大气污染，实现陕西与东中部经济发达地区的共同发展。</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2" w:firstLineChars="200"/>
              <w:jc w:val="left"/>
              <w:textAlignment w:val="auto"/>
              <w:rPr>
                <w:rFonts w:hint="eastAsia" w:ascii="Times New Roman" w:hAnsi="Times New Roman" w:cs="Times New Roman" w:eastAsiaTheme="minorEastAsia"/>
                <w:b/>
                <w:bCs/>
                <w:color w:val="auto"/>
                <w:kern w:val="2"/>
                <w:sz w:val="24"/>
                <w:szCs w:val="24"/>
                <w:vertAlign w:val="baseline"/>
                <w:lang w:val="en-US" w:eastAsia="zh-CN" w:bidi="ar-SA"/>
              </w:rPr>
            </w:pPr>
            <w:r>
              <w:rPr>
                <w:rFonts w:hint="eastAsia" w:ascii="Times New Roman" w:hAnsi="Times New Roman" w:cs="Times New Roman" w:eastAsiaTheme="minorEastAsia"/>
                <w:b/>
                <w:bCs/>
                <w:color w:val="auto"/>
                <w:kern w:val="2"/>
                <w:sz w:val="24"/>
                <w:szCs w:val="24"/>
                <w:vertAlign w:val="baseline"/>
                <w:lang w:val="en-US" w:eastAsia="zh-CN" w:bidi="ar-SA"/>
              </w:rPr>
              <w:t>1.2.2.2 延安电网规划</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延安地区电网作为关中与陕北电网的联络枢纽，网架结构以750kV和330kV为依托，以10kV为主网架，通过750kV洛信线和330kV黄金线、黄桃线与陕西主网相连，通过750kV洛横线、330kV统延线、绥朱线、永边线、永统线与榆林电网相连。地区电网以330kV延安变、朱家变、黄陵变、永康变、吉现变、肤施变为中心向周围辐射供电，形成六个供电区域。</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十三五”期间延安110kV电网将以优化配电网网架、解决全网单线单变、主变过载等问题为主要任务，配合市政大型工业用电负荷需求，新建延安中心、文安驿变等24座变电站，增容新区、杨家湾变等12座变电站，形成坚强可靠的地区高压配电网。</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200"/>
              <w:jc w:val="left"/>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eastAsia" w:ascii="Times New Roman" w:hAnsi="Times New Roman" w:cs="Times New Roman" w:eastAsiaTheme="minorEastAsia"/>
                <w:b/>
                <w:bCs/>
                <w:color w:val="auto"/>
                <w:kern w:val="2"/>
                <w:sz w:val="24"/>
                <w:szCs w:val="24"/>
                <w:vertAlign w:val="baseline"/>
                <w:lang w:val="en-US" w:eastAsia="zh-CN" w:bidi="ar-SA"/>
              </w:rPr>
              <w:t xml:space="preserve">1.2.2.3 </w:t>
            </w:r>
            <w:r>
              <w:rPr>
                <w:rFonts w:hint="default" w:ascii="Times New Roman" w:hAnsi="Times New Roman" w:cs="Times New Roman" w:eastAsiaTheme="minorEastAsia"/>
                <w:b/>
                <w:bCs/>
                <w:color w:val="auto"/>
                <w:kern w:val="2"/>
                <w:sz w:val="24"/>
                <w:szCs w:val="24"/>
                <w:vertAlign w:val="baseline"/>
                <w:lang w:val="en-US" w:eastAsia="zh-CN" w:bidi="ar-SA"/>
              </w:rPr>
              <w:t>周边电网规划</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eastAsia="宋体" w:cs="Times New Roman"/>
                <w:bCs/>
                <w:color w:val="auto"/>
                <w:kern w:val="2"/>
                <w:sz w:val="24"/>
                <w:szCs w:val="24"/>
                <w:lang w:val="en-US" w:eastAsia="zh-CN" w:bidi="ar-SA"/>
              </w:rPr>
              <w:t>国家电投吴起高胜新能源50</w:t>
            </w:r>
            <w:r>
              <w:rPr>
                <w:rFonts w:hint="eastAsia" w:ascii="Times New Roman" w:hAnsi="Times New Roman" w:cs="Times New Roman"/>
                <w:bCs/>
                <w:color w:val="auto"/>
                <w:kern w:val="2"/>
                <w:sz w:val="24"/>
                <w:szCs w:val="24"/>
                <w:lang w:val="en-US" w:eastAsia="zh-CN" w:bidi="ar-SA"/>
              </w:rPr>
              <w:t>MW风</w:t>
            </w:r>
            <w:r>
              <w:rPr>
                <w:rFonts w:hint="default" w:ascii="Times New Roman" w:hAnsi="Times New Roman" w:eastAsia="宋体" w:cs="Times New Roman"/>
                <w:bCs/>
                <w:color w:val="auto"/>
                <w:kern w:val="2"/>
                <w:sz w:val="24"/>
                <w:szCs w:val="24"/>
                <w:lang w:val="en-US" w:eastAsia="zh-CN" w:bidi="ar-SA"/>
              </w:rPr>
              <w:t>电场110kV送出工程</w:t>
            </w:r>
            <w:r>
              <w:rPr>
                <w:rFonts w:hint="default" w:ascii="Times New Roman" w:hAnsi="Times New Roman" w:cs="Times New Roman" w:eastAsiaTheme="minorEastAsia"/>
                <w:b w:val="0"/>
                <w:bCs w:val="0"/>
                <w:color w:val="auto"/>
                <w:kern w:val="2"/>
                <w:sz w:val="24"/>
                <w:szCs w:val="24"/>
                <w:vertAlign w:val="baseline"/>
                <w:lang w:val="en-US" w:eastAsia="zh-CN" w:bidi="ar-SA"/>
              </w:rPr>
              <w:t>位于延安电网330</w:t>
            </w:r>
            <w:r>
              <w:rPr>
                <w:rFonts w:hint="eastAsia" w:ascii="Times New Roman" w:hAnsi="Times New Roman" w:cs="Times New Roman" w:eastAsiaTheme="minorEastAsia"/>
                <w:b w:val="0"/>
                <w:bCs w:val="0"/>
                <w:color w:val="auto"/>
                <w:kern w:val="2"/>
                <w:sz w:val="24"/>
                <w:szCs w:val="24"/>
                <w:vertAlign w:val="baseline"/>
                <w:lang w:val="en-US" w:eastAsia="zh-CN" w:bidi="ar-SA"/>
              </w:rPr>
              <w:t>k</w:t>
            </w:r>
            <w:r>
              <w:rPr>
                <w:rFonts w:hint="default" w:ascii="Times New Roman" w:hAnsi="Times New Roman" w:cs="Times New Roman" w:eastAsiaTheme="minorEastAsia"/>
                <w:b w:val="0"/>
                <w:bCs w:val="0"/>
                <w:color w:val="auto"/>
                <w:kern w:val="2"/>
                <w:sz w:val="24"/>
                <w:szCs w:val="24"/>
                <w:vertAlign w:val="baseline"/>
                <w:lang w:val="en-US" w:eastAsia="zh-CN" w:bidi="ar-SA"/>
              </w:rPr>
              <w:t>V</w:t>
            </w:r>
            <w:r>
              <w:rPr>
                <w:rFonts w:hint="eastAsia" w:ascii="Times New Roman" w:hAnsi="Times New Roman" w:cs="Times New Roman" w:eastAsiaTheme="minorEastAsia"/>
                <w:b w:val="0"/>
                <w:bCs w:val="0"/>
                <w:color w:val="auto"/>
                <w:kern w:val="2"/>
                <w:sz w:val="24"/>
                <w:szCs w:val="24"/>
                <w:vertAlign w:val="baseline"/>
                <w:lang w:val="en-US" w:eastAsia="zh-CN" w:bidi="ar-SA"/>
              </w:rPr>
              <w:t>永康</w:t>
            </w:r>
            <w:r>
              <w:rPr>
                <w:rFonts w:hint="default" w:ascii="Times New Roman" w:hAnsi="Times New Roman" w:cs="Times New Roman" w:eastAsiaTheme="minorEastAsia"/>
                <w:b w:val="0"/>
                <w:bCs w:val="0"/>
                <w:color w:val="auto"/>
                <w:kern w:val="2"/>
                <w:sz w:val="24"/>
                <w:szCs w:val="24"/>
                <w:vertAlign w:val="baseline"/>
                <w:lang w:val="en-US" w:eastAsia="zh-CN" w:bidi="ar-SA"/>
              </w:rPr>
              <w:t>变供电区</w:t>
            </w: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vertAlign w:val="baseline"/>
                <w:lang w:val="en-US" w:eastAsia="zh-CN" w:bidi="ar-SA"/>
              </w:rPr>
              <w:t>周边有110kV</w:t>
            </w:r>
            <w:r>
              <w:rPr>
                <w:rFonts w:hint="eastAsia" w:ascii="Times New Roman" w:hAnsi="Times New Roman" w:cs="Times New Roman" w:eastAsiaTheme="minorEastAsia"/>
                <w:b w:val="0"/>
                <w:bCs w:val="0"/>
                <w:color w:val="auto"/>
                <w:kern w:val="2"/>
                <w:sz w:val="24"/>
                <w:szCs w:val="24"/>
                <w:vertAlign w:val="baseline"/>
                <w:lang w:val="en-US" w:eastAsia="zh-CN" w:bidi="ar-SA"/>
              </w:rPr>
              <w:t>华润长城</w:t>
            </w:r>
            <w:r>
              <w:rPr>
                <w:rFonts w:hint="default" w:ascii="Times New Roman" w:hAnsi="Times New Roman" w:cs="Times New Roman" w:eastAsiaTheme="minorEastAsia"/>
                <w:b w:val="0"/>
                <w:bCs w:val="0"/>
                <w:color w:val="auto"/>
                <w:kern w:val="2"/>
                <w:sz w:val="24"/>
                <w:szCs w:val="24"/>
                <w:vertAlign w:val="baseline"/>
                <w:lang w:val="en-US" w:eastAsia="zh-CN" w:bidi="ar-SA"/>
              </w:rPr>
              <w:t>变、110kV</w:t>
            </w:r>
            <w:r>
              <w:rPr>
                <w:rFonts w:hint="eastAsia" w:ascii="Times New Roman" w:hAnsi="Times New Roman" w:cs="Times New Roman" w:eastAsiaTheme="minorEastAsia"/>
                <w:b w:val="0"/>
                <w:bCs w:val="0"/>
                <w:color w:val="auto"/>
                <w:kern w:val="2"/>
                <w:sz w:val="24"/>
                <w:szCs w:val="24"/>
                <w:vertAlign w:val="baseline"/>
                <w:lang w:val="en-US" w:eastAsia="zh-CN" w:bidi="ar-SA"/>
              </w:rPr>
              <w:t>周湾</w:t>
            </w:r>
            <w:r>
              <w:rPr>
                <w:rFonts w:hint="default" w:ascii="Times New Roman" w:hAnsi="Times New Roman" w:cs="Times New Roman" w:eastAsiaTheme="minorEastAsia"/>
                <w:b w:val="0"/>
                <w:bCs w:val="0"/>
                <w:color w:val="auto"/>
                <w:kern w:val="2"/>
                <w:sz w:val="24"/>
                <w:szCs w:val="24"/>
                <w:vertAlign w:val="baseline"/>
                <w:lang w:val="en-US" w:eastAsia="zh-CN" w:bidi="ar-SA"/>
              </w:rPr>
              <w:t>变等。</w:t>
            </w:r>
            <w:r>
              <w:rPr>
                <w:rFonts w:hint="eastAsia" w:ascii="Times New Roman" w:hAnsi="Times New Roman" w:cs="Times New Roman"/>
                <w:color w:val="auto"/>
                <w:sz w:val="24"/>
              </w:rPr>
              <w:t>根据国电、华润、国电投三家企业的协议，国电投吴起高胜50MW风电场以1回110kV线路T接在华润长城一期风电场</w:t>
            </w:r>
            <w:r>
              <w:rPr>
                <w:rFonts w:hint="eastAsia" w:ascii="Times New Roman" w:hAnsi="Times New Roman" w:cs="Times New Roman"/>
                <w:color w:val="auto"/>
                <w:sz w:val="24"/>
                <w:lang w:eastAsia="zh-CN"/>
              </w:rPr>
              <w:t>至</w:t>
            </w:r>
            <w:r>
              <w:rPr>
                <w:rFonts w:hint="eastAsia" w:ascii="Times New Roman" w:hAnsi="Times New Roman" w:cs="Times New Roman"/>
                <w:color w:val="auto"/>
                <w:sz w:val="24"/>
              </w:rPr>
              <w:t>周湾风电场升压站110kV线路上，新建110V架空线路长度约7.105km，采用300mm</w:t>
            </w:r>
            <w:r>
              <w:rPr>
                <w:rFonts w:hint="eastAsia" w:ascii="Times New Roman" w:hAnsi="Times New Roman" w:cs="Times New Roman"/>
                <w:color w:val="auto"/>
                <w:sz w:val="24"/>
                <w:vertAlign w:val="superscript"/>
              </w:rPr>
              <w:t>2</w:t>
            </w:r>
            <w:r>
              <w:rPr>
                <w:rFonts w:hint="eastAsia" w:ascii="Times New Roman" w:hAnsi="Times New Roman" w:cs="Times New Roman"/>
                <w:color w:val="auto"/>
                <w:sz w:val="24"/>
              </w:rPr>
              <w:t>截面导线。</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周边电网2020年底规划地理接线图见图1</w:t>
            </w:r>
            <w:r>
              <w:rPr>
                <w:rFonts w:hint="eastAsia" w:ascii="Times New Roman" w:hAnsi="Times New Roman" w:cs="Times New Roman" w:eastAsiaTheme="minorEastAsia"/>
                <w:b w:val="0"/>
                <w:bCs w:val="0"/>
                <w:color w:val="auto"/>
                <w:kern w:val="2"/>
                <w:sz w:val="24"/>
                <w:szCs w:val="24"/>
                <w:vertAlign w:val="baseline"/>
                <w:lang w:val="en-US" w:eastAsia="zh-CN" w:bidi="ar-SA"/>
              </w:rPr>
              <w:t>-4。</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sz w:val="20"/>
              </w:rPr>
              <mc:AlternateContent>
                <mc:Choice Requires="wps">
                  <w:drawing>
                    <wp:anchor distT="0" distB="0" distL="114300" distR="114300" simplePos="0" relativeHeight="251658240" behindDoc="0" locked="0" layoutInCell="1" allowOverlap="1">
                      <wp:simplePos x="0" y="0"/>
                      <wp:positionH relativeFrom="column">
                        <wp:posOffset>751840</wp:posOffset>
                      </wp:positionH>
                      <wp:positionV relativeFrom="paragraph">
                        <wp:posOffset>1096645</wp:posOffset>
                      </wp:positionV>
                      <wp:extent cx="1248410" cy="304800"/>
                      <wp:effectExtent l="6350" t="292735" r="21590" b="12065"/>
                      <wp:wrapNone/>
                      <wp:docPr id="1" name="矩形标注 1"/>
                      <wp:cNvGraphicFramePr/>
                      <a:graphic xmlns:a="http://schemas.openxmlformats.org/drawingml/2006/main">
                        <a:graphicData uri="http://schemas.microsoft.com/office/word/2010/wordprocessingShape">
                          <wps:wsp>
                            <wps:cNvSpPr/>
                            <wps:spPr>
                              <a:xfrm rot="10800000">
                                <a:off x="2261235" y="5858510"/>
                                <a:ext cx="1248410" cy="304800"/>
                              </a:xfrm>
                              <a:prstGeom prst="wedgeRectCallout">
                                <a:avLst>
                                  <a:gd name="adj1" fmla="val 457"/>
                                  <a:gd name="adj2" fmla="val 140833"/>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59.2pt;margin-top:86.35pt;height:24pt;width:98.3pt;rotation:11796480f;z-index:251658240;v-text-anchor:middle;mso-width-relative:page;mso-height-relative:page;" filled="f" stroked="t" coordsize="21600,21600" o:gfxdata="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krVthdcAAAALAQAADwAAAAAAAAABACAAAAAiAAAAZHJzL2Rvd25yZXYueG1sUEsBAhQAFAAA&#10;AAgAh07iQEXj7zSbAgAABQUAAA4AAAAAAAAAAQAgAAAAJgEAAGRycy9lMm9Eb2MueG1sUEsFBgAA&#10;AAAGAAYAWQEAADMGAAAAAA==&#10;" adj="10899,41220">
                      <v:fill on="f" focussize="0,0"/>
                      <v:stroke weight="1pt" color="#FF0000 [3204]" miterlimit="8" joinstyle="miter"/>
                      <v:imagedata o:title=""/>
                      <o:lock v:ext="edit" aspectratio="f"/>
                      <v:textbox>
                        <w:txbxContent>
                          <w:p>
                            <w:pPr>
                              <w:jc w:val="center"/>
                            </w:pPr>
                          </w:p>
                        </w:txbxContent>
                      </v:textbox>
                    </v:shape>
                  </w:pict>
                </mc:Fallback>
              </mc:AlternateContent>
            </w:r>
            <w:r>
              <w:rPr>
                <w:sz w:val="20"/>
              </w:rPr>
              <mc:AlternateContent>
                <mc:Choice Requires="wps">
                  <w:drawing>
                    <wp:anchor distT="0" distB="0" distL="114300" distR="114300" simplePos="0" relativeHeight="251659264" behindDoc="0" locked="0" layoutInCell="1" allowOverlap="1">
                      <wp:simplePos x="0" y="0"/>
                      <wp:positionH relativeFrom="column">
                        <wp:posOffset>818515</wp:posOffset>
                      </wp:positionH>
                      <wp:positionV relativeFrom="paragraph">
                        <wp:posOffset>1125220</wp:posOffset>
                      </wp:positionV>
                      <wp:extent cx="1142365" cy="276860"/>
                      <wp:effectExtent l="0" t="0" r="0" b="0"/>
                      <wp:wrapNone/>
                      <wp:docPr id="2" name="文本框 2"/>
                      <wp:cNvGraphicFramePr/>
                      <a:graphic xmlns:a="http://schemas.openxmlformats.org/drawingml/2006/main">
                        <a:graphicData uri="http://schemas.microsoft.com/office/word/2010/wordprocessingShape">
                          <wps:wsp>
                            <wps:cNvSpPr txBox="1"/>
                            <wps:spPr>
                              <a:xfrm>
                                <a:off x="1794510" y="6220460"/>
                                <a:ext cx="1142365"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lang w:eastAsia="zh-CN"/>
                                    </w:rPr>
                                  </w:pPr>
                                  <w:r>
                                    <w:rPr>
                                      <w:rFonts w:hint="eastAsia"/>
                                      <w:b/>
                                      <w:bCs/>
                                      <w:lang w:eastAsia="zh-CN"/>
                                    </w:rPr>
                                    <w:t>本工程输电线路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45pt;margin-top:88.6pt;height:21.8pt;width:89.95pt;z-index:251659264;mso-width-relative:page;mso-height-relative:page;" filled="f" stroked="f" coordsize="21600,21600" o:gfxdata="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XLB212QAAAAsBAAAPAAAAAAAAAAEAIAAAACIAAABkcnMvZG93bnJldi54bWxQSwECFAAU&#10;AAAACACHTuJACxcR6CkCAAAkBAAADgAAAAAAAAABACAAAAAoAQAAZHJzL2Uyb0RvYy54bWxQSwUG&#10;AAAAAAYABgBZAQAAwwUAAAAA&#10;">
                      <v:fill on="f" focussize="0,0"/>
                      <v:stroke on="f" weight="0.5pt"/>
                      <v:imagedata o:title=""/>
                      <o:lock v:ext="edit" aspectratio="f"/>
                      <v:textbox>
                        <w:txbxContent>
                          <w:p>
                            <w:pPr>
                              <w:rPr>
                                <w:rFonts w:hint="eastAsia" w:eastAsiaTheme="minorEastAsia"/>
                                <w:b/>
                                <w:bCs/>
                                <w:lang w:eastAsia="zh-CN"/>
                              </w:rPr>
                            </w:pPr>
                            <w:r>
                              <w:rPr>
                                <w:rFonts w:hint="eastAsia"/>
                                <w:b/>
                                <w:bCs/>
                                <w:lang w:eastAsia="zh-CN"/>
                              </w:rPr>
                              <w:t>本工程输电线路</w:t>
                            </w:r>
                          </w:p>
                        </w:txbxContent>
                      </v:textbox>
                    </v:shape>
                  </w:pict>
                </mc:Fallback>
              </mc:AlternateContent>
            </w:r>
            <w:r>
              <w:rPr>
                <w:rFonts w:ascii="Microsoft JhengHei"/>
                <w:color w:val="auto"/>
                <w:sz w:val="20"/>
              </w:rPr>
              <w:drawing>
                <wp:inline distT="0" distB="0" distL="114300" distR="114300">
                  <wp:extent cx="4143375" cy="4259580"/>
                  <wp:effectExtent l="0" t="0" r="9525" b="762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2"/>
                          <a:stretch>
                            <a:fillRect/>
                          </a:stretch>
                        </pic:blipFill>
                        <pic:spPr>
                          <a:xfrm>
                            <a:off x="0" y="0"/>
                            <a:ext cx="4143375" cy="4259580"/>
                          </a:xfrm>
                          <a:prstGeom prst="rect">
                            <a:avLst/>
                          </a:prstGeom>
                          <a:noFill/>
                          <a:ln>
                            <a:noFill/>
                          </a:ln>
                        </pic:spPr>
                      </pic:pic>
                    </a:graphicData>
                  </a:graphic>
                </wp:inline>
              </w:drawing>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default" w:ascii="Times New Roman" w:hAnsi="Times New Roman" w:cs="Times New Roman" w:eastAsiaTheme="minorEastAsia"/>
                <w:b/>
                <w:bCs/>
                <w:color w:val="auto"/>
                <w:kern w:val="2"/>
                <w:sz w:val="21"/>
                <w:szCs w:val="21"/>
                <w:vertAlign w:val="baseline"/>
                <w:lang w:val="en-US" w:eastAsia="zh-CN" w:bidi="ar-SA"/>
              </w:rPr>
            </w:pPr>
            <w:r>
              <w:rPr>
                <w:rFonts w:hint="eastAsia" w:ascii="Times New Roman" w:hAnsi="Times New Roman" w:cs="Times New Roman" w:eastAsiaTheme="minorEastAsia"/>
                <w:b/>
                <w:bCs/>
                <w:color w:val="auto"/>
                <w:kern w:val="2"/>
                <w:sz w:val="21"/>
                <w:szCs w:val="21"/>
                <w:vertAlign w:val="baseline"/>
                <w:lang w:val="en-US" w:eastAsia="zh-CN" w:bidi="ar-SA"/>
              </w:rPr>
              <w:t>图1-4  周边电网规划地理接线图</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default" w:ascii="Times New Roman" w:hAnsi="Times New Roman" w:cs="Times New Roman"/>
                <w:color w:val="auto"/>
                <w:sz w:val="24"/>
              </w:rPr>
            </w:pPr>
            <w:r>
              <w:rPr>
                <w:rFonts w:hint="eastAsia" w:ascii="Times New Roman" w:hAnsi="Times New Roman" w:cs="Times New Roman"/>
                <w:color w:val="auto"/>
                <w:sz w:val="24"/>
                <w:lang w:eastAsia="zh-CN"/>
              </w:rPr>
              <w:t>本工程的建设提高了周边地区供电能力，同时提高了该地区供电可靠性和</w:t>
            </w:r>
            <w:r>
              <w:rPr>
                <w:rFonts w:hint="eastAsia" w:ascii="Times New Roman" w:hAnsi="Times New Roman" w:cs="Times New Roman"/>
                <w:color w:val="auto"/>
                <w:sz w:val="24"/>
                <w:lang w:val="en-US" w:eastAsia="zh-CN"/>
              </w:rPr>
              <w:t>110kV互供能力，符合永康变供电区电网规划。</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1.2.3 选线合理性分析</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经现场调査，本工程占地范围及线路边导线地面投影外两侧各300m范围内无自然保护区、风景名胜区、饮用水水源保护区、陕西省重要湿地等生态环境敏感区，沿线地貌以黄土梁、</w:t>
            </w:r>
            <w:r>
              <w:rPr>
                <w:rFonts w:hint="default" w:ascii="Times New Roman" w:hAnsi="Times New Roman" w:cs="Times New Roman"/>
                <w:color w:val="auto"/>
                <w:sz w:val="24"/>
                <w:lang w:val="en-US" w:eastAsia="zh-CN"/>
              </w:rPr>
              <w:t>峁地貌为主。线路选线避让了密集居民区、工业区、输油管线及重要通讯设施等。本工程输电线路无明显环境制约因素、场地条件较好、对外环境影响较小，环境保护角度看，送出线路选线基本可行。</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本工程已取得</w:t>
            </w:r>
            <w:r>
              <w:rPr>
                <w:rFonts w:hint="default" w:ascii="Times New Roman" w:hAnsi="Times New Roman" w:eastAsia="宋体" w:cs="Times New Roman"/>
                <w:color w:val="auto"/>
                <w:sz w:val="24"/>
                <w:lang w:val="en-US"/>
              </w:rPr>
              <w:t>吴起</w:t>
            </w:r>
            <w:r>
              <w:rPr>
                <w:rFonts w:hint="default" w:ascii="Times New Roman" w:hAnsi="Times New Roman" w:eastAsia="宋体" w:cs="Times New Roman"/>
                <w:color w:val="auto"/>
                <w:sz w:val="24"/>
              </w:rPr>
              <w:t>县</w:t>
            </w:r>
            <w:r>
              <w:rPr>
                <w:rFonts w:hint="default" w:ascii="Times New Roman" w:hAnsi="Times New Roman" w:eastAsia="宋体" w:cs="Times New Roman"/>
                <w:color w:val="auto"/>
                <w:sz w:val="24"/>
                <w:lang w:eastAsia="zh-CN"/>
              </w:rPr>
              <w:t>行政审批服务局、</w:t>
            </w:r>
            <w:r>
              <w:rPr>
                <w:rFonts w:hint="default" w:ascii="Times New Roman" w:hAnsi="Times New Roman" w:eastAsia="宋体" w:cs="Times New Roman"/>
                <w:color w:val="auto"/>
                <w:sz w:val="24"/>
                <w:lang w:val="en-US"/>
              </w:rPr>
              <w:t>吴起县</w:t>
            </w:r>
            <w:r>
              <w:rPr>
                <w:rFonts w:hint="default" w:ascii="Times New Roman" w:hAnsi="Times New Roman" w:eastAsia="宋体" w:cs="Times New Roman"/>
                <w:color w:val="auto"/>
                <w:sz w:val="24"/>
                <w:lang w:val="en-US" w:eastAsia="zh-CN"/>
              </w:rPr>
              <w:t>自然</w:t>
            </w:r>
            <w:r>
              <w:rPr>
                <w:rFonts w:hint="default" w:ascii="Times New Roman" w:hAnsi="Times New Roman" w:eastAsia="宋体" w:cs="Times New Roman"/>
                <w:color w:val="auto"/>
                <w:sz w:val="24"/>
                <w:lang w:val="en-US"/>
              </w:rPr>
              <w:t>资源局</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rPr>
              <w:t>吴起县长城</w:t>
            </w:r>
            <w:r>
              <w:rPr>
                <w:rFonts w:hint="default" w:ascii="Times New Roman" w:hAnsi="Times New Roman" w:eastAsia="宋体" w:cs="Times New Roman"/>
                <w:color w:val="auto"/>
                <w:sz w:val="24"/>
                <w:lang w:val="en-US" w:eastAsia="zh-CN"/>
              </w:rPr>
              <w:t>镇</w:t>
            </w:r>
            <w:r>
              <w:rPr>
                <w:rFonts w:hint="default" w:ascii="Times New Roman" w:hAnsi="Times New Roman" w:eastAsia="宋体" w:cs="Times New Roman"/>
                <w:color w:val="auto"/>
                <w:sz w:val="24"/>
                <w:lang w:val="en-US"/>
              </w:rPr>
              <w:t>人民政府</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rPr>
              <w:t>吴起县周湾镇人民政府</w:t>
            </w:r>
            <w:r>
              <w:rPr>
                <w:rFonts w:hint="default" w:ascii="Times New Roman" w:hAnsi="Times New Roman" w:eastAsia="宋体" w:cs="Times New Roman"/>
                <w:color w:val="auto"/>
                <w:sz w:val="24"/>
                <w:lang w:val="en-US" w:eastAsia="zh-CN"/>
              </w:rPr>
              <w:t>同意路径方案的意见，详见附件7。</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表1-1 输电线路走径意见</w:t>
            </w:r>
          </w:p>
          <w:tbl>
            <w:tblPr>
              <w:tblStyle w:val="15"/>
              <w:tblW w:w="8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2715"/>
              <w:gridCol w:w="2639"/>
              <w:gridCol w:w="2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工程</w:t>
                  </w:r>
                </w:p>
              </w:tc>
              <w:tc>
                <w:tcPr>
                  <w:tcW w:w="271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单位</w:t>
                  </w:r>
                </w:p>
              </w:tc>
              <w:tc>
                <w:tcPr>
                  <w:tcW w:w="2639"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走径意见</w:t>
                  </w:r>
                </w:p>
              </w:tc>
              <w:tc>
                <w:tcPr>
                  <w:tcW w:w="2241"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是否同意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Merge w:val="restar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国家电投吴起高胜新能源50MW风电场110kV送出工程</w:t>
                  </w:r>
                </w:p>
              </w:tc>
              <w:tc>
                <w:tcPr>
                  <w:tcW w:w="271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rPr>
                    <w:t>吴起</w:t>
                  </w:r>
                  <w:r>
                    <w:rPr>
                      <w:rFonts w:hint="default" w:ascii="Times New Roman" w:hAnsi="Times New Roman" w:eastAsia="宋体" w:cs="Times New Roman"/>
                      <w:color w:val="auto"/>
                      <w:sz w:val="21"/>
                      <w:szCs w:val="21"/>
                    </w:rPr>
                    <w:t>县</w:t>
                  </w:r>
                  <w:r>
                    <w:rPr>
                      <w:rFonts w:hint="default" w:ascii="Times New Roman" w:hAnsi="Times New Roman" w:eastAsia="宋体" w:cs="Times New Roman"/>
                      <w:color w:val="auto"/>
                      <w:sz w:val="21"/>
                      <w:szCs w:val="21"/>
                      <w:lang w:eastAsia="zh-CN"/>
                    </w:rPr>
                    <w:t>行政审批服务局</w:t>
                  </w:r>
                </w:p>
              </w:tc>
              <w:tc>
                <w:tcPr>
                  <w:tcW w:w="2639"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41"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原则同意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1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吴起</w:t>
                  </w:r>
                  <w:r>
                    <w:rPr>
                      <w:rFonts w:hint="eastAsia" w:ascii="Times New Roman" w:hAnsi="Times New Roman" w:eastAsia="宋体" w:cs="Times New Roman"/>
                      <w:color w:val="auto"/>
                      <w:sz w:val="21"/>
                      <w:szCs w:val="21"/>
                      <w:vertAlign w:val="baseline"/>
                      <w:lang w:val="en-US" w:eastAsia="zh-CN"/>
                    </w:rPr>
                    <w:t>县自然资源局</w:t>
                  </w:r>
                </w:p>
              </w:tc>
              <w:tc>
                <w:tcPr>
                  <w:tcW w:w="2639"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待项目实地建设时，严格避让耕地和基本农田</w:t>
                  </w:r>
                </w:p>
              </w:tc>
              <w:tc>
                <w:tcPr>
                  <w:tcW w:w="2241"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原则同意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1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rPr>
                    <w:t>吴起县长城</w:t>
                  </w:r>
                  <w:r>
                    <w:rPr>
                      <w:rFonts w:hint="default" w:ascii="Times New Roman" w:hAnsi="Times New Roman" w:eastAsia="宋体" w:cs="Times New Roman"/>
                      <w:color w:val="auto"/>
                      <w:sz w:val="21"/>
                      <w:szCs w:val="21"/>
                      <w:lang w:val="en-US" w:eastAsia="zh-CN"/>
                    </w:rPr>
                    <w:t>镇</w:t>
                  </w:r>
                  <w:r>
                    <w:rPr>
                      <w:rFonts w:hint="default" w:ascii="Times New Roman" w:hAnsi="Times New Roman" w:eastAsia="宋体" w:cs="Times New Roman"/>
                      <w:color w:val="auto"/>
                      <w:sz w:val="21"/>
                      <w:szCs w:val="21"/>
                      <w:lang w:val="en-US"/>
                    </w:rPr>
                    <w:t>人民政府</w:t>
                  </w:r>
                </w:p>
              </w:tc>
              <w:tc>
                <w:tcPr>
                  <w:tcW w:w="2639"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41"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原则同意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6"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p>
              </w:tc>
              <w:tc>
                <w:tcPr>
                  <w:tcW w:w="271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rPr>
                    <w:t>吴起县周湾镇人民政府</w:t>
                  </w:r>
                </w:p>
              </w:tc>
              <w:tc>
                <w:tcPr>
                  <w:tcW w:w="2639"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41"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原则同意</w:t>
                  </w:r>
                </w:p>
              </w:tc>
            </w:tr>
          </w:tbl>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1.2.4 环境可行性分析</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firstLine="480" w:firstLineChars="200"/>
              <w:jc w:val="left"/>
              <w:textAlignment w:val="auto"/>
              <w:rPr>
                <w:rFonts w:hint="eastAsia" w:ascii="Times New Roman" w:hAnsi="Times New Roman" w:cs="Times New Roman"/>
                <w:color w:val="auto"/>
                <w:sz w:val="24"/>
                <w:lang w:val="en-US" w:eastAsia="zh-CN"/>
              </w:rPr>
            </w:pPr>
            <w:r>
              <w:rPr>
                <w:rFonts w:hint="default" w:ascii="Times New Roman" w:hAnsi="Times New Roman" w:eastAsia="宋体" w:cs="Times New Roman"/>
                <w:bCs/>
                <w:color w:val="auto"/>
                <w:kern w:val="2"/>
                <w:sz w:val="24"/>
                <w:szCs w:val="24"/>
                <w:lang w:val="en-US" w:eastAsia="zh-CN" w:bidi="ar-SA"/>
              </w:rPr>
              <w:t>国家电投吴起高胜新能源50</w:t>
            </w:r>
            <w:r>
              <w:rPr>
                <w:rFonts w:hint="eastAsia" w:ascii="Times New Roman" w:hAnsi="Times New Roman" w:cs="Times New Roman"/>
                <w:bCs/>
                <w:color w:val="auto"/>
                <w:kern w:val="2"/>
                <w:sz w:val="24"/>
                <w:szCs w:val="24"/>
                <w:lang w:val="en-US" w:eastAsia="zh-CN" w:bidi="ar-SA"/>
              </w:rPr>
              <w:t>MW风</w:t>
            </w:r>
            <w:r>
              <w:rPr>
                <w:rFonts w:hint="default" w:ascii="Times New Roman" w:hAnsi="Times New Roman" w:eastAsia="宋体" w:cs="Times New Roman"/>
                <w:bCs/>
                <w:color w:val="auto"/>
                <w:kern w:val="2"/>
                <w:sz w:val="24"/>
                <w:szCs w:val="24"/>
                <w:lang w:val="en-US" w:eastAsia="zh-CN" w:bidi="ar-SA"/>
              </w:rPr>
              <w:t>电场110kV送出工程</w:t>
            </w:r>
            <w:r>
              <w:rPr>
                <w:rFonts w:hint="default" w:ascii="Times New Roman" w:hAnsi="Times New Roman" w:cs="Times New Roman"/>
                <w:color w:val="auto"/>
                <w:sz w:val="24"/>
                <w:lang w:val="en-US" w:eastAsia="zh-CN"/>
              </w:rPr>
              <w:t>符合国家产业政策，在严格执行项目设计及环评提出的各项污染防治和生态保护措施的前提下，可将项目对环境的不利环境影响降至最低</w:t>
            </w: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从满足环境质量目标要求分析，项目建设基本可行</w:t>
            </w:r>
            <w:r>
              <w:rPr>
                <w:rFonts w:hint="eastAsia" w:ascii="Times New Roman" w:hAnsi="Times New Roman" w:cs="Times New Roman"/>
                <w:color w:val="auto"/>
                <w:sz w:val="24"/>
                <w:lang w:val="en-US" w:eastAsia="zh-CN"/>
              </w:rPr>
              <w:t>。</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1.3 项目建设内容及规模</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1.3.1 建设内容</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eastAsia="宋体" w:cs="Times New Roman"/>
                <w:bCs/>
                <w:color w:val="auto"/>
                <w:kern w:val="2"/>
                <w:sz w:val="24"/>
                <w:szCs w:val="24"/>
                <w:lang w:val="en-US" w:eastAsia="zh-CN" w:bidi="ar-SA"/>
              </w:rPr>
              <w:t>国家电投吴起高胜新能源50</w:t>
            </w:r>
            <w:r>
              <w:rPr>
                <w:rFonts w:hint="eastAsia" w:ascii="Times New Roman" w:hAnsi="Times New Roman" w:cs="Times New Roman"/>
                <w:bCs/>
                <w:color w:val="auto"/>
                <w:kern w:val="2"/>
                <w:sz w:val="24"/>
                <w:szCs w:val="24"/>
                <w:lang w:val="en-US" w:eastAsia="zh-CN" w:bidi="ar-SA"/>
              </w:rPr>
              <w:t>MW风</w:t>
            </w:r>
            <w:r>
              <w:rPr>
                <w:rFonts w:hint="default" w:ascii="Times New Roman" w:hAnsi="Times New Roman" w:eastAsia="宋体" w:cs="Times New Roman"/>
                <w:bCs/>
                <w:color w:val="auto"/>
                <w:kern w:val="2"/>
                <w:sz w:val="24"/>
                <w:szCs w:val="24"/>
                <w:lang w:val="en-US" w:eastAsia="zh-CN" w:bidi="ar-SA"/>
              </w:rPr>
              <w:t>电场110kV送出工程</w:t>
            </w:r>
            <w:r>
              <w:rPr>
                <w:rFonts w:hint="eastAsia" w:ascii="Times New Roman" w:hAnsi="Times New Roman" w:cs="Times New Roman"/>
                <w:bCs/>
                <w:color w:val="auto"/>
                <w:kern w:val="2"/>
                <w:sz w:val="24"/>
                <w:szCs w:val="24"/>
                <w:lang w:val="en-US" w:eastAsia="zh-CN" w:bidi="ar-SA"/>
              </w:rPr>
              <w:t>位于</w:t>
            </w:r>
            <w:r>
              <w:rPr>
                <w:rFonts w:hint="eastAsia" w:ascii="Times New Roman" w:hAnsi="Times New Roman" w:cs="Times New Roman" w:eastAsiaTheme="minorEastAsia"/>
                <w:b w:val="0"/>
                <w:bCs w:val="0"/>
                <w:color w:val="auto"/>
                <w:kern w:val="2"/>
                <w:sz w:val="24"/>
                <w:szCs w:val="24"/>
                <w:vertAlign w:val="baseline"/>
                <w:lang w:val="en-US" w:eastAsia="zh-CN" w:bidi="ar-SA"/>
              </w:rPr>
              <w:t>陕西省延安市吴起县境内，项目建设内容见表1-2。</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cs="Times New Roman" w:eastAsiaTheme="minorEastAsia"/>
                <w:b/>
                <w:bCs/>
                <w:color w:val="auto"/>
                <w:kern w:val="2"/>
                <w:sz w:val="21"/>
                <w:szCs w:val="21"/>
                <w:vertAlign w:val="baseline"/>
                <w:lang w:val="en-US" w:eastAsia="zh-CN" w:bidi="ar-SA"/>
              </w:rPr>
            </w:pPr>
            <w:r>
              <w:rPr>
                <w:rFonts w:hint="default" w:ascii="Times New Roman" w:hAnsi="Times New Roman" w:cs="Times New Roman" w:eastAsiaTheme="minorEastAsia"/>
                <w:b/>
                <w:bCs/>
                <w:color w:val="auto"/>
                <w:kern w:val="2"/>
                <w:sz w:val="21"/>
                <w:szCs w:val="21"/>
                <w:vertAlign w:val="baseline"/>
                <w:lang w:val="en-US" w:eastAsia="zh-CN" w:bidi="ar-SA"/>
              </w:rPr>
              <w:t>表1-</w:t>
            </w:r>
            <w:r>
              <w:rPr>
                <w:rFonts w:hint="eastAsia" w:ascii="Times New Roman" w:hAnsi="Times New Roman" w:cs="Times New Roman" w:eastAsiaTheme="minorEastAsia"/>
                <w:b/>
                <w:bCs/>
                <w:color w:val="auto"/>
                <w:kern w:val="2"/>
                <w:sz w:val="21"/>
                <w:szCs w:val="21"/>
                <w:vertAlign w:val="baseline"/>
                <w:lang w:val="en-US" w:eastAsia="zh-CN" w:bidi="ar-SA"/>
              </w:rPr>
              <w:t>2</w:t>
            </w:r>
            <w:r>
              <w:rPr>
                <w:rFonts w:hint="default" w:ascii="Times New Roman" w:hAnsi="Times New Roman" w:cs="Times New Roman" w:eastAsiaTheme="minorEastAsia"/>
                <w:b/>
                <w:bCs/>
                <w:color w:val="auto"/>
                <w:kern w:val="2"/>
                <w:sz w:val="21"/>
                <w:szCs w:val="21"/>
                <w:vertAlign w:val="baseline"/>
                <w:lang w:val="en-US" w:eastAsia="zh-CN" w:bidi="ar-SA"/>
              </w:rPr>
              <w:t xml:space="preserve">  项目组成一览表</w:t>
            </w:r>
          </w:p>
          <w:tbl>
            <w:tblPr>
              <w:tblStyle w:val="15"/>
              <w:tblW w:w="8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1560"/>
              <w:gridCol w:w="5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工程</w:t>
                  </w:r>
                </w:p>
              </w:tc>
              <w:tc>
                <w:tcPr>
                  <w:tcW w:w="156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项目</w:t>
                  </w:r>
                </w:p>
              </w:tc>
              <w:tc>
                <w:tcPr>
                  <w:tcW w:w="578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2"/>
                      <w:sz w:val="21"/>
                      <w:szCs w:val="21"/>
                      <w:vertAlign w:val="baseline"/>
                      <w:lang w:val="en-US" w:eastAsia="zh-CN" w:bidi="ar-SA"/>
                    </w:rPr>
                    <w:t>国家电投吴起高胜新能源50MW风电场110kV送出工程</w:t>
                  </w:r>
                </w:p>
              </w:tc>
              <w:tc>
                <w:tcPr>
                  <w:tcW w:w="156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所在区域</w:t>
                  </w:r>
                </w:p>
              </w:tc>
              <w:tc>
                <w:tcPr>
                  <w:tcW w:w="578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陕西省延安市吴起县境内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p>
              </w:tc>
              <w:tc>
                <w:tcPr>
                  <w:tcW w:w="156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建设规模</w:t>
                  </w:r>
                </w:p>
              </w:tc>
              <w:tc>
                <w:tcPr>
                  <w:tcW w:w="578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新建1回110kV输电线路7.105km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p>
              </w:tc>
              <w:tc>
                <w:tcPr>
                  <w:tcW w:w="156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线路起点</w:t>
                  </w:r>
                </w:p>
              </w:tc>
              <w:tc>
                <w:tcPr>
                  <w:tcW w:w="578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2"/>
                      <w:sz w:val="21"/>
                      <w:szCs w:val="21"/>
                      <w:vertAlign w:val="baseline"/>
                      <w:lang w:val="en-US" w:eastAsia="zh-CN" w:bidi="ar-SA"/>
                    </w:rPr>
                    <w:t>吴起县周湾高胜50MW风电项目110kV升压站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p>
              </w:tc>
              <w:tc>
                <w:tcPr>
                  <w:tcW w:w="156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线路终点</w:t>
                  </w:r>
                </w:p>
              </w:tc>
              <w:tc>
                <w:tcPr>
                  <w:tcW w:w="578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2"/>
                      <w:sz w:val="21"/>
                      <w:szCs w:val="21"/>
                      <w:vertAlign w:val="baseline"/>
                      <w:lang w:val="en-US" w:eastAsia="zh-CN" w:bidi="ar-SA"/>
                    </w:rPr>
                    <w:t>吴起县周湾镇石宝湾村西南侧已建110kV树周线28#塔小号侧“T”接点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p>
              </w:tc>
              <w:tc>
                <w:tcPr>
                  <w:tcW w:w="156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导线型号</w:t>
                  </w:r>
                </w:p>
              </w:tc>
              <w:tc>
                <w:tcPr>
                  <w:tcW w:w="578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2"/>
                      <w:sz w:val="21"/>
                      <w:szCs w:val="21"/>
                      <w:vertAlign w:val="baseline"/>
                      <w:lang w:val="en-US" w:eastAsia="zh-CN" w:bidi="ar-SA"/>
                    </w:rPr>
                    <w:t>JL/G1A-300/40</w:t>
                  </w:r>
                  <w:r>
                    <w:rPr>
                      <w:rFonts w:hint="eastAsia" w:ascii="Times New Roman" w:hAnsi="Times New Roman" w:cs="Times New Roman" w:eastAsiaTheme="minorEastAsia"/>
                      <w:b w:val="0"/>
                      <w:bCs w:val="0"/>
                      <w:color w:val="auto"/>
                      <w:kern w:val="2"/>
                      <w:sz w:val="21"/>
                      <w:szCs w:val="21"/>
                      <w:vertAlign w:val="baseline"/>
                      <w:lang w:val="en-US" w:eastAsia="zh-CN" w:bidi="ar-SA"/>
                    </w:rPr>
                    <w:t>型钢芯铝绞线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p>
              </w:tc>
              <w:tc>
                <w:tcPr>
                  <w:tcW w:w="156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地线型号</w:t>
                  </w:r>
                </w:p>
              </w:tc>
              <w:tc>
                <w:tcPr>
                  <w:tcW w:w="578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2"/>
                      <w:sz w:val="21"/>
                      <w:szCs w:val="21"/>
                      <w:vertAlign w:val="baseline"/>
                      <w:lang w:val="en-US" w:eastAsia="zh-CN" w:bidi="ar-SA"/>
                    </w:rPr>
                    <w:t>一根地线选用1×7-11.4-1270-B（GJ-80）型镀锌钢绞线，另一根地线选用OPGW-13-90-1（48芯）型架空复合地线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p>
              </w:tc>
              <w:tc>
                <w:tcPr>
                  <w:tcW w:w="156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杆塔数量</w:t>
                  </w:r>
                </w:p>
              </w:tc>
              <w:tc>
                <w:tcPr>
                  <w:tcW w:w="578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2"/>
                      <w:sz w:val="21"/>
                      <w:szCs w:val="21"/>
                      <w:vertAlign w:val="baseline"/>
                      <w:lang w:val="en-US" w:eastAsia="zh-CN" w:bidi="ar-SA"/>
                    </w:rPr>
                    <w:t>全线路规划杆塔共计21基，其中新建单回路直线塔11基，新建单回路转角塔10基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p>
              </w:tc>
              <w:tc>
                <w:tcPr>
                  <w:tcW w:w="156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基础型式</w:t>
                  </w:r>
                </w:p>
              </w:tc>
              <w:tc>
                <w:tcPr>
                  <w:tcW w:w="578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hAnsi="Times New Roman" w:cs="Times New Roman" w:eastAsiaTheme="minorEastAsia"/>
                      <w:b w:val="0"/>
                      <w:bCs w:val="0"/>
                      <w:color w:val="auto"/>
                      <w:kern w:val="2"/>
                      <w:sz w:val="21"/>
                      <w:szCs w:val="21"/>
                      <w:highlight w:val="none"/>
                      <w:vertAlign w:val="baseline"/>
                      <w:lang w:val="en-US" w:eastAsia="zh-CN" w:bidi="ar-SA"/>
                    </w:rPr>
                    <w:t>掏挖基础和板式支柱基础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p>
              </w:tc>
              <w:tc>
                <w:tcPr>
                  <w:tcW w:w="156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工程占地</w:t>
                  </w:r>
                </w:p>
              </w:tc>
              <w:tc>
                <w:tcPr>
                  <w:tcW w:w="578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hAnsi="Times New Roman" w:cs="Times New Roman" w:eastAsiaTheme="minorEastAsia"/>
                      <w:b w:val="0"/>
                      <w:bCs w:val="0"/>
                      <w:color w:val="auto"/>
                      <w:kern w:val="2"/>
                      <w:sz w:val="21"/>
                      <w:szCs w:val="21"/>
                      <w:highlight w:val="none"/>
                      <w:vertAlign w:val="baseline"/>
                      <w:lang w:val="en-US" w:eastAsia="zh-CN" w:bidi="ar-SA"/>
                    </w:rPr>
                    <w:t>永久占地1260m</w:t>
                  </w:r>
                  <w:r>
                    <w:rPr>
                      <w:rFonts w:hint="eastAsia" w:ascii="Times New Roman" w:hAnsi="Times New Roman" w:cs="Times New Roman" w:eastAsiaTheme="minorEastAsia"/>
                      <w:b w:val="0"/>
                      <w:bCs w:val="0"/>
                      <w:color w:val="auto"/>
                      <w:kern w:val="2"/>
                      <w:sz w:val="21"/>
                      <w:szCs w:val="21"/>
                      <w:highlight w:val="none"/>
                      <w:vertAlign w:val="superscript"/>
                      <w:lang w:val="en-US" w:eastAsia="zh-CN" w:bidi="ar-SA"/>
                    </w:rPr>
                    <w:t>2</w:t>
                  </w:r>
                  <w:r>
                    <w:rPr>
                      <w:rFonts w:hint="eastAsia" w:ascii="Times New Roman" w:hAnsi="Times New Roman" w:cs="Times New Roman" w:eastAsiaTheme="minorEastAsia"/>
                      <w:b w:val="0"/>
                      <w:bCs w:val="0"/>
                      <w:color w:val="auto"/>
                      <w:kern w:val="2"/>
                      <w:sz w:val="21"/>
                      <w:szCs w:val="21"/>
                      <w:highlight w:val="none"/>
                      <w:vertAlign w:val="baseline"/>
                      <w:lang w:val="en-US" w:eastAsia="zh-CN" w:bidi="ar-SA"/>
                    </w:rPr>
                    <w:t>，临时占地18500m</w:t>
                  </w:r>
                  <w:r>
                    <w:rPr>
                      <w:rFonts w:hint="eastAsia" w:ascii="Times New Roman" w:hAnsi="Times New Roman" w:cs="Times New Roman" w:eastAsiaTheme="minorEastAsia"/>
                      <w:b w:val="0"/>
                      <w:bCs w:val="0"/>
                      <w:color w:val="auto"/>
                      <w:kern w:val="2"/>
                      <w:sz w:val="21"/>
                      <w:szCs w:val="21"/>
                      <w:highlight w:val="none"/>
                      <w:vertAlign w:val="superscript"/>
                      <w:lang w:val="en-US" w:eastAsia="zh-CN" w:bidi="ar-SA"/>
                    </w:rPr>
                    <w:t>2</w:t>
                  </w:r>
                </w:p>
              </w:tc>
            </w:tr>
          </w:tbl>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1.3.2 建设规模</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rPr>
                <w:rFonts w:hint="default" w:ascii="Times New Roman" w:hAnsi="Times New Roman" w:eastAsia="宋体" w:cs="Times New Roman"/>
                <w:b/>
                <w:bCs w:val="0"/>
                <w:color w:val="auto"/>
                <w:kern w:val="2"/>
                <w:sz w:val="24"/>
                <w:szCs w:val="24"/>
                <w:lang w:val="en-US" w:eastAsia="zh-CN" w:bidi="ar-SA"/>
              </w:rPr>
            </w:pPr>
            <w:r>
              <w:rPr>
                <w:rFonts w:hint="eastAsia" w:ascii="Times New Roman" w:hAnsi="Times New Roman" w:cs="Times New Roman"/>
                <w:b/>
                <w:bCs w:val="0"/>
                <w:color w:val="auto"/>
                <w:kern w:val="2"/>
                <w:sz w:val="24"/>
                <w:szCs w:val="24"/>
                <w:lang w:val="en-US" w:eastAsia="zh-CN" w:bidi="ar-SA"/>
              </w:rPr>
              <w:t>1.3.2.1 线路规模</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新建1回l10kV输电线路7.105km。线路起点位于延安市吴起县周湾高胜50MW风电项目110kV升压站，终点位于吴起县周湾镇石宝湾村西南侧已建110kV树周线28#塔小号侧“T”接点。</w:t>
            </w:r>
            <w:r>
              <w:rPr>
                <w:rFonts w:hint="eastAsia" w:ascii="Times New Roman" w:hAnsi="Times New Roman" w:cs="Times New Roman"/>
                <w:bCs/>
                <w:color w:val="auto"/>
                <w:kern w:val="2"/>
                <w:sz w:val="24"/>
                <w:szCs w:val="24"/>
                <w:lang w:val="en-US" w:eastAsia="zh-CN" w:bidi="ar-SA"/>
              </w:rPr>
              <w:t>输电线线路路径详见附图2。</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rPr>
                <w:rFonts w:hint="eastAsia" w:ascii="Times New Roman" w:hAnsi="Times New Roman" w:cs="Times New Roman"/>
                <w:b/>
                <w:bCs w:val="0"/>
                <w:color w:val="auto"/>
                <w:kern w:val="2"/>
                <w:sz w:val="24"/>
                <w:szCs w:val="24"/>
                <w:lang w:val="en-US" w:eastAsia="zh-CN" w:bidi="ar-SA"/>
              </w:rPr>
            </w:pPr>
            <w:r>
              <w:rPr>
                <w:rFonts w:hint="eastAsia" w:ascii="Times New Roman" w:hAnsi="Times New Roman" w:cs="Times New Roman"/>
                <w:b/>
                <w:bCs w:val="0"/>
                <w:color w:val="auto"/>
                <w:kern w:val="2"/>
                <w:sz w:val="24"/>
                <w:szCs w:val="24"/>
                <w:lang w:val="en-US" w:eastAsia="zh-CN" w:bidi="ar-SA"/>
              </w:rPr>
              <w:t>1.3.2.2 线路走径</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bCs/>
                <w:color w:val="auto"/>
                <w:kern w:val="2"/>
                <w:sz w:val="24"/>
                <w:szCs w:val="24"/>
                <w:lang w:val="en-US" w:eastAsia="zh-CN" w:bidi="ar-SA"/>
              </w:rPr>
            </w:pPr>
            <w:r>
              <w:rPr>
                <w:rFonts w:hint="default" w:ascii="Times New Roman" w:hAnsi="Times New Roman" w:cs="Times New Roman"/>
                <w:bCs/>
                <w:color w:val="auto"/>
                <w:kern w:val="2"/>
                <w:sz w:val="24"/>
                <w:szCs w:val="24"/>
                <w:lang w:val="en-US" w:eastAsia="zh-CN" w:bidi="ar-SA"/>
              </w:rPr>
              <w:t>本次新建110kV吴起高胜风电场</w:t>
            </w:r>
            <w:r>
              <w:rPr>
                <w:rFonts w:hint="eastAsia" w:ascii="Times New Roman" w:hAnsi="Times New Roman" w:cs="Times New Roman"/>
                <w:bCs/>
                <w:color w:val="auto"/>
                <w:kern w:val="2"/>
                <w:sz w:val="24"/>
                <w:szCs w:val="24"/>
                <w:lang w:val="en-US" w:eastAsia="zh-CN" w:bidi="ar-SA"/>
              </w:rPr>
              <w:t>“</w:t>
            </w:r>
            <w:r>
              <w:rPr>
                <w:rFonts w:hint="default" w:ascii="Times New Roman" w:hAnsi="Times New Roman" w:cs="Times New Roman"/>
                <w:bCs/>
                <w:color w:val="auto"/>
                <w:kern w:val="2"/>
                <w:sz w:val="24"/>
                <w:szCs w:val="24"/>
                <w:lang w:val="en-US" w:eastAsia="zh-CN" w:bidi="ar-SA"/>
              </w:rPr>
              <w:t>T</w:t>
            </w:r>
            <w:r>
              <w:rPr>
                <w:rFonts w:hint="eastAsia" w:ascii="Times New Roman" w:hAnsi="Times New Roman" w:cs="Times New Roman"/>
                <w:bCs/>
                <w:color w:val="auto"/>
                <w:kern w:val="2"/>
                <w:sz w:val="24"/>
                <w:szCs w:val="24"/>
                <w:lang w:val="en-US" w:eastAsia="zh-CN" w:bidi="ar-SA"/>
              </w:rPr>
              <w:t>”</w:t>
            </w:r>
            <w:r>
              <w:rPr>
                <w:rFonts w:hint="default" w:ascii="Times New Roman" w:hAnsi="Times New Roman" w:cs="Times New Roman"/>
                <w:bCs/>
                <w:color w:val="auto"/>
                <w:kern w:val="2"/>
                <w:sz w:val="24"/>
                <w:szCs w:val="24"/>
                <w:lang w:val="en-US" w:eastAsia="zh-CN" w:bidi="ar-SA"/>
              </w:rPr>
              <w:t>接华润长城一期风电-周湾风电升压站线路，以吴起高胜风电场110kV升压站—110kV树周线</w:t>
            </w:r>
            <w:r>
              <w:rPr>
                <w:rFonts w:hint="eastAsia" w:ascii="Times New Roman" w:hAnsi="Times New Roman" w:cs="Times New Roman"/>
                <w:bCs/>
                <w:color w:val="auto"/>
                <w:kern w:val="2"/>
                <w:sz w:val="24"/>
                <w:szCs w:val="24"/>
                <w:lang w:val="en-US" w:eastAsia="zh-CN" w:bidi="ar-SA"/>
              </w:rPr>
              <w:t>“</w:t>
            </w:r>
            <w:r>
              <w:rPr>
                <w:rFonts w:hint="default" w:ascii="Times New Roman" w:hAnsi="Times New Roman" w:cs="Times New Roman"/>
                <w:bCs/>
                <w:color w:val="auto"/>
                <w:kern w:val="2"/>
                <w:sz w:val="24"/>
                <w:szCs w:val="24"/>
                <w:lang w:val="en-US" w:eastAsia="zh-CN" w:bidi="ar-SA"/>
              </w:rPr>
              <w:t>T</w:t>
            </w:r>
            <w:r>
              <w:rPr>
                <w:rFonts w:hint="eastAsia" w:ascii="Times New Roman" w:hAnsi="Times New Roman" w:cs="Times New Roman"/>
                <w:bCs/>
                <w:color w:val="auto"/>
                <w:kern w:val="2"/>
                <w:sz w:val="24"/>
                <w:szCs w:val="24"/>
                <w:lang w:val="en-US" w:eastAsia="zh-CN" w:bidi="ar-SA"/>
              </w:rPr>
              <w:t>”</w:t>
            </w:r>
            <w:r>
              <w:rPr>
                <w:rFonts w:hint="default" w:ascii="Times New Roman" w:hAnsi="Times New Roman" w:cs="Times New Roman"/>
                <w:bCs/>
                <w:color w:val="auto"/>
                <w:kern w:val="2"/>
                <w:sz w:val="24"/>
                <w:szCs w:val="24"/>
                <w:lang w:val="en-US" w:eastAsia="zh-CN" w:bidi="ar-SA"/>
              </w:rPr>
              <w:t>接点为线路前进方向，线路由110kV高胜风电场升压站向南架空出线，在旧庄渠村北侧左转向东南走线，途经旧庄渠村、武家湾村、背后沟村、后河子沟村、老坟湾村，在老坟湾村东北侧右转向东南走线，在石宝湾村西侧钻过110kV华周线，继续向东南走线至110kV树周线28#塔小号侧</w:t>
            </w:r>
            <w:r>
              <w:rPr>
                <w:rFonts w:hint="eastAsia" w:ascii="Times New Roman" w:hAnsi="Times New Roman" w:cs="Times New Roman"/>
                <w:bCs/>
                <w:color w:val="auto"/>
                <w:kern w:val="2"/>
                <w:sz w:val="24"/>
                <w:szCs w:val="24"/>
                <w:lang w:val="en-US" w:eastAsia="zh-CN" w:bidi="ar-SA"/>
              </w:rPr>
              <w:t>“</w:t>
            </w:r>
            <w:r>
              <w:rPr>
                <w:rFonts w:hint="default" w:ascii="Times New Roman" w:hAnsi="Times New Roman" w:cs="Times New Roman"/>
                <w:bCs/>
                <w:color w:val="auto"/>
                <w:kern w:val="2"/>
                <w:sz w:val="24"/>
                <w:szCs w:val="24"/>
                <w:lang w:val="en-US" w:eastAsia="zh-CN" w:bidi="ar-SA"/>
              </w:rPr>
              <w:t>T</w:t>
            </w:r>
            <w:r>
              <w:rPr>
                <w:rFonts w:hint="eastAsia" w:ascii="Times New Roman" w:hAnsi="Times New Roman" w:cs="Times New Roman"/>
                <w:bCs/>
                <w:color w:val="auto"/>
                <w:kern w:val="2"/>
                <w:sz w:val="24"/>
                <w:szCs w:val="24"/>
                <w:lang w:val="en-US" w:eastAsia="zh-CN" w:bidi="ar-SA"/>
              </w:rPr>
              <w:t>”</w:t>
            </w:r>
            <w:r>
              <w:rPr>
                <w:rFonts w:hint="default" w:ascii="Times New Roman" w:hAnsi="Times New Roman" w:cs="Times New Roman"/>
                <w:bCs/>
                <w:color w:val="auto"/>
                <w:kern w:val="2"/>
                <w:sz w:val="24"/>
                <w:szCs w:val="24"/>
                <w:lang w:val="en-US" w:eastAsia="zh-CN" w:bidi="ar-SA"/>
              </w:rPr>
              <w:t>接点。输电线路沿线现状</w:t>
            </w:r>
            <w:r>
              <w:rPr>
                <w:rFonts w:hint="eastAsia" w:ascii="Times New Roman" w:hAnsi="Times New Roman" w:cs="Times New Roman"/>
                <w:bCs/>
                <w:color w:val="auto"/>
                <w:kern w:val="2"/>
                <w:sz w:val="24"/>
                <w:szCs w:val="24"/>
                <w:lang w:val="en-US" w:eastAsia="zh-CN" w:bidi="ar-SA"/>
              </w:rPr>
              <w:t>及电力线跨越处</w:t>
            </w:r>
            <w:r>
              <w:rPr>
                <w:rFonts w:hint="default" w:ascii="Times New Roman" w:hAnsi="Times New Roman" w:cs="Times New Roman"/>
                <w:bCs/>
                <w:color w:val="auto"/>
                <w:kern w:val="2"/>
                <w:sz w:val="24"/>
                <w:szCs w:val="24"/>
                <w:lang w:val="en-US" w:eastAsia="zh-CN" w:bidi="ar-SA"/>
              </w:rPr>
              <w:t>见图1-</w:t>
            </w:r>
            <w:r>
              <w:rPr>
                <w:rFonts w:hint="eastAsia" w:ascii="Times New Roman" w:hAnsi="Times New Roman" w:cs="Times New Roman"/>
                <w:bCs/>
                <w:color w:val="auto"/>
                <w:kern w:val="2"/>
                <w:sz w:val="24"/>
                <w:szCs w:val="24"/>
                <w:lang w:val="en-US" w:eastAsia="zh-CN" w:bidi="ar-SA"/>
              </w:rPr>
              <w:t>5</w:t>
            </w:r>
            <w:r>
              <w:rPr>
                <w:rFonts w:hint="default" w:ascii="Times New Roman" w:hAnsi="Times New Roman" w:cs="Times New Roman"/>
                <w:bCs/>
                <w:color w:val="auto"/>
                <w:kern w:val="2"/>
                <w:sz w:val="24"/>
                <w:szCs w:val="24"/>
                <w:lang w:val="en-US" w:eastAsia="zh-CN" w:bidi="ar-SA"/>
              </w:rPr>
              <w:t>。</w:t>
            </w:r>
          </w:p>
          <w:tbl>
            <w:tblPr>
              <w:tblStyle w:val="15"/>
              <w:tblW w:w="89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0"/>
              <w:gridCol w:w="4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0" w:type="dxa"/>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left"/>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drawing>
                      <wp:inline distT="0" distB="0" distL="114300" distR="114300">
                        <wp:extent cx="2691765" cy="2019300"/>
                        <wp:effectExtent l="0" t="0" r="13335" b="0"/>
                        <wp:docPr id="11" name="图片 11" descr="IMG_20200718_09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00718_091422"/>
                                <pic:cNvPicPr>
                                  <a:picLocks noChangeAspect="1"/>
                                </pic:cNvPicPr>
                              </pic:nvPicPr>
                              <pic:blipFill>
                                <a:blip r:embed="rId13"/>
                                <a:stretch>
                                  <a:fillRect/>
                                </a:stretch>
                              </pic:blipFill>
                              <pic:spPr>
                                <a:xfrm>
                                  <a:off x="0" y="0"/>
                                  <a:ext cx="2691765" cy="2019300"/>
                                </a:xfrm>
                                <a:prstGeom prst="rect">
                                  <a:avLst/>
                                </a:prstGeom>
                              </pic:spPr>
                            </pic:pic>
                          </a:graphicData>
                        </a:graphic>
                      </wp:inline>
                    </w:drawing>
                  </w:r>
                </w:p>
              </w:tc>
              <w:tc>
                <w:tcPr>
                  <w:tcW w:w="4481" w:type="dxa"/>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left"/>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drawing>
                      <wp:inline distT="0" distB="0" distL="114300" distR="114300">
                        <wp:extent cx="2691765" cy="2019300"/>
                        <wp:effectExtent l="0" t="0" r="13335" b="0"/>
                        <wp:docPr id="12" name="图片 12" descr="风电场项目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风电场项目地"/>
                                <pic:cNvPicPr>
                                  <a:picLocks noChangeAspect="1"/>
                                </pic:cNvPicPr>
                              </pic:nvPicPr>
                              <pic:blipFill>
                                <a:blip r:embed="rId14"/>
                                <a:stretch>
                                  <a:fillRect/>
                                </a:stretch>
                              </pic:blipFill>
                              <pic:spPr>
                                <a:xfrm>
                                  <a:off x="0" y="0"/>
                                  <a:ext cx="2691765" cy="2019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0" w:type="dxa"/>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left"/>
                    <w:textAlignment w:val="auto"/>
                    <w:rPr>
                      <w:rFonts w:hint="default" w:ascii="Times New Roman" w:hAnsi="Times New Roman" w:cs="Times New Roman"/>
                      <w:bCs/>
                      <w:color w:val="auto"/>
                      <w:kern w:val="2"/>
                      <w:sz w:val="21"/>
                      <w:szCs w:val="21"/>
                      <w:vertAlign w:val="baseline"/>
                      <w:lang w:val="en-US" w:eastAsia="zh-CN" w:bidi="ar-SA"/>
                    </w:rPr>
                  </w:pPr>
                  <w:r>
                    <w:rPr>
                      <w:sz w:val="21"/>
                    </w:rPr>
                    <mc:AlternateContent>
                      <mc:Choice Requires="wps">
                        <w:drawing>
                          <wp:anchor distT="0" distB="0" distL="114300" distR="114300" simplePos="0" relativeHeight="251661312" behindDoc="0" locked="0" layoutInCell="1" allowOverlap="1">
                            <wp:simplePos x="0" y="0"/>
                            <wp:positionH relativeFrom="column">
                              <wp:posOffset>1306195</wp:posOffset>
                            </wp:positionH>
                            <wp:positionV relativeFrom="paragraph">
                              <wp:posOffset>387985</wp:posOffset>
                            </wp:positionV>
                            <wp:extent cx="1247140" cy="276225"/>
                            <wp:effectExtent l="0" t="0" r="0" b="0"/>
                            <wp:wrapNone/>
                            <wp:docPr id="8" name="文本框 8"/>
                            <wp:cNvGraphicFramePr/>
                            <a:graphic xmlns:a="http://schemas.openxmlformats.org/drawingml/2006/main">
                              <a:graphicData uri="http://schemas.microsoft.com/office/word/2010/wordprocessingShape">
                                <wps:wsp>
                                  <wps:cNvSpPr txBox="1"/>
                                  <wps:spPr>
                                    <a:xfrm>
                                      <a:off x="2277745" y="2489200"/>
                                      <a:ext cx="124714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0000"/>
                                            <w:lang w:val="en-US" w:eastAsia="zh-CN"/>
                                          </w:rPr>
                                        </w:pPr>
                                        <w:r>
                                          <w:rPr>
                                            <w:rFonts w:hint="eastAsia"/>
                                            <w:b/>
                                            <w:bCs/>
                                            <w:color w:val="FF0000"/>
                                            <w:lang w:eastAsia="zh-CN"/>
                                          </w:rPr>
                                          <w:t>跨越</w:t>
                                        </w:r>
                                        <w:r>
                                          <w:rPr>
                                            <w:rFonts w:hint="eastAsia"/>
                                            <w:b/>
                                            <w:bCs/>
                                            <w:color w:val="FF0000"/>
                                            <w:lang w:val="en-US" w:eastAsia="zh-CN"/>
                                          </w:rPr>
                                          <w:t>10kV电力线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85pt;margin-top:30.55pt;height:21.75pt;width:98.2pt;z-index:251661312;mso-width-relative:page;mso-height-relative:page;" filled="f" stroked="f" coordsize="21600,21600" o:gfxdata="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xfidtoAAAAKAQAADwAAAAAAAAABACAAAAAiAAAAZHJzL2Rvd25yZXYueG1sUEsBAhQA&#10;FAAAAAgAh07iQJj651QpAgAAJAQAAA4AAAAAAAAAAQAgAAAAKQEAAGRycy9lMm9Eb2MueG1sUEsF&#10;BgAAAAAGAAYAWQEAAMQFAAAAAA==&#10;">
                            <v:fill on="f" focussize="0,0"/>
                            <v:stroke on="f" weight="0.5pt"/>
                            <v:imagedata o:title=""/>
                            <o:lock v:ext="edit" aspectratio="f"/>
                            <v:textbox>
                              <w:txbxContent>
                                <w:p>
                                  <w:pPr>
                                    <w:rPr>
                                      <w:rFonts w:hint="default" w:eastAsiaTheme="minorEastAsia"/>
                                      <w:b/>
                                      <w:bCs/>
                                      <w:color w:val="FF0000"/>
                                      <w:lang w:val="en-US" w:eastAsia="zh-CN"/>
                                    </w:rPr>
                                  </w:pPr>
                                  <w:r>
                                    <w:rPr>
                                      <w:rFonts w:hint="eastAsia"/>
                                      <w:b/>
                                      <w:bCs/>
                                      <w:color w:val="FF0000"/>
                                      <w:lang w:eastAsia="zh-CN"/>
                                    </w:rPr>
                                    <w:t>跨越</w:t>
                                  </w:r>
                                  <w:r>
                                    <w:rPr>
                                      <w:rFonts w:hint="eastAsia"/>
                                      <w:b/>
                                      <w:bCs/>
                                      <w:color w:val="FF0000"/>
                                      <w:lang w:val="en-US" w:eastAsia="zh-CN"/>
                                    </w:rPr>
                                    <w:t>10kV电力线</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548005</wp:posOffset>
                            </wp:positionH>
                            <wp:positionV relativeFrom="paragraph">
                              <wp:posOffset>509270</wp:posOffset>
                            </wp:positionV>
                            <wp:extent cx="661035" cy="95250"/>
                            <wp:effectExtent l="0" t="0" r="5715" b="0"/>
                            <wp:wrapNone/>
                            <wp:docPr id="7" name="右箭头 7"/>
                            <wp:cNvGraphicFramePr/>
                            <a:graphic xmlns:a="http://schemas.openxmlformats.org/drawingml/2006/main">
                              <a:graphicData uri="http://schemas.microsoft.com/office/word/2010/wordprocessingShape">
                                <wps:wsp>
                                  <wps:cNvSpPr/>
                                  <wps:spPr>
                                    <a:xfrm rot="10800000">
                                      <a:off x="1953895" y="2994025"/>
                                      <a:ext cx="661035" cy="952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rPr>
                                        </w:pPr>
                                        <w:r>
                                          <w:rPr>
                                            <w:rFonts w:hint="eastAsia"/>
                                          </w:rPr>
                                          <w:t>线路路径见图1-5，输电线路沿线现状照片见图1-6。线路路径见图1-5，输电线路沿线现状照片见图1-6。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3.15pt;margin-top:40.1pt;height:7.5pt;width:52.05pt;rotation:11796480f;z-index:251660288;v-text-anchor:middle;mso-width-relative:page;mso-height-relative:page;" fillcolor="#FF0000" filled="t" stroked="f" coordsize="21600,21600" o:gfxdata="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v1CEvVAAAACAEAAA8AAAAAAAAAAQAgAAAAIgAAAGRycy9kb3ducmV2&#10;LnhtbFBLAQIUABQAAAAIAIdO4kBd4L+6cQIAAKoEAAAOAAAAAAAAAAEAIAAAACQBAABkcnMvZTJv&#10;RG9jLnhtbFBLBQYAAAAABgAGAFkBAAAHBgAAAAA=&#10;" adj="20044,5400">
                            <v:fill on="t" focussize="0,0"/>
                            <v:stroke on="f" weight="1pt" miterlimit="8" joinstyle="miter"/>
                            <v:imagedata o:title=""/>
                            <o:lock v:ext="edit" aspectratio="f"/>
                            <v:textbox>
                              <w:txbxContent>
                                <w:p>
                                  <w:pPr>
                                    <w:rPr>
                                      <w:b/>
                                      <w:bCs/>
                                    </w:rPr>
                                  </w:pPr>
                                  <w:r>
                                    <w:rPr>
                                      <w:rFonts w:hint="eastAsia"/>
                                    </w:rPr>
                                    <w:t>线路路径见图1-5，输电线路沿线现状照片见图1-6。线路路径见图1-5，输电线路沿线现状照片见图1-6。</w:t>
                                  </w:r>
                                </w:p>
                              </w:txbxContent>
                            </v:textbox>
                          </v:shape>
                        </w:pict>
                      </mc:Fallback>
                    </mc:AlternateContent>
                  </w:r>
                  <w:r>
                    <w:rPr>
                      <w:rFonts w:hint="default" w:ascii="Times New Roman" w:hAnsi="Times New Roman" w:cs="Times New Roman"/>
                      <w:bCs/>
                      <w:color w:val="auto"/>
                      <w:kern w:val="2"/>
                      <w:sz w:val="21"/>
                      <w:szCs w:val="21"/>
                      <w:vertAlign w:val="baseline"/>
                      <w:lang w:val="en-US" w:eastAsia="zh-CN" w:bidi="ar-SA"/>
                    </w:rPr>
                    <w:drawing>
                      <wp:inline distT="0" distB="0" distL="114300" distR="114300">
                        <wp:extent cx="2701925" cy="2026285"/>
                        <wp:effectExtent l="0" t="0" r="3175" b="12065"/>
                        <wp:docPr id="5" name="图片 5" descr="采油厂旁10kv输电线跨越线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采油厂旁10kv输电线跨越线路"/>
                                <pic:cNvPicPr>
                                  <a:picLocks noChangeAspect="1"/>
                                </pic:cNvPicPr>
                              </pic:nvPicPr>
                              <pic:blipFill>
                                <a:blip r:embed="rId15"/>
                                <a:stretch>
                                  <a:fillRect/>
                                </a:stretch>
                              </pic:blipFill>
                              <pic:spPr>
                                <a:xfrm>
                                  <a:off x="0" y="0"/>
                                  <a:ext cx="2701925" cy="2026285"/>
                                </a:xfrm>
                                <a:prstGeom prst="rect">
                                  <a:avLst/>
                                </a:prstGeom>
                              </pic:spPr>
                            </pic:pic>
                          </a:graphicData>
                        </a:graphic>
                      </wp:inline>
                    </w:drawing>
                  </w:r>
                </w:p>
              </w:tc>
              <w:tc>
                <w:tcPr>
                  <w:tcW w:w="4481" w:type="dxa"/>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left"/>
                    <w:textAlignment w:val="auto"/>
                    <w:rPr>
                      <w:rFonts w:hint="default" w:ascii="Times New Roman" w:hAnsi="Times New Roman" w:cs="Times New Roman"/>
                      <w:bCs/>
                      <w:color w:val="auto"/>
                      <w:kern w:val="2"/>
                      <w:sz w:val="21"/>
                      <w:szCs w:val="21"/>
                      <w:vertAlign w:val="baseline"/>
                      <w:lang w:val="en-US" w:eastAsia="zh-CN" w:bidi="ar-SA"/>
                    </w:rPr>
                  </w:pPr>
                  <w:r>
                    <w:rPr>
                      <w:sz w:val="21"/>
                    </w:rPr>
                    <mc:AlternateContent>
                      <mc:Choice Requires="wps">
                        <w:drawing>
                          <wp:anchor distT="0" distB="0" distL="114300" distR="114300" simplePos="0" relativeHeight="251668480" behindDoc="0" locked="0" layoutInCell="1" allowOverlap="1">
                            <wp:simplePos x="0" y="0"/>
                            <wp:positionH relativeFrom="column">
                              <wp:posOffset>-52705</wp:posOffset>
                            </wp:positionH>
                            <wp:positionV relativeFrom="paragraph">
                              <wp:posOffset>788035</wp:posOffset>
                            </wp:positionV>
                            <wp:extent cx="1247140" cy="27622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24714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0000"/>
                                            <w:lang w:val="en-US" w:eastAsia="zh-CN"/>
                                          </w:rPr>
                                        </w:pPr>
                                        <w:r>
                                          <w:rPr>
                                            <w:rFonts w:hint="eastAsia"/>
                                            <w:b/>
                                            <w:bCs/>
                                            <w:color w:val="FF0000"/>
                                            <w:lang w:eastAsia="zh-CN"/>
                                          </w:rPr>
                                          <w:t>跨越</w:t>
                                        </w:r>
                                        <w:r>
                                          <w:rPr>
                                            <w:rFonts w:hint="eastAsia"/>
                                            <w:b/>
                                            <w:bCs/>
                                            <w:color w:val="FF0000"/>
                                            <w:lang w:val="en-US" w:eastAsia="zh-CN"/>
                                          </w:rPr>
                                          <w:t>35kV电力线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5pt;margin-top:62.05pt;height:21.75pt;width:98.2pt;z-index:251668480;mso-width-relative:page;mso-height-relative:page;" filled="f" stroked="f" coordsize="21600,21600" o:gfxdata="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2Uc43a&#10;AAAACgEAAA8AAAAAAAAAAQAgAAAAIgAAAGRycy9kb3ducmV2LnhtbFBLAQIUABQAAAAIAIdO4kD1&#10;V1NRHgIAABoEAAAOAAAAAAAAAAEAIAAAACkBAABkcnMvZTJvRG9jLnhtbFBLBQYAAAAABgAGAFkB&#10;AAC5BQAAAAA=&#10;">
                            <v:fill on="f" focussize="0,0"/>
                            <v:stroke on="f" weight="0.5pt"/>
                            <v:imagedata o:title=""/>
                            <o:lock v:ext="edit" aspectratio="f"/>
                            <v:textbox>
                              <w:txbxContent>
                                <w:p>
                                  <w:pPr>
                                    <w:rPr>
                                      <w:rFonts w:hint="default" w:eastAsiaTheme="minorEastAsia"/>
                                      <w:b/>
                                      <w:bCs/>
                                      <w:color w:val="FF0000"/>
                                      <w:lang w:val="en-US" w:eastAsia="zh-CN"/>
                                    </w:rPr>
                                  </w:pPr>
                                  <w:r>
                                    <w:rPr>
                                      <w:rFonts w:hint="eastAsia"/>
                                      <w:b/>
                                      <w:bCs/>
                                      <w:color w:val="FF0000"/>
                                      <w:lang w:eastAsia="zh-CN"/>
                                    </w:rPr>
                                    <w:t>跨越</w:t>
                                  </w:r>
                                  <w:r>
                                    <w:rPr>
                                      <w:rFonts w:hint="eastAsia"/>
                                      <w:b/>
                                      <w:bCs/>
                                      <w:color w:val="FF0000"/>
                                      <w:lang w:val="en-US" w:eastAsia="zh-CN"/>
                                    </w:rPr>
                                    <w:t>35kV电力线</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1083945</wp:posOffset>
                            </wp:positionH>
                            <wp:positionV relativeFrom="paragraph">
                              <wp:posOffset>880745</wp:posOffset>
                            </wp:positionV>
                            <wp:extent cx="233045" cy="95250"/>
                            <wp:effectExtent l="0" t="0" r="14605" b="0"/>
                            <wp:wrapNone/>
                            <wp:docPr id="9" name="右箭头 9"/>
                            <wp:cNvGraphicFramePr/>
                            <a:graphic xmlns:a="http://schemas.openxmlformats.org/drawingml/2006/main">
                              <a:graphicData uri="http://schemas.microsoft.com/office/word/2010/wordprocessingShape">
                                <wps:wsp>
                                  <wps:cNvSpPr/>
                                  <wps:spPr>
                                    <a:xfrm>
                                      <a:off x="0" y="0"/>
                                      <a:ext cx="233045" cy="95250"/>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b/>
                                            <w:bCs/>
                                          </w:rPr>
                                        </w:pPr>
                                        <w:r>
                                          <w:rPr>
                                            <w:rFonts w:hint="eastAsia"/>
                                          </w:rPr>
                                          <w:t>线路路径见图1-5，输电线路沿线现状照片见图1-6。线路路径见图1-5，输电线路沿线现状照片见图1-6。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5.35pt;margin-top:69.35pt;height:7.5pt;width:18.35pt;z-index:251664384;v-text-anchor:middle;mso-width-relative:page;mso-height-relative:page;" fillcolor="#FF0000" filled="t" stroked="f" coordsize="21600,21600" o:gfxdata="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DkBeK2AAAAAsBAAAPAAAAAAAAAAEAIAAAACIAAABkcnMvZG93bnJldi54bWxQSwECFAAUAAAA&#10;CACHTuJASQv+J2ACAACPBAAADgAAAAAAAAABACAAAAAnAQAAZHJzL2Uyb0RvYy54bWxQSwUGAAAA&#10;AAYABgBZAQAA+QUAAAAA&#10;" adj="17186,5400">
                            <v:fill on="t" focussize="0,0"/>
                            <v:stroke on="f" weight="1pt" miterlimit="8" joinstyle="miter"/>
                            <v:imagedata o:title=""/>
                            <o:lock v:ext="edit" aspectratio="f"/>
                            <v:textbox>
                              <w:txbxContent>
                                <w:p>
                                  <w:pPr>
                                    <w:rPr>
                                      <w:b/>
                                      <w:bCs/>
                                    </w:rPr>
                                  </w:pPr>
                                  <w:r>
                                    <w:rPr>
                                      <w:rFonts w:hint="eastAsia"/>
                                    </w:rPr>
                                    <w:t>线路路径见图1-5，输电线路沿线现状照片见图1-6。线路路径见图1-5，输电线路沿线现状照片见图1-6。</w:t>
                                  </w:r>
                                </w:p>
                              </w:txbxContent>
                            </v:textbox>
                          </v:shape>
                        </w:pict>
                      </mc:Fallback>
                    </mc:AlternateContent>
                  </w:r>
                  <w:r>
                    <w:rPr>
                      <w:rFonts w:hint="default" w:ascii="Times New Roman" w:hAnsi="Times New Roman" w:cs="Times New Roman"/>
                      <w:bCs/>
                      <w:color w:val="auto"/>
                      <w:kern w:val="2"/>
                      <w:sz w:val="21"/>
                      <w:szCs w:val="21"/>
                      <w:vertAlign w:val="baseline"/>
                      <w:lang w:val="en-US" w:eastAsia="zh-CN" w:bidi="ar-SA"/>
                    </w:rPr>
                    <w:drawing>
                      <wp:inline distT="0" distB="0" distL="114300" distR="114300">
                        <wp:extent cx="2691765" cy="2019300"/>
                        <wp:effectExtent l="0" t="0" r="13335" b="0"/>
                        <wp:docPr id="6" name="图片 6" descr="跨越110kV输电线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跨越110kV输电线路"/>
                                <pic:cNvPicPr>
                                  <a:picLocks noChangeAspect="1"/>
                                </pic:cNvPicPr>
                              </pic:nvPicPr>
                              <pic:blipFill>
                                <a:blip r:embed="rId16"/>
                                <a:stretch>
                                  <a:fillRect/>
                                </a:stretch>
                              </pic:blipFill>
                              <pic:spPr>
                                <a:xfrm>
                                  <a:off x="0" y="0"/>
                                  <a:ext cx="2691765" cy="2019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48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bCs w:val="0"/>
                      <w:color w:val="auto"/>
                      <w:kern w:val="2"/>
                      <w:sz w:val="21"/>
                      <w:szCs w:val="21"/>
                      <w:vertAlign w:val="baseline"/>
                      <w:lang w:val="en-US" w:eastAsia="zh-CN" w:bidi="ar-SA"/>
                    </w:rPr>
                  </w:pPr>
                  <w:r>
                    <w:rPr>
                      <w:rFonts w:hint="eastAsia" w:ascii="Times New Roman" w:hAnsi="Times New Roman" w:cs="Times New Roman"/>
                      <w:b/>
                      <w:bCs w:val="0"/>
                      <w:color w:val="auto"/>
                      <w:kern w:val="2"/>
                      <w:sz w:val="21"/>
                      <w:szCs w:val="21"/>
                      <w:vertAlign w:val="baseline"/>
                      <w:lang w:val="en-US" w:eastAsia="zh-CN" w:bidi="ar-SA"/>
                    </w:rPr>
                    <w:t>跨越10kV电力线处</w:t>
                  </w:r>
                </w:p>
              </w:tc>
              <w:tc>
                <w:tcPr>
                  <w:tcW w:w="4481"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bCs w:val="0"/>
                      <w:color w:val="auto"/>
                      <w:kern w:val="2"/>
                      <w:sz w:val="21"/>
                      <w:szCs w:val="21"/>
                      <w:vertAlign w:val="baseline"/>
                      <w:lang w:val="en-US" w:eastAsia="zh-CN" w:bidi="ar-SA"/>
                    </w:rPr>
                  </w:pPr>
                  <w:r>
                    <w:rPr>
                      <w:rFonts w:hint="eastAsia" w:ascii="Times New Roman" w:hAnsi="Times New Roman" w:cs="Times New Roman"/>
                      <w:b/>
                      <w:bCs w:val="0"/>
                      <w:color w:val="auto"/>
                      <w:kern w:val="2"/>
                      <w:sz w:val="21"/>
                      <w:szCs w:val="21"/>
                      <w:vertAlign w:val="baseline"/>
                      <w:lang w:val="en-US" w:eastAsia="zh-CN" w:bidi="ar-SA"/>
                    </w:rPr>
                    <w:t>跨越110kV电力线处</w:t>
                  </w:r>
                </w:p>
              </w:tc>
            </w:tr>
          </w:tbl>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b/>
                <w:bCs w:val="0"/>
                <w:color w:val="auto"/>
                <w:kern w:val="2"/>
                <w:sz w:val="21"/>
                <w:szCs w:val="21"/>
                <w:lang w:val="en-US" w:eastAsia="zh-CN" w:bidi="ar-SA"/>
              </w:rPr>
            </w:pPr>
            <w:r>
              <w:rPr>
                <w:rFonts w:hint="default" w:ascii="Times New Roman" w:hAnsi="Times New Roman" w:cs="Times New Roman"/>
                <w:b/>
                <w:bCs w:val="0"/>
                <w:color w:val="auto"/>
                <w:kern w:val="2"/>
                <w:sz w:val="21"/>
                <w:szCs w:val="21"/>
                <w:lang w:val="en-US" w:eastAsia="zh-CN" w:bidi="ar-SA"/>
              </w:rPr>
              <w:t>图1-</w:t>
            </w:r>
            <w:r>
              <w:rPr>
                <w:rFonts w:hint="eastAsia" w:ascii="Times New Roman" w:hAnsi="Times New Roman" w:cs="Times New Roman"/>
                <w:b/>
                <w:bCs w:val="0"/>
                <w:color w:val="auto"/>
                <w:kern w:val="2"/>
                <w:sz w:val="21"/>
                <w:szCs w:val="21"/>
                <w:lang w:val="en-US" w:eastAsia="zh-CN" w:bidi="ar-SA"/>
              </w:rPr>
              <w:t>5</w:t>
            </w:r>
            <w:r>
              <w:rPr>
                <w:rFonts w:hint="default" w:ascii="Times New Roman" w:hAnsi="Times New Roman" w:cs="Times New Roman"/>
                <w:b/>
                <w:bCs w:val="0"/>
                <w:color w:val="auto"/>
                <w:kern w:val="2"/>
                <w:sz w:val="21"/>
                <w:szCs w:val="21"/>
                <w:lang w:val="en-US" w:eastAsia="zh-CN" w:bidi="ar-SA"/>
              </w:rPr>
              <w:t xml:space="preserve">  输电线路沿线</w:t>
            </w:r>
            <w:r>
              <w:rPr>
                <w:rFonts w:hint="eastAsia" w:ascii="Times New Roman" w:hAnsi="Times New Roman" w:cs="Times New Roman"/>
                <w:b/>
                <w:bCs w:val="0"/>
                <w:color w:val="auto"/>
                <w:kern w:val="2"/>
                <w:sz w:val="21"/>
                <w:szCs w:val="21"/>
                <w:lang w:val="en-US" w:eastAsia="zh-CN" w:bidi="ar-SA"/>
              </w:rPr>
              <w:t>及电力线跨越处</w:t>
            </w:r>
            <w:r>
              <w:rPr>
                <w:rFonts w:hint="default" w:ascii="Times New Roman" w:hAnsi="Times New Roman" w:cs="Times New Roman"/>
                <w:b/>
                <w:bCs w:val="0"/>
                <w:color w:val="auto"/>
                <w:kern w:val="2"/>
                <w:sz w:val="21"/>
                <w:szCs w:val="21"/>
                <w:lang w:val="en-US" w:eastAsia="zh-CN" w:bidi="ar-SA"/>
              </w:rPr>
              <w:t>图</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rPr>
                <w:rFonts w:hint="eastAsia" w:ascii="Times New Roman" w:hAnsi="Times New Roman" w:cs="Times New Roman"/>
                <w:b/>
                <w:bCs w:val="0"/>
                <w:color w:val="auto"/>
                <w:kern w:val="2"/>
                <w:sz w:val="24"/>
                <w:szCs w:val="24"/>
                <w:lang w:val="en-US" w:eastAsia="zh-CN" w:bidi="ar-SA"/>
              </w:rPr>
            </w:pPr>
            <w:r>
              <w:rPr>
                <w:rFonts w:hint="eastAsia" w:ascii="Times New Roman" w:hAnsi="Times New Roman" w:cs="Times New Roman"/>
                <w:b/>
                <w:bCs w:val="0"/>
                <w:color w:val="auto"/>
                <w:kern w:val="2"/>
                <w:sz w:val="24"/>
                <w:szCs w:val="24"/>
                <w:lang w:val="en-US" w:eastAsia="zh-CN" w:bidi="ar-SA"/>
              </w:rPr>
              <w:t>1.3.2.3 导地线型号</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bCs/>
                <w:color w:val="auto"/>
                <w:kern w:val="2"/>
                <w:sz w:val="24"/>
                <w:szCs w:val="24"/>
                <w:lang w:val="en-US" w:eastAsia="zh-CN" w:bidi="ar-SA"/>
              </w:rPr>
            </w:pPr>
            <w:r>
              <w:rPr>
                <w:rFonts w:hint="eastAsia" w:ascii="Times New Roman" w:hAnsi="Times New Roman" w:cs="Times New Roman"/>
                <w:bCs/>
                <w:color w:val="auto"/>
                <w:kern w:val="2"/>
                <w:sz w:val="24"/>
                <w:szCs w:val="24"/>
                <w:lang w:val="en-US" w:eastAsia="zh-CN" w:bidi="ar-SA"/>
              </w:rPr>
              <w:t>导线采用JL/G1A-300/40型钢芯铝绞线，地线一根地线选用1×7-11.4-1270-B（GJ-80）型镀锌钢绞线，另一根地线选用OPGW-13-90-1（48芯）型架空复合地线。项目导地线参数见表1-3。</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center"/>
              <w:textAlignment w:val="auto"/>
              <w:rPr>
                <w:rFonts w:hint="eastAsia" w:ascii="Times New Roman" w:hAnsi="Times New Roman" w:cs="Times New Roman"/>
                <w:b/>
                <w:bCs w:val="0"/>
                <w:color w:val="auto"/>
                <w:kern w:val="2"/>
                <w:sz w:val="21"/>
                <w:szCs w:val="21"/>
                <w:lang w:val="en-US" w:eastAsia="zh-CN" w:bidi="ar-SA"/>
              </w:rPr>
            </w:pPr>
            <w:r>
              <w:rPr>
                <w:rFonts w:hint="eastAsia" w:ascii="Times New Roman" w:hAnsi="Times New Roman" w:cs="Times New Roman"/>
                <w:b/>
                <w:bCs w:val="0"/>
                <w:color w:val="auto"/>
                <w:kern w:val="2"/>
                <w:sz w:val="21"/>
                <w:szCs w:val="21"/>
                <w:lang w:val="en-US" w:eastAsia="zh-CN" w:bidi="ar-SA"/>
              </w:rPr>
              <w:t>表1-3  项目导地线参数表</w:t>
            </w:r>
          </w:p>
          <w:tbl>
            <w:tblPr>
              <w:tblStyle w:val="15"/>
              <w:tblW w:w="89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5"/>
              <w:gridCol w:w="913"/>
              <w:gridCol w:w="980"/>
              <w:gridCol w:w="970"/>
              <w:gridCol w:w="970"/>
              <w:gridCol w:w="1169"/>
              <w:gridCol w:w="870"/>
              <w:gridCol w:w="1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Merge w:val="restar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导地线型号</w:t>
                  </w:r>
                </w:p>
              </w:tc>
              <w:tc>
                <w:tcPr>
                  <w:tcW w:w="1893" w:type="dxa"/>
                  <w:gridSpan w:val="2"/>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根数/直径（mm）</w:t>
                  </w:r>
                </w:p>
              </w:tc>
              <w:tc>
                <w:tcPr>
                  <w:tcW w:w="3109" w:type="dxa"/>
                  <w:gridSpan w:val="3"/>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计算截面（mm</w:t>
                  </w:r>
                  <w:r>
                    <w:rPr>
                      <w:rFonts w:hint="eastAsia" w:ascii="Times New Roman" w:hAnsi="Times New Roman" w:cs="Times New Roman"/>
                      <w:bCs/>
                      <w:color w:val="auto"/>
                      <w:kern w:val="2"/>
                      <w:sz w:val="21"/>
                      <w:szCs w:val="21"/>
                      <w:vertAlign w:val="superscript"/>
                      <w:lang w:val="en-US" w:eastAsia="zh-CN" w:bidi="ar-SA"/>
                    </w:rPr>
                    <w:t>2</w:t>
                  </w:r>
                  <w:r>
                    <w:rPr>
                      <w:rFonts w:hint="eastAsia" w:ascii="Times New Roman" w:hAnsi="Times New Roman" w:cs="Times New Roman"/>
                      <w:bCs/>
                      <w:color w:val="auto"/>
                      <w:kern w:val="2"/>
                      <w:sz w:val="21"/>
                      <w:szCs w:val="21"/>
                      <w:vertAlign w:val="baseline"/>
                      <w:lang w:val="en-US" w:eastAsia="zh-CN" w:bidi="ar-SA"/>
                    </w:rPr>
                    <w:t>）</w:t>
                  </w:r>
                </w:p>
              </w:tc>
              <w:tc>
                <w:tcPr>
                  <w:tcW w:w="870" w:type="dxa"/>
                  <w:vMerge w:val="restar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外径（mm）</w:t>
                  </w:r>
                </w:p>
              </w:tc>
              <w:tc>
                <w:tcPr>
                  <w:tcW w:w="1414" w:type="dxa"/>
                  <w:vMerge w:val="restar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膨胀系数（×10</w:t>
                  </w:r>
                  <w:r>
                    <w:rPr>
                      <w:rFonts w:hint="eastAsia" w:ascii="Times New Roman" w:hAnsi="Times New Roman" w:cs="Times New Roman"/>
                      <w:bCs/>
                      <w:color w:val="auto"/>
                      <w:kern w:val="2"/>
                      <w:sz w:val="21"/>
                      <w:szCs w:val="21"/>
                      <w:vertAlign w:val="superscript"/>
                      <w:lang w:val="en-US" w:eastAsia="zh-CN" w:bidi="ar-SA"/>
                    </w:rPr>
                    <w:t>-6</w:t>
                  </w:r>
                  <w:r>
                    <w:rPr>
                      <w:rFonts w:hint="eastAsia" w:ascii="Times New Roman" w:hAnsi="Times New Roman" w:cs="Times New Roman"/>
                      <w:bCs/>
                      <w:color w:val="auto"/>
                      <w:kern w:val="2"/>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Times New Roman"/>
                      <w:bCs/>
                      <w:color w:val="auto"/>
                      <w:kern w:val="2"/>
                      <w:sz w:val="21"/>
                      <w:szCs w:val="21"/>
                      <w:vertAlign w:val="baseline"/>
                      <w:lang w:val="en-US" w:eastAsia="zh-CN" w:bidi="ar-SA"/>
                    </w:rPr>
                  </w:pPr>
                </w:p>
              </w:tc>
              <w:tc>
                <w:tcPr>
                  <w:tcW w:w="913"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铝</w:t>
                  </w:r>
                </w:p>
              </w:tc>
              <w:tc>
                <w:tcPr>
                  <w:tcW w:w="98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钢</w:t>
                  </w:r>
                </w:p>
              </w:tc>
              <w:tc>
                <w:tcPr>
                  <w:tcW w:w="97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铝</w:t>
                  </w:r>
                </w:p>
              </w:tc>
              <w:tc>
                <w:tcPr>
                  <w:tcW w:w="97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钢</w:t>
                  </w:r>
                </w:p>
              </w:tc>
              <w:tc>
                <w:tcPr>
                  <w:tcW w:w="1169"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综合</w:t>
                  </w:r>
                </w:p>
              </w:tc>
              <w:tc>
                <w:tcPr>
                  <w:tcW w:w="870"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p>
              </w:tc>
              <w:tc>
                <w:tcPr>
                  <w:tcW w:w="1414"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JL/G1A-300/40</w:t>
                  </w:r>
                </w:p>
              </w:tc>
              <w:tc>
                <w:tcPr>
                  <w:tcW w:w="913"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24/3.99</w:t>
                  </w:r>
                </w:p>
              </w:tc>
              <w:tc>
                <w:tcPr>
                  <w:tcW w:w="98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7/2.66</w:t>
                  </w:r>
                </w:p>
              </w:tc>
              <w:tc>
                <w:tcPr>
                  <w:tcW w:w="97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300.09</w:t>
                  </w:r>
                </w:p>
              </w:tc>
              <w:tc>
                <w:tcPr>
                  <w:tcW w:w="97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38.9</w:t>
                  </w:r>
                </w:p>
              </w:tc>
              <w:tc>
                <w:tcPr>
                  <w:tcW w:w="1169"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338.99</w:t>
                  </w:r>
                </w:p>
              </w:tc>
              <w:tc>
                <w:tcPr>
                  <w:tcW w:w="87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23.9</w:t>
                  </w:r>
                </w:p>
              </w:tc>
              <w:tc>
                <w:tcPr>
                  <w:tcW w:w="1414"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1×7-11.4-1270-B（GJ-80）</w:t>
                  </w:r>
                </w:p>
              </w:tc>
              <w:tc>
                <w:tcPr>
                  <w:tcW w:w="913"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w:t>
                  </w:r>
                </w:p>
              </w:tc>
              <w:tc>
                <w:tcPr>
                  <w:tcW w:w="98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7/3.80</w:t>
                  </w:r>
                </w:p>
              </w:tc>
              <w:tc>
                <w:tcPr>
                  <w:tcW w:w="97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w:t>
                  </w:r>
                </w:p>
              </w:tc>
              <w:tc>
                <w:tcPr>
                  <w:tcW w:w="97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w:t>
                  </w:r>
                </w:p>
              </w:tc>
              <w:tc>
                <w:tcPr>
                  <w:tcW w:w="1169"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79.39</w:t>
                  </w:r>
                </w:p>
              </w:tc>
              <w:tc>
                <w:tcPr>
                  <w:tcW w:w="87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11.4</w:t>
                  </w:r>
                </w:p>
              </w:tc>
              <w:tc>
                <w:tcPr>
                  <w:tcW w:w="1414"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OPGW-13-90-1（48芯</w:t>
                  </w:r>
                  <w:r>
                    <w:rPr>
                      <w:rFonts w:hint="eastAsia" w:ascii="Times New Roman" w:hAnsi="Times New Roman" w:cs="Times New Roman"/>
                      <w:bCs/>
                      <w:color w:val="auto"/>
                      <w:kern w:val="2"/>
                      <w:sz w:val="21"/>
                      <w:szCs w:val="21"/>
                      <w:vertAlign w:val="baseline"/>
                      <w:lang w:val="en-US" w:eastAsia="zh-CN" w:bidi="ar-SA"/>
                    </w:rPr>
                    <w:t>）</w:t>
                  </w:r>
                </w:p>
              </w:tc>
              <w:tc>
                <w:tcPr>
                  <w:tcW w:w="913"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w:t>
                  </w:r>
                </w:p>
              </w:tc>
              <w:tc>
                <w:tcPr>
                  <w:tcW w:w="98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w:t>
                  </w:r>
                </w:p>
              </w:tc>
              <w:tc>
                <w:tcPr>
                  <w:tcW w:w="97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w:t>
                  </w:r>
                </w:p>
              </w:tc>
              <w:tc>
                <w:tcPr>
                  <w:tcW w:w="97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w:t>
                  </w:r>
                </w:p>
              </w:tc>
              <w:tc>
                <w:tcPr>
                  <w:tcW w:w="1169"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90.6</w:t>
                  </w:r>
                </w:p>
              </w:tc>
              <w:tc>
                <w:tcPr>
                  <w:tcW w:w="87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13.2</w:t>
                  </w:r>
                </w:p>
              </w:tc>
              <w:tc>
                <w:tcPr>
                  <w:tcW w:w="1414"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15.5</w:t>
                  </w:r>
                </w:p>
              </w:tc>
            </w:tr>
          </w:tbl>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rPr>
                <w:rFonts w:hint="eastAsia" w:ascii="Times New Roman" w:hAnsi="Times New Roman" w:cs="Times New Roman"/>
                <w:b/>
                <w:bCs w:val="0"/>
                <w:color w:val="auto"/>
                <w:kern w:val="2"/>
                <w:sz w:val="24"/>
                <w:szCs w:val="24"/>
                <w:lang w:val="en-US" w:eastAsia="zh-CN" w:bidi="ar-SA"/>
              </w:rPr>
            </w:pPr>
            <w:r>
              <w:rPr>
                <w:rFonts w:hint="eastAsia" w:ascii="Times New Roman" w:hAnsi="Times New Roman" w:cs="Times New Roman"/>
                <w:b/>
                <w:bCs w:val="0"/>
                <w:color w:val="auto"/>
                <w:kern w:val="2"/>
                <w:sz w:val="24"/>
                <w:szCs w:val="24"/>
                <w:lang w:val="en-US" w:eastAsia="zh-CN" w:bidi="ar-SA"/>
              </w:rPr>
              <w:t>1.3.2.4 杆塔与基础</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cs="Times New Roman"/>
                <w:bCs/>
                <w:color w:val="auto"/>
                <w:kern w:val="2"/>
                <w:sz w:val="24"/>
                <w:szCs w:val="24"/>
                <w:lang w:val="en-US" w:eastAsia="zh-CN" w:bidi="ar-SA"/>
              </w:rPr>
            </w:pPr>
            <w:r>
              <w:rPr>
                <w:rFonts w:hint="eastAsia" w:ascii="Times New Roman" w:hAnsi="Times New Roman" w:cs="Times New Roman"/>
                <w:bCs/>
                <w:color w:val="auto"/>
                <w:kern w:val="2"/>
                <w:sz w:val="24"/>
                <w:szCs w:val="24"/>
                <w:lang w:val="en-US" w:eastAsia="zh-CN" w:bidi="ar-SA"/>
              </w:rPr>
              <w:t>（1）杆塔</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cs="Times New Roman"/>
                <w:bCs/>
                <w:color w:val="auto"/>
                <w:kern w:val="2"/>
                <w:sz w:val="24"/>
                <w:szCs w:val="24"/>
                <w:lang w:val="en-US" w:eastAsia="zh-CN" w:bidi="ar-SA"/>
              </w:rPr>
            </w:pPr>
            <w:r>
              <w:rPr>
                <w:rFonts w:hint="eastAsia" w:ascii="Times New Roman" w:hAnsi="Times New Roman" w:cs="Times New Roman"/>
                <w:bCs/>
                <w:color w:val="auto"/>
                <w:kern w:val="2"/>
                <w:sz w:val="24"/>
                <w:szCs w:val="24"/>
                <w:lang w:val="en-US" w:eastAsia="zh-CN" w:bidi="ar-SA"/>
              </w:rPr>
              <w:t>本项目杆塔均采用铁塔，全线路新建杆塔共计21基，其中单回路直线塔11基，单回路转角塔10基。项目杆塔明细见表1-4。</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b/>
                <w:bCs w:val="0"/>
                <w:color w:val="auto"/>
                <w:kern w:val="2"/>
                <w:sz w:val="21"/>
                <w:szCs w:val="21"/>
                <w:lang w:val="en-US" w:eastAsia="zh-CN" w:bidi="ar-SA"/>
              </w:rPr>
            </w:pPr>
            <w:r>
              <w:rPr>
                <w:rFonts w:hint="default" w:ascii="Times New Roman" w:hAnsi="Times New Roman" w:cs="Times New Roman"/>
                <w:b/>
                <w:bCs w:val="0"/>
                <w:color w:val="auto"/>
                <w:kern w:val="2"/>
                <w:sz w:val="21"/>
                <w:szCs w:val="21"/>
                <w:lang w:val="en-US" w:eastAsia="zh-CN" w:bidi="ar-SA"/>
              </w:rPr>
              <w:t>表1-</w:t>
            </w:r>
            <w:r>
              <w:rPr>
                <w:rFonts w:hint="eastAsia" w:ascii="Times New Roman" w:hAnsi="Times New Roman" w:cs="Times New Roman"/>
                <w:b/>
                <w:bCs w:val="0"/>
                <w:color w:val="auto"/>
                <w:kern w:val="2"/>
                <w:sz w:val="21"/>
                <w:szCs w:val="21"/>
                <w:lang w:val="en-US" w:eastAsia="zh-CN" w:bidi="ar-SA"/>
              </w:rPr>
              <w:t>4</w:t>
            </w:r>
            <w:r>
              <w:rPr>
                <w:rFonts w:hint="default" w:ascii="Times New Roman" w:hAnsi="Times New Roman" w:cs="Times New Roman"/>
                <w:b/>
                <w:bCs w:val="0"/>
                <w:color w:val="auto"/>
                <w:kern w:val="2"/>
                <w:sz w:val="21"/>
                <w:szCs w:val="21"/>
                <w:lang w:val="en-US" w:eastAsia="zh-CN" w:bidi="ar-SA"/>
              </w:rPr>
              <w:t xml:space="preserve">  拟建线路杆塔明细表</w:t>
            </w:r>
          </w:p>
          <w:tbl>
            <w:tblPr>
              <w:tblStyle w:val="15"/>
              <w:tblW w:w="89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1"/>
              <w:gridCol w:w="1590"/>
              <w:gridCol w:w="2205"/>
              <w:gridCol w:w="1102"/>
              <w:gridCol w:w="1103"/>
              <w:gridCol w:w="1125"/>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Merge w:val="restar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序号</w:t>
                  </w:r>
                </w:p>
              </w:tc>
              <w:tc>
                <w:tcPr>
                  <w:tcW w:w="1590" w:type="dxa"/>
                  <w:vMerge w:val="restar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名称</w:t>
                  </w:r>
                </w:p>
              </w:tc>
              <w:tc>
                <w:tcPr>
                  <w:tcW w:w="2205" w:type="dxa"/>
                  <w:vMerge w:val="restar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代号</w:t>
                  </w:r>
                </w:p>
              </w:tc>
              <w:tc>
                <w:tcPr>
                  <w:tcW w:w="2205" w:type="dxa"/>
                  <w:gridSpan w:val="2"/>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设计档距</w:t>
                  </w:r>
                </w:p>
              </w:tc>
              <w:tc>
                <w:tcPr>
                  <w:tcW w:w="1125" w:type="dxa"/>
                  <w:vMerge w:val="restar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呼高（m）</w:t>
                  </w:r>
                </w:p>
              </w:tc>
              <w:tc>
                <w:tcPr>
                  <w:tcW w:w="1245" w:type="dxa"/>
                  <w:vMerge w:val="restar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数量（基）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p>
              </w:tc>
              <w:tc>
                <w:tcPr>
                  <w:tcW w:w="1590"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p>
              </w:tc>
              <w:tc>
                <w:tcPr>
                  <w:tcW w:w="2205"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p>
              </w:tc>
              <w:tc>
                <w:tcPr>
                  <w:tcW w:w="1102"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水平（m）</w:t>
                  </w:r>
                </w:p>
              </w:tc>
              <w:tc>
                <w:tcPr>
                  <w:tcW w:w="1103"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垂直（m）</w:t>
                  </w:r>
                </w:p>
              </w:tc>
              <w:tc>
                <w:tcPr>
                  <w:tcW w:w="1125"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p>
              </w:tc>
              <w:tc>
                <w:tcPr>
                  <w:tcW w:w="1245"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1</w:t>
                  </w:r>
                </w:p>
              </w:tc>
              <w:tc>
                <w:tcPr>
                  <w:tcW w:w="1590" w:type="dxa"/>
                  <w:vMerge w:val="restar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单回路直线塔</w:t>
                  </w:r>
                </w:p>
              </w:tc>
              <w:tc>
                <w:tcPr>
                  <w:tcW w:w="2205" w:type="dxa"/>
                  <w:vAlign w:val="center"/>
                </w:tcPr>
                <w:p>
                  <w:pPr>
                    <w:jc w:val="center"/>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1A4-ZM3</w:t>
                  </w:r>
                </w:p>
              </w:tc>
              <w:tc>
                <w:tcPr>
                  <w:tcW w:w="1102"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500</w:t>
                  </w:r>
                </w:p>
              </w:tc>
              <w:tc>
                <w:tcPr>
                  <w:tcW w:w="1103"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700</w:t>
                  </w:r>
                </w:p>
              </w:tc>
              <w:tc>
                <w:tcPr>
                  <w:tcW w:w="1125"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15-36</w:t>
                  </w:r>
                </w:p>
              </w:tc>
              <w:tc>
                <w:tcPr>
                  <w:tcW w:w="124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2</w:t>
                  </w:r>
                </w:p>
              </w:tc>
              <w:tc>
                <w:tcPr>
                  <w:tcW w:w="1590"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p>
              </w:tc>
              <w:tc>
                <w:tcPr>
                  <w:tcW w:w="2205" w:type="dxa"/>
                  <w:vAlign w:val="center"/>
                </w:tcPr>
                <w:p>
                  <w:pPr>
                    <w:jc w:val="center"/>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1A4X-ZMC4</w:t>
                  </w:r>
                </w:p>
              </w:tc>
              <w:tc>
                <w:tcPr>
                  <w:tcW w:w="1102"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lang w:val="en-US" w:eastAsia="zh-CN"/>
                    </w:rPr>
                    <w:t>900</w:t>
                  </w:r>
                </w:p>
              </w:tc>
              <w:tc>
                <w:tcPr>
                  <w:tcW w:w="1103"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lang w:val="en-US" w:eastAsia="zh-CN"/>
                    </w:rPr>
                    <w:t>1200</w:t>
                  </w:r>
                </w:p>
              </w:tc>
              <w:tc>
                <w:tcPr>
                  <w:tcW w:w="1125"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15-36</w:t>
                  </w:r>
                </w:p>
              </w:tc>
              <w:tc>
                <w:tcPr>
                  <w:tcW w:w="124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3</w:t>
                  </w:r>
                </w:p>
              </w:tc>
              <w:tc>
                <w:tcPr>
                  <w:tcW w:w="1590"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p>
              </w:tc>
              <w:tc>
                <w:tcPr>
                  <w:tcW w:w="2205" w:type="dxa"/>
                  <w:vAlign w:val="center"/>
                </w:tcPr>
                <w:p>
                  <w:pPr>
                    <w:jc w:val="center"/>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1A4X-ZMC5</w:t>
                  </w:r>
                </w:p>
              </w:tc>
              <w:tc>
                <w:tcPr>
                  <w:tcW w:w="1102"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lang w:val="en-US" w:eastAsia="zh-CN"/>
                    </w:rPr>
                    <w:t>800</w:t>
                  </w:r>
                </w:p>
              </w:tc>
              <w:tc>
                <w:tcPr>
                  <w:tcW w:w="1103"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lang w:val="en-US" w:eastAsia="zh-CN"/>
                    </w:rPr>
                    <w:t>1200</w:t>
                  </w:r>
                </w:p>
              </w:tc>
              <w:tc>
                <w:tcPr>
                  <w:tcW w:w="1125"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lang w:val="en-US" w:eastAsia="zh-CN"/>
                    </w:rPr>
                    <w:t>39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54</w:t>
                  </w:r>
                </w:p>
              </w:tc>
              <w:tc>
                <w:tcPr>
                  <w:tcW w:w="124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4</w:t>
                  </w:r>
                </w:p>
              </w:tc>
              <w:tc>
                <w:tcPr>
                  <w:tcW w:w="1590" w:type="dxa"/>
                  <w:vMerge w:val="restar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单回路转角塔</w:t>
                  </w:r>
                </w:p>
              </w:tc>
              <w:tc>
                <w:tcPr>
                  <w:tcW w:w="2205" w:type="dxa"/>
                  <w:vAlign w:val="center"/>
                </w:tcPr>
                <w:p>
                  <w:pPr>
                    <w:jc w:val="center"/>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1A4-J2</w:t>
                  </w:r>
                </w:p>
              </w:tc>
              <w:tc>
                <w:tcPr>
                  <w:tcW w:w="1102"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400</w:t>
                  </w:r>
                </w:p>
              </w:tc>
              <w:tc>
                <w:tcPr>
                  <w:tcW w:w="1103"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500</w:t>
                  </w:r>
                </w:p>
              </w:tc>
              <w:tc>
                <w:tcPr>
                  <w:tcW w:w="1125"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15-24</w:t>
                  </w:r>
                </w:p>
              </w:tc>
              <w:tc>
                <w:tcPr>
                  <w:tcW w:w="124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5</w:t>
                  </w:r>
                </w:p>
              </w:tc>
              <w:tc>
                <w:tcPr>
                  <w:tcW w:w="1590"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p>
              </w:tc>
              <w:tc>
                <w:tcPr>
                  <w:tcW w:w="2205" w:type="dxa"/>
                  <w:vAlign w:val="center"/>
                </w:tcPr>
                <w:p>
                  <w:pPr>
                    <w:jc w:val="center"/>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1A4-J3</w:t>
                  </w:r>
                </w:p>
              </w:tc>
              <w:tc>
                <w:tcPr>
                  <w:tcW w:w="1102"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400</w:t>
                  </w:r>
                </w:p>
              </w:tc>
              <w:tc>
                <w:tcPr>
                  <w:tcW w:w="1103"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500</w:t>
                  </w:r>
                </w:p>
              </w:tc>
              <w:tc>
                <w:tcPr>
                  <w:tcW w:w="1125"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15-24</w:t>
                  </w:r>
                </w:p>
              </w:tc>
              <w:tc>
                <w:tcPr>
                  <w:tcW w:w="124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6</w:t>
                  </w:r>
                </w:p>
              </w:tc>
              <w:tc>
                <w:tcPr>
                  <w:tcW w:w="1590"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p>
              </w:tc>
              <w:tc>
                <w:tcPr>
                  <w:tcW w:w="2205" w:type="dxa"/>
                  <w:vAlign w:val="center"/>
                </w:tcPr>
                <w:p>
                  <w:pPr>
                    <w:jc w:val="center"/>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1A4-JD</w:t>
                  </w:r>
                </w:p>
              </w:tc>
              <w:tc>
                <w:tcPr>
                  <w:tcW w:w="1102"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400</w:t>
                  </w:r>
                </w:p>
              </w:tc>
              <w:tc>
                <w:tcPr>
                  <w:tcW w:w="1103"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500</w:t>
                  </w:r>
                </w:p>
              </w:tc>
              <w:tc>
                <w:tcPr>
                  <w:tcW w:w="1125"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15-24</w:t>
                  </w:r>
                </w:p>
              </w:tc>
              <w:tc>
                <w:tcPr>
                  <w:tcW w:w="124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7</w:t>
                  </w:r>
                </w:p>
              </w:tc>
              <w:tc>
                <w:tcPr>
                  <w:tcW w:w="1590"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p>
              </w:tc>
              <w:tc>
                <w:tcPr>
                  <w:tcW w:w="2205" w:type="dxa"/>
                  <w:vAlign w:val="center"/>
                </w:tcPr>
                <w:p>
                  <w:pPr>
                    <w:jc w:val="center"/>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1A4X-JC1</w:t>
                  </w:r>
                </w:p>
              </w:tc>
              <w:tc>
                <w:tcPr>
                  <w:tcW w:w="1102"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lang w:val="en-US" w:eastAsia="zh-CN"/>
                    </w:rPr>
                    <w:t>500</w:t>
                  </w:r>
                </w:p>
              </w:tc>
              <w:tc>
                <w:tcPr>
                  <w:tcW w:w="1103"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lang w:val="en-US" w:eastAsia="zh-CN"/>
                    </w:rPr>
                    <w:t>800</w:t>
                  </w:r>
                </w:p>
              </w:tc>
              <w:tc>
                <w:tcPr>
                  <w:tcW w:w="1125"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15-</w:t>
                  </w:r>
                  <w:r>
                    <w:rPr>
                      <w:rFonts w:hint="default" w:ascii="Times New Roman" w:hAnsi="Times New Roman" w:cs="Times New Roman"/>
                      <w:color w:val="auto"/>
                      <w:sz w:val="21"/>
                      <w:szCs w:val="21"/>
                      <w:lang w:val="en-US" w:eastAsia="zh-CN"/>
                    </w:rPr>
                    <w:t>30</w:t>
                  </w:r>
                </w:p>
              </w:tc>
              <w:tc>
                <w:tcPr>
                  <w:tcW w:w="124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8</w:t>
                  </w:r>
                </w:p>
              </w:tc>
              <w:tc>
                <w:tcPr>
                  <w:tcW w:w="1590" w:type="dxa"/>
                  <w:vMerge w:val="continue"/>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p>
              </w:tc>
              <w:tc>
                <w:tcPr>
                  <w:tcW w:w="2205" w:type="dxa"/>
                  <w:vAlign w:val="center"/>
                </w:tcPr>
                <w:p>
                  <w:pPr>
                    <w:jc w:val="center"/>
                    <w:rPr>
                      <w:rFonts w:hint="default" w:ascii="Times New Roman" w:hAnsi="Times New Roman" w:eastAsia="宋体" w:cs="Times New Roman"/>
                      <w:bCs/>
                      <w:color w:val="auto"/>
                      <w:kern w:val="2"/>
                      <w:sz w:val="21"/>
                      <w:szCs w:val="21"/>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1A4X-JC2</w:t>
                  </w:r>
                </w:p>
              </w:tc>
              <w:tc>
                <w:tcPr>
                  <w:tcW w:w="1102"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lang w:val="en-US" w:eastAsia="zh-CN"/>
                    </w:rPr>
                    <w:t>500</w:t>
                  </w:r>
                </w:p>
              </w:tc>
              <w:tc>
                <w:tcPr>
                  <w:tcW w:w="1103"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lang w:val="en-US" w:eastAsia="zh-CN"/>
                    </w:rPr>
                    <w:t>800</w:t>
                  </w:r>
                </w:p>
              </w:tc>
              <w:tc>
                <w:tcPr>
                  <w:tcW w:w="1125"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15-</w:t>
                  </w:r>
                  <w:r>
                    <w:rPr>
                      <w:rFonts w:hint="default" w:ascii="Times New Roman" w:hAnsi="Times New Roman" w:cs="Times New Roman"/>
                      <w:color w:val="auto"/>
                      <w:sz w:val="21"/>
                      <w:szCs w:val="21"/>
                      <w:lang w:val="en-US" w:eastAsia="zh-CN"/>
                    </w:rPr>
                    <w:t>30</w:t>
                  </w:r>
                </w:p>
              </w:tc>
              <w:tc>
                <w:tcPr>
                  <w:tcW w:w="124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1"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9</w:t>
                  </w:r>
                </w:p>
              </w:tc>
              <w:tc>
                <w:tcPr>
                  <w:tcW w:w="1590"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单回路钻越塔</w:t>
                  </w:r>
                </w:p>
              </w:tc>
              <w:tc>
                <w:tcPr>
                  <w:tcW w:w="220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1A4X-JB</w:t>
                  </w:r>
                </w:p>
              </w:tc>
              <w:tc>
                <w:tcPr>
                  <w:tcW w:w="1102"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400</w:t>
                  </w:r>
                </w:p>
              </w:tc>
              <w:tc>
                <w:tcPr>
                  <w:tcW w:w="1103"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rPr>
                    <w:t>500</w:t>
                  </w:r>
                </w:p>
              </w:tc>
              <w:tc>
                <w:tcPr>
                  <w:tcW w:w="1125" w:type="dxa"/>
                  <w:vAlign w:val="center"/>
                </w:tcPr>
                <w:p>
                  <w:pPr>
                    <w:jc w:val="center"/>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color w:val="auto"/>
                      <w:sz w:val="21"/>
                      <w:szCs w:val="21"/>
                      <w:lang w:val="en-US" w:eastAsia="zh-CN"/>
                    </w:rPr>
                    <w:t>9</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15</w:t>
                  </w:r>
                </w:p>
              </w:tc>
              <w:tc>
                <w:tcPr>
                  <w:tcW w:w="124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16" w:type="dxa"/>
                  <w:gridSpan w:val="6"/>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合计</w:t>
                  </w:r>
                </w:p>
              </w:tc>
              <w:tc>
                <w:tcPr>
                  <w:tcW w:w="1245" w:type="dxa"/>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21</w:t>
                  </w:r>
                </w:p>
              </w:tc>
            </w:tr>
          </w:tbl>
          <w:p>
            <w:pPr>
              <w:pStyle w:val="18"/>
              <w:keepNext w:val="0"/>
              <w:keepLines w:val="0"/>
              <w:pageBreakBefore w:val="0"/>
              <w:widowControl/>
              <w:numPr>
                <w:ilvl w:val="0"/>
                <w:numId w:val="3"/>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cs="Times New Roman"/>
                <w:bCs/>
                <w:color w:val="auto"/>
                <w:kern w:val="2"/>
                <w:sz w:val="24"/>
                <w:szCs w:val="24"/>
                <w:lang w:val="en-US" w:eastAsia="zh-CN" w:bidi="ar-SA"/>
              </w:rPr>
            </w:pPr>
            <w:r>
              <w:rPr>
                <w:rFonts w:hint="eastAsia" w:ascii="Times New Roman" w:hAnsi="Times New Roman" w:cs="Times New Roman"/>
                <w:bCs/>
                <w:color w:val="auto"/>
                <w:kern w:val="2"/>
                <w:sz w:val="24"/>
                <w:szCs w:val="24"/>
                <w:lang w:val="en-US" w:eastAsia="zh-CN" w:bidi="ar-SA"/>
              </w:rPr>
              <w:t>基础</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cs="Times New Roman"/>
                <w:bCs/>
                <w:color w:val="auto"/>
                <w:kern w:val="2"/>
                <w:sz w:val="24"/>
                <w:szCs w:val="24"/>
                <w:lang w:val="en-US" w:eastAsia="zh-CN" w:bidi="ar-SA"/>
              </w:rPr>
            </w:pPr>
            <w:r>
              <w:rPr>
                <w:rFonts w:hint="eastAsia" w:ascii="Times New Roman" w:hAnsi="Times New Roman" w:cs="Times New Roman"/>
                <w:bCs/>
                <w:color w:val="auto"/>
                <w:kern w:val="2"/>
                <w:sz w:val="24"/>
                <w:szCs w:val="24"/>
                <w:lang w:val="en-US" w:eastAsia="zh-CN" w:bidi="ar-SA"/>
              </w:rPr>
              <w:t>铁塔基础采用掏挖基础和板式直柱基础。</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rPr>
                <w:rFonts w:hint="default" w:ascii="Times New Roman" w:hAnsi="Times New Roman" w:cs="Times New Roman"/>
                <w:b/>
                <w:bCs w:val="0"/>
                <w:color w:val="auto"/>
                <w:kern w:val="2"/>
                <w:sz w:val="24"/>
                <w:szCs w:val="24"/>
                <w:lang w:val="en-US" w:eastAsia="zh-CN" w:bidi="ar-SA"/>
              </w:rPr>
            </w:pPr>
            <w:r>
              <w:rPr>
                <w:rFonts w:hint="eastAsia" w:ascii="Times New Roman" w:hAnsi="Times New Roman" w:cs="Times New Roman"/>
                <w:b/>
                <w:bCs w:val="0"/>
                <w:color w:val="auto"/>
                <w:kern w:val="2"/>
                <w:sz w:val="24"/>
                <w:szCs w:val="24"/>
                <w:lang w:val="en-US" w:eastAsia="zh-CN" w:bidi="ar-SA"/>
              </w:rPr>
              <w:t>1.3.2.5 交叉跨越工程</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bCs/>
                <w:color w:val="auto"/>
                <w:kern w:val="2"/>
                <w:sz w:val="24"/>
                <w:szCs w:val="24"/>
                <w:lang w:val="en-US" w:eastAsia="zh-CN" w:bidi="ar-SA"/>
              </w:rPr>
            </w:pPr>
            <w:r>
              <w:rPr>
                <w:rFonts w:hint="eastAsia" w:ascii="Times New Roman" w:hAnsi="Times New Roman" w:cs="Times New Roman"/>
                <w:bCs/>
                <w:color w:val="auto"/>
                <w:kern w:val="2"/>
                <w:sz w:val="24"/>
                <w:szCs w:val="24"/>
                <w:lang w:val="en-US" w:eastAsia="zh-CN" w:bidi="ar-SA"/>
              </w:rPr>
              <w:t>拟建线路主要交叉跨越工程见表1-5。</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b/>
                <w:bCs w:val="0"/>
                <w:color w:val="auto"/>
                <w:kern w:val="2"/>
                <w:sz w:val="21"/>
                <w:szCs w:val="21"/>
                <w:lang w:val="en-US" w:eastAsia="zh-CN" w:bidi="ar-SA"/>
              </w:rPr>
            </w:pPr>
            <w:r>
              <w:rPr>
                <w:rFonts w:hint="eastAsia" w:ascii="Times New Roman" w:hAnsi="Times New Roman" w:cs="Times New Roman"/>
                <w:b/>
                <w:bCs w:val="0"/>
                <w:color w:val="auto"/>
                <w:kern w:val="2"/>
                <w:sz w:val="21"/>
                <w:szCs w:val="21"/>
                <w:lang w:val="en-US" w:eastAsia="zh-CN" w:bidi="ar-SA"/>
              </w:rPr>
              <w:t>表1-5  拟建线路交叉跨越情况</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2207"/>
              <w:gridCol w:w="1085"/>
              <w:gridCol w:w="1663"/>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序号</w:t>
                  </w:r>
                </w:p>
              </w:tc>
              <w:tc>
                <w:tcPr>
                  <w:tcW w:w="1245" w:type="pc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跨越物名称</w:t>
                  </w:r>
                </w:p>
              </w:tc>
              <w:tc>
                <w:tcPr>
                  <w:tcW w:w="612" w:type="pc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次数</w:t>
                  </w:r>
                </w:p>
              </w:tc>
              <w:tc>
                <w:tcPr>
                  <w:tcW w:w="938" w:type="pc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跨越形式</w:t>
                  </w:r>
                </w:p>
              </w:tc>
              <w:tc>
                <w:tcPr>
                  <w:tcW w:w="1548" w:type="pct"/>
                  <w:vAlign w:val="center"/>
                </w:tcPr>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cs="Times New Roman"/>
                      <w:bCs/>
                      <w:color w:val="auto"/>
                      <w:kern w:val="2"/>
                      <w:sz w:val="21"/>
                      <w:szCs w:val="21"/>
                      <w:vertAlign w:val="baseli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21" w:lef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w w:val="100"/>
                      <w:sz w:val="21"/>
                      <w:szCs w:val="21"/>
                    </w:rPr>
                    <w:t>1</w:t>
                  </w:r>
                </w:p>
              </w:tc>
              <w:tc>
                <w:tcPr>
                  <w:tcW w:w="1245"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349" w:leftChars="0" w:right="322"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rPr>
                    <w:t>110kV</w:t>
                  </w:r>
                </w:p>
              </w:tc>
              <w:tc>
                <w:tcPr>
                  <w:tcW w:w="612"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27" w:lef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w w:val="100"/>
                      <w:sz w:val="21"/>
                      <w:szCs w:val="21"/>
                    </w:rPr>
                    <w:t>1</w:t>
                  </w:r>
                </w:p>
              </w:tc>
              <w:tc>
                <w:tcPr>
                  <w:tcW w:w="93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191" w:leftChars="0" w:right="164"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钻</w:t>
                  </w:r>
                  <w:r>
                    <w:rPr>
                      <w:rFonts w:hint="default" w:ascii="Times New Roman" w:hAnsi="Times New Roman" w:eastAsia="宋体" w:cs="Times New Roman"/>
                      <w:color w:val="auto"/>
                      <w:sz w:val="21"/>
                      <w:szCs w:val="21"/>
                    </w:rPr>
                    <w:t>越</w:t>
                  </w:r>
                </w:p>
              </w:tc>
              <w:tc>
                <w:tcPr>
                  <w:tcW w:w="154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159" w:leftChars="0" w:right="124"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架空钻越</w:t>
                  </w:r>
                  <w:r>
                    <w:rPr>
                      <w:rFonts w:hint="default" w:ascii="Times New Roman" w:hAnsi="Times New Roman" w:eastAsia="宋体" w:cs="Times New Roman"/>
                      <w:color w:val="auto"/>
                      <w:sz w:val="21"/>
                      <w:szCs w:val="21"/>
                    </w:rPr>
                    <w:t>110kV</w:t>
                  </w:r>
                  <w:r>
                    <w:rPr>
                      <w:rFonts w:hint="default" w:ascii="Times New Roman" w:hAnsi="Times New Roman" w:eastAsia="宋体" w:cs="Times New Roman"/>
                      <w:color w:val="auto"/>
                      <w:sz w:val="21"/>
                      <w:szCs w:val="21"/>
                      <w:lang w:val="en-US" w:eastAsia="zh-CN"/>
                    </w:rPr>
                    <w:t>树周</w:t>
                  </w:r>
                  <w:r>
                    <w:rPr>
                      <w:rFonts w:hint="default" w:ascii="Times New Roman" w:hAnsi="Times New Roman" w:eastAsia="宋体" w:cs="Times New Roman"/>
                      <w:color w:val="auto"/>
                      <w:sz w:val="21"/>
                      <w:szCs w:val="21"/>
                    </w:rPr>
                    <w:t>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21" w:lef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2</w:t>
                  </w:r>
                </w:p>
              </w:tc>
              <w:tc>
                <w:tcPr>
                  <w:tcW w:w="1245"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349" w:leftChars="0" w:right="322"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rPr>
                    <w:t>110kV</w:t>
                  </w:r>
                </w:p>
              </w:tc>
              <w:tc>
                <w:tcPr>
                  <w:tcW w:w="612"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27" w:lef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w w:val="100"/>
                      <w:sz w:val="21"/>
                      <w:szCs w:val="21"/>
                    </w:rPr>
                    <w:t>1</w:t>
                  </w:r>
                </w:p>
              </w:tc>
              <w:tc>
                <w:tcPr>
                  <w:tcW w:w="93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191" w:leftChars="0" w:right="164"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钻</w:t>
                  </w:r>
                  <w:r>
                    <w:rPr>
                      <w:rFonts w:hint="default" w:ascii="Times New Roman" w:hAnsi="Times New Roman" w:eastAsia="宋体" w:cs="Times New Roman"/>
                      <w:color w:val="auto"/>
                      <w:sz w:val="21"/>
                      <w:szCs w:val="21"/>
                    </w:rPr>
                    <w:t>越</w:t>
                  </w:r>
                </w:p>
              </w:tc>
              <w:tc>
                <w:tcPr>
                  <w:tcW w:w="154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159" w:leftChars="0" w:right="124"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架空钻越</w:t>
                  </w:r>
                  <w:r>
                    <w:rPr>
                      <w:rFonts w:hint="default" w:ascii="Times New Roman" w:hAnsi="Times New Roman" w:eastAsia="宋体" w:cs="Times New Roman"/>
                      <w:color w:val="auto"/>
                      <w:sz w:val="21"/>
                      <w:szCs w:val="21"/>
                    </w:rPr>
                    <w:t>110kV</w:t>
                  </w:r>
                  <w:r>
                    <w:rPr>
                      <w:rFonts w:hint="default" w:ascii="Times New Roman" w:hAnsi="Times New Roman" w:eastAsia="宋体" w:cs="Times New Roman"/>
                      <w:color w:val="auto"/>
                      <w:sz w:val="21"/>
                      <w:szCs w:val="21"/>
                      <w:lang w:val="en-US" w:eastAsia="zh-CN"/>
                    </w:rPr>
                    <w:t>华周</w:t>
                  </w:r>
                  <w:r>
                    <w:rPr>
                      <w:rFonts w:hint="default" w:ascii="Times New Roman" w:hAnsi="Times New Roman" w:eastAsia="宋体" w:cs="Times New Roman"/>
                      <w:color w:val="auto"/>
                      <w:sz w:val="21"/>
                      <w:szCs w:val="21"/>
                    </w:rPr>
                    <w:t>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21" w:leftChars="0"/>
                    <w:jc w:val="center"/>
                    <w:textAlignment w:val="auto"/>
                    <w:rPr>
                      <w:rFonts w:hint="eastAsia" w:ascii="Times New Roman" w:hAnsi="Times New Roman" w:cs="Times New Roman" w:eastAsiaTheme="minorEastAsia"/>
                      <w:bCs/>
                      <w:color w:val="auto"/>
                      <w:kern w:val="2"/>
                      <w:sz w:val="21"/>
                      <w:szCs w:val="21"/>
                      <w:vertAlign w:val="baseline"/>
                      <w:lang w:val="en-US" w:eastAsia="zh-CN" w:bidi="ar-SA"/>
                    </w:rPr>
                  </w:pPr>
                  <w:r>
                    <w:rPr>
                      <w:rFonts w:hint="eastAsia" w:ascii="Times New Roman" w:hAnsi="Times New Roman" w:eastAsia="宋体" w:cs="Times New Roman"/>
                      <w:color w:val="auto"/>
                      <w:w w:val="100"/>
                      <w:sz w:val="21"/>
                      <w:szCs w:val="21"/>
                      <w:lang w:val="en-US" w:eastAsia="zh-CN"/>
                    </w:rPr>
                    <w:t>3</w:t>
                  </w:r>
                </w:p>
              </w:tc>
              <w:tc>
                <w:tcPr>
                  <w:tcW w:w="1245"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349" w:leftChars="0" w:right="322"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rPr>
                    <w:t>35kV</w:t>
                  </w:r>
                </w:p>
              </w:tc>
              <w:tc>
                <w:tcPr>
                  <w:tcW w:w="612"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28" w:lef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w w:val="100"/>
                      <w:sz w:val="21"/>
                      <w:szCs w:val="21"/>
                      <w:lang w:val="en-US" w:eastAsia="zh-CN"/>
                    </w:rPr>
                    <w:t>2</w:t>
                  </w:r>
                </w:p>
              </w:tc>
              <w:tc>
                <w:tcPr>
                  <w:tcW w:w="93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192" w:leftChars="0" w:right="164"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rPr>
                    <w:t>跨越</w:t>
                  </w:r>
                </w:p>
              </w:tc>
              <w:tc>
                <w:tcPr>
                  <w:tcW w:w="154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160" w:leftChars="0" w:right="122"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rPr>
                    <w:t>35kV</w:t>
                  </w:r>
                  <w:r>
                    <w:rPr>
                      <w:rFonts w:hint="default" w:ascii="Times New Roman" w:hAnsi="Times New Roman" w:eastAsia="宋体" w:cs="Times New Roman"/>
                      <w:color w:val="auto"/>
                      <w:sz w:val="21"/>
                      <w:szCs w:val="21"/>
                      <w:lang w:val="en-US" w:eastAsia="zh-CN"/>
                    </w:rPr>
                    <w:t>风电</w:t>
                  </w:r>
                  <w:r>
                    <w:rPr>
                      <w:rFonts w:hint="default" w:ascii="Times New Roman" w:hAnsi="Times New Roman" w:eastAsia="宋体" w:cs="Times New Roman"/>
                      <w:color w:val="auto"/>
                      <w:spacing w:val="-2"/>
                      <w:sz w:val="21"/>
                      <w:szCs w:val="21"/>
                      <w:lang w:val="en-US" w:eastAsia="zh-CN"/>
                    </w:rPr>
                    <w:t>集电线路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21" w:lef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w w:val="100"/>
                      <w:sz w:val="21"/>
                      <w:szCs w:val="21"/>
                    </w:rPr>
                    <w:t>4</w:t>
                  </w:r>
                </w:p>
              </w:tc>
              <w:tc>
                <w:tcPr>
                  <w:tcW w:w="1245"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349" w:leftChars="0" w:right="322"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highlight w:val="none"/>
                    </w:rPr>
                    <w:t>10kV</w:t>
                  </w:r>
                </w:p>
              </w:tc>
              <w:tc>
                <w:tcPr>
                  <w:tcW w:w="612"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192" w:leftChars="0" w:right="164"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93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192" w:leftChars="0" w:right="164"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highlight w:val="none"/>
                    </w:rPr>
                    <w:t>跨越</w:t>
                  </w:r>
                </w:p>
              </w:tc>
              <w:tc>
                <w:tcPr>
                  <w:tcW w:w="154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21" w:lef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w w:val="100"/>
                      <w:sz w:val="21"/>
                      <w:szCs w:val="21"/>
                    </w:rPr>
                    <w:t>5</w:t>
                  </w:r>
                </w:p>
              </w:tc>
              <w:tc>
                <w:tcPr>
                  <w:tcW w:w="1245"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304" w:leftChars="0" w:right="-4" w:rightChars="0" w:hanging="304" w:hangingChars="145"/>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highlight w:val="none"/>
                    </w:rPr>
                    <w:t>低压线</w:t>
                  </w:r>
                  <w:r>
                    <w:rPr>
                      <w:rFonts w:hint="default" w:ascii="Times New Roman" w:hAnsi="Times New Roman" w:eastAsia="宋体" w:cs="Times New Roman"/>
                      <w:color w:val="auto"/>
                      <w:sz w:val="21"/>
                      <w:szCs w:val="21"/>
                      <w:highlight w:val="none"/>
                      <w:lang w:val="en-US" w:eastAsia="zh-CN"/>
                    </w:rPr>
                    <w:t>及通讯线</w:t>
                  </w:r>
                </w:p>
              </w:tc>
              <w:tc>
                <w:tcPr>
                  <w:tcW w:w="612"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86" w:lef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w w:val="100"/>
                      <w:sz w:val="21"/>
                      <w:szCs w:val="21"/>
                      <w:highlight w:val="none"/>
                      <w:lang w:val="en-US" w:eastAsia="zh-CN"/>
                    </w:rPr>
                    <w:t>5</w:t>
                  </w:r>
                </w:p>
              </w:tc>
              <w:tc>
                <w:tcPr>
                  <w:tcW w:w="93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192" w:leftChars="0" w:right="164"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highlight w:val="none"/>
                    </w:rPr>
                    <w:t>跨越</w:t>
                  </w:r>
                </w:p>
              </w:tc>
              <w:tc>
                <w:tcPr>
                  <w:tcW w:w="154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21" w:lef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w w:val="100"/>
                      <w:sz w:val="21"/>
                      <w:szCs w:val="21"/>
                    </w:rPr>
                    <w:t>6</w:t>
                  </w:r>
                </w:p>
              </w:tc>
              <w:tc>
                <w:tcPr>
                  <w:tcW w:w="1245"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348" w:leftChars="0" w:right="322"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rPr>
                    <w:t>乡镇道路</w:t>
                  </w:r>
                </w:p>
              </w:tc>
              <w:tc>
                <w:tcPr>
                  <w:tcW w:w="612"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86" w:lef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w w:val="100"/>
                      <w:sz w:val="21"/>
                      <w:szCs w:val="21"/>
                      <w:lang w:val="en-US" w:eastAsia="zh-CN"/>
                    </w:rPr>
                    <w:t>2</w:t>
                  </w:r>
                </w:p>
              </w:tc>
              <w:tc>
                <w:tcPr>
                  <w:tcW w:w="93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192" w:leftChars="0" w:right="164"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rPr>
                    <w:t>跨越</w:t>
                  </w:r>
                </w:p>
              </w:tc>
              <w:tc>
                <w:tcPr>
                  <w:tcW w:w="154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21" w:lef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w w:val="100"/>
                      <w:sz w:val="21"/>
                      <w:szCs w:val="21"/>
                    </w:rPr>
                    <w:t>7</w:t>
                  </w:r>
                </w:p>
              </w:tc>
              <w:tc>
                <w:tcPr>
                  <w:tcW w:w="1245"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350" w:leftChars="0" w:right="320"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生产路</w:t>
                  </w:r>
                </w:p>
              </w:tc>
              <w:tc>
                <w:tcPr>
                  <w:tcW w:w="612"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86" w:lef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w w:val="100"/>
                      <w:sz w:val="21"/>
                      <w:szCs w:val="21"/>
                      <w:lang w:val="en-US" w:eastAsia="zh-CN"/>
                    </w:rPr>
                    <w:t>5</w:t>
                  </w:r>
                </w:p>
              </w:tc>
              <w:tc>
                <w:tcPr>
                  <w:tcW w:w="93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192" w:leftChars="0" w:right="164"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rPr>
                    <w:t>跨越</w:t>
                  </w:r>
                </w:p>
              </w:tc>
              <w:tc>
                <w:tcPr>
                  <w:tcW w:w="154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21" w:lef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w w:val="100"/>
                      <w:sz w:val="21"/>
                      <w:szCs w:val="21"/>
                    </w:rPr>
                    <w:t>8</w:t>
                  </w:r>
                </w:p>
              </w:tc>
              <w:tc>
                <w:tcPr>
                  <w:tcW w:w="1245"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348" w:leftChars="0" w:right="322"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果园</w:t>
                  </w:r>
                </w:p>
              </w:tc>
              <w:tc>
                <w:tcPr>
                  <w:tcW w:w="612"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86" w:lef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w w:val="100"/>
                      <w:sz w:val="21"/>
                      <w:szCs w:val="21"/>
                      <w:lang w:val="en-US" w:eastAsia="zh-CN"/>
                    </w:rPr>
                    <w:t>3</w:t>
                  </w:r>
                </w:p>
              </w:tc>
              <w:tc>
                <w:tcPr>
                  <w:tcW w:w="93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192" w:leftChars="0" w:right="164"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rPr>
                    <w:t>跨越</w:t>
                  </w:r>
                </w:p>
              </w:tc>
              <w:tc>
                <w:tcPr>
                  <w:tcW w:w="154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21" w:lef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9</w:t>
                  </w:r>
                </w:p>
              </w:tc>
              <w:tc>
                <w:tcPr>
                  <w:tcW w:w="1245"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348" w:leftChars="0" w:right="322"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lang w:val="en-US" w:eastAsia="zh-CN"/>
                    </w:rPr>
                    <w:t>地埋燃气管道</w:t>
                  </w:r>
                </w:p>
              </w:tc>
              <w:tc>
                <w:tcPr>
                  <w:tcW w:w="612"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86" w:lef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w w:val="100"/>
                      <w:sz w:val="21"/>
                      <w:szCs w:val="21"/>
                      <w:lang w:val="en-US" w:eastAsia="zh-CN"/>
                    </w:rPr>
                    <w:t>3</w:t>
                  </w:r>
                </w:p>
              </w:tc>
              <w:tc>
                <w:tcPr>
                  <w:tcW w:w="93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ind w:left="192" w:leftChars="0" w:right="164" w:rightChars="0"/>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default" w:ascii="Times New Roman" w:hAnsi="Times New Roman" w:eastAsia="宋体" w:cs="Times New Roman"/>
                      <w:color w:val="auto"/>
                      <w:sz w:val="21"/>
                      <w:szCs w:val="21"/>
                    </w:rPr>
                    <w:t>跨越</w:t>
                  </w:r>
                </w:p>
              </w:tc>
              <w:tc>
                <w:tcPr>
                  <w:tcW w:w="1548" w:type="pct"/>
                  <w:vAlign w:val="center"/>
                </w:tcPr>
                <w:p>
                  <w:pPr>
                    <w:pStyle w:val="20"/>
                    <w:keepNext w:val="0"/>
                    <w:keepLines w:val="0"/>
                    <w:pageBreakBefore w:val="0"/>
                    <w:widowControl w:val="0"/>
                    <w:kinsoku/>
                    <w:wordWrap/>
                    <w:overflowPunct/>
                    <w:topLinePunct w:val="0"/>
                    <w:autoSpaceDE/>
                    <w:autoSpaceDN/>
                    <w:bidi w:val="0"/>
                    <w:adjustRightInd/>
                    <w:snapToGrid/>
                    <w:spacing w:before="0" w:line="240" w:lineRule="auto"/>
                    <w:jc w:val="center"/>
                    <w:textAlignment w:val="auto"/>
                    <w:rPr>
                      <w:rFonts w:hint="default" w:ascii="Times New Roman" w:hAnsi="Times New Roman" w:cs="Times New Roman"/>
                      <w:bCs/>
                      <w:color w:val="auto"/>
                      <w:kern w:val="2"/>
                      <w:sz w:val="21"/>
                      <w:szCs w:val="21"/>
                      <w:vertAlign w:val="baseline"/>
                      <w:lang w:val="en-US" w:eastAsia="zh-CN" w:bidi="ar-SA"/>
                    </w:rPr>
                  </w:pPr>
                  <w:r>
                    <w:rPr>
                      <w:rFonts w:hint="eastAsia" w:ascii="Times New Roman" w:hAnsi="Times New Roman" w:cs="Times New Roman"/>
                      <w:bCs/>
                      <w:color w:val="auto"/>
                      <w:kern w:val="2"/>
                      <w:sz w:val="21"/>
                      <w:szCs w:val="21"/>
                      <w:vertAlign w:val="baseline"/>
                      <w:lang w:val="en-US" w:eastAsia="zh-CN" w:bidi="ar-SA"/>
                    </w:rPr>
                    <w:t>/</w:t>
                  </w:r>
                </w:p>
              </w:tc>
            </w:tr>
          </w:tbl>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2" w:firstLineChars="200"/>
              <w:jc w:val="left"/>
              <w:textAlignment w:val="auto"/>
              <w:rPr>
                <w:rFonts w:hint="eastAsia" w:ascii="Times New Roman" w:hAnsi="Times New Roman" w:cs="Times New Roman"/>
                <w:b/>
                <w:bCs w:val="0"/>
                <w:color w:val="auto"/>
                <w:kern w:val="2"/>
                <w:sz w:val="24"/>
                <w:szCs w:val="24"/>
                <w:lang w:val="en-US" w:eastAsia="zh-CN" w:bidi="ar-SA"/>
              </w:rPr>
            </w:pPr>
            <w:r>
              <w:rPr>
                <w:rFonts w:hint="eastAsia" w:ascii="Times New Roman" w:hAnsi="Times New Roman" w:cs="Times New Roman"/>
                <w:b/>
                <w:bCs w:val="0"/>
                <w:color w:val="auto"/>
                <w:kern w:val="2"/>
                <w:sz w:val="24"/>
                <w:szCs w:val="24"/>
                <w:lang w:val="en-US" w:eastAsia="zh-CN" w:bidi="ar-SA"/>
              </w:rPr>
              <w:t>1.3.2.6 交通情况</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eastAsia" w:ascii="Times New Roman" w:hAnsi="Times New Roman" w:cs="Times New Roman"/>
                <w:b w:val="0"/>
                <w:bCs/>
                <w:color w:val="auto"/>
                <w:kern w:val="2"/>
                <w:sz w:val="24"/>
                <w:szCs w:val="24"/>
                <w:lang w:val="en-US" w:eastAsia="zh-CN" w:bidi="ar-SA"/>
              </w:rPr>
            </w:pPr>
            <w:r>
              <w:rPr>
                <w:rFonts w:hint="eastAsia" w:ascii="Times New Roman" w:hAnsi="Times New Roman" w:cs="Times New Roman"/>
                <w:b w:val="0"/>
                <w:bCs/>
                <w:color w:val="auto"/>
                <w:kern w:val="2"/>
                <w:sz w:val="24"/>
                <w:szCs w:val="24"/>
                <w:lang w:val="en-US" w:eastAsia="zh-CN" w:bidi="ar-SA"/>
              </w:rPr>
              <w:t>本项目输电线路通过地区可利用乡村道路、农业生产便道及县级公路用于交通运输，汽车运输便利，全线汽车运距5km，人力运距0.6km。</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2" w:firstLineChars="200"/>
              <w:jc w:val="left"/>
              <w:textAlignment w:val="auto"/>
              <w:rPr>
                <w:rFonts w:hint="eastAsia" w:ascii="Times New Roman" w:hAnsi="Times New Roman" w:cs="Times New Roman" w:eastAsiaTheme="minorEastAsia"/>
                <w:b/>
                <w:bCs w:val="0"/>
                <w:color w:val="auto"/>
                <w:kern w:val="2"/>
                <w:sz w:val="24"/>
                <w:szCs w:val="24"/>
                <w:vertAlign w:val="baseline"/>
                <w:lang w:val="en-US" w:eastAsia="zh-CN" w:bidi="ar-SA"/>
              </w:rPr>
            </w:pPr>
            <w:r>
              <w:rPr>
                <w:rFonts w:hint="eastAsia" w:ascii="Times New Roman" w:hAnsi="Times New Roman" w:cs="Times New Roman" w:eastAsiaTheme="minorEastAsia"/>
                <w:b/>
                <w:bCs w:val="0"/>
                <w:color w:val="auto"/>
                <w:kern w:val="2"/>
                <w:sz w:val="24"/>
                <w:szCs w:val="24"/>
                <w:vertAlign w:val="baseline"/>
                <w:lang w:val="en-US" w:eastAsia="zh-CN" w:bidi="ar-SA"/>
              </w:rPr>
              <w:t>1.3.2.7 树木砍伐</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eastAsia" w:ascii="Times New Roman" w:hAnsi="Times New Roman" w:cs="Times New Roman" w:eastAsiaTheme="minorEastAsia"/>
                <w:b w:val="0"/>
                <w:bCs/>
                <w:color w:val="auto"/>
                <w:kern w:val="2"/>
                <w:sz w:val="24"/>
                <w:szCs w:val="24"/>
                <w:vertAlign w:val="baseline"/>
                <w:lang w:val="en-US" w:eastAsia="zh-CN" w:bidi="ar-SA"/>
              </w:rPr>
            </w:pPr>
            <w:r>
              <w:rPr>
                <w:rFonts w:hint="eastAsia" w:ascii="Times New Roman" w:hAnsi="Times New Roman" w:cs="Times New Roman" w:eastAsiaTheme="minorEastAsia"/>
                <w:b w:val="0"/>
                <w:bCs/>
                <w:color w:val="auto"/>
                <w:kern w:val="2"/>
                <w:sz w:val="24"/>
                <w:szCs w:val="24"/>
                <w:vertAlign w:val="baseline"/>
                <w:lang w:val="en-US" w:eastAsia="zh-CN" w:bidi="ar-SA"/>
              </w:rPr>
              <w:t>本项目输电线路途径吴起县境内，线路途经地区植被较好，树木较多且生长茂盛，设计按树木的自然生长高度进行高跨，仅对塔位处进行少量的砍伐。沿线共砍伐树木约1000棵，其中榆树、槐树、杨树约600棵，杏树约400棵。</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2" w:firstLineChars="200"/>
              <w:jc w:val="left"/>
              <w:textAlignment w:val="auto"/>
              <w:rPr>
                <w:rFonts w:hint="eastAsia" w:ascii="Times New Roman" w:hAnsi="Times New Roman" w:cs="Times New Roman" w:eastAsiaTheme="minorEastAsia"/>
                <w:b/>
                <w:bCs w:val="0"/>
                <w:color w:val="auto"/>
                <w:kern w:val="2"/>
                <w:sz w:val="24"/>
                <w:szCs w:val="24"/>
                <w:vertAlign w:val="baseline"/>
                <w:lang w:val="en-US" w:eastAsia="zh-CN" w:bidi="ar-SA"/>
              </w:rPr>
            </w:pPr>
            <w:r>
              <w:rPr>
                <w:rFonts w:hint="eastAsia" w:ascii="Times New Roman" w:hAnsi="Times New Roman" w:cs="Times New Roman" w:eastAsiaTheme="minorEastAsia"/>
                <w:b/>
                <w:bCs w:val="0"/>
                <w:color w:val="auto"/>
                <w:kern w:val="2"/>
                <w:sz w:val="24"/>
                <w:szCs w:val="24"/>
                <w:vertAlign w:val="baseline"/>
                <w:lang w:val="en-US" w:eastAsia="zh-CN" w:bidi="ar-SA"/>
              </w:rPr>
              <w:t>1.3.2.8 房屋拆迁情况</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default" w:ascii="Times New Roman" w:hAnsi="Times New Roman" w:cs="Times New Roman" w:eastAsiaTheme="minorEastAsia"/>
                <w:b w:val="0"/>
                <w:bCs/>
                <w:color w:val="auto"/>
                <w:kern w:val="2"/>
                <w:sz w:val="24"/>
                <w:szCs w:val="24"/>
                <w:vertAlign w:val="baseline"/>
                <w:lang w:val="en-US" w:eastAsia="zh-CN" w:bidi="ar-SA"/>
              </w:rPr>
            </w:pPr>
            <w:r>
              <w:rPr>
                <w:rFonts w:hint="eastAsia" w:ascii="Times New Roman" w:hAnsi="Times New Roman" w:cs="Times New Roman" w:eastAsiaTheme="minorEastAsia"/>
                <w:b w:val="0"/>
                <w:bCs/>
                <w:color w:val="auto"/>
                <w:kern w:val="2"/>
                <w:sz w:val="24"/>
                <w:szCs w:val="24"/>
                <w:vertAlign w:val="baseline"/>
                <w:lang w:val="en-US" w:eastAsia="zh-CN" w:bidi="ar-SA"/>
              </w:rPr>
              <w:t>本项目输电线路不涉及环保拆迁和工程拆迁情况。</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1.4 工程占地及土方石平衡</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1.4.1 工程占地</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拟建</w:t>
            </w:r>
            <w:r>
              <w:rPr>
                <w:rFonts w:hint="default" w:ascii="Times New Roman" w:hAnsi="Times New Roman" w:eastAsia="宋体" w:cs="Times New Roman"/>
                <w:bCs/>
                <w:color w:val="auto"/>
                <w:kern w:val="2"/>
                <w:sz w:val="24"/>
                <w:szCs w:val="24"/>
                <w:lang w:val="en-US" w:eastAsia="zh-CN" w:bidi="ar-SA"/>
              </w:rPr>
              <w:t>国家电投吴起高胜新能源50</w:t>
            </w:r>
            <w:r>
              <w:rPr>
                <w:rFonts w:hint="eastAsia" w:ascii="Times New Roman" w:hAnsi="Times New Roman" w:cs="Times New Roman"/>
                <w:bCs/>
                <w:color w:val="auto"/>
                <w:kern w:val="2"/>
                <w:sz w:val="24"/>
                <w:szCs w:val="24"/>
                <w:lang w:val="en-US" w:eastAsia="zh-CN" w:bidi="ar-SA"/>
              </w:rPr>
              <w:t>MW风</w:t>
            </w:r>
            <w:r>
              <w:rPr>
                <w:rFonts w:hint="default" w:ascii="Times New Roman" w:hAnsi="Times New Roman" w:eastAsia="宋体" w:cs="Times New Roman"/>
                <w:bCs/>
                <w:color w:val="auto"/>
                <w:kern w:val="2"/>
                <w:sz w:val="24"/>
                <w:szCs w:val="24"/>
                <w:lang w:val="en-US" w:eastAsia="zh-CN" w:bidi="ar-SA"/>
              </w:rPr>
              <w:t>电场110kV送出工程</w:t>
            </w:r>
            <w:r>
              <w:rPr>
                <w:rFonts w:hint="eastAsia" w:ascii="Times New Roman" w:hAnsi="Times New Roman" w:cs="Times New Roman" w:eastAsiaTheme="minorEastAsia"/>
                <w:b w:val="0"/>
                <w:bCs w:val="0"/>
                <w:color w:val="auto"/>
                <w:kern w:val="2"/>
                <w:sz w:val="24"/>
                <w:szCs w:val="24"/>
                <w:vertAlign w:val="baseline"/>
                <w:lang w:val="en-US" w:eastAsia="zh-CN" w:bidi="ar-SA"/>
              </w:rPr>
              <w:t>永久占地1260m</w:t>
            </w:r>
            <w:r>
              <w:rPr>
                <w:rFonts w:hint="eastAsia" w:ascii="Times New Roman" w:hAnsi="Times New Roman" w:cs="Times New Roman" w:eastAsiaTheme="minorEastAsia"/>
                <w:b w:val="0"/>
                <w:bCs w:val="0"/>
                <w:color w:val="auto"/>
                <w:kern w:val="2"/>
                <w:sz w:val="24"/>
                <w:szCs w:val="24"/>
                <w:vertAlign w:val="superscript"/>
                <w:lang w:val="en-US" w:eastAsia="zh-CN" w:bidi="ar-SA"/>
              </w:rPr>
              <w:t>2</w:t>
            </w:r>
            <w:r>
              <w:rPr>
                <w:rFonts w:hint="eastAsia" w:ascii="Times New Roman" w:hAnsi="Times New Roman" w:cs="Times New Roman" w:eastAsiaTheme="minorEastAsia"/>
                <w:b w:val="0"/>
                <w:bCs w:val="0"/>
                <w:color w:val="auto"/>
                <w:kern w:val="2"/>
                <w:sz w:val="24"/>
                <w:szCs w:val="24"/>
                <w:vertAlign w:val="baseline"/>
                <w:lang w:val="en-US" w:eastAsia="zh-CN" w:bidi="ar-SA"/>
              </w:rPr>
              <w:t>，临时占地18500m</w:t>
            </w:r>
            <w:r>
              <w:rPr>
                <w:rFonts w:hint="eastAsia" w:ascii="Times New Roman" w:hAnsi="Times New Roman" w:cs="Times New Roman" w:eastAsiaTheme="minorEastAsia"/>
                <w:b w:val="0"/>
                <w:bCs w:val="0"/>
                <w:color w:val="auto"/>
                <w:kern w:val="2"/>
                <w:sz w:val="24"/>
                <w:szCs w:val="24"/>
                <w:vertAlign w:val="superscript"/>
                <w:lang w:val="en-US" w:eastAsia="zh-CN" w:bidi="ar-SA"/>
              </w:rPr>
              <w:t>2</w:t>
            </w: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占地现状主要为荒地、林地。</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永久占地：工程共设21基塔，单塔占地面积约60m</w:t>
            </w:r>
            <w:r>
              <w:rPr>
                <w:rFonts w:hint="eastAsia" w:ascii="Times New Roman" w:hAnsi="Times New Roman" w:cs="Times New Roman" w:eastAsiaTheme="minorEastAsia"/>
                <w:b w:val="0"/>
                <w:bCs w:val="0"/>
                <w:color w:val="auto"/>
                <w:kern w:val="2"/>
                <w:sz w:val="24"/>
                <w:szCs w:val="24"/>
                <w:vertAlign w:val="superscript"/>
                <w:lang w:val="en-US" w:eastAsia="zh-CN" w:bidi="ar-SA"/>
              </w:rPr>
              <w:t>2</w:t>
            </w:r>
            <w:r>
              <w:rPr>
                <w:rFonts w:hint="eastAsia" w:ascii="Times New Roman" w:hAnsi="Times New Roman" w:cs="Times New Roman" w:eastAsiaTheme="minorEastAsia"/>
                <w:b w:val="0"/>
                <w:bCs w:val="0"/>
                <w:color w:val="auto"/>
                <w:kern w:val="2"/>
                <w:sz w:val="24"/>
                <w:szCs w:val="24"/>
                <w:vertAlign w:val="baseline"/>
                <w:lang w:val="en-US" w:eastAsia="zh-CN" w:bidi="ar-SA"/>
              </w:rPr>
              <w:t>，塔基永久占地约1260m</w:t>
            </w:r>
            <w:r>
              <w:rPr>
                <w:rFonts w:hint="eastAsia" w:ascii="Times New Roman" w:hAnsi="Times New Roman" w:cs="Times New Roman" w:eastAsiaTheme="minorEastAsia"/>
                <w:b w:val="0"/>
                <w:bCs w:val="0"/>
                <w:color w:val="auto"/>
                <w:kern w:val="2"/>
                <w:sz w:val="24"/>
                <w:szCs w:val="24"/>
                <w:vertAlign w:val="superscript"/>
                <w:lang w:val="en-US" w:eastAsia="zh-CN" w:bidi="ar-SA"/>
              </w:rPr>
              <w:t>2</w:t>
            </w:r>
            <w:r>
              <w:rPr>
                <w:rFonts w:hint="eastAsia" w:ascii="Times New Roman" w:hAnsi="Times New Roman" w:cs="Times New Roman" w:eastAsiaTheme="minorEastAsia"/>
                <w:b w:val="0"/>
                <w:bCs w:val="0"/>
                <w:color w:val="auto"/>
                <w:kern w:val="2"/>
                <w:sz w:val="24"/>
                <w:szCs w:val="24"/>
                <w:vertAlign w:val="baseline"/>
                <w:lang w:val="en-US" w:eastAsia="zh-CN" w:bidi="ar-SA"/>
              </w:rPr>
              <w:t>。</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塔基临时施工场地：单塔临时施工场地以400m</w:t>
            </w:r>
            <w:r>
              <w:rPr>
                <w:rFonts w:hint="eastAsia" w:ascii="Times New Roman" w:hAnsi="Times New Roman" w:cs="Times New Roman" w:eastAsiaTheme="minorEastAsia"/>
                <w:b w:val="0"/>
                <w:bCs w:val="0"/>
                <w:color w:val="auto"/>
                <w:kern w:val="2"/>
                <w:sz w:val="24"/>
                <w:szCs w:val="24"/>
                <w:vertAlign w:val="superscript"/>
                <w:lang w:val="en-US" w:eastAsia="zh-CN" w:bidi="ar-SA"/>
              </w:rPr>
              <w:t>2</w:t>
            </w:r>
            <w:r>
              <w:rPr>
                <w:rFonts w:hint="eastAsia" w:ascii="Times New Roman" w:hAnsi="Times New Roman" w:cs="Times New Roman" w:eastAsiaTheme="minorEastAsia"/>
                <w:b w:val="0"/>
                <w:bCs w:val="0"/>
                <w:color w:val="auto"/>
                <w:kern w:val="2"/>
                <w:sz w:val="24"/>
                <w:szCs w:val="24"/>
                <w:vertAlign w:val="baseline"/>
                <w:lang w:val="en-US" w:eastAsia="zh-CN" w:bidi="ar-SA"/>
              </w:rPr>
              <w:t>计，21塔基共占地8400m</w:t>
            </w:r>
            <w:r>
              <w:rPr>
                <w:rFonts w:hint="eastAsia" w:ascii="Times New Roman" w:hAnsi="Times New Roman" w:cs="Times New Roman" w:eastAsiaTheme="minorEastAsia"/>
                <w:b w:val="0"/>
                <w:bCs w:val="0"/>
                <w:color w:val="auto"/>
                <w:kern w:val="2"/>
                <w:sz w:val="24"/>
                <w:szCs w:val="24"/>
                <w:vertAlign w:val="superscript"/>
                <w:lang w:val="en-US" w:eastAsia="zh-CN" w:bidi="ar-SA"/>
              </w:rPr>
              <w:t>2</w:t>
            </w:r>
            <w:r>
              <w:rPr>
                <w:rFonts w:hint="eastAsia" w:ascii="Times New Roman" w:hAnsi="Times New Roman" w:cs="Times New Roman" w:eastAsiaTheme="minorEastAsia"/>
                <w:b w:val="0"/>
                <w:bCs w:val="0"/>
                <w:color w:val="auto"/>
                <w:kern w:val="2"/>
                <w:sz w:val="24"/>
                <w:szCs w:val="24"/>
                <w:vertAlign w:val="baseline"/>
                <w:lang w:val="en-US" w:eastAsia="zh-CN" w:bidi="ar-SA"/>
              </w:rPr>
              <w:t>。</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牵张场：根据本项目建设单位提供资料，项目牵张场位置共设6处，杆塔名称分别为J1（N1）、J2（N2）、Z3-2（N8）、J4（N13）、J5（N18）、Z6-1（N19），每处牵张场占地面积为400m</w:t>
            </w:r>
            <w:r>
              <w:rPr>
                <w:rFonts w:hint="eastAsia" w:ascii="Times New Roman" w:hAnsi="Times New Roman" w:cs="Times New Roman" w:eastAsiaTheme="minorEastAsia"/>
                <w:b w:val="0"/>
                <w:bCs w:val="0"/>
                <w:color w:val="auto"/>
                <w:kern w:val="2"/>
                <w:sz w:val="24"/>
                <w:szCs w:val="24"/>
                <w:vertAlign w:val="superscript"/>
                <w:lang w:val="en-US" w:eastAsia="zh-CN" w:bidi="ar-SA"/>
              </w:rPr>
              <w:t>2</w:t>
            </w:r>
            <w:r>
              <w:rPr>
                <w:rFonts w:hint="eastAsia" w:ascii="Times New Roman" w:hAnsi="Times New Roman" w:cs="Times New Roman" w:eastAsiaTheme="minorEastAsia"/>
                <w:b w:val="0"/>
                <w:bCs w:val="0"/>
                <w:color w:val="auto"/>
                <w:kern w:val="2"/>
                <w:sz w:val="24"/>
                <w:szCs w:val="24"/>
                <w:vertAlign w:val="baseline"/>
                <w:lang w:val="en-US" w:eastAsia="zh-CN" w:bidi="ar-SA"/>
              </w:rPr>
              <w:t>，牵张场共占地2400m</w:t>
            </w:r>
            <w:r>
              <w:rPr>
                <w:rFonts w:hint="eastAsia" w:ascii="Times New Roman" w:hAnsi="Times New Roman" w:cs="Times New Roman" w:eastAsiaTheme="minorEastAsia"/>
                <w:b w:val="0"/>
                <w:bCs w:val="0"/>
                <w:color w:val="auto"/>
                <w:kern w:val="2"/>
                <w:sz w:val="24"/>
                <w:szCs w:val="24"/>
                <w:vertAlign w:val="superscript"/>
                <w:lang w:val="en-US" w:eastAsia="zh-CN" w:bidi="ar-SA"/>
              </w:rPr>
              <w:t>2</w:t>
            </w:r>
            <w:r>
              <w:rPr>
                <w:rFonts w:hint="eastAsia" w:ascii="Times New Roman" w:hAnsi="Times New Roman" w:cs="Times New Roman" w:eastAsiaTheme="minorEastAsia"/>
                <w:b w:val="0"/>
                <w:bCs w:val="0"/>
                <w:color w:val="auto"/>
                <w:kern w:val="2"/>
                <w:sz w:val="24"/>
                <w:szCs w:val="24"/>
                <w:vertAlign w:val="baseline"/>
                <w:lang w:val="en-US" w:eastAsia="zh-CN" w:bidi="ar-SA"/>
              </w:rPr>
              <w:t>。</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道路临时占地：</w:t>
            </w:r>
            <w:r>
              <w:rPr>
                <w:rFonts w:hint="eastAsia" w:ascii="Times New Roman" w:hAnsi="Times New Roman" w:cs="Times New Roman"/>
                <w:b w:val="0"/>
                <w:bCs/>
                <w:color w:val="auto"/>
                <w:kern w:val="2"/>
                <w:sz w:val="24"/>
                <w:szCs w:val="24"/>
                <w:lang w:val="en-US" w:eastAsia="zh-CN" w:bidi="ar-SA"/>
              </w:rPr>
              <w:t>本项目沿线有乡村道路、农业生产便道及县级公路，</w:t>
            </w:r>
            <w:r>
              <w:rPr>
                <w:rFonts w:hint="eastAsia" w:ascii="Times New Roman" w:hAnsi="Times New Roman" w:cs="Times New Roman" w:eastAsiaTheme="minorEastAsia"/>
                <w:b w:val="0"/>
                <w:bCs w:val="0"/>
                <w:color w:val="auto"/>
                <w:kern w:val="2"/>
                <w:sz w:val="24"/>
                <w:szCs w:val="24"/>
                <w:vertAlign w:val="baseline"/>
                <w:lang w:val="en-US" w:eastAsia="zh-CN" w:bidi="ar-SA"/>
              </w:rPr>
              <w:t>塔基建设时可利用现有道路，根据建设单位提供资料，项目道路临时占地为7700m</w:t>
            </w:r>
            <w:r>
              <w:rPr>
                <w:rFonts w:hint="eastAsia" w:ascii="Times New Roman" w:hAnsi="Times New Roman" w:cs="Times New Roman" w:eastAsiaTheme="minorEastAsia"/>
                <w:b w:val="0"/>
                <w:bCs w:val="0"/>
                <w:color w:val="auto"/>
                <w:kern w:val="2"/>
                <w:sz w:val="24"/>
                <w:szCs w:val="24"/>
                <w:vertAlign w:val="superscript"/>
                <w:lang w:val="en-US" w:eastAsia="zh-CN" w:bidi="ar-SA"/>
              </w:rPr>
              <w:t>2</w:t>
            </w:r>
            <w:r>
              <w:rPr>
                <w:rFonts w:hint="eastAsia" w:ascii="Times New Roman" w:hAnsi="Times New Roman" w:cs="Times New Roman" w:eastAsiaTheme="minorEastAsia"/>
                <w:b w:val="0"/>
                <w:bCs w:val="0"/>
                <w:color w:val="auto"/>
                <w:kern w:val="2"/>
                <w:sz w:val="24"/>
                <w:szCs w:val="24"/>
                <w:vertAlign w:val="baseline"/>
                <w:lang w:val="en-US" w:eastAsia="zh-CN" w:bidi="ar-SA"/>
              </w:rPr>
              <w:t>。</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1.4.2 工程土方石平衡</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拟建线路单塔挖方约</w:t>
            </w:r>
            <w:r>
              <w:rPr>
                <w:rFonts w:hint="eastAsia" w:ascii="Times New Roman" w:hAnsi="Times New Roman" w:cs="Times New Roman" w:eastAsiaTheme="minorEastAsia"/>
                <w:b w:val="0"/>
                <w:bCs w:val="0"/>
                <w:color w:val="auto"/>
                <w:kern w:val="2"/>
                <w:sz w:val="24"/>
                <w:szCs w:val="24"/>
                <w:vertAlign w:val="baseline"/>
                <w:lang w:val="en-US" w:eastAsia="zh-CN" w:bidi="ar-SA"/>
              </w:rPr>
              <w:t>22</w:t>
            </w:r>
            <w:r>
              <w:rPr>
                <w:rFonts w:hint="default" w:ascii="Times New Roman" w:hAnsi="Times New Roman" w:cs="Times New Roman" w:eastAsiaTheme="minorEastAsia"/>
                <w:b w:val="0"/>
                <w:bCs w:val="0"/>
                <w:color w:val="auto"/>
                <w:kern w:val="2"/>
                <w:sz w:val="24"/>
                <w:szCs w:val="24"/>
                <w:vertAlign w:val="baseline"/>
                <w:lang w:val="en-US" w:eastAsia="zh-CN" w:bidi="ar-SA"/>
              </w:rPr>
              <w:t>m</w:t>
            </w:r>
            <w:r>
              <w:rPr>
                <w:rFonts w:hint="eastAsia" w:ascii="Times New Roman" w:hAnsi="Times New Roman" w:cs="Times New Roman" w:eastAsiaTheme="minorEastAsia"/>
                <w:b w:val="0"/>
                <w:bCs w:val="0"/>
                <w:color w:val="auto"/>
                <w:kern w:val="2"/>
                <w:sz w:val="24"/>
                <w:szCs w:val="24"/>
                <w:vertAlign w:val="superscript"/>
                <w:lang w:val="en-US" w:eastAsia="zh-CN" w:bidi="ar-SA"/>
              </w:rPr>
              <w:t>3</w:t>
            </w:r>
            <w:r>
              <w:rPr>
                <w:rFonts w:hint="default" w:ascii="Times New Roman" w:hAnsi="Times New Roman" w:cs="Times New Roman" w:eastAsiaTheme="minorEastAsia"/>
                <w:b w:val="0"/>
                <w:bCs w:val="0"/>
                <w:color w:val="auto"/>
                <w:kern w:val="2"/>
                <w:sz w:val="24"/>
                <w:szCs w:val="24"/>
                <w:vertAlign w:val="baseline"/>
                <w:lang w:val="en-US" w:eastAsia="zh-CN" w:bidi="ar-SA"/>
              </w:rPr>
              <w:t>，</w:t>
            </w:r>
            <w:r>
              <w:rPr>
                <w:rFonts w:hint="eastAsia" w:ascii="Times New Roman" w:hAnsi="Times New Roman" w:cs="Times New Roman" w:eastAsiaTheme="minorEastAsia"/>
                <w:b w:val="0"/>
                <w:bCs w:val="0"/>
                <w:color w:val="auto"/>
                <w:kern w:val="2"/>
                <w:sz w:val="24"/>
                <w:szCs w:val="24"/>
                <w:vertAlign w:val="baseline"/>
                <w:lang w:val="en-US" w:eastAsia="zh-CN" w:bidi="ar-SA"/>
              </w:rPr>
              <w:t>21</w:t>
            </w:r>
            <w:r>
              <w:rPr>
                <w:rFonts w:hint="default" w:ascii="Times New Roman" w:hAnsi="Times New Roman" w:cs="Times New Roman" w:eastAsiaTheme="minorEastAsia"/>
                <w:b w:val="0"/>
                <w:bCs w:val="0"/>
                <w:color w:val="auto"/>
                <w:kern w:val="2"/>
                <w:sz w:val="24"/>
                <w:szCs w:val="24"/>
                <w:vertAlign w:val="baseline"/>
                <w:lang w:val="en-US" w:eastAsia="zh-CN" w:bidi="ar-SA"/>
              </w:rPr>
              <w:t>基共计</w:t>
            </w:r>
            <w:r>
              <w:rPr>
                <w:rFonts w:hint="eastAsia" w:ascii="Times New Roman" w:hAnsi="Times New Roman" w:cs="Times New Roman" w:eastAsiaTheme="minorEastAsia"/>
                <w:b w:val="0"/>
                <w:bCs w:val="0"/>
                <w:color w:val="auto"/>
                <w:kern w:val="2"/>
                <w:sz w:val="24"/>
                <w:szCs w:val="24"/>
                <w:vertAlign w:val="baseline"/>
                <w:lang w:val="en-US" w:eastAsia="zh-CN" w:bidi="ar-SA"/>
              </w:rPr>
              <w:t>462</w:t>
            </w:r>
            <w:r>
              <w:rPr>
                <w:rFonts w:hint="default" w:ascii="Times New Roman" w:hAnsi="Times New Roman" w:cs="Times New Roman" w:eastAsiaTheme="minorEastAsia"/>
                <w:b w:val="0"/>
                <w:bCs w:val="0"/>
                <w:color w:val="auto"/>
                <w:kern w:val="2"/>
                <w:sz w:val="24"/>
                <w:szCs w:val="24"/>
                <w:vertAlign w:val="baseline"/>
                <w:lang w:val="en-US" w:eastAsia="zh-CN" w:bidi="ar-SA"/>
              </w:rPr>
              <w:t>m</w:t>
            </w:r>
            <w:r>
              <w:rPr>
                <w:rFonts w:hint="default" w:ascii="Times New Roman" w:hAnsi="Times New Roman" w:cs="Times New Roman" w:eastAsiaTheme="minorEastAsia"/>
                <w:b w:val="0"/>
                <w:bCs w:val="0"/>
                <w:color w:val="auto"/>
                <w:kern w:val="2"/>
                <w:sz w:val="24"/>
                <w:szCs w:val="24"/>
                <w:vertAlign w:val="superscript"/>
                <w:lang w:val="en-US" w:eastAsia="zh-CN" w:bidi="ar-SA"/>
              </w:rPr>
              <w:t>3</w:t>
            </w:r>
            <w:r>
              <w:rPr>
                <w:rFonts w:hint="default" w:ascii="Times New Roman" w:hAnsi="Times New Roman" w:cs="Times New Roman" w:eastAsiaTheme="minorEastAsia"/>
                <w:b w:val="0"/>
                <w:bCs w:val="0"/>
                <w:color w:val="auto"/>
                <w:kern w:val="2"/>
                <w:sz w:val="24"/>
                <w:szCs w:val="24"/>
                <w:vertAlign w:val="baseline"/>
                <w:lang w:val="en-US" w:eastAsia="zh-CN" w:bidi="ar-SA"/>
              </w:rPr>
              <w:t>，土方就地平整在塔基基面范内，不外弃。</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1.5 施工组织方案</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default"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1.5.1 施工组织</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2" w:firstLineChars="200"/>
              <w:jc w:val="left"/>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eastAsia" w:ascii="Times New Roman" w:hAnsi="Times New Roman" w:cs="Times New Roman" w:eastAsiaTheme="minorEastAsia"/>
                <w:b/>
                <w:bCs/>
                <w:color w:val="auto"/>
                <w:kern w:val="2"/>
                <w:sz w:val="24"/>
                <w:szCs w:val="24"/>
                <w:vertAlign w:val="baseline"/>
                <w:lang w:val="en-US" w:eastAsia="zh-CN" w:bidi="ar-SA"/>
              </w:rPr>
              <w:t>1.5.1.1 施工人员安排</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本项目施工人员约12人。</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2" w:firstLineChars="200"/>
              <w:jc w:val="left"/>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eastAsia" w:ascii="Times New Roman" w:hAnsi="Times New Roman" w:cs="Times New Roman" w:eastAsiaTheme="minorEastAsia"/>
                <w:b/>
                <w:bCs/>
                <w:color w:val="auto"/>
                <w:kern w:val="2"/>
                <w:sz w:val="24"/>
                <w:szCs w:val="24"/>
                <w:vertAlign w:val="baseline"/>
                <w:lang w:val="en-US" w:eastAsia="zh-CN" w:bidi="ar-SA"/>
              </w:rPr>
              <w:t>1.5.1.2 交通运输</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施工材料均就近采购，通过施工点附近的省道、乡道等运输至塔基附近。</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2" w:firstLineChars="200"/>
              <w:jc w:val="left"/>
              <w:textAlignment w:val="auto"/>
              <w:rPr>
                <w:rFonts w:hint="default" w:ascii="Times New Roman" w:hAnsi="Times New Roman" w:cs="Times New Roman" w:eastAsiaTheme="minorEastAsia"/>
                <w:b/>
                <w:bCs/>
                <w:color w:val="auto"/>
                <w:kern w:val="2"/>
                <w:sz w:val="24"/>
                <w:szCs w:val="24"/>
                <w:vertAlign w:val="baseline"/>
                <w:lang w:val="en-US" w:eastAsia="zh-CN" w:bidi="ar-SA"/>
              </w:rPr>
            </w:pPr>
            <w:r>
              <w:rPr>
                <w:rFonts w:hint="eastAsia" w:ascii="Times New Roman" w:hAnsi="Times New Roman" w:cs="Times New Roman" w:eastAsiaTheme="minorEastAsia"/>
                <w:b/>
                <w:bCs/>
                <w:color w:val="auto"/>
                <w:kern w:val="2"/>
                <w:sz w:val="24"/>
                <w:szCs w:val="24"/>
                <w:vertAlign w:val="baseline"/>
                <w:lang w:val="en-US" w:eastAsia="zh-CN" w:bidi="ar-SA"/>
              </w:rPr>
              <w:t>1.5.1.3 施工场地布置</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塔基</w:t>
            </w:r>
            <w:r>
              <w:rPr>
                <w:rFonts w:hint="eastAsia" w:ascii="Times New Roman" w:hAnsi="Times New Roman" w:cs="Times New Roman" w:eastAsiaTheme="minorEastAsia"/>
                <w:b w:val="0"/>
                <w:bCs w:val="0"/>
                <w:color w:val="auto"/>
                <w:kern w:val="2"/>
                <w:sz w:val="24"/>
                <w:szCs w:val="24"/>
                <w:vertAlign w:val="baseline"/>
                <w:lang w:val="en-US" w:eastAsia="zh-CN" w:bidi="ar-SA"/>
              </w:rPr>
              <w:t>临时</w:t>
            </w:r>
            <w:r>
              <w:rPr>
                <w:rFonts w:hint="default" w:ascii="Times New Roman" w:hAnsi="Times New Roman" w:cs="Times New Roman" w:eastAsiaTheme="minorEastAsia"/>
                <w:b w:val="0"/>
                <w:bCs w:val="0"/>
                <w:color w:val="auto"/>
                <w:kern w:val="2"/>
                <w:sz w:val="24"/>
                <w:szCs w:val="24"/>
                <w:vertAlign w:val="baseline"/>
                <w:lang w:val="en-US" w:eastAsia="zh-CN" w:bidi="ar-SA"/>
              </w:rPr>
              <w:t>施工场地：塔基施工过程中需设置施工场地，用来临时堆置土方、材料和工具等，每处塔基都有一处施工临时占地作为施工场地，施工场地会占压和扰动原有地表。</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牵张场：为满足施工放线需要，输电线路沿线需利用牵张场地，牵张场应满足牵引机、张力机能直接运达到位，地形应平坦，能满足布置牵张设备、布置导线及施工操作等要求。</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材料站：根据沿线的交通情况，工程拟租用已有库房或场地作为材料站具体地点由施工单位选定，便于塔材、钢材、线材、水泥、金具和绝缘子的集散。如线路沿线无可供租用的场地，可将材料堆放于塔基施工场地和牵张场的材料堆放区。</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施工营地：输电线路施工时由于线路塔基及牵张玚较分散，项目施工期施工人员不在项目区食宿，依托周边村庄现有生活设施。</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2" w:firstLineChars="200"/>
              <w:jc w:val="left"/>
              <w:textAlignment w:val="auto"/>
              <w:rPr>
                <w:rFonts w:hint="eastAsia" w:ascii="Times New Roman" w:hAnsi="Times New Roman" w:cs="Times New Roman" w:eastAsiaTheme="minorEastAsia"/>
                <w:b/>
                <w:bCs/>
                <w:color w:val="auto"/>
                <w:kern w:val="2"/>
                <w:sz w:val="24"/>
                <w:szCs w:val="24"/>
                <w:vertAlign w:val="baseline"/>
                <w:lang w:val="en-US" w:eastAsia="zh-CN" w:bidi="ar-SA"/>
              </w:rPr>
            </w:pPr>
            <w:r>
              <w:rPr>
                <w:rFonts w:hint="eastAsia" w:ascii="Times New Roman" w:hAnsi="Times New Roman" w:cs="Times New Roman" w:eastAsiaTheme="minorEastAsia"/>
                <w:b/>
                <w:bCs/>
                <w:color w:val="auto"/>
                <w:kern w:val="2"/>
                <w:sz w:val="24"/>
                <w:szCs w:val="24"/>
                <w:vertAlign w:val="baseline"/>
                <w:lang w:val="en-US" w:eastAsia="zh-CN" w:bidi="ar-SA"/>
              </w:rPr>
              <w:t>1.5.1.4 建筑材料</w:t>
            </w:r>
          </w:p>
          <w:p>
            <w:pPr>
              <w:pStyle w:val="18"/>
              <w:keepNext w:val="0"/>
              <w:keepLines w:val="0"/>
              <w:pageBreakBefore w:val="0"/>
              <w:widowControl/>
              <w:numPr>
                <w:ilvl w:val="0"/>
                <w:numId w:val="0"/>
              </w:numPr>
              <w:tabs>
                <w:tab w:val="center" w:pos="4437"/>
              </w:tabs>
              <w:kinsoku/>
              <w:wordWrap/>
              <w:overflowPunct/>
              <w:topLinePunct w:val="0"/>
              <w:autoSpaceDE w:val="0"/>
              <w:autoSpaceDN w:val="0"/>
              <w:bidi w:val="0"/>
              <w:adjustRightInd w:val="0"/>
              <w:snapToGrid/>
              <w:spacing w:line="360" w:lineRule="auto"/>
              <w:ind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塔基施工建筑材料均由供货方运至现场。</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1.5.2 施工方法</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线路建设包括地表处理、砍伐树木，施工机械进场进行基础建设，待基础完成后进行杄塔组立和线路架设，最终调试运行。输电线路建设一次成型，后期不会对杆塔和基础进行改造</w:t>
            </w:r>
            <w:r>
              <w:rPr>
                <w:rFonts w:hint="eastAsia" w:ascii="Times New Roman" w:hAnsi="Times New Roman" w:cs="Times New Roman" w:eastAsiaTheme="minorEastAsia"/>
                <w:b w:val="0"/>
                <w:bCs w:val="0"/>
                <w:color w:val="auto"/>
                <w:kern w:val="2"/>
                <w:sz w:val="24"/>
                <w:szCs w:val="24"/>
                <w:vertAlign w:val="baseline"/>
                <w:lang w:val="en-US" w:eastAsia="zh-CN" w:bidi="ar-SA"/>
              </w:rPr>
              <w:t>。</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jc w:val="left"/>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1.6 工程投资</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eastAsia" w:ascii="Times New Roman" w:hAnsi="Times New Roman" w:cs="Times New Roman" w:eastAsiaTheme="minorEastAsia"/>
                <w:b w:val="0"/>
                <w:bCs w:val="0"/>
                <w:color w:val="auto"/>
                <w:kern w:val="2"/>
                <w:sz w:val="24"/>
                <w:szCs w:val="24"/>
                <w:vertAlign w:val="baseline"/>
                <w:lang w:val="en-US" w:eastAsia="zh-CN" w:bidi="ar-SA"/>
              </w:rPr>
            </w:pPr>
            <w:r>
              <w:rPr>
                <w:rFonts w:hint="eastAsia" w:ascii="Times New Roman" w:hAnsi="Times New Roman" w:cs="Times New Roman" w:eastAsiaTheme="minorEastAsia"/>
                <w:b w:val="0"/>
                <w:bCs w:val="0"/>
                <w:color w:val="auto"/>
                <w:kern w:val="2"/>
                <w:sz w:val="24"/>
                <w:szCs w:val="24"/>
                <w:vertAlign w:val="baseline"/>
                <w:lang w:val="en-US" w:eastAsia="zh-CN" w:bidi="ar-SA"/>
              </w:rPr>
              <w:t>项目工程总投资1049.99万元，其中环</w:t>
            </w: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保投资32万元，占总投资的3</w:t>
            </w:r>
            <w:r>
              <w:rPr>
                <w:rFonts w:hint="eastAsia" w:ascii="Times New Roman" w:hAnsi="Times New Roman" w:cs="Times New Roman" w:eastAsiaTheme="minorEastAsia"/>
                <w:b w:val="0"/>
                <w:bCs w:val="0"/>
                <w:color w:val="auto"/>
                <w:kern w:val="2"/>
                <w:sz w:val="24"/>
                <w:szCs w:val="24"/>
                <w:vertAlign w:val="baseline"/>
                <w:lang w:val="en-US" w:eastAsia="zh-CN" w:bidi="ar-SA"/>
              </w:rPr>
              <w:t>.05%。</w:t>
            </w: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p>
          <w:p>
            <w:pPr>
              <w:pStyle w:val="18"/>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0" w:firstLine="480" w:firstLineChars="200"/>
              <w:jc w:val="left"/>
              <w:textAlignment w:val="auto"/>
              <w:rPr>
                <w:rFonts w:hint="default" w:ascii="Times New Roman" w:hAnsi="Times New Roman" w:cs="Times New Roman" w:eastAsiaTheme="minorEastAsia"/>
                <w:b w:val="0"/>
                <w:bCs w:val="0"/>
                <w:color w:val="auto"/>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0" w:type="dxa"/>
            <w:gridSpan w:val="6"/>
          </w:tcPr>
          <w:p>
            <w:pPr>
              <w:pStyle w:val="2"/>
              <w:widowControl w:val="0"/>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与本项目有关的原有污染情况及主要环境问题</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b w:val="0"/>
                <w:bCs w:val="0"/>
                <w:sz w:val="24"/>
                <w:szCs w:val="22"/>
                <w:lang w:eastAsia="zh-CN"/>
              </w:rPr>
            </w:pPr>
            <w:r>
              <w:rPr>
                <w:rFonts w:hint="eastAsia"/>
                <w:b w:val="0"/>
                <w:bCs w:val="0"/>
                <w:sz w:val="24"/>
                <w:szCs w:val="22"/>
                <w:lang w:eastAsia="zh-CN"/>
              </w:rPr>
              <w:t>本项目为新建项目，不存在原有污染问题。</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b w:val="0"/>
                <w:bCs w:val="0"/>
                <w:sz w:val="24"/>
                <w:szCs w:val="22"/>
                <w:lang w:eastAsia="zh-CN"/>
              </w:rPr>
            </w:pPr>
            <w:r>
              <w:rPr>
                <w:rFonts w:hint="eastAsia"/>
                <w:b w:val="0"/>
                <w:bCs w:val="0"/>
                <w:sz w:val="24"/>
                <w:szCs w:val="22"/>
                <w:lang w:eastAsia="zh-CN"/>
              </w:rPr>
              <w:t>通过现场勘察和现场监测可知，架空输电线路所经区域为主要为荒地、林地，合理避让了沿线居民点，线路沿线工频电磁环境、声环境质量良好，不存在环境问题。</w:t>
            </w:r>
          </w:p>
        </w:tc>
      </w:tr>
    </w:tbl>
    <w:p>
      <w:r>
        <w:br w:type="page"/>
      </w:r>
    </w:p>
    <w:p>
      <w:pPr>
        <w:pStyle w:val="3"/>
        <w:ind w:left="0" w:leftChars="0" w:firstLine="0" w:firstLineChars="0"/>
        <w:outlineLvl w:val="0"/>
        <w:rPr>
          <w:rFonts w:hint="eastAsia"/>
          <w:b/>
          <w:bCs/>
          <w:sz w:val="32"/>
          <w:szCs w:val="28"/>
          <w:lang w:eastAsia="zh-CN"/>
        </w:rPr>
      </w:pPr>
      <w:bookmarkStart w:id="2" w:name="_Toc26031"/>
      <w:r>
        <w:rPr>
          <w:rFonts w:hint="eastAsia"/>
          <w:b/>
          <w:bCs/>
          <w:sz w:val="32"/>
          <w:szCs w:val="28"/>
          <w:lang w:val="en-US" w:eastAsia="zh-CN"/>
        </w:rPr>
        <w:t xml:space="preserve">2 </w:t>
      </w:r>
      <w:r>
        <w:rPr>
          <w:rFonts w:hint="eastAsia"/>
          <w:b/>
          <w:bCs/>
          <w:sz w:val="32"/>
          <w:szCs w:val="28"/>
          <w:lang w:eastAsia="zh-CN"/>
        </w:rPr>
        <w:t>建设项目所在地自然环境简况</w:t>
      </w:r>
      <w:bookmarkEnd w:id="2"/>
    </w:p>
    <w:tbl>
      <w:tblPr>
        <w:tblStyle w:val="15"/>
        <w:tblW w:w="9090" w:type="dxa"/>
        <w:tblInd w:w="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0" w:type="dxa"/>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b/>
                <w:bCs/>
                <w:sz w:val="28"/>
                <w:szCs w:val="24"/>
                <w:vertAlign w:val="baseline"/>
                <w:lang w:eastAsia="zh-CN"/>
              </w:rPr>
            </w:pPr>
            <w:r>
              <w:rPr>
                <w:rFonts w:hint="eastAsia"/>
                <w:b/>
                <w:bCs/>
                <w:sz w:val="28"/>
                <w:szCs w:val="24"/>
                <w:vertAlign w:val="baseline"/>
                <w:lang w:eastAsia="zh-CN"/>
              </w:rPr>
              <w:t>自然环境简况（地形、地貌、地质、气候、气象、水文、植被、生物多样性）</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default" w:ascii="Times New Roman" w:hAnsi="Times New Roman" w:cs="Times New Roman"/>
                <w:b/>
                <w:bCs/>
                <w:sz w:val="28"/>
                <w:szCs w:val="24"/>
                <w:vertAlign w:val="baseline"/>
                <w:lang w:val="en-US" w:eastAsia="zh-CN"/>
              </w:rPr>
              <w:t>2.1 地理位置</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吴起县位于陕西省延安市西北部，西北与定边县接壤，东南与志丹县相邻，东北靠靖边县，西南与甘肃省华池县毗邻。地跨东经107</w:t>
            </w:r>
            <w:r>
              <w:rPr>
                <w:rFonts w:hint="default" w:ascii="Times New Roman" w:hAns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eastAsia="zh-CN"/>
              </w:rPr>
              <w:t>38′57″～108°32′49″，纬36</w:t>
            </w:r>
            <w:r>
              <w:rPr>
                <w:rFonts w:hint="default" w:ascii="Times New Roman" w:hAns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eastAsia="zh-CN"/>
              </w:rPr>
              <w:t>33′33″～37°24′27″。南北长约93.64公里，东西宽约79</w:t>
            </w:r>
            <w:r>
              <w:rPr>
                <w:rFonts w:hint="default" w:ascii="Times New Roman" w:hAns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eastAsia="zh-CN"/>
              </w:rPr>
              <w:t>89公里，总面积3791</w:t>
            </w:r>
            <w:r>
              <w:rPr>
                <w:rFonts w:hint="default" w:ascii="Times New Roman" w:hAnsi="Times New Roman" w:cs="Times New Roman"/>
                <w:b w:val="0"/>
                <w:bCs w:val="0"/>
                <w:sz w:val="24"/>
                <w:szCs w:val="22"/>
                <w:vertAlign w:val="baseline"/>
                <w:lang w:val="en-US" w:eastAsia="zh-CN"/>
              </w:rPr>
              <w:t>.5</w:t>
            </w:r>
            <w:r>
              <w:rPr>
                <w:rFonts w:hint="default" w:ascii="Times New Roman" w:hAnsi="Times New Roman" w:cs="Times New Roman"/>
                <w:b w:val="0"/>
                <w:bCs w:val="0"/>
                <w:sz w:val="24"/>
                <w:szCs w:val="22"/>
                <w:vertAlign w:val="baseline"/>
                <w:lang w:eastAsia="zh-CN"/>
              </w:rPr>
              <w:t>平方公里。县域内有省道303、省道302以及延志吴高速等区域对外交通线路，通过省道303与定边县、志丹县连通，通过省道302与甘肃省华池县连通，通过延志吴高速与志丹县、延安市连通，区域对外交通条件较为便捷。</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本项目全线位于延安市吴起县，地理位置见附图1。</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default" w:ascii="Times New Roman" w:hAnsi="Times New Roman" w:cs="Times New Roman"/>
                <w:b/>
                <w:bCs/>
                <w:sz w:val="28"/>
                <w:szCs w:val="24"/>
                <w:vertAlign w:val="baseline"/>
                <w:lang w:val="en-US" w:eastAsia="zh-CN"/>
              </w:rPr>
              <w:t>2.2 地形地貌</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eastAsia"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吴起县在地质构造上属于华北陆台鄂尔多斯台地的一部分，是一个重力低值拗陷地带。地质基础为下伏白垩系志丹群砂岩，上伏新生代第四系冲积、风积和湖积粉砂质黄土和第三系红色黏土</w:t>
            </w:r>
            <w:r>
              <w:rPr>
                <w:rFonts w:hint="eastAsia" w:ascii="Times New Roman" w:hAnsi="Times New Roman" w:cs="Times New Roman"/>
                <w:b w:val="0"/>
                <w:bCs w:val="0"/>
                <w:sz w:val="24"/>
                <w:szCs w:val="22"/>
                <w:vertAlign w:val="baseline"/>
                <w:lang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eastAsia"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本项目沿线所处地形总体上属</w:t>
            </w:r>
            <w:r>
              <w:rPr>
                <w:rFonts w:hint="eastAsia" w:ascii="Times New Roman" w:hAnsi="Times New Roman" w:cs="Times New Roman"/>
                <w:b w:val="0"/>
                <w:bCs w:val="0"/>
                <w:sz w:val="24"/>
                <w:szCs w:val="22"/>
                <w:vertAlign w:val="baseline"/>
                <w:lang w:eastAsia="zh-CN"/>
              </w:rPr>
              <w:t>鄂尔多斯</w:t>
            </w:r>
            <w:r>
              <w:rPr>
                <w:rFonts w:hint="default" w:ascii="Times New Roman" w:hAnsi="Times New Roman" w:cs="Times New Roman"/>
                <w:b w:val="0"/>
                <w:bCs w:val="0"/>
                <w:sz w:val="24"/>
                <w:szCs w:val="22"/>
                <w:vertAlign w:val="baseline"/>
                <w:lang w:eastAsia="zh-CN"/>
              </w:rPr>
              <w:t>隆起区的东南部黄土高原西北山区地形</w:t>
            </w:r>
            <w:r>
              <w:rPr>
                <w:rFonts w:hint="eastAsia" w:ascii="Times New Roman" w:hAnsi="Times New Roman" w:cs="Times New Roman"/>
                <w:b w:val="0"/>
                <w:bCs w:val="0"/>
                <w:sz w:val="24"/>
                <w:szCs w:val="22"/>
                <w:vertAlign w:val="baseline"/>
                <w:lang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线路经过地区大部为梁、峁、沟交错地形，山体陡翘，坡面支离破碎，局部地区有山洪冲刷痕迹，山顶地形相对较为平缓。线路经过地段地形较好，所处地形起伏较大，山体之间相对高差不大。地形地貌为一般山地山体所处地形海拔均在1200m～1800m之间。一般山地占100%</w:t>
            </w:r>
            <w:r>
              <w:rPr>
                <w:rFonts w:hint="eastAsia" w:ascii="Times New Roman" w:hAnsi="Times New Roman" w:cs="Times New Roman"/>
                <w:b w:val="0"/>
                <w:bCs w:val="0"/>
                <w:sz w:val="24"/>
                <w:szCs w:val="22"/>
                <w:vertAlign w:val="baseline"/>
                <w:lang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由于这一带地形海拔较高，距西北沙漠较近，加之植被较差，故沙尘暴出现较频繁，沙尘出现时较强。由于线路所处地形山高、路陡，线路与等级公路距离较远</w:t>
            </w:r>
            <w:r>
              <w:rPr>
                <w:rFonts w:hint="eastAsia" w:ascii="Times New Roman" w:hAnsi="Times New Roman" w:cs="Times New Roman"/>
                <w:b w:val="0"/>
                <w:bCs w:val="0"/>
                <w:sz w:val="24"/>
                <w:szCs w:val="22"/>
                <w:vertAlign w:val="baseline"/>
                <w:lang w:eastAsia="zh-CN"/>
              </w:rPr>
              <w:t>，</w:t>
            </w:r>
            <w:r>
              <w:rPr>
                <w:rFonts w:hint="default" w:ascii="Times New Roman" w:hAnsi="Times New Roman" w:cs="Times New Roman"/>
                <w:b w:val="0"/>
                <w:bCs w:val="0"/>
                <w:sz w:val="24"/>
                <w:szCs w:val="22"/>
                <w:vertAlign w:val="baseline"/>
                <w:lang w:eastAsia="zh-CN"/>
              </w:rPr>
              <w:t>局部地区有简易道路行往</w:t>
            </w:r>
            <w:r>
              <w:rPr>
                <w:rFonts w:hint="eastAsia" w:ascii="Times New Roman" w:hAnsi="Times New Roman" w:cs="Times New Roman"/>
                <w:b w:val="0"/>
                <w:bCs w:val="0"/>
                <w:sz w:val="24"/>
                <w:szCs w:val="22"/>
                <w:vertAlign w:val="baseline"/>
                <w:lang w:eastAsia="zh-CN"/>
              </w:rPr>
              <w:t>，</w:t>
            </w:r>
            <w:r>
              <w:rPr>
                <w:rFonts w:hint="default" w:ascii="Times New Roman" w:hAnsi="Times New Roman" w:cs="Times New Roman"/>
                <w:b w:val="0"/>
                <w:bCs w:val="0"/>
                <w:sz w:val="24"/>
                <w:szCs w:val="22"/>
                <w:vertAlign w:val="baseline"/>
                <w:lang w:eastAsia="zh-CN"/>
              </w:rPr>
              <w:t>汽车及人力运输并不困难。施工、运行、维护均较方便</w:t>
            </w:r>
            <w:r>
              <w:rPr>
                <w:rFonts w:hint="eastAsia" w:ascii="Times New Roman" w:hAnsi="Times New Roman" w:cs="Times New Roman"/>
                <w:b w:val="0"/>
                <w:bCs w:val="0"/>
                <w:sz w:val="24"/>
                <w:szCs w:val="22"/>
                <w:vertAlign w:val="baseline"/>
                <w:lang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2.3 地质构造与地震</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eastAsia"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吴起县地质基础属华北陆台的鄂尔多斯台地的一部分，在构造上是一个台向斜。以延安地区为中心的陕北单斜翘曲构造，呈东高西低的大斜坡。在这个斜坡上，自靖边以东，经二家畔转志丹东南，经曹新庄南下至墩梁东，穿过石马河直至直罗镇西的黑水寺，经子午岭东侧入咸阳地区以西，为陕甘宁拗陷向斜构造。向斜的东翼陡，西翼缓，吴起至正宁一线正处在陕甘宁向斜东翼陡坡的高斜坡上。陕甘宁拗陷在延安地区的二级构造为志丹隆起和吴起沉陷。吴起是一个重力低值的拗陷地</w:t>
            </w:r>
            <w:r>
              <w:rPr>
                <w:rFonts w:hint="eastAsia" w:ascii="Times New Roman" w:hAnsi="Times New Roman" w:cs="Times New Roman"/>
                <w:b w:val="0"/>
                <w:bCs w:val="0"/>
                <w:sz w:val="24"/>
                <w:szCs w:val="22"/>
                <w:vertAlign w:val="baseline"/>
                <w:lang w:eastAsia="zh-CN"/>
              </w:rPr>
              <w:t>带</w:t>
            </w:r>
            <w:r>
              <w:rPr>
                <w:rFonts w:hint="default" w:ascii="Times New Roman" w:hAnsi="Times New Roman" w:cs="Times New Roman"/>
                <w:b w:val="0"/>
                <w:bCs w:val="0"/>
                <w:sz w:val="24"/>
                <w:szCs w:val="22"/>
                <w:vertAlign w:val="baseline"/>
                <w:lang w:eastAsia="zh-CN"/>
              </w:rPr>
              <w:t>。在吴起至正宁的高斜坡上由北向南，又有三隆两凹为次一级构造组合。古潜山构造构成了吴起境内的一隆两凹，即白于山隆起，白豹凹陷和周长</w:t>
            </w:r>
            <w:r>
              <w:rPr>
                <w:rFonts w:hint="eastAsia" w:ascii="Times New Roman" w:hAnsi="Times New Roman" w:cs="Times New Roman"/>
                <w:b w:val="0"/>
                <w:bCs w:val="0"/>
                <w:sz w:val="24"/>
                <w:szCs w:val="22"/>
                <w:vertAlign w:val="baseline"/>
                <w:lang w:eastAsia="zh-CN"/>
              </w:rPr>
              <w:t>凹陷。</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根据《中国地震烈度区划图》划分，该地区地震烈度为6度。</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2.4 水文条件</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根据勘察结果并结合区域水文地质资料，线路沿线的地下水类型以孔隙潜水及基岩裂隙水为主。大气降水及侧向径流为主要补给方式，以侧向径流及蒸发为主要的排泄方式。黄土梁峁段地下水埋深一般均大于20m，河谷阶地段地下水位埋藏深度一般大于8m，局部较浅，水位年变幅1~2m</w:t>
            </w:r>
            <w:r>
              <w:rPr>
                <w:rFonts w:hint="eastAsia" w:ascii="Times New Roman" w:hAnsi="Times New Roman" w:cs="Times New Roman"/>
                <w:b w:val="0"/>
                <w:bCs w:val="0"/>
                <w:sz w:val="24"/>
                <w:szCs w:val="22"/>
                <w:vertAlign w:val="baseline"/>
                <w:lang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2.5 气候条件</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吴起县位于中纬度黄河中游黄土丘陵沟壑区，属于中温带半湿润半干旱区，具有明显的温带大陆性季风气候特征，春季干早多风，夏季旱涝相见，秋季温凉湿润，冬季寒冷干燥。年平均气温8</w:t>
            </w:r>
            <w:r>
              <w:rPr>
                <w:rFonts w:hint="eastAsia" w:ascii="Times New Roman" w:hAns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eastAsia="zh-CN"/>
              </w:rPr>
              <w:t>0℃，极端最高气温38.3℃，极端最低气温</w:t>
            </w:r>
            <w:r>
              <w:rPr>
                <w:rFonts w:hint="eastAsia" w:ascii="Times New Roman" w:hAns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eastAsia="zh-CN"/>
              </w:rPr>
              <w:t>28.5℃。年平均降水量438.7毫米，降水量分布呈现东南部多而西北部少，年无霜期133天。冰雹、旱涝、冻灾等气象灾害时有发生，</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0"/>
                <w:vertAlign w:val="baseline"/>
                <w:lang w:val="en-US" w:eastAsia="zh-CN"/>
              </w:rPr>
            </w:pPr>
            <w:r>
              <w:rPr>
                <w:rFonts w:hint="default" w:ascii="Times New Roman" w:hAnsi="Times New Roman" w:cs="Times New Roman"/>
                <w:b/>
                <w:bCs/>
                <w:sz w:val="21"/>
                <w:szCs w:val="20"/>
                <w:vertAlign w:val="baseline"/>
                <w:lang w:eastAsia="zh-CN"/>
              </w:rPr>
              <w:t>表</w:t>
            </w:r>
            <w:r>
              <w:rPr>
                <w:rFonts w:hint="default" w:ascii="Times New Roman" w:hAnsi="Times New Roman" w:cs="Times New Roman"/>
                <w:b/>
                <w:bCs/>
                <w:sz w:val="21"/>
                <w:szCs w:val="20"/>
                <w:vertAlign w:val="baseline"/>
                <w:lang w:val="en-US" w:eastAsia="zh-CN"/>
              </w:rPr>
              <w:t>2-1  主要气象要素一览表</w:t>
            </w:r>
          </w:p>
          <w:tbl>
            <w:tblPr>
              <w:tblStyle w:val="15"/>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1811"/>
              <w:gridCol w:w="2958"/>
              <w:gridCol w:w="2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气象要素</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单位</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平均气压</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HPa</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val="en-US" w:eastAsia="zh-CN"/>
                    </w:rPr>
                    <w:t>868.1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气温</w:t>
                  </w:r>
                </w:p>
              </w:tc>
              <w:tc>
                <w:tcPr>
                  <w:tcW w:w="181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年平均</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p>
              </w:tc>
              <w:tc>
                <w:tcPr>
                  <w:tcW w:w="181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极端最高</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p>
              </w:tc>
              <w:tc>
                <w:tcPr>
                  <w:tcW w:w="181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极端最低</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平均相对湿度</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年平均降水量</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mm</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438.7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年平均降水量</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mm</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1563.0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风速风向</w:t>
                  </w:r>
                </w:p>
              </w:tc>
              <w:tc>
                <w:tcPr>
                  <w:tcW w:w="181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平均</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m/s</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p>
              </w:tc>
              <w:tc>
                <w:tcPr>
                  <w:tcW w:w="181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最大</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val="en-US" w:eastAsia="zh-CN"/>
                    </w:rPr>
                    <w:t>m/s</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p>
              </w:tc>
              <w:tc>
                <w:tcPr>
                  <w:tcW w:w="181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主导风向</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NNW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58"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日照时数</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h</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2384.3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大风日数</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d</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雷暴日</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d</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无霜日</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d</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最大积雪深度</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cm</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冻土深度</w:t>
                  </w:r>
                </w:p>
              </w:tc>
              <w:tc>
                <w:tcPr>
                  <w:tcW w:w="181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标准冻深</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cm</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7"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Times New Roman"/>
                      <w:b w:val="0"/>
                      <w:bCs w:val="0"/>
                      <w:sz w:val="21"/>
                      <w:szCs w:val="20"/>
                      <w:vertAlign w:val="baseline"/>
                      <w:lang w:eastAsia="zh-CN"/>
                    </w:rPr>
                  </w:pPr>
                </w:p>
              </w:tc>
              <w:tc>
                <w:tcPr>
                  <w:tcW w:w="181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Times New Roman"/>
                      <w:b w:val="0"/>
                      <w:bCs w:val="0"/>
                      <w:sz w:val="21"/>
                      <w:szCs w:val="20"/>
                      <w:vertAlign w:val="baseline"/>
                      <w:lang w:eastAsia="zh-CN"/>
                    </w:rPr>
                  </w:pPr>
                  <w:r>
                    <w:rPr>
                      <w:rFonts w:hint="eastAsia" w:ascii="Times New Roman" w:hAnsi="Times New Roman" w:cs="Times New Roman"/>
                      <w:b w:val="0"/>
                      <w:bCs w:val="0"/>
                      <w:sz w:val="21"/>
                      <w:szCs w:val="20"/>
                      <w:vertAlign w:val="baseline"/>
                      <w:lang w:eastAsia="zh-CN"/>
                    </w:rPr>
                    <w:t>最大冻深</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cm</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95</w:t>
                  </w:r>
                </w:p>
              </w:tc>
            </w:tr>
          </w:tbl>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 xml:space="preserve">2.6 </w:t>
            </w:r>
            <w:r>
              <w:rPr>
                <w:rFonts w:hint="eastAsia" w:ascii="Times New Roman" w:cs="Times New Roman"/>
                <w:b/>
                <w:bCs/>
                <w:sz w:val="28"/>
                <w:szCs w:val="24"/>
                <w:vertAlign w:val="baseline"/>
                <w:lang w:val="en-US" w:eastAsia="zh-CN"/>
              </w:rPr>
              <w:t>水文概况</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cs="Times New Roman"/>
                <w:b/>
                <w:bCs/>
                <w:sz w:val="28"/>
                <w:szCs w:val="24"/>
                <w:vertAlign w:val="baseline"/>
                <w:lang w:val="en-US" w:eastAsia="zh-CN"/>
              </w:rPr>
            </w:pPr>
            <w:r>
              <w:rPr>
                <w:rFonts w:hint="eastAsia" w:ascii="Times New Roman" w:cs="Times New Roman"/>
                <w:b/>
                <w:bCs/>
                <w:sz w:val="28"/>
                <w:szCs w:val="24"/>
                <w:vertAlign w:val="baseline"/>
                <w:lang w:val="en-US" w:eastAsia="zh-CN"/>
              </w:rPr>
              <w:t>2.6.1 地表水</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吴</w:t>
            </w:r>
            <w:r>
              <w:rPr>
                <w:rFonts w:hint="eastAsia" w:ascii="Times New Roman" w:cs="Times New Roman"/>
                <w:b w:val="0"/>
                <w:bCs w:val="0"/>
                <w:sz w:val="24"/>
                <w:szCs w:val="22"/>
                <w:vertAlign w:val="baseline"/>
                <w:lang w:eastAsia="zh-CN"/>
              </w:rPr>
              <w:t>起</w:t>
            </w:r>
            <w:r>
              <w:rPr>
                <w:rFonts w:hint="default" w:ascii="Times New Roman" w:hAnsi="Times New Roman" w:cs="Times New Roman"/>
                <w:b w:val="0"/>
                <w:bCs w:val="0"/>
                <w:sz w:val="24"/>
                <w:szCs w:val="22"/>
                <w:vertAlign w:val="baseline"/>
                <w:lang w:eastAsia="zh-CN"/>
              </w:rPr>
              <w:t>县源远流长的树枝型水系的形成，与地貌大致相若。以白于山为界，分成两大水系，均属黄河流域，干流深切，支流密布，流域面积在100平方公里以上的河流15条，以洛河为骨干，纵横交错的大小河流和支毛沟形成了密如蛛网的水系网。白于山以北属无定河流域，其主要支流石拐子沟、八里庄沟、麻子沟诸水皆源于白于山北麓，由南向北通过涧地切沟，流经红柳河注入无定河入黄河，属黄河的一级支流。河流是各自然地理综合的影响的产物，有着明显的地域性特征。河流的流向都顺应地貌的总趋势。但由于河流易于冲刷，各支毛沟极为发育，加之河网密度很大，又都是季节性的河沟，雨季丰水期间，加快干流的集流速度而形成洪水；旱季枯水期间，却不能补给干流，造成干流的特枯水位。因此，洛河一年中流量变化悬殊，与支流 的这些特点关系很大。</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吴</w:t>
            </w:r>
            <w:r>
              <w:rPr>
                <w:rFonts w:hint="eastAsia" w:ascii="Times New Roman" w:cs="Times New Roman"/>
                <w:b w:val="0"/>
                <w:bCs w:val="0"/>
                <w:sz w:val="24"/>
                <w:szCs w:val="22"/>
                <w:vertAlign w:val="baseline"/>
                <w:lang w:eastAsia="zh-CN"/>
              </w:rPr>
              <w:t>起</w:t>
            </w:r>
            <w:r>
              <w:rPr>
                <w:rFonts w:hint="default" w:ascii="Times New Roman" w:hAnsi="Times New Roman" w:cs="Times New Roman"/>
                <w:b w:val="0"/>
                <w:bCs w:val="0"/>
                <w:sz w:val="24"/>
                <w:szCs w:val="22"/>
                <w:vertAlign w:val="baseline"/>
                <w:lang w:eastAsia="zh-CN"/>
              </w:rPr>
              <w:t>县河流流量虽小，含沙量却普遍很高。根据1963～1967年和1969～1970年的观测，金佛坪段为年侵蚀模速的最高区，高达18400吨／平方公里。溯其原因，就是河网密度大（北洛河为0.9公里／平方公里，无定河为0.85公里／平方公里），沟峁相对高差120～576米，支流沟道平均比降在2.5～9.13‰之间，除支毛沟外，大都切入基石，它们都是向河流输送泥沙的主要通道。 每次暴雨后，地面径流夹带大量的泥沙从坡面和支沟汇入河流，短时期即可形成高浓度泥流。</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工程位于吴起县</w:t>
            </w:r>
            <w:r>
              <w:rPr>
                <w:rFonts w:hint="eastAsia" w:ascii="Times New Roman" w:cs="Times New Roman"/>
                <w:b w:val="0"/>
                <w:bCs w:val="0"/>
                <w:sz w:val="24"/>
                <w:szCs w:val="22"/>
                <w:vertAlign w:val="baseline"/>
                <w:lang w:eastAsia="zh-CN"/>
              </w:rPr>
              <w:t>周湾镇</w:t>
            </w:r>
            <w:r>
              <w:rPr>
                <w:rFonts w:hint="default" w:ascii="Times New Roman" w:hAnsi="Times New Roman" w:cs="Times New Roman"/>
                <w:b w:val="0"/>
                <w:bCs w:val="0"/>
                <w:sz w:val="24"/>
                <w:szCs w:val="22"/>
                <w:vertAlign w:val="baseline"/>
                <w:lang w:eastAsia="zh-CN"/>
              </w:rPr>
              <w:t>，地处</w:t>
            </w:r>
            <w:r>
              <w:rPr>
                <w:rFonts w:hint="eastAsia" w:ascii="Times New Roman" w:cs="Times New Roman"/>
                <w:b w:val="0"/>
                <w:bCs w:val="0"/>
                <w:sz w:val="24"/>
                <w:szCs w:val="22"/>
                <w:vertAlign w:val="baseline"/>
                <w:lang w:eastAsia="zh-CN"/>
              </w:rPr>
              <w:t>石拐子河</w:t>
            </w:r>
            <w:r>
              <w:rPr>
                <w:rFonts w:hint="default" w:ascii="Times New Roman" w:hAnsi="Times New Roman" w:cs="Times New Roman"/>
                <w:b w:val="0"/>
                <w:bCs w:val="0"/>
                <w:sz w:val="24"/>
                <w:szCs w:val="22"/>
                <w:vertAlign w:val="baseline"/>
                <w:lang w:eastAsia="zh-CN"/>
              </w:rPr>
              <w:t>流域。石拐子河源于白于山北麓，干流上游有周湾水库，中游有王树湾淤地坝，下游有西郊水库。在定边县郝滩乡巴拉沟处汇入麻子沟，然后与八里庄沟在靖边县中山涧杨湾流入红柳河，主沟在境内长23.6公里，流域面积201.9平方公里，平均沟道比降7.05‰。主要支流有徐台则沟水和同河沟水。</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徐台则沟主沟长11公里，流域面积31.05平方公里，在徐台则汇入周湾水库。同河主沟长11公里，流域面积31.05平方公里。在同河汇入周湾水库。</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cs="Times New Roman"/>
                <w:b/>
                <w:bCs/>
                <w:sz w:val="28"/>
                <w:szCs w:val="24"/>
                <w:vertAlign w:val="baseline"/>
                <w:lang w:val="en-US" w:eastAsia="zh-CN"/>
              </w:rPr>
            </w:pPr>
            <w:r>
              <w:rPr>
                <w:rFonts w:hint="eastAsia" w:ascii="Times New Roman" w:cs="Times New Roman"/>
                <w:b/>
                <w:bCs/>
                <w:sz w:val="28"/>
                <w:szCs w:val="24"/>
                <w:vertAlign w:val="baseline"/>
                <w:lang w:val="en-US" w:eastAsia="zh-CN"/>
              </w:rPr>
              <w:t>2.6.2 地下水</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根据地下水水力特征，吴起县地下水可划分为潜水和承压水两大类；根据含水介质可划分为松散岩类孔隙水和碎屑岩类裂隙孔隙水两大类。</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2" w:firstLineChars="200"/>
              <w:textAlignment w:val="auto"/>
              <w:rPr>
                <w:rFonts w:hint="default" w:ascii="Times New Roman" w:hAnsi="Times New Roman" w:cs="Times New Roman"/>
                <w:b/>
                <w:bCs/>
                <w:sz w:val="24"/>
                <w:szCs w:val="22"/>
                <w:vertAlign w:val="baseline"/>
                <w:lang w:eastAsia="zh-CN"/>
              </w:rPr>
            </w:pPr>
            <w:r>
              <w:rPr>
                <w:rFonts w:hint="eastAsia" w:ascii="Times New Roman" w:hAnsi="Times New Roman" w:cs="Times New Roman"/>
                <w:b/>
                <w:bCs/>
                <w:sz w:val="24"/>
                <w:szCs w:val="22"/>
                <w:vertAlign w:val="baseline"/>
                <w:lang w:val="en-US" w:eastAsia="zh-CN"/>
              </w:rPr>
              <w:t>2.6.2.1</w:t>
            </w:r>
            <w:r>
              <w:rPr>
                <w:rFonts w:hint="default" w:ascii="Times New Roman" w:hAnsi="Times New Roman" w:cs="Times New Roman"/>
                <w:b/>
                <w:bCs/>
                <w:sz w:val="24"/>
                <w:szCs w:val="22"/>
                <w:vertAlign w:val="baseline"/>
                <w:lang w:eastAsia="zh-CN"/>
              </w:rPr>
              <w:t xml:space="preserve"> 松散岩类孔隙水</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包括第四系松散冲积层孔隙潜水和风积黄土层裂隙孔隙潜水。</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eastAsia" w:ascii="Times New Roman" w:hAnsi="Times New Roman" w:cs="Times New Roman"/>
                <w:b w:val="0"/>
                <w:bCs w:val="0"/>
                <w:sz w:val="24"/>
                <w:szCs w:val="22"/>
                <w:vertAlign w:val="baseline"/>
                <w:lang w:eastAsia="zh-CN"/>
              </w:rPr>
              <w:t>（</w:t>
            </w:r>
            <w:r>
              <w:rPr>
                <w:rFonts w:hint="eastAsia" w:ascii="Times New Roman" w:hAnsi="Times New Roman" w:cs="Times New Roman"/>
                <w:b w:val="0"/>
                <w:bCs w:val="0"/>
                <w:sz w:val="24"/>
                <w:szCs w:val="22"/>
                <w:vertAlign w:val="baseline"/>
                <w:lang w:val="en-US" w:eastAsia="zh-CN"/>
              </w:rPr>
              <w:t>1</w:t>
            </w:r>
            <w:r>
              <w:rPr>
                <w:rFonts w:hint="eastAsia" w:ascii="Times New Roman" w:hAnsi="Times New Roman" w:cs="Times New Roman"/>
                <w:b w:val="0"/>
                <w:bCs w:val="0"/>
                <w:sz w:val="24"/>
                <w:szCs w:val="22"/>
                <w:vertAlign w:val="baseline"/>
                <w:lang w:eastAsia="zh-CN"/>
              </w:rPr>
              <w:t>）</w:t>
            </w:r>
            <w:r>
              <w:rPr>
                <w:rFonts w:hint="default" w:ascii="Times New Roman" w:hAnsi="Times New Roman" w:cs="Times New Roman"/>
                <w:b w:val="0"/>
                <w:bCs w:val="0"/>
                <w:sz w:val="24"/>
                <w:szCs w:val="22"/>
                <w:vertAlign w:val="baseline"/>
                <w:lang w:eastAsia="zh-CN"/>
              </w:rPr>
              <w:t>第四系松散冲积层孔隙潜水</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主要分布于头道川河及主要支流漫滩、Ⅰ级阶地等河谷区，其含水层岩性主要为含泥质砾卵石层及中细砂层，厚度一般1～3m，该潜水含水层与下伏基岩潜水有密切的水力联系，两者间无隔水层存在，与下部基岩风化带联合开采时厚度则大于10m。水位埋深一般小于10m，单井出水量在头道川河阶地为100～500m3/d，属较弱～中等富水；其余河段多&lt;100m3/d，属弱富水。水化学类型多属HCO3型、HCO3·SO4型，矿化度&lt;1g/L或1～3g/L。</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eastAsia" w:ascii="Times New Roman" w:hAnsi="Times New Roman" w:cs="Times New Roman"/>
                <w:b w:val="0"/>
                <w:bCs w:val="0"/>
                <w:sz w:val="24"/>
                <w:szCs w:val="22"/>
                <w:vertAlign w:val="baseline"/>
                <w:lang w:eastAsia="zh-CN"/>
              </w:rPr>
              <w:t>（</w:t>
            </w:r>
            <w:r>
              <w:rPr>
                <w:rFonts w:hint="eastAsia" w:ascii="Times New Roman" w:hAnsi="Times New Roman" w:cs="Times New Roman"/>
                <w:b w:val="0"/>
                <w:bCs w:val="0"/>
                <w:sz w:val="24"/>
                <w:szCs w:val="22"/>
                <w:vertAlign w:val="baseline"/>
                <w:lang w:val="en-US" w:eastAsia="zh-CN"/>
              </w:rPr>
              <w:t>2</w:t>
            </w:r>
            <w:r>
              <w:rPr>
                <w:rFonts w:hint="eastAsia" w:ascii="Times New Roman" w:hAnsi="Times New Roman" w:cs="Times New Roman"/>
                <w:b w:val="0"/>
                <w:bCs w:val="0"/>
                <w:sz w:val="24"/>
                <w:szCs w:val="22"/>
                <w:vertAlign w:val="baseline"/>
                <w:lang w:eastAsia="zh-CN"/>
              </w:rPr>
              <w:t>）</w:t>
            </w:r>
            <w:r>
              <w:rPr>
                <w:rFonts w:hint="default" w:ascii="Times New Roman" w:hAnsi="Times New Roman" w:cs="Times New Roman"/>
                <w:b w:val="0"/>
                <w:bCs w:val="0"/>
                <w:sz w:val="24"/>
                <w:szCs w:val="22"/>
                <w:vertAlign w:val="baseline"/>
                <w:lang w:eastAsia="zh-CN"/>
              </w:rPr>
              <w:t>第四系风积黄土层裂隙孔隙潜水</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广泛分布于黄土梁峁区，拟建项目位于该地层出露区。其含水介质为中、晚更新世风积黄土。由于梁峁区地形起伏较大，沟谷切割强烈，切割深度一般都在基岩面以下数十米，致使第四系黄土含水层不能连续分布，不具有连续的潜水面，且由于地下水沿黄土与基岩接触面的持续排泄，黄土层多为透水而不含水地层。梁峁区地形坡降大，不利于大气降水的入渗补给，大气降水多以地表径流形式流入沟道，难以大量下渗补给，储水条件极差，为一局部性微弱含水体，分布零星，一般在沟谷边缘以泉的形式出露，泉流量多&lt;0.1l/s，属极弱富水。该含水层基本无供水意义，区域上划为透水不含水层。黄土层下部新近系泥岩为隔水层。</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2" w:firstLineChars="200"/>
              <w:textAlignment w:val="auto"/>
              <w:rPr>
                <w:rFonts w:hint="default" w:ascii="Times New Roman" w:hAnsi="Times New Roman" w:cs="Times New Roman"/>
                <w:b/>
                <w:bCs/>
                <w:sz w:val="24"/>
                <w:szCs w:val="22"/>
                <w:vertAlign w:val="baseline"/>
                <w:lang w:eastAsia="zh-CN"/>
              </w:rPr>
            </w:pPr>
            <w:r>
              <w:rPr>
                <w:rFonts w:hint="eastAsia" w:ascii="Times New Roman" w:hAnsi="Times New Roman" w:cs="Times New Roman"/>
                <w:b/>
                <w:bCs/>
                <w:sz w:val="24"/>
                <w:szCs w:val="22"/>
                <w:vertAlign w:val="baseline"/>
                <w:lang w:val="en-US" w:eastAsia="zh-CN"/>
              </w:rPr>
              <w:t xml:space="preserve">2.6.2.2 </w:t>
            </w:r>
            <w:r>
              <w:rPr>
                <w:rFonts w:hint="default" w:ascii="Times New Roman" w:hAnsi="Times New Roman" w:cs="Times New Roman"/>
                <w:b/>
                <w:bCs/>
                <w:sz w:val="24"/>
                <w:szCs w:val="22"/>
                <w:vertAlign w:val="baseline"/>
                <w:lang w:eastAsia="zh-CN"/>
              </w:rPr>
              <w:t>碎屑岩类裂隙孔隙水</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白垩系裂隙孔隙含水层分布于第四系黄土层之下，主要出露于头道川河上游及其支流河谷地段，含水层岩性为白垩系下统华池组和洛河组中细砂岩。含水层厚度从东向西增厚。按含水层不同的赋存位置，又可划分为潜水、承压水两种类型。</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eastAsia" w:ascii="Times New Roman" w:hAnsi="Times New Roman" w:cs="Times New Roman"/>
                <w:b w:val="0"/>
                <w:bCs w:val="0"/>
                <w:sz w:val="24"/>
                <w:szCs w:val="22"/>
                <w:vertAlign w:val="baseline"/>
                <w:lang w:eastAsia="zh-CN"/>
              </w:rPr>
              <w:t>（</w:t>
            </w:r>
            <w:r>
              <w:rPr>
                <w:rFonts w:hint="eastAsia" w:ascii="Times New Roman" w:hAnsi="Times New Roman" w:cs="Times New Roman"/>
                <w:b w:val="0"/>
                <w:bCs w:val="0"/>
                <w:sz w:val="24"/>
                <w:szCs w:val="22"/>
                <w:vertAlign w:val="baseline"/>
                <w:lang w:val="en-US" w:eastAsia="zh-CN"/>
              </w:rPr>
              <w:t>1</w:t>
            </w:r>
            <w:r>
              <w:rPr>
                <w:rFonts w:hint="eastAsia" w:ascii="Times New Roman" w:hAnsi="Times New Roman" w:cs="Times New Roman"/>
                <w:b w:val="0"/>
                <w:bCs w:val="0"/>
                <w:sz w:val="24"/>
                <w:szCs w:val="22"/>
                <w:vertAlign w:val="baseline"/>
                <w:lang w:eastAsia="zh-CN"/>
              </w:rPr>
              <w:t>）</w:t>
            </w:r>
            <w:r>
              <w:rPr>
                <w:rFonts w:hint="default" w:ascii="Times New Roman" w:hAnsi="Times New Roman" w:cs="Times New Roman"/>
                <w:b w:val="0"/>
                <w:bCs w:val="0"/>
                <w:sz w:val="24"/>
                <w:szCs w:val="22"/>
                <w:vertAlign w:val="baseline"/>
                <w:lang w:eastAsia="zh-CN"/>
              </w:rPr>
              <w:t>白垩系裂隙孔隙潜水含水层</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含水层主要为洛河组砂岩潜水含水层。洛河组厚层砂岩岩性较疏松，孔隙度平均为19.41%，巨型交错层理极为发育，在河谷地区补给来源充沛的情况下，为区内较好的含水岩层。根据《鄂尔多斯盆地地下水勘查》，渗透系数0.20～1.00m/d，在黄土梁峁正地形区，水位埋深大于80m，单井涌水量500～1000m</w:t>
            </w:r>
            <w:r>
              <w:rPr>
                <w:rFonts w:hint="default" w:ascii="Times New Roman" w:hAnsi="Times New Roman" w:cs="Times New Roman"/>
                <w:b w:val="0"/>
                <w:bCs w:val="0"/>
                <w:sz w:val="24"/>
                <w:szCs w:val="22"/>
                <w:vertAlign w:val="superscript"/>
                <w:lang w:eastAsia="zh-CN"/>
              </w:rPr>
              <w:t>3</w:t>
            </w:r>
            <w:r>
              <w:rPr>
                <w:rFonts w:hint="default" w:ascii="Times New Roman" w:hAnsi="Times New Roman" w:cs="Times New Roman"/>
                <w:b w:val="0"/>
                <w:bCs w:val="0"/>
                <w:sz w:val="24"/>
                <w:szCs w:val="22"/>
                <w:vertAlign w:val="baseline"/>
                <w:lang w:eastAsia="zh-CN"/>
              </w:rPr>
              <w:t>/d，属中等富水；在河谷地区负地形，水位埋深一般5～20m，单井涌水量100～500m</w:t>
            </w:r>
            <w:r>
              <w:rPr>
                <w:rFonts w:hint="default" w:ascii="Times New Roman" w:hAnsi="Times New Roman" w:cs="Times New Roman"/>
                <w:b w:val="0"/>
                <w:bCs w:val="0"/>
                <w:sz w:val="24"/>
                <w:szCs w:val="22"/>
                <w:vertAlign w:val="superscript"/>
                <w:lang w:eastAsia="zh-CN"/>
              </w:rPr>
              <w:t>3</w:t>
            </w:r>
            <w:r>
              <w:rPr>
                <w:rFonts w:hint="default" w:ascii="Times New Roman" w:hAnsi="Times New Roman" w:cs="Times New Roman"/>
                <w:b w:val="0"/>
                <w:bCs w:val="0"/>
                <w:sz w:val="24"/>
                <w:szCs w:val="22"/>
                <w:vertAlign w:val="baseline"/>
                <w:lang w:eastAsia="zh-CN"/>
              </w:rPr>
              <w:t>/d，属较弱富水。白垩系洛河组潜水含水层为本次地下水保护目标含水层。</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eastAsia" w:ascii="Times New Roman" w:hAnsi="Times New Roman" w:cs="Times New Roman"/>
                <w:b w:val="0"/>
                <w:bCs w:val="0"/>
                <w:sz w:val="24"/>
                <w:szCs w:val="22"/>
                <w:vertAlign w:val="baseline"/>
                <w:lang w:eastAsia="zh-CN"/>
              </w:rPr>
              <w:t>（</w:t>
            </w:r>
            <w:r>
              <w:rPr>
                <w:rFonts w:hint="eastAsia" w:ascii="Times New Roman" w:hAnsi="Times New Roman" w:cs="Times New Roman"/>
                <w:b w:val="0"/>
                <w:bCs w:val="0"/>
                <w:sz w:val="24"/>
                <w:szCs w:val="22"/>
                <w:vertAlign w:val="baseline"/>
                <w:lang w:val="en-US" w:eastAsia="zh-CN"/>
              </w:rPr>
              <w:t>2</w:t>
            </w:r>
            <w:r>
              <w:rPr>
                <w:rFonts w:hint="eastAsia" w:ascii="Times New Roman" w:hAnsi="Times New Roman" w:cs="Times New Roman"/>
                <w:b w:val="0"/>
                <w:bCs w:val="0"/>
                <w:sz w:val="24"/>
                <w:szCs w:val="22"/>
                <w:vertAlign w:val="baseline"/>
                <w:lang w:eastAsia="zh-CN"/>
              </w:rPr>
              <w:t>）</w:t>
            </w:r>
            <w:r>
              <w:rPr>
                <w:rFonts w:hint="default" w:ascii="Times New Roman" w:hAnsi="Times New Roman" w:cs="Times New Roman"/>
                <w:b w:val="0"/>
                <w:bCs w:val="0"/>
                <w:sz w:val="24"/>
                <w:szCs w:val="22"/>
                <w:vertAlign w:val="baseline"/>
                <w:lang w:eastAsia="zh-CN"/>
              </w:rPr>
              <w:t>白垩系裂隙孔隙承压含水层</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区域洛河组砂岩上部还有白垩系环河组与华池组地层。环河组地层岩性为一套灰绿色砂质泥岩夹薄层粉细砂岩，厚度约100～400m，水平层理发育，岩性致密。粉细砂地层中含裂隙水，因储水性和含水性差，一般富水性极弱，不具有供水意义。</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华池组地层岩性为紫红色粉细砂岩与泥岩互层，夹薄层中细砂岩，厚度约100～500m，岩性致密，含水性一般，水质较差，矿化度一般3g/L左右，不具有供水意义。</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洛河组地层岩性为一套棕红色沙漠相中粗砂岩夹泥岩，斜层理、交错层理发育，结构疏松，富水性和渗透性均较好。含水层厚度多在200～400m间，总体上由东向西倾伏。含水层埋深300～500m，埋深由东向西逐渐增大。据已有勘探资料统计，单位涌水量多在100～120m</w:t>
            </w:r>
            <w:r>
              <w:rPr>
                <w:rFonts w:hint="default" w:ascii="Times New Roman" w:hAnsi="Times New Roman" w:cs="Times New Roman"/>
                <w:b w:val="0"/>
                <w:bCs w:val="0"/>
                <w:sz w:val="24"/>
                <w:szCs w:val="22"/>
                <w:vertAlign w:val="superscript"/>
                <w:lang w:eastAsia="zh-CN"/>
              </w:rPr>
              <w:t>3</w:t>
            </w:r>
            <w:r>
              <w:rPr>
                <w:rFonts w:hint="default" w:ascii="Times New Roman" w:hAnsi="Times New Roman" w:cs="Times New Roman"/>
                <w:b w:val="0"/>
                <w:bCs w:val="0"/>
                <w:sz w:val="24"/>
                <w:szCs w:val="22"/>
                <w:vertAlign w:val="baseline"/>
                <w:lang w:eastAsia="zh-CN"/>
              </w:rPr>
              <w:t>/d·m之间，渗透系数0.22～0.53m/d。水质较好，矿化度一般低于1g/L。洛河组含水层为区域内最主要的供水含水层。</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以上三个地层中环河组地层岩性致密，孔隙裂隙不发育，富水性及渗透性较差，可认为是相对隔水层，为下伏白垩系华池组含水层的隔水顶板。受环河组地层阻隔作用，下伏华池组、洛河组含水层为承压水含水层。</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综上所述，吴起县内具有供水意义的含水层最主要的为白垩系洛河组裂隙孔隙含水层，其它潜水含水层由于其分布范围小、富水性弱等原因，只具有分散供水意义。</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2.7 生态环境</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2.7.1 土壤资源</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吴起县土壤有黄土性土、黑垆土、淤土、风沙土、潮土、红粘土、盐渍土7个土类，13个亚类，35个土属，95个土种。拟建工程位于黄土梁状丘陵区，土壤以黄绵土为主，黄绵土土层深厚，质地均一，土体疏松绵软，耕性良好，松紧度适宜，通气透水性良好，能蓄积多量的有效水。但该土壤有机质和氮素缺乏，有机质含量一般低于1%，含氮量一般在0.05%，因此作为生产后劲较差。</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2.7.2 植被</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吴九转位于黄土梁状丘陵顶部，根据现状调查，站场周边主要植被类型为次生阔叶林、灌丛和草甸。次生阔叶林以小叶杨、刺槐、榆等为主，分布于山峁中下部，群落较稀疏，杂生有退耕还林栽种的山桃、山杏等。灌丛成片状分布于山体中上部、沟谷两侧，且以阴坡陡坡沟坡地为主，主要灌丛有沙棘、柠条锦鸡儿和柽柳灌丛。草甸广泛分布于周边山峁，分布较为均一，主要草甸有猪毛蒿、针茅杂类草草甸和旱蒿、拂子茅杂类草草甸。</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2.7.3 动物</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根据调查，评价区的野生动物组成比较简单，种类较少，多为常见种类，物种组成以小型兽类和鸟类为主。兽类主要有黄鼬、狗獾、赤狐、蒙古兔、花鼠、达乌尔黄鼠、大仓鼠和小家鼠等；野生禽类主要有啄木鸟、小沙百灵、家燕、喜鹊、大嘴乌鸦和麻雀等。</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据调查，区域内尚未发现国家、省级重点保护野生动物。</w:t>
            </w:r>
          </w:p>
          <w:p>
            <w:pPr>
              <w:pStyle w:val="3"/>
              <w:widowControl w:val="0"/>
              <w:ind w:left="0" w:leftChars="0" w:firstLine="0" w:firstLineChars="0"/>
              <w:rPr>
                <w:rFonts w:hint="eastAsia"/>
                <w:b w:val="0"/>
                <w:bCs w:val="0"/>
                <w:sz w:val="24"/>
                <w:szCs w:val="22"/>
                <w:vertAlign w:val="baseline"/>
                <w:lang w:eastAsia="zh-CN"/>
              </w:rPr>
            </w:pPr>
          </w:p>
        </w:tc>
      </w:tr>
    </w:tbl>
    <w:p>
      <w:pPr>
        <w:rPr>
          <w:rFonts w:hint="eastAsia"/>
          <w:b w:val="0"/>
          <w:bCs w:val="0"/>
          <w:sz w:val="24"/>
          <w:szCs w:val="22"/>
          <w:lang w:eastAsia="zh-CN"/>
        </w:rPr>
      </w:pPr>
      <w:r>
        <w:rPr>
          <w:rFonts w:hint="eastAsia"/>
          <w:b w:val="0"/>
          <w:bCs w:val="0"/>
          <w:sz w:val="24"/>
          <w:szCs w:val="22"/>
          <w:lang w:eastAsia="zh-CN"/>
        </w:rPr>
        <w:br w:type="page"/>
      </w:r>
    </w:p>
    <w:p>
      <w:pPr>
        <w:pStyle w:val="3"/>
        <w:ind w:left="0" w:leftChars="0" w:firstLine="0" w:firstLineChars="0"/>
        <w:outlineLvl w:val="0"/>
        <w:rPr>
          <w:rFonts w:hint="eastAsia"/>
          <w:b/>
          <w:bCs/>
          <w:sz w:val="32"/>
          <w:szCs w:val="28"/>
          <w:lang w:eastAsia="zh-CN"/>
        </w:rPr>
      </w:pPr>
      <w:bookmarkStart w:id="3" w:name="_Toc5433"/>
      <w:r>
        <w:rPr>
          <w:rFonts w:hint="eastAsia"/>
          <w:b/>
          <w:bCs/>
          <w:sz w:val="32"/>
          <w:szCs w:val="28"/>
          <w:lang w:val="en-US" w:eastAsia="zh-CN"/>
        </w:rPr>
        <w:t xml:space="preserve">3 </w:t>
      </w:r>
      <w:r>
        <w:rPr>
          <w:rFonts w:hint="eastAsia"/>
          <w:b/>
          <w:bCs/>
          <w:sz w:val="32"/>
          <w:szCs w:val="28"/>
          <w:lang w:eastAsia="zh-CN"/>
        </w:rPr>
        <w:t>环境质量现状</w:t>
      </w:r>
      <w:bookmarkEnd w:id="3"/>
    </w:p>
    <w:tbl>
      <w:tblPr>
        <w:tblStyle w:val="15"/>
        <w:tblW w:w="9075"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5" w:type="dxa"/>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eastAsia="zh-CN"/>
              </w:rPr>
            </w:pPr>
            <w:r>
              <w:rPr>
                <w:rFonts w:hint="default" w:ascii="Times New Roman" w:hAnsi="Times New Roman" w:cs="Times New Roman"/>
                <w:b/>
                <w:bCs/>
                <w:sz w:val="28"/>
                <w:szCs w:val="24"/>
                <w:vertAlign w:val="baseline"/>
                <w:lang w:eastAsia="zh-CN"/>
              </w:rPr>
              <w:t>建设项目所在地区域环境质量现状及主要环境问题（大气环境、电磁环境、声环境、生态环境等）</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default" w:ascii="Times New Roman" w:hAnsi="Times New Roman" w:cs="Times New Roman"/>
                <w:b/>
                <w:bCs/>
                <w:sz w:val="28"/>
                <w:szCs w:val="24"/>
                <w:vertAlign w:val="baseline"/>
                <w:lang w:val="en-US" w:eastAsia="zh-CN"/>
              </w:rPr>
              <w:t>3.1 环境质量现状</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eastAsiaTheme="minorEastAsia"/>
                <w:b/>
                <w:bCs/>
                <w:color w:val="auto"/>
                <w:kern w:val="2"/>
                <w:sz w:val="28"/>
                <w:szCs w:val="28"/>
                <w:vertAlign w:val="baseline"/>
                <w:lang w:val="en-US" w:eastAsia="zh-CN" w:bidi="ar-SA"/>
              </w:rPr>
            </w:pPr>
            <w:r>
              <w:rPr>
                <w:rFonts w:hint="default" w:ascii="Times New Roman" w:hAnsi="Times New Roman" w:cs="Times New Roman" w:eastAsiaTheme="minorEastAsia"/>
                <w:b/>
                <w:bCs/>
                <w:color w:val="auto"/>
                <w:kern w:val="2"/>
                <w:sz w:val="28"/>
                <w:szCs w:val="28"/>
                <w:vertAlign w:val="baseline"/>
                <w:lang w:val="en-US" w:eastAsia="zh-CN" w:bidi="ar-SA"/>
              </w:rPr>
              <w:t>3.1.1 电磁环境</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根据《环境影响评价技术导则输变电工程》（HJ24-2014）和《交流输变电工程电磁环境监测方法》（HJ681-2013）有关规定，2020年</w:t>
            </w:r>
            <w:r>
              <w:rPr>
                <w:rFonts w:hint="eastAsia" w:ascii="Times New Roman" w:cs="Times New Roman"/>
                <w:b w:val="0"/>
                <w:bCs w:val="0"/>
                <w:sz w:val="24"/>
                <w:szCs w:val="22"/>
                <w:vertAlign w:val="baseline"/>
                <w:lang w:val="en-US" w:eastAsia="zh-CN"/>
              </w:rPr>
              <w:t>7</w:t>
            </w:r>
            <w:r>
              <w:rPr>
                <w:rFonts w:hint="default" w:ascii="Times New Roman" w:hAnsi="Times New Roman" w:cs="Times New Roman"/>
                <w:b w:val="0"/>
                <w:bCs w:val="0"/>
                <w:sz w:val="24"/>
                <w:szCs w:val="22"/>
                <w:vertAlign w:val="baseline"/>
                <w:lang w:eastAsia="zh-CN"/>
              </w:rPr>
              <w:t>月2</w:t>
            </w:r>
            <w:r>
              <w:rPr>
                <w:rFonts w:hint="eastAsia" w:ascii="Times New Roman" w:cs="Times New Roman"/>
                <w:b w:val="0"/>
                <w:bCs w:val="0"/>
                <w:sz w:val="24"/>
                <w:szCs w:val="22"/>
                <w:vertAlign w:val="baseline"/>
                <w:lang w:val="en-US" w:eastAsia="zh-CN"/>
              </w:rPr>
              <w:t>8</w:t>
            </w:r>
            <w:r>
              <w:rPr>
                <w:rFonts w:hint="default" w:ascii="Times New Roman" w:hAnsi="Times New Roman" w:cs="Times New Roman"/>
                <w:b w:val="0"/>
                <w:bCs w:val="0"/>
                <w:sz w:val="24"/>
                <w:szCs w:val="22"/>
                <w:vertAlign w:val="baseline"/>
                <w:lang w:eastAsia="zh-CN"/>
              </w:rPr>
              <w:t>日由陕西盛中建环境科技有限公</w:t>
            </w:r>
            <w:r>
              <w:rPr>
                <w:rFonts w:hint="default" w:ascii="Times New Roman" w:hAnsi="Times New Roman" w:cs="Times New Roman"/>
                <w:b w:val="0"/>
                <w:bCs w:val="0"/>
                <w:sz w:val="24"/>
                <w:szCs w:val="22"/>
                <w:highlight w:val="none"/>
                <w:vertAlign w:val="baseline"/>
                <w:lang w:eastAsia="zh-CN"/>
              </w:rPr>
              <w:t>司</w:t>
            </w:r>
            <w:r>
              <w:rPr>
                <w:rFonts w:hint="default" w:ascii="Times New Roman" w:hAnsi="Times New Roman" w:cs="Times New Roman"/>
                <w:b w:val="0"/>
                <w:bCs w:val="0"/>
                <w:sz w:val="24"/>
                <w:szCs w:val="22"/>
                <w:vertAlign w:val="baseline"/>
                <w:lang w:eastAsia="zh-CN"/>
              </w:rPr>
              <w:t>对</w:t>
            </w:r>
            <w:r>
              <w:rPr>
                <w:rFonts w:hint="default" w:ascii="Times New Roman" w:hAnsi="Times New Roman" w:cs="Times New Roman" w:eastAsiaTheme="minorEastAsia"/>
                <w:b w:val="0"/>
                <w:bCs w:val="0"/>
                <w:color w:val="auto"/>
                <w:kern w:val="2"/>
                <w:sz w:val="24"/>
                <w:szCs w:val="24"/>
                <w:vertAlign w:val="baseline"/>
                <w:lang w:val="en-US" w:eastAsia="zh-CN" w:bidi="ar-SA"/>
              </w:rPr>
              <w:t>国家电投集团吴起高胜新能源发电有限公司</w:t>
            </w:r>
            <w:r>
              <w:rPr>
                <w:rFonts w:hint="default" w:ascii="Times New Roman" w:hAnsi="Times New Roman" w:eastAsia="宋体" w:cs="Times New Roman"/>
                <w:bCs/>
                <w:color w:val="auto"/>
                <w:kern w:val="2"/>
                <w:sz w:val="24"/>
                <w:szCs w:val="24"/>
                <w:lang w:val="en-US" w:eastAsia="zh-CN" w:bidi="ar-SA"/>
              </w:rPr>
              <w:t>国家电投吴起高胜新能源50</w:t>
            </w:r>
            <w:r>
              <w:rPr>
                <w:rFonts w:hint="eastAsia" w:ascii="Times New Roman" w:hAnsi="Times New Roman" w:cs="Times New Roman"/>
                <w:bCs/>
                <w:color w:val="auto"/>
                <w:kern w:val="2"/>
                <w:sz w:val="24"/>
                <w:szCs w:val="24"/>
                <w:lang w:val="en-US" w:eastAsia="zh-CN" w:bidi="ar-SA"/>
              </w:rPr>
              <w:t>MW风</w:t>
            </w:r>
            <w:r>
              <w:rPr>
                <w:rFonts w:hint="default" w:ascii="Times New Roman" w:hAnsi="Times New Roman" w:eastAsia="宋体" w:cs="Times New Roman"/>
                <w:bCs/>
                <w:color w:val="auto"/>
                <w:kern w:val="2"/>
                <w:sz w:val="24"/>
                <w:szCs w:val="24"/>
                <w:lang w:val="en-US" w:eastAsia="zh-CN" w:bidi="ar-SA"/>
              </w:rPr>
              <w:t>电场110kV送出工程</w:t>
            </w:r>
            <w:r>
              <w:rPr>
                <w:rFonts w:hint="default" w:ascii="Times New Roman" w:hAnsi="Times New Roman" w:cs="Times New Roman"/>
                <w:b w:val="0"/>
                <w:bCs w:val="0"/>
                <w:sz w:val="24"/>
                <w:szCs w:val="22"/>
                <w:vertAlign w:val="baseline"/>
                <w:lang w:eastAsia="zh-CN"/>
              </w:rPr>
              <w:t>经过地区的电磁环境现状进行了实地监测</w:t>
            </w:r>
            <w:r>
              <w:rPr>
                <w:rFonts w:hint="eastAsia" w:ascii="Times New Roman" w:cs="Times New Roman"/>
                <w:b w:val="0"/>
                <w:bCs w:val="0"/>
                <w:sz w:val="24"/>
                <w:szCs w:val="22"/>
                <w:vertAlign w:val="baseline"/>
                <w:lang w:eastAsia="zh-CN"/>
              </w:rPr>
              <w:t>（报告编号：SZJ202007052），</w:t>
            </w:r>
            <w:r>
              <w:rPr>
                <w:rFonts w:hint="default" w:ascii="Times New Roman" w:hAnsi="Times New Roman" w:cs="Times New Roman" w:eastAsiaTheme="minorEastAsia"/>
                <w:color w:val="auto"/>
                <w:kern w:val="2"/>
                <w:sz w:val="24"/>
                <w:szCs w:val="24"/>
                <w:highlight w:val="none"/>
                <w:u w:val="none"/>
                <w:lang w:val="en-US" w:eastAsia="zh-CN" w:bidi="ar-SA"/>
              </w:rPr>
              <w:t>详见电磁环境影响专项评价。</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highlight w:val="none"/>
                <w:vertAlign w:val="baseline"/>
                <w:lang w:eastAsia="zh-CN"/>
              </w:rPr>
            </w:pPr>
            <w:r>
              <w:rPr>
                <w:rFonts w:hint="default" w:ascii="Times New Roman" w:hAnsi="Times New Roman" w:cs="Times New Roman"/>
                <w:b w:val="0"/>
                <w:bCs w:val="0"/>
                <w:sz w:val="24"/>
                <w:szCs w:val="22"/>
                <w:highlight w:val="none"/>
                <w:vertAlign w:val="baseline"/>
                <w:lang w:eastAsia="zh-CN"/>
              </w:rPr>
              <w:t>监测结果表明：本</w:t>
            </w:r>
            <w:r>
              <w:rPr>
                <w:rFonts w:hint="eastAsia" w:ascii="Times New Roman" w:hAnsi="Times New Roman" w:cs="Times New Roman"/>
                <w:b w:val="0"/>
                <w:bCs w:val="0"/>
                <w:sz w:val="24"/>
                <w:szCs w:val="22"/>
                <w:highlight w:val="none"/>
                <w:vertAlign w:val="baseline"/>
                <w:lang w:eastAsia="zh-CN"/>
              </w:rPr>
              <w:t>项目</w:t>
            </w:r>
            <w:r>
              <w:rPr>
                <w:rFonts w:hint="default" w:ascii="Times New Roman" w:hAnsi="Times New Roman" w:cs="Times New Roman"/>
                <w:b w:val="0"/>
                <w:bCs w:val="0"/>
                <w:sz w:val="24"/>
                <w:szCs w:val="22"/>
                <w:highlight w:val="none"/>
                <w:vertAlign w:val="baseline"/>
                <w:lang w:eastAsia="zh-CN"/>
              </w:rPr>
              <w:t>输电线路沿线工频电场强度范围为0.2</w:t>
            </w:r>
            <w:r>
              <w:rPr>
                <w:rFonts w:hint="eastAsia" w:ascii="Times New Roman" w:cs="Times New Roman"/>
                <w:b w:val="0"/>
                <w:bCs w:val="0"/>
                <w:sz w:val="24"/>
                <w:szCs w:val="22"/>
                <w:highlight w:val="none"/>
                <w:vertAlign w:val="baseline"/>
                <w:lang w:val="en-US" w:eastAsia="zh-CN"/>
              </w:rPr>
              <w:t>6</w:t>
            </w:r>
            <w:r>
              <w:rPr>
                <w:rFonts w:hint="default" w:ascii="Times New Roman" w:hAnsi="Times New Roman" w:cs="Times New Roman"/>
                <w:b w:val="0"/>
                <w:bCs w:val="0"/>
                <w:sz w:val="24"/>
                <w:szCs w:val="22"/>
                <w:highlight w:val="none"/>
                <w:vertAlign w:val="baseline"/>
                <w:lang w:eastAsia="zh-CN"/>
              </w:rPr>
              <w:t>~0.</w:t>
            </w:r>
            <w:r>
              <w:rPr>
                <w:rFonts w:hint="eastAsia" w:ascii="Times New Roman" w:cs="Times New Roman"/>
                <w:b w:val="0"/>
                <w:bCs w:val="0"/>
                <w:sz w:val="24"/>
                <w:szCs w:val="22"/>
                <w:highlight w:val="none"/>
                <w:vertAlign w:val="baseline"/>
                <w:lang w:val="en-US" w:eastAsia="zh-CN"/>
              </w:rPr>
              <w:t>96</w:t>
            </w:r>
            <w:r>
              <w:rPr>
                <w:rFonts w:hint="default" w:ascii="Times New Roman" w:hAnsi="Times New Roman" w:cs="Times New Roman"/>
                <w:b w:val="0"/>
                <w:bCs w:val="0"/>
                <w:sz w:val="24"/>
                <w:szCs w:val="22"/>
                <w:highlight w:val="none"/>
                <w:vertAlign w:val="baseline"/>
                <w:lang w:eastAsia="zh-CN"/>
              </w:rPr>
              <w:t>V</w:t>
            </w:r>
            <w:r>
              <w:rPr>
                <w:rFonts w:hint="eastAsia" w:ascii="Times New Roman" w:hAnsi="Times New Roman" w:cs="Times New Roman"/>
                <w:b w:val="0"/>
                <w:bCs w:val="0"/>
                <w:sz w:val="24"/>
                <w:szCs w:val="22"/>
                <w:highlight w:val="none"/>
                <w:vertAlign w:val="baseline"/>
                <w:lang w:val="en-US" w:eastAsia="zh-CN"/>
              </w:rPr>
              <w:t>/</w:t>
            </w:r>
            <w:r>
              <w:rPr>
                <w:rFonts w:hint="default" w:ascii="Times New Roman" w:hAnsi="Times New Roman" w:cs="Times New Roman"/>
                <w:b w:val="0"/>
                <w:bCs w:val="0"/>
                <w:sz w:val="24"/>
                <w:szCs w:val="22"/>
                <w:highlight w:val="none"/>
                <w:vertAlign w:val="baseline"/>
                <w:lang w:eastAsia="zh-CN"/>
              </w:rPr>
              <w:t>m，工频磁感应强度范围为0.006</w:t>
            </w:r>
            <w:r>
              <w:rPr>
                <w:rFonts w:hint="eastAsia" w:ascii="Times New Roman" w:cs="Times New Roman"/>
                <w:b w:val="0"/>
                <w:bCs w:val="0"/>
                <w:sz w:val="24"/>
                <w:szCs w:val="22"/>
                <w:highlight w:val="none"/>
                <w:vertAlign w:val="baseline"/>
                <w:lang w:val="en-US" w:eastAsia="zh-CN"/>
              </w:rPr>
              <w:t>4</w:t>
            </w:r>
            <w:r>
              <w:rPr>
                <w:rFonts w:hint="default" w:ascii="Times New Roman" w:hAnsi="Times New Roman" w:cs="Times New Roman"/>
                <w:b w:val="0"/>
                <w:bCs w:val="0"/>
                <w:sz w:val="24"/>
                <w:szCs w:val="22"/>
                <w:highlight w:val="none"/>
                <w:vertAlign w:val="baseline"/>
                <w:lang w:eastAsia="zh-CN"/>
              </w:rPr>
              <w:t>~0.0</w:t>
            </w:r>
            <w:r>
              <w:rPr>
                <w:rFonts w:hint="eastAsia" w:ascii="Times New Roman" w:cs="Times New Roman"/>
                <w:b w:val="0"/>
                <w:bCs w:val="0"/>
                <w:sz w:val="24"/>
                <w:szCs w:val="22"/>
                <w:highlight w:val="none"/>
                <w:vertAlign w:val="baseline"/>
                <w:lang w:val="en-US" w:eastAsia="zh-CN"/>
              </w:rPr>
              <w:t>211</w:t>
            </w:r>
            <w:r>
              <w:rPr>
                <w:rFonts w:hint="default" w:ascii="Times New Roman" w:hAnsi="Times New Roman" w:cs="Times New Roman"/>
                <w:b w:val="0"/>
                <w:bCs w:val="0"/>
                <w:sz w:val="24"/>
                <w:szCs w:val="22"/>
                <w:highlight w:val="none"/>
                <w:vertAlign w:val="baseline"/>
                <w:lang w:eastAsia="zh-CN"/>
              </w:rPr>
              <w:t>μT；各监测点监测值均满足《电磁环境控制限值》（GB8702-2014）中规定的标准限值要求（工频电场强度4000V/m，工频磁感应强度l00μT）。</w:t>
            </w:r>
            <w:r>
              <w:rPr>
                <w:rFonts w:hint="eastAsia" w:ascii="Times New Roman" w:cs="Times New Roman"/>
                <w:b w:val="0"/>
                <w:bCs w:val="0"/>
                <w:sz w:val="24"/>
                <w:szCs w:val="22"/>
                <w:highlight w:val="none"/>
                <w:vertAlign w:val="baseline"/>
                <w:lang w:eastAsia="zh-CN"/>
              </w:rPr>
              <w:t>拟建项目所在</w:t>
            </w:r>
            <w:r>
              <w:rPr>
                <w:rFonts w:hint="default" w:ascii="Times New Roman" w:hAnsi="Times New Roman" w:cs="Times New Roman"/>
                <w:b w:val="0"/>
                <w:bCs w:val="0"/>
                <w:sz w:val="24"/>
                <w:szCs w:val="22"/>
                <w:highlight w:val="none"/>
                <w:vertAlign w:val="baseline"/>
                <w:lang w:eastAsia="zh-CN"/>
              </w:rPr>
              <w:t>区域的电磁环境状况良好。</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3.1.2 声环境质量现状</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根据《环境影响评价导则</w:t>
            </w:r>
            <w:r>
              <w:rPr>
                <w:rFonts w:hint="eastAsia" w:ascii="Times New Roman" w:cs="Times New Roman"/>
                <w:b w:val="0"/>
                <w:bCs w:val="0"/>
                <w:sz w:val="24"/>
                <w:szCs w:val="22"/>
                <w:vertAlign w:val="baseline"/>
                <w:lang w:val="en-US" w:eastAsia="zh-CN"/>
              </w:rPr>
              <w:t xml:space="preserve"> </w:t>
            </w:r>
            <w:r>
              <w:rPr>
                <w:rFonts w:hint="default" w:ascii="Times New Roman" w:hAnsi="Times New Roman" w:cs="Times New Roman"/>
                <w:b w:val="0"/>
                <w:bCs w:val="0"/>
                <w:sz w:val="24"/>
                <w:szCs w:val="22"/>
                <w:vertAlign w:val="baseline"/>
                <w:lang w:eastAsia="zh-CN"/>
              </w:rPr>
              <w:t>声环境》（HJ2.4-2009）和《声环境质量标准》（GB3096-2008）的要求由陕西盛中建环境科技有限公</w:t>
            </w:r>
            <w:r>
              <w:rPr>
                <w:rFonts w:hint="default" w:ascii="Times New Roman" w:hAnsi="Times New Roman" w:cs="Times New Roman"/>
                <w:b w:val="0"/>
                <w:bCs w:val="0"/>
                <w:sz w:val="24"/>
                <w:szCs w:val="22"/>
                <w:highlight w:val="none"/>
                <w:vertAlign w:val="baseline"/>
                <w:lang w:eastAsia="zh-CN"/>
              </w:rPr>
              <w:t>司</w:t>
            </w:r>
            <w:r>
              <w:rPr>
                <w:rFonts w:hint="default" w:ascii="Times New Roman" w:hAnsi="Times New Roman" w:cs="Times New Roman"/>
                <w:b w:val="0"/>
                <w:bCs w:val="0"/>
                <w:sz w:val="24"/>
                <w:szCs w:val="22"/>
                <w:vertAlign w:val="baseline"/>
                <w:lang w:eastAsia="zh-CN"/>
              </w:rPr>
              <w:t>对本项目110kV送出线路经过地环境质量噪声进行了现状监测。</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eastAsia="zh-CN"/>
              </w:rPr>
            </w:pPr>
            <w:r>
              <w:rPr>
                <w:rFonts w:hint="eastAsia" w:ascii="Times New Roman" w:hAnsi="Times New Roman" w:cs="Times New Roman"/>
                <w:b/>
                <w:bCs/>
                <w:sz w:val="24"/>
                <w:szCs w:val="22"/>
                <w:vertAlign w:val="baseline"/>
                <w:lang w:val="en-US" w:eastAsia="zh-CN"/>
              </w:rPr>
              <w:t xml:space="preserve">3.1.2.1 </w:t>
            </w:r>
            <w:r>
              <w:rPr>
                <w:rFonts w:hint="default" w:ascii="Times New Roman" w:hAnsi="Times New Roman" w:cs="Times New Roman"/>
                <w:b/>
                <w:bCs/>
                <w:sz w:val="24"/>
                <w:szCs w:val="22"/>
                <w:vertAlign w:val="baseline"/>
                <w:lang w:eastAsia="zh-CN"/>
              </w:rPr>
              <w:t>监测点位</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eastAsiaTheme="minorEastAsia"/>
                <w:color w:val="auto"/>
                <w:kern w:val="2"/>
                <w:sz w:val="24"/>
                <w:szCs w:val="24"/>
                <w:highlight w:val="none"/>
                <w:u w:val="none"/>
                <w:lang w:val="en-US" w:eastAsia="zh-CN" w:bidi="ar-SA"/>
              </w:rPr>
              <w:t>现状监测共布设监测点</w:t>
            </w:r>
            <w:r>
              <w:rPr>
                <w:rFonts w:hint="eastAsia" w:ascii="Times New Roman" w:hAnsi="Times New Roman" w:cs="Times New Roman" w:eastAsiaTheme="minorEastAsia"/>
                <w:color w:val="auto"/>
                <w:kern w:val="2"/>
                <w:sz w:val="24"/>
                <w:szCs w:val="24"/>
                <w:highlight w:val="none"/>
                <w:u w:val="none"/>
                <w:lang w:val="en-US" w:eastAsia="zh-CN" w:bidi="ar-SA"/>
              </w:rPr>
              <w:t>5</w:t>
            </w:r>
            <w:r>
              <w:rPr>
                <w:rFonts w:hint="default" w:ascii="Times New Roman" w:hAnsi="Times New Roman" w:cs="Times New Roman" w:eastAsiaTheme="minorEastAsia"/>
                <w:color w:val="auto"/>
                <w:kern w:val="2"/>
                <w:sz w:val="24"/>
                <w:szCs w:val="24"/>
                <w:highlight w:val="none"/>
                <w:u w:val="none"/>
                <w:lang w:val="en-US" w:eastAsia="zh-CN" w:bidi="ar-SA"/>
              </w:rPr>
              <w:t>个，测点布设于拟建</w:t>
            </w:r>
            <w:r>
              <w:rPr>
                <w:rFonts w:hint="eastAsia" w:ascii="Times New Roman" w:hAnsi="Times New Roman" w:cs="Times New Roman" w:eastAsiaTheme="minorEastAsia"/>
                <w:color w:val="auto"/>
                <w:kern w:val="2"/>
                <w:sz w:val="24"/>
                <w:szCs w:val="24"/>
                <w:highlight w:val="none"/>
                <w:u w:val="none"/>
                <w:lang w:val="en-US" w:eastAsia="zh-CN" w:bidi="ar-SA"/>
              </w:rPr>
              <w:t>输电线路第1个塔基</w:t>
            </w:r>
            <w:r>
              <w:rPr>
                <w:rFonts w:hint="default" w:ascii="Times New Roman" w:hAnsi="Times New Roman" w:cs="Times New Roman" w:eastAsiaTheme="minorEastAsia"/>
                <w:color w:val="auto"/>
                <w:kern w:val="2"/>
                <w:sz w:val="24"/>
                <w:szCs w:val="24"/>
                <w:highlight w:val="none"/>
                <w:u w:val="none"/>
                <w:lang w:val="en-US" w:eastAsia="zh-CN" w:bidi="ar-SA"/>
              </w:rPr>
              <w:t>、</w:t>
            </w:r>
            <w:r>
              <w:rPr>
                <w:rFonts w:hint="eastAsia" w:ascii="Times New Roman" w:hAnsi="Times New Roman" w:cs="Times New Roman" w:eastAsiaTheme="minorEastAsia"/>
                <w:color w:val="auto"/>
                <w:kern w:val="2"/>
                <w:sz w:val="24"/>
                <w:szCs w:val="24"/>
                <w:highlight w:val="none"/>
                <w:u w:val="none"/>
                <w:lang w:val="en-US" w:eastAsia="zh-CN" w:bidi="ar-SA"/>
              </w:rPr>
              <w:t>第11个塔基和第21个塔基，项目敏感点后河子沟村和安门村。</w:t>
            </w:r>
            <w:r>
              <w:rPr>
                <w:rFonts w:hint="default" w:ascii="Times New Roman" w:hAnsi="Times New Roman" w:cs="Times New Roman" w:eastAsiaTheme="minorEastAsia"/>
                <w:color w:val="auto"/>
                <w:kern w:val="2"/>
                <w:sz w:val="24"/>
                <w:szCs w:val="24"/>
                <w:highlight w:val="none"/>
                <w:u w:val="none"/>
                <w:lang w:val="en-US" w:eastAsia="zh-CN" w:bidi="ar-SA"/>
              </w:rPr>
              <w:t>监测点位见附图5</w:t>
            </w:r>
            <w:r>
              <w:rPr>
                <w:rFonts w:hint="eastAsia" w:ascii="Times New Roman" w:hAnsi="Times New Roman" w:cs="Times New Roman" w:eastAsiaTheme="minorEastAsia"/>
                <w:color w:val="auto"/>
                <w:kern w:val="2"/>
                <w:sz w:val="24"/>
                <w:szCs w:val="24"/>
                <w:highlight w:val="none"/>
                <w:u w:val="none"/>
                <w:lang w:val="en-US" w:eastAsia="zh-CN" w:bidi="ar-SA"/>
              </w:rPr>
              <w:t>，监测报告见附件</w:t>
            </w:r>
            <w:r>
              <w:rPr>
                <w:rFonts w:hint="eastAsia" w:ascii="Times New Roman" w:cs="Times New Roman" w:eastAsiaTheme="minorEastAsia"/>
                <w:color w:val="auto"/>
                <w:kern w:val="2"/>
                <w:sz w:val="24"/>
                <w:szCs w:val="24"/>
                <w:highlight w:val="none"/>
                <w:u w:val="none"/>
                <w:lang w:val="en-US" w:eastAsia="zh-CN" w:bidi="ar-SA"/>
              </w:rPr>
              <w:t>8</w:t>
            </w:r>
            <w:r>
              <w:rPr>
                <w:rFonts w:hint="eastAsia" w:ascii="Times New Roman" w:hAnsi="Times New Roman" w:cs="Times New Roman" w:eastAsiaTheme="minorEastAsia"/>
                <w:color w:val="auto"/>
                <w:kern w:val="2"/>
                <w:sz w:val="24"/>
                <w:szCs w:val="24"/>
                <w:highlight w:val="none"/>
                <w:u w:val="no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bCs/>
                <w:sz w:val="24"/>
                <w:szCs w:val="22"/>
                <w:vertAlign w:val="baseline"/>
                <w:lang w:val="en-US" w:eastAsia="zh-CN"/>
              </w:rPr>
            </w:pPr>
            <w:r>
              <w:rPr>
                <w:rFonts w:hint="eastAsia" w:ascii="Times New Roman" w:hAnsi="Times New Roman" w:cs="Times New Roman"/>
                <w:b/>
                <w:bCs/>
                <w:sz w:val="24"/>
                <w:szCs w:val="22"/>
                <w:vertAlign w:val="baseline"/>
                <w:lang w:val="en-US" w:eastAsia="zh-CN"/>
              </w:rPr>
              <w:t>3.1.2.2 监测项目</w:t>
            </w: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480" w:firstLineChars="200"/>
              <w:jc w:val="left"/>
              <w:textAlignment w:val="auto"/>
              <w:outlineLvl w:val="0"/>
              <w:rPr>
                <w:rFonts w:hint="default" w:ascii="Times New Roman" w:hAnsi="Times New Roman" w:cs="Times New Roman" w:eastAsiaTheme="minorEastAsia"/>
                <w:color w:val="auto"/>
                <w:kern w:val="2"/>
                <w:sz w:val="24"/>
                <w:szCs w:val="24"/>
                <w:highlight w:val="none"/>
                <w:u w:val="none"/>
                <w:lang w:val="en-US" w:eastAsia="zh-CN" w:bidi="ar-SA"/>
              </w:rPr>
            </w:pPr>
            <w:bookmarkStart w:id="4" w:name="_Toc29993"/>
            <w:r>
              <w:rPr>
                <w:rFonts w:hint="default" w:ascii="Times New Roman" w:hAnsi="Times New Roman" w:cs="Times New Roman" w:eastAsiaTheme="minorEastAsia"/>
                <w:color w:val="auto"/>
                <w:kern w:val="2"/>
                <w:sz w:val="24"/>
                <w:szCs w:val="24"/>
                <w:highlight w:val="none"/>
                <w:u w:val="none"/>
                <w:lang w:val="en-US" w:eastAsia="zh-CN" w:bidi="ar-SA"/>
              </w:rPr>
              <w:t>各监测点位处的昼、夜等效连续A声级，Leq（dB（A））。</w:t>
            </w:r>
            <w:bookmarkEnd w:id="4"/>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bCs/>
                <w:sz w:val="24"/>
                <w:szCs w:val="22"/>
                <w:vertAlign w:val="baseline"/>
                <w:lang w:val="en-US" w:eastAsia="zh-CN"/>
              </w:rPr>
            </w:pPr>
            <w:r>
              <w:rPr>
                <w:rFonts w:hint="eastAsia" w:ascii="Times New Roman" w:hAnsi="Times New Roman" w:eastAsia="宋体" w:cs="Times New Roman"/>
                <w:b/>
                <w:bCs/>
                <w:sz w:val="24"/>
                <w:szCs w:val="22"/>
                <w:vertAlign w:val="baseline"/>
                <w:lang w:val="en-US" w:eastAsia="zh-CN"/>
              </w:rPr>
              <w:t>3.1.2.3 监测方法、时间和频次</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eastAsiaTheme="minorEastAsia"/>
                <w:color w:val="auto"/>
                <w:kern w:val="2"/>
                <w:sz w:val="24"/>
                <w:szCs w:val="24"/>
                <w:highlight w:val="none"/>
                <w:u w:val="none"/>
                <w:lang w:val="en-US" w:eastAsia="zh-CN" w:bidi="ar-SA"/>
              </w:rPr>
              <w:t>每个点位连续监测2天，每天昼间、夜间各监测一次。</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bCs/>
                <w:sz w:val="24"/>
                <w:szCs w:val="22"/>
                <w:vertAlign w:val="baseline"/>
                <w:lang w:val="en-US" w:eastAsia="zh-CN"/>
              </w:rPr>
            </w:pPr>
            <w:r>
              <w:rPr>
                <w:rFonts w:hint="eastAsia" w:ascii="Times New Roman" w:cs="Times New Roman"/>
                <w:b/>
                <w:bCs/>
                <w:sz w:val="24"/>
                <w:szCs w:val="22"/>
                <w:vertAlign w:val="baseline"/>
                <w:lang w:val="en-US" w:eastAsia="zh-CN"/>
              </w:rPr>
              <w:t>3.1.2.4 监测结果</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声环境质量现状监测结果见表</w:t>
            </w:r>
            <w:r>
              <w:rPr>
                <w:rFonts w:hint="eastAsia" w:ascii="Times New Roman" w:hAnsi="Times New Roman" w:cs="Times New Roman"/>
                <w:b w:val="0"/>
                <w:bCs w:val="0"/>
                <w:sz w:val="24"/>
                <w:szCs w:val="22"/>
                <w:vertAlign w:val="baseline"/>
                <w:lang w:val="en-US" w:eastAsia="zh-CN"/>
              </w:rPr>
              <w:t>3-</w:t>
            </w:r>
            <w:r>
              <w:rPr>
                <w:rFonts w:hint="eastAsia" w:ascii="Times New Roman" w:cs="Times New Roman"/>
                <w:b w:val="0"/>
                <w:bCs w:val="0"/>
                <w:sz w:val="24"/>
                <w:szCs w:val="22"/>
                <w:vertAlign w:val="baseline"/>
                <w:lang w:val="en-US" w:eastAsia="zh-CN"/>
              </w:rPr>
              <w:t>1</w:t>
            </w:r>
            <w:r>
              <w:rPr>
                <w:rFonts w:hint="default"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0"/>
                <w:vertAlign w:val="baseline"/>
                <w:lang w:val="en-US" w:eastAsia="zh-CN"/>
              </w:rPr>
            </w:pPr>
            <w:r>
              <w:rPr>
                <w:rFonts w:hint="eastAsia" w:ascii="Times New Roman" w:hAnsi="Times New Roman" w:cs="Times New Roman"/>
                <w:b/>
                <w:bCs/>
                <w:sz w:val="21"/>
                <w:szCs w:val="20"/>
                <w:vertAlign w:val="baseline"/>
                <w:lang w:eastAsia="zh-CN"/>
              </w:rPr>
              <w:t>表</w:t>
            </w:r>
            <w:r>
              <w:rPr>
                <w:rFonts w:hint="eastAsia" w:ascii="Times New Roman" w:hAnsi="Times New Roman" w:cs="Times New Roman"/>
                <w:b/>
                <w:bCs/>
                <w:sz w:val="21"/>
                <w:szCs w:val="20"/>
                <w:vertAlign w:val="baseline"/>
                <w:lang w:val="en-US" w:eastAsia="zh-CN"/>
              </w:rPr>
              <w:t>3-</w:t>
            </w:r>
            <w:r>
              <w:rPr>
                <w:rFonts w:hint="eastAsia" w:ascii="Times New Roman" w:cs="Times New Roman"/>
                <w:b/>
                <w:bCs/>
                <w:sz w:val="21"/>
                <w:szCs w:val="20"/>
                <w:vertAlign w:val="baseline"/>
                <w:lang w:val="en-US" w:eastAsia="zh-CN"/>
              </w:rPr>
              <w:t>1</w:t>
            </w:r>
            <w:r>
              <w:rPr>
                <w:rFonts w:hint="eastAsia" w:ascii="Times New Roman" w:hAnsi="Times New Roman" w:cs="Times New Roman"/>
                <w:b/>
                <w:bCs/>
                <w:sz w:val="21"/>
                <w:szCs w:val="20"/>
                <w:vertAlign w:val="baseline"/>
                <w:lang w:val="en-US" w:eastAsia="zh-CN"/>
              </w:rPr>
              <w:t xml:space="preserve">  拟建输电线路沿线噪声监测结果</w:t>
            </w:r>
          </w:p>
          <w:tbl>
            <w:tblPr>
              <w:tblStyle w:val="15"/>
              <w:tblW w:w="8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210"/>
              <w:gridCol w:w="1138"/>
              <w:gridCol w:w="1"/>
              <w:gridCol w:w="1171"/>
              <w:gridCol w:w="1178"/>
              <w:gridCol w:w="1172"/>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b w:val="0"/>
                      <w:bCs w:val="0"/>
                      <w:sz w:val="21"/>
                      <w:szCs w:val="20"/>
                      <w:vertAlign w:val="baseline"/>
                      <w:lang w:eastAsia="zh-CN"/>
                    </w:rPr>
                  </w:pPr>
                  <w:r>
                    <w:rPr>
                      <w:sz w:val="21"/>
                    </w:rPr>
                    <mc:AlternateContent>
                      <mc:Choice Requires="wps">
                        <w:drawing>
                          <wp:anchor distT="0" distB="0" distL="114300" distR="114300" simplePos="0" relativeHeight="251673600" behindDoc="0" locked="0" layoutInCell="1" allowOverlap="1">
                            <wp:simplePos x="0" y="0"/>
                            <wp:positionH relativeFrom="column">
                              <wp:posOffset>-71120</wp:posOffset>
                            </wp:positionH>
                            <wp:positionV relativeFrom="paragraph">
                              <wp:posOffset>11430</wp:posOffset>
                            </wp:positionV>
                            <wp:extent cx="1152525" cy="400050"/>
                            <wp:effectExtent l="1270" t="4445" r="8255" b="14605"/>
                            <wp:wrapNone/>
                            <wp:docPr id="20" name="直接连接符 20"/>
                            <wp:cNvGraphicFramePr/>
                            <a:graphic xmlns:a="http://schemas.openxmlformats.org/drawingml/2006/main">
                              <a:graphicData uri="http://schemas.microsoft.com/office/word/2010/wordprocessingShape">
                                <wps:wsp>
                                  <wps:cNvCnPr/>
                                  <wps:spPr>
                                    <a:xfrm>
                                      <a:off x="965835" y="7061835"/>
                                      <a:ext cx="1152525"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6pt;margin-top:0.9pt;height:31.5pt;width:90.75pt;z-index:251673600;mso-width-relative:page;mso-height-relative:page;" filled="f" stroked="t" coordsize="21600,21600" o:gfxdata="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BEIzS1gAAAAgBAAAPAAAAAAAAAAEA&#10;IAAAACIAAABkcnMvZG93bnJldi54bWxQSwECFAAUAAAACACHTuJAaoN6c9gBAAB1AwAADgAAAAAA&#10;AAABACAAAAAlAQAAZHJzL2Uyb0RvYy54bWxQSwUGAAAAAAYABgBZAQAAbwUAAAAA&#10;">
                            <v:fill on="f" focussize="0,0"/>
                            <v:stroke weight="0.5pt" color="#000000 [3200]" miterlimit="8" joinstyle="miter"/>
                            <v:imagedata o:title=""/>
                            <o:lock v:ext="edit" aspectratio="f"/>
                          </v:line>
                        </w:pict>
                      </mc:Fallback>
                    </mc:AlternateContent>
                  </w:r>
                  <w:r>
                    <w:rPr>
                      <w:rFonts w:hint="eastAsia" w:ascii="Times New Roman" w:cs="Times New Roman"/>
                      <w:b w:val="0"/>
                      <w:bCs w:val="0"/>
                      <w:sz w:val="21"/>
                      <w:szCs w:val="20"/>
                      <w:vertAlign w:val="baseline"/>
                      <w:lang w:val="en-US" w:eastAsia="zh-CN"/>
                    </w:rPr>
                    <w:t xml:space="preserve">       </w:t>
                  </w:r>
                  <w:r>
                    <w:rPr>
                      <w:rFonts w:hint="eastAsia" w:ascii="Times New Roman" w:cs="Times New Roman"/>
                      <w:b w:val="0"/>
                      <w:bCs w:val="0"/>
                      <w:sz w:val="21"/>
                      <w:szCs w:val="20"/>
                      <w:vertAlign w:val="baseline"/>
                      <w:lang w:eastAsia="zh-CN"/>
                    </w:rPr>
                    <w:t>监测日期</w:t>
                  </w:r>
                </w:p>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cs="Times New Roman"/>
                      <w:b w:val="0"/>
                      <w:bCs w:val="0"/>
                      <w:sz w:val="21"/>
                      <w:szCs w:val="20"/>
                      <w:vertAlign w:val="baseline"/>
                      <w:lang w:eastAsia="zh-CN"/>
                    </w:rPr>
                  </w:pPr>
                  <w:r>
                    <w:rPr>
                      <w:rFonts w:hint="eastAsia" w:ascii="Times New Roman" w:cs="Times New Roman"/>
                      <w:b w:val="0"/>
                      <w:bCs w:val="0"/>
                      <w:sz w:val="21"/>
                      <w:szCs w:val="20"/>
                      <w:vertAlign w:val="baseline"/>
                      <w:lang w:eastAsia="zh-CN"/>
                    </w:rPr>
                    <w:t>监测点位</w:t>
                  </w:r>
                </w:p>
              </w:tc>
              <w:tc>
                <w:tcPr>
                  <w:tcW w:w="2349" w:type="dxa"/>
                  <w:gridSpan w:val="3"/>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color w:val="auto"/>
                      <w:szCs w:val="21"/>
                      <w:highlight w:val="none"/>
                      <w:lang w:val="en-US" w:eastAsia="zh-CN"/>
                    </w:rPr>
                    <w:t>7月27日-7月28日</w:t>
                  </w:r>
                </w:p>
              </w:tc>
              <w:tc>
                <w:tcPr>
                  <w:tcW w:w="234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color w:val="auto"/>
                      <w:szCs w:val="21"/>
                      <w:highlight w:val="none"/>
                      <w:lang w:val="en-US" w:eastAsia="zh-CN"/>
                    </w:rPr>
                    <w:t>7月28日-7月29日</w:t>
                  </w:r>
                </w:p>
              </w:tc>
              <w:tc>
                <w:tcPr>
                  <w:tcW w:w="2349"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c>
                <w:tcPr>
                  <w:tcW w:w="12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default" w:ascii="Times New Roman" w:hAnsi="Times New Roman" w:eastAsia="宋体" w:cs="Times New Roman"/>
                      <w:sz w:val="21"/>
                      <w:szCs w:val="21"/>
                      <w:highlight w:val="none"/>
                    </w:rPr>
                    <w:t>昼间</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default" w:ascii="Times New Roman" w:hAnsi="Times New Roman" w:eastAsia="宋体" w:cs="Times New Roman"/>
                      <w:sz w:val="21"/>
                      <w:szCs w:val="21"/>
                      <w:highlight w:val="none"/>
                    </w:rPr>
                    <w:t>夜间</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default" w:ascii="Times New Roman" w:hAnsi="Times New Roman" w:eastAsia="宋体" w:cs="Times New Roman"/>
                      <w:sz w:val="21"/>
                      <w:szCs w:val="21"/>
                      <w:highlight w:val="none"/>
                    </w:rPr>
                    <w:t>昼间</w:t>
                  </w:r>
                </w:p>
              </w:tc>
              <w:tc>
                <w:tcPr>
                  <w:tcW w:w="117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default" w:ascii="Times New Roman" w:hAnsi="Times New Roman" w:eastAsia="宋体" w:cs="Times New Roman"/>
                      <w:sz w:val="21"/>
                      <w:szCs w:val="21"/>
                      <w:highlight w:val="none"/>
                    </w:rPr>
                    <w:t>夜间</w:t>
                  </w:r>
                </w:p>
              </w:tc>
              <w:tc>
                <w:tcPr>
                  <w:tcW w:w="1172"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default" w:ascii="Times New Roman" w:hAnsi="Times New Roman" w:eastAsia="宋体" w:cs="Times New Roman"/>
                      <w:sz w:val="21"/>
                      <w:szCs w:val="21"/>
                      <w:highlight w:val="none"/>
                    </w:rPr>
                    <w:t>昼间</w:t>
                  </w:r>
                </w:p>
              </w:tc>
              <w:tc>
                <w:tcPr>
                  <w:tcW w:w="1177"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default" w:ascii="Times New Roman" w:hAnsi="Times New Roman" w:eastAsia="宋体" w:cs="Times New Roman"/>
                      <w:sz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eastAsia="zh-CN"/>
                    </w:rPr>
                    <w:t>第</w:t>
                  </w:r>
                  <w:r>
                    <w:rPr>
                      <w:rFonts w:hint="eastAsia" w:ascii="Times New Roman" w:cs="Times New Roman"/>
                      <w:b w:val="0"/>
                      <w:bCs w:val="0"/>
                      <w:sz w:val="21"/>
                      <w:szCs w:val="20"/>
                      <w:vertAlign w:val="baseline"/>
                      <w:lang w:val="en-US" w:eastAsia="zh-CN"/>
                    </w:rPr>
                    <w:t>1个塔基</w:t>
                  </w:r>
                </w:p>
              </w:tc>
              <w:tc>
                <w:tcPr>
                  <w:tcW w:w="12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ascii="Times New Roman" w:hAnsi="Times New Roman" w:eastAsia="宋体" w:cs="Times New Roman"/>
                      <w:sz w:val="21"/>
                      <w:szCs w:val="21"/>
                      <w:highlight w:val="none"/>
                      <w:lang w:val="en-US" w:eastAsia="zh-CN"/>
                    </w:rPr>
                    <w:t>45</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cs="Times New Roman"/>
                      <w:sz w:val="21"/>
                      <w:szCs w:val="21"/>
                      <w:highlight w:val="none"/>
                      <w:lang w:val="en-US" w:eastAsia="zh-CN"/>
                    </w:rPr>
                    <w:t>40</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cs="Times New Roman"/>
                      <w:sz w:val="21"/>
                      <w:szCs w:val="21"/>
                      <w:highlight w:val="none"/>
                      <w:lang w:val="en-US" w:eastAsia="zh-CN"/>
                    </w:rPr>
                    <w:t>45</w:t>
                  </w:r>
                </w:p>
              </w:tc>
              <w:tc>
                <w:tcPr>
                  <w:tcW w:w="117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highlight w:val="none"/>
                      <w:lang w:val="en-US" w:eastAsia="zh-CN"/>
                    </w:rPr>
                    <w:t>39</w:t>
                  </w:r>
                </w:p>
              </w:tc>
              <w:tc>
                <w:tcPr>
                  <w:tcW w:w="1172"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55</w:t>
                  </w:r>
                </w:p>
              </w:tc>
              <w:tc>
                <w:tcPr>
                  <w:tcW w:w="1177"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eastAsia="zh-CN"/>
                    </w:rPr>
                    <w:t>第</w:t>
                  </w:r>
                  <w:r>
                    <w:rPr>
                      <w:rFonts w:hint="eastAsia" w:ascii="Times New Roman" w:cs="Times New Roman"/>
                      <w:b w:val="0"/>
                      <w:bCs w:val="0"/>
                      <w:sz w:val="21"/>
                      <w:szCs w:val="20"/>
                      <w:vertAlign w:val="baseline"/>
                      <w:lang w:val="en-US" w:eastAsia="zh-CN"/>
                    </w:rPr>
                    <w:t>11个塔基</w:t>
                  </w:r>
                </w:p>
              </w:tc>
              <w:tc>
                <w:tcPr>
                  <w:tcW w:w="12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ascii="Times New Roman" w:hAnsi="Times New Roman" w:eastAsia="宋体" w:cs="Times New Roman"/>
                      <w:sz w:val="21"/>
                      <w:szCs w:val="21"/>
                      <w:highlight w:val="none"/>
                      <w:lang w:val="en-US" w:eastAsia="zh-CN"/>
                    </w:rPr>
                    <w:t>46</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cs="Times New Roman"/>
                      <w:sz w:val="21"/>
                      <w:szCs w:val="21"/>
                      <w:highlight w:val="none"/>
                      <w:lang w:val="en-US" w:eastAsia="zh-CN"/>
                    </w:rPr>
                    <w:t>40</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cs="Times New Roman"/>
                      <w:sz w:val="21"/>
                      <w:szCs w:val="21"/>
                      <w:highlight w:val="none"/>
                      <w:lang w:val="en-US" w:eastAsia="zh-CN"/>
                    </w:rPr>
                    <w:t>46</w:t>
                  </w:r>
                </w:p>
              </w:tc>
              <w:tc>
                <w:tcPr>
                  <w:tcW w:w="117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highlight w:val="none"/>
                      <w:lang w:val="en-US" w:eastAsia="zh-CN"/>
                    </w:rPr>
                    <w:t>39</w:t>
                  </w:r>
                </w:p>
              </w:tc>
              <w:tc>
                <w:tcPr>
                  <w:tcW w:w="1172"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p>
              </w:tc>
              <w:tc>
                <w:tcPr>
                  <w:tcW w:w="1177"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cs="Times New Roman"/>
                      <w:b w:val="0"/>
                      <w:bCs w:val="0"/>
                      <w:sz w:val="21"/>
                      <w:szCs w:val="20"/>
                      <w:vertAlign w:val="baseline"/>
                      <w:lang w:eastAsia="zh-CN"/>
                    </w:rPr>
                    <w:t>第</w:t>
                  </w:r>
                  <w:r>
                    <w:rPr>
                      <w:rFonts w:hint="eastAsia" w:ascii="Times New Roman" w:cs="Times New Roman"/>
                      <w:b w:val="0"/>
                      <w:bCs w:val="0"/>
                      <w:sz w:val="21"/>
                      <w:szCs w:val="20"/>
                      <w:vertAlign w:val="baseline"/>
                      <w:lang w:val="en-US" w:eastAsia="zh-CN"/>
                    </w:rPr>
                    <w:t>21个塔基</w:t>
                  </w:r>
                </w:p>
              </w:tc>
              <w:tc>
                <w:tcPr>
                  <w:tcW w:w="12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ascii="Times New Roman" w:hAnsi="Times New Roman" w:eastAsia="宋体" w:cs="Times New Roman"/>
                      <w:sz w:val="21"/>
                      <w:szCs w:val="21"/>
                      <w:highlight w:val="none"/>
                      <w:lang w:val="en-US" w:eastAsia="zh-CN"/>
                    </w:rPr>
                    <w:t>44</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cs="Times New Roman"/>
                      <w:sz w:val="21"/>
                      <w:szCs w:val="21"/>
                      <w:highlight w:val="none"/>
                      <w:lang w:val="en-US" w:eastAsia="zh-CN"/>
                    </w:rPr>
                    <w:t>39</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cs="Times New Roman"/>
                      <w:sz w:val="21"/>
                      <w:szCs w:val="21"/>
                      <w:highlight w:val="none"/>
                      <w:lang w:val="en-US" w:eastAsia="zh-CN"/>
                    </w:rPr>
                    <w:t>45</w:t>
                  </w:r>
                </w:p>
              </w:tc>
              <w:tc>
                <w:tcPr>
                  <w:tcW w:w="117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highlight w:val="none"/>
                      <w:lang w:val="en-US" w:eastAsia="zh-CN"/>
                    </w:rPr>
                    <w:t>40</w:t>
                  </w:r>
                </w:p>
              </w:tc>
              <w:tc>
                <w:tcPr>
                  <w:tcW w:w="1172"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p>
              </w:tc>
              <w:tc>
                <w:tcPr>
                  <w:tcW w:w="1177"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cs="Times New Roman"/>
                      <w:b w:val="0"/>
                      <w:bCs w:val="0"/>
                      <w:sz w:val="21"/>
                      <w:szCs w:val="20"/>
                      <w:vertAlign w:val="baseline"/>
                      <w:lang w:eastAsia="zh-CN"/>
                    </w:rPr>
                    <w:t>后河子沟村</w:t>
                  </w:r>
                </w:p>
              </w:tc>
              <w:tc>
                <w:tcPr>
                  <w:tcW w:w="12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ascii="Times New Roman" w:hAnsi="Times New Roman" w:eastAsia="宋体" w:cs="Times New Roman"/>
                      <w:sz w:val="21"/>
                      <w:szCs w:val="21"/>
                      <w:highlight w:val="none"/>
                      <w:lang w:val="en-US" w:eastAsia="zh-CN"/>
                    </w:rPr>
                    <w:t>45</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cs="Times New Roman"/>
                      <w:sz w:val="21"/>
                      <w:szCs w:val="21"/>
                      <w:highlight w:val="none"/>
                      <w:lang w:val="en-US" w:eastAsia="zh-CN"/>
                    </w:rPr>
                    <w:t>39</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cs="Times New Roman"/>
                      <w:sz w:val="21"/>
                      <w:szCs w:val="21"/>
                      <w:highlight w:val="none"/>
                      <w:lang w:val="en-US" w:eastAsia="zh-CN"/>
                    </w:rPr>
                    <w:t>45</w:t>
                  </w:r>
                </w:p>
              </w:tc>
              <w:tc>
                <w:tcPr>
                  <w:tcW w:w="117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highlight w:val="none"/>
                      <w:lang w:val="en-US" w:eastAsia="zh-CN"/>
                    </w:rPr>
                    <w:t>40</w:t>
                  </w:r>
                </w:p>
              </w:tc>
              <w:tc>
                <w:tcPr>
                  <w:tcW w:w="1172"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p>
              </w:tc>
              <w:tc>
                <w:tcPr>
                  <w:tcW w:w="1177"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2"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r>
                    <w:rPr>
                      <w:rFonts w:hint="eastAsia" w:ascii="Times New Roman" w:cs="Times New Roman"/>
                      <w:b w:val="0"/>
                      <w:bCs w:val="0"/>
                      <w:sz w:val="21"/>
                      <w:szCs w:val="20"/>
                      <w:vertAlign w:val="baseline"/>
                      <w:lang w:eastAsia="zh-CN"/>
                    </w:rPr>
                    <w:t>安门村</w:t>
                  </w:r>
                </w:p>
              </w:tc>
              <w:tc>
                <w:tcPr>
                  <w:tcW w:w="1210"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ascii="Times New Roman" w:hAnsi="Times New Roman" w:eastAsia="宋体" w:cs="Times New Roman"/>
                      <w:sz w:val="21"/>
                      <w:szCs w:val="21"/>
                      <w:highlight w:val="none"/>
                      <w:lang w:val="en-US" w:eastAsia="zh-CN"/>
                    </w:rPr>
                    <w:t>46</w:t>
                  </w:r>
                </w:p>
              </w:tc>
              <w:tc>
                <w:tcPr>
                  <w:tcW w:w="113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cs="Times New Roman"/>
                      <w:sz w:val="21"/>
                      <w:szCs w:val="21"/>
                      <w:highlight w:val="none"/>
                      <w:lang w:val="en-US" w:eastAsia="zh-CN"/>
                    </w:rPr>
                    <w:t>40</w:t>
                  </w:r>
                </w:p>
              </w:tc>
              <w:tc>
                <w:tcPr>
                  <w:tcW w:w="1172"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cs="Times New Roman"/>
                      <w:sz w:val="21"/>
                      <w:szCs w:val="21"/>
                      <w:highlight w:val="none"/>
                      <w:lang w:val="en-US" w:eastAsia="zh-CN"/>
                    </w:rPr>
                    <w:t>45</w:t>
                  </w:r>
                </w:p>
              </w:tc>
              <w:tc>
                <w:tcPr>
                  <w:tcW w:w="1178"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0"/>
                      <w:vertAlign w:val="baseline"/>
                      <w:lang w:eastAsia="zh-CN"/>
                    </w:rPr>
                  </w:pPr>
                  <w:r>
                    <w:rPr>
                      <w:rFonts w:hint="eastAsia"/>
                      <w:highlight w:val="none"/>
                      <w:lang w:val="en-US" w:eastAsia="zh-CN"/>
                    </w:rPr>
                    <w:t>40</w:t>
                  </w:r>
                </w:p>
              </w:tc>
              <w:tc>
                <w:tcPr>
                  <w:tcW w:w="1172"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p>
              </w:tc>
              <w:tc>
                <w:tcPr>
                  <w:tcW w:w="1177"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eastAsia="zh-CN"/>
                    </w:rPr>
                  </w:pPr>
                </w:p>
              </w:tc>
            </w:tr>
          </w:tbl>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highlight w:val="none"/>
                <w:vertAlign w:val="baseline"/>
                <w:lang w:eastAsia="zh-CN"/>
              </w:rPr>
            </w:pPr>
            <w:r>
              <w:rPr>
                <w:rFonts w:hint="default" w:ascii="Times New Roman" w:hAnsi="Times New Roman" w:cs="Times New Roman"/>
                <w:b w:val="0"/>
                <w:bCs w:val="0"/>
                <w:sz w:val="24"/>
                <w:szCs w:val="22"/>
                <w:vertAlign w:val="baseline"/>
                <w:lang w:eastAsia="zh-CN"/>
              </w:rPr>
              <w:t>监测结果表明：拟建线路沿线环境噪声</w:t>
            </w:r>
            <w:r>
              <w:rPr>
                <w:rFonts w:hint="eastAsia" w:ascii="Times New Roman" w:hAnsi="Times New Roman" w:cs="Times New Roman"/>
                <w:b w:val="0"/>
                <w:bCs w:val="0"/>
                <w:sz w:val="24"/>
                <w:szCs w:val="22"/>
                <w:vertAlign w:val="baseline"/>
                <w:lang w:eastAsia="zh-CN"/>
              </w:rPr>
              <w:t>及敏感点</w:t>
            </w:r>
            <w:r>
              <w:rPr>
                <w:rFonts w:hint="default" w:ascii="Times New Roman" w:hAnsi="Times New Roman" w:cs="Times New Roman"/>
                <w:b w:val="0"/>
                <w:bCs w:val="0"/>
                <w:sz w:val="24"/>
                <w:szCs w:val="22"/>
                <w:vertAlign w:val="baseline"/>
                <w:lang w:eastAsia="zh-CN"/>
              </w:rPr>
              <w:t>昼间测量值范围为</w:t>
            </w:r>
            <w:r>
              <w:rPr>
                <w:rFonts w:hint="eastAsia" w:ascii="Times New Roman" w:cs="Times New Roman"/>
                <w:b w:val="0"/>
                <w:bCs w:val="0"/>
                <w:sz w:val="24"/>
                <w:szCs w:val="22"/>
                <w:highlight w:val="none"/>
                <w:vertAlign w:val="baseline"/>
                <w:lang w:val="en-US" w:eastAsia="zh-CN"/>
              </w:rPr>
              <w:t>45</w:t>
            </w:r>
            <w:r>
              <w:rPr>
                <w:rFonts w:hint="default" w:ascii="Times New Roman" w:hAnsi="Times New Roman" w:cs="Times New Roman"/>
                <w:b w:val="0"/>
                <w:bCs w:val="0"/>
                <w:sz w:val="24"/>
                <w:szCs w:val="22"/>
                <w:highlight w:val="none"/>
                <w:vertAlign w:val="baseline"/>
                <w:lang w:eastAsia="zh-CN"/>
              </w:rPr>
              <w:t>~4</w:t>
            </w:r>
            <w:r>
              <w:rPr>
                <w:rFonts w:hint="eastAsia" w:ascii="Times New Roman" w:cs="Times New Roman"/>
                <w:b w:val="0"/>
                <w:bCs w:val="0"/>
                <w:sz w:val="24"/>
                <w:szCs w:val="22"/>
                <w:highlight w:val="none"/>
                <w:vertAlign w:val="baseline"/>
                <w:lang w:val="en-US" w:eastAsia="zh-CN"/>
              </w:rPr>
              <w:t>6</w:t>
            </w:r>
            <w:r>
              <w:rPr>
                <w:rFonts w:hint="default" w:ascii="Times New Roman" w:hAnsi="Times New Roman" w:cs="Times New Roman"/>
                <w:b w:val="0"/>
                <w:bCs w:val="0"/>
                <w:sz w:val="24"/>
                <w:szCs w:val="22"/>
                <w:highlight w:val="none"/>
                <w:vertAlign w:val="baseline"/>
                <w:lang w:eastAsia="zh-CN"/>
              </w:rPr>
              <w:t>dB（A），夜间测量值范围为</w:t>
            </w:r>
            <w:r>
              <w:rPr>
                <w:rFonts w:hint="eastAsia" w:ascii="Times New Roman" w:cs="Times New Roman"/>
                <w:b w:val="0"/>
                <w:bCs w:val="0"/>
                <w:sz w:val="24"/>
                <w:szCs w:val="22"/>
                <w:highlight w:val="none"/>
                <w:vertAlign w:val="baseline"/>
                <w:lang w:val="en-US" w:eastAsia="zh-CN"/>
              </w:rPr>
              <w:t>39</w:t>
            </w:r>
            <w:r>
              <w:rPr>
                <w:rFonts w:hint="default" w:ascii="Times New Roman" w:hAnsi="Times New Roman" w:cs="Times New Roman"/>
                <w:b w:val="0"/>
                <w:bCs w:val="0"/>
                <w:sz w:val="24"/>
                <w:szCs w:val="22"/>
                <w:highlight w:val="none"/>
                <w:vertAlign w:val="baseline"/>
                <w:lang w:eastAsia="zh-CN"/>
              </w:rPr>
              <w:t>~</w:t>
            </w:r>
            <w:r>
              <w:rPr>
                <w:rFonts w:hint="eastAsia" w:ascii="Times New Roman" w:cs="Times New Roman"/>
                <w:b w:val="0"/>
                <w:bCs w:val="0"/>
                <w:sz w:val="24"/>
                <w:szCs w:val="22"/>
                <w:highlight w:val="none"/>
                <w:vertAlign w:val="baseline"/>
                <w:lang w:val="en-US" w:eastAsia="zh-CN"/>
              </w:rPr>
              <w:t>4</w:t>
            </w:r>
            <w:r>
              <w:rPr>
                <w:rFonts w:hint="default" w:ascii="Times New Roman" w:hAnsi="Times New Roman" w:cs="Times New Roman"/>
                <w:b w:val="0"/>
                <w:bCs w:val="0"/>
                <w:sz w:val="24"/>
                <w:szCs w:val="22"/>
                <w:highlight w:val="none"/>
                <w:vertAlign w:val="baseline"/>
                <w:lang w:eastAsia="zh-CN"/>
              </w:rPr>
              <w:t>0dB（A），满足《声环境质量标准》（GB3096-2008）中</w:t>
            </w:r>
            <w:r>
              <w:rPr>
                <w:rFonts w:hint="eastAsia" w:ascii="Times New Roman" w:cs="Times New Roman"/>
                <w:b w:val="0"/>
                <w:bCs w:val="0"/>
                <w:sz w:val="24"/>
                <w:szCs w:val="22"/>
                <w:highlight w:val="none"/>
                <w:vertAlign w:val="baseline"/>
                <w:lang w:val="en-US" w:eastAsia="zh-CN"/>
              </w:rPr>
              <w:t>1</w:t>
            </w:r>
            <w:r>
              <w:rPr>
                <w:rFonts w:hint="default" w:ascii="Times New Roman" w:hAnsi="Times New Roman" w:cs="Times New Roman"/>
                <w:b w:val="0"/>
                <w:bCs w:val="0"/>
                <w:sz w:val="24"/>
                <w:szCs w:val="22"/>
                <w:highlight w:val="none"/>
                <w:vertAlign w:val="baseline"/>
                <w:lang w:eastAsia="zh-CN"/>
              </w:rPr>
              <w:t>类标准限值要求。工程所处区域的声环境质量现状良好。</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3.1.3 生态环境现状评价</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highlight w:val="none"/>
                <w:vertAlign w:val="baseline"/>
                <w:lang w:eastAsia="zh-CN"/>
              </w:rPr>
            </w:pPr>
            <w:r>
              <w:rPr>
                <w:rFonts w:hint="default" w:ascii="Times New Roman" w:hAnsi="Times New Roman" w:cs="Times New Roman"/>
                <w:b w:val="0"/>
                <w:bCs w:val="0"/>
                <w:sz w:val="24"/>
                <w:szCs w:val="22"/>
                <w:vertAlign w:val="baseline"/>
                <w:lang w:eastAsia="zh-CN"/>
              </w:rPr>
              <w:t>经现场踏勘，110kV送出线路沿线主要是</w:t>
            </w:r>
            <w:r>
              <w:rPr>
                <w:rFonts w:hint="eastAsia" w:ascii="Times New Roman" w:cs="Times New Roman"/>
                <w:b w:val="0"/>
                <w:bCs w:val="0"/>
                <w:sz w:val="24"/>
                <w:szCs w:val="22"/>
                <w:vertAlign w:val="baseline"/>
                <w:lang w:eastAsia="zh-CN"/>
              </w:rPr>
              <w:t>荒地</w:t>
            </w:r>
            <w:r>
              <w:rPr>
                <w:rFonts w:hint="eastAsia" w:ascii="Times New Roman" w:hAnsi="Times New Roman" w:cs="Times New Roman"/>
                <w:b w:val="0"/>
                <w:bCs w:val="0"/>
                <w:sz w:val="24"/>
                <w:szCs w:val="22"/>
                <w:vertAlign w:val="baseline"/>
                <w:lang w:eastAsia="zh-CN"/>
              </w:rPr>
              <w:t>、</w:t>
            </w:r>
            <w:r>
              <w:rPr>
                <w:rFonts w:hint="default" w:ascii="Times New Roman" w:hAnsi="Times New Roman" w:cs="Times New Roman"/>
                <w:b w:val="0"/>
                <w:bCs w:val="0"/>
                <w:sz w:val="24"/>
                <w:szCs w:val="22"/>
                <w:vertAlign w:val="baseline"/>
                <w:lang w:eastAsia="zh-CN"/>
              </w:rPr>
              <w:t>林地，</w:t>
            </w:r>
            <w:r>
              <w:rPr>
                <w:rFonts w:hint="eastAsia" w:ascii="Times New Roman" w:cs="Times New Roman"/>
                <w:b w:val="0"/>
                <w:bCs w:val="0"/>
                <w:sz w:val="24"/>
                <w:szCs w:val="22"/>
                <w:vertAlign w:val="baseline"/>
                <w:lang w:eastAsia="zh-CN"/>
              </w:rPr>
              <w:t>其中荒地植被主要为刺槐、沙棘、长芒草等，</w:t>
            </w:r>
            <w:r>
              <w:rPr>
                <w:rFonts w:hint="default" w:ascii="Times New Roman" w:hAnsi="Times New Roman" w:cs="Times New Roman"/>
                <w:b w:val="0"/>
                <w:bCs w:val="0"/>
                <w:sz w:val="24"/>
                <w:szCs w:val="22"/>
                <w:highlight w:val="none"/>
                <w:vertAlign w:val="baseline"/>
                <w:lang w:eastAsia="zh-CN"/>
              </w:rPr>
              <w:t>林地主要有松</w:t>
            </w:r>
            <w:r>
              <w:rPr>
                <w:rFonts w:hint="eastAsia" w:ascii="Times New Roman" w:cs="Times New Roman"/>
                <w:b w:val="0"/>
                <w:bCs w:val="0"/>
                <w:sz w:val="24"/>
                <w:szCs w:val="22"/>
                <w:highlight w:val="none"/>
                <w:vertAlign w:val="baseline"/>
                <w:lang w:eastAsia="zh-CN"/>
              </w:rPr>
              <w:t>树</w:t>
            </w:r>
            <w:r>
              <w:rPr>
                <w:rFonts w:hint="default" w:ascii="Times New Roman" w:hAnsi="Times New Roman" w:cs="Times New Roman"/>
                <w:b w:val="0"/>
                <w:bCs w:val="0"/>
                <w:sz w:val="24"/>
                <w:szCs w:val="22"/>
                <w:highlight w:val="none"/>
                <w:vertAlign w:val="baseline"/>
                <w:lang w:eastAsia="zh-CN"/>
              </w:rPr>
              <w:t>、柏</w:t>
            </w:r>
            <w:r>
              <w:rPr>
                <w:rFonts w:hint="eastAsia" w:ascii="Times New Roman" w:cs="Times New Roman"/>
                <w:b w:val="0"/>
                <w:bCs w:val="0"/>
                <w:sz w:val="24"/>
                <w:szCs w:val="22"/>
                <w:highlight w:val="none"/>
                <w:vertAlign w:val="baseline"/>
                <w:lang w:eastAsia="zh-CN"/>
              </w:rPr>
              <w:t>树</w:t>
            </w:r>
            <w:r>
              <w:rPr>
                <w:rFonts w:hint="default" w:ascii="Times New Roman" w:hAnsi="Times New Roman" w:cs="Times New Roman"/>
                <w:b w:val="0"/>
                <w:bCs w:val="0"/>
                <w:sz w:val="24"/>
                <w:szCs w:val="22"/>
                <w:highlight w:val="none"/>
                <w:vertAlign w:val="baseline"/>
                <w:lang w:eastAsia="zh-CN"/>
              </w:rPr>
              <w:t>、榆树、槐树等。动物</w:t>
            </w:r>
            <w:r>
              <w:rPr>
                <w:rFonts w:hint="eastAsia" w:ascii="Times New Roman" w:cs="Times New Roman"/>
                <w:b w:val="0"/>
                <w:bCs w:val="0"/>
                <w:sz w:val="24"/>
                <w:szCs w:val="22"/>
                <w:highlight w:val="none"/>
                <w:vertAlign w:val="baseline"/>
                <w:lang w:eastAsia="zh-CN"/>
              </w:rPr>
              <w:t>多为兔鼠类、麻雀等常见动物</w:t>
            </w:r>
            <w:r>
              <w:rPr>
                <w:rFonts w:hint="default" w:ascii="Times New Roman" w:hAnsi="Times New Roman" w:cs="Times New Roman"/>
                <w:b w:val="0"/>
                <w:bCs w:val="0"/>
                <w:sz w:val="24"/>
                <w:szCs w:val="22"/>
                <w:highlight w:val="none"/>
                <w:vertAlign w:val="baseline"/>
                <w:lang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本项目不涉及自然保护区、风景名胜区等生态敏感区，评价区内没有国家和地方保护动植物。</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b w:val="0"/>
                <w:bCs w:val="0"/>
                <w:sz w:val="24"/>
                <w:szCs w:val="22"/>
                <w:vertAlign w:val="baseline"/>
                <w:lang w:eastAsia="zh-CN"/>
              </w:rPr>
            </w:pPr>
          </w:p>
        </w:tc>
      </w:tr>
    </w:tbl>
    <w:p>
      <w:pPr>
        <w:rPr>
          <w:rFonts w:hint="eastAsia"/>
          <w:b w:val="0"/>
          <w:bCs w:val="0"/>
          <w:sz w:val="24"/>
          <w:szCs w:val="22"/>
          <w:lang w:eastAsia="zh-CN"/>
        </w:rPr>
      </w:pPr>
      <w:r>
        <w:rPr>
          <w:rFonts w:hint="eastAsia"/>
          <w:b w:val="0"/>
          <w:bCs w:val="0"/>
          <w:sz w:val="24"/>
          <w:szCs w:val="22"/>
          <w:lang w:eastAsia="zh-CN"/>
        </w:rPr>
        <w:br w:type="page"/>
      </w:r>
    </w:p>
    <w:tbl>
      <w:tblPr>
        <w:tblStyle w:val="15"/>
        <w:tblW w:w="9090"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0" w:type="dxa"/>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Times New Roman" w:hAnsi="Times New Roman" w:cs="Times New Roman"/>
                <w:b/>
                <w:bCs/>
                <w:sz w:val="28"/>
                <w:szCs w:val="24"/>
                <w:vertAlign w:val="baseline"/>
                <w:lang w:eastAsia="zh-CN"/>
              </w:rPr>
            </w:pPr>
            <w:r>
              <w:rPr>
                <w:rFonts w:hint="eastAsia" w:ascii="Times New Roman" w:hAnsi="Times New Roman" w:cs="Times New Roman"/>
                <w:b/>
                <w:bCs/>
                <w:sz w:val="28"/>
                <w:szCs w:val="24"/>
                <w:vertAlign w:val="baseline"/>
                <w:lang w:eastAsia="zh-CN"/>
              </w:rPr>
              <w:t>主要环境保护目标（列出名单及保护级别）</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eastAsiaTheme="minorEastAsia"/>
                <w:b/>
                <w:bCs/>
                <w:color w:val="auto"/>
                <w:kern w:val="2"/>
                <w:sz w:val="28"/>
                <w:szCs w:val="28"/>
                <w:vertAlign w:val="baseline"/>
                <w:lang w:val="en-US" w:eastAsia="zh-CN" w:bidi="ar-SA"/>
              </w:rPr>
            </w:pPr>
            <w:r>
              <w:rPr>
                <w:rFonts w:hint="default" w:ascii="Times New Roman" w:hAnsi="Times New Roman" w:cs="Times New Roman" w:eastAsiaTheme="minorEastAsia"/>
                <w:b/>
                <w:bCs/>
                <w:color w:val="auto"/>
                <w:kern w:val="2"/>
                <w:sz w:val="28"/>
                <w:szCs w:val="28"/>
                <w:vertAlign w:val="baseline"/>
                <w:lang w:val="en-US" w:eastAsia="zh-CN" w:bidi="ar-SA"/>
              </w:rPr>
              <w:t xml:space="preserve">3.2 </w:t>
            </w:r>
            <w:r>
              <w:rPr>
                <w:rFonts w:hint="eastAsia" w:ascii="Times New Roman" w:hAnsi="Times New Roman" w:cs="Times New Roman" w:eastAsiaTheme="minorEastAsia"/>
                <w:b/>
                <w:bCs/>
                <w:color w:val="auto"/>
                <w:kern w:val="2"/>
                <w:sz w:val="28"/>
                <w:szCs w:val="28"/>
                <w:vertAlign w:val="baseline"/>
                <w:lang w:val="en-US" w:eastAsia="zh-CN" w:bidi="ar-SA"/>
              </w:rPr>
              <w:t>评价范围</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3.2.1 工频电场、工频磁场</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根据《环境影响评价技术导则</w:t>
            </w:r>
            <w:r>
              <w:rPr>
                <w:rFonts w:hint="eastAsia" w:ascii="Times New Roman" w:hAnsi="Times New Roman" w:cs="Times New Roman"/>
                <w:b w:val="0"/>
                <w:bCs w:val="0"/>
                <w:sz w:val="24"/>
                <w:szCs w:val="22"/>
                <w:vertAlign w:val="baseline"/>
                <w:lang w:val="en-US" w:eastAsia="zh-CN"/>
              </w:rPr>
              <w:t xml:space="preserve"> </w:t>
            </w:r>
            <w:r>
              <w:rPr>
                <w:rFonts w:hint="default" w:ascii="Times New Roman" w:hAnsi="Times New Roman" w:cs="Times New Roman"/>
                <w:b w:val="0"/>
                <w:bCs w:val="0"/>
                <w:sz w:val="24"/>
                <w:szCs w:val="22"/>
                <w:vertAlign w:val="baseline"/>
                <w:lang w:eastAsia="zh-CN"/>
              </w:rPr>
              <w:t>输变电工程》（HJ24-2014）的电磁环境影响评价范围规定以及本项目电压等级确定评价范围。根据这一原则</w:t>
            </w:r>
            <w:r>
              <w:rPr>
                <w:rFonts w:hint="eastAsia" w:ascii="Times New Roman" w:hAnsi="Times New Roman" w:cs="Times New Roman"/>
                <w:b w:val="0"/>
                <w:bCs w:val="0"/>
                <w:sz w:val="24"/>
                <w:szCs w:val="22"/>
                <w:vertAlign w:val="baseline"/>
                <w:lang w:eastAsia="zh-CN"/>
              </w:rPr>
              <w:t>及</w:t>
            </w:r>
            <w:r>
              <w:rPr>
                <w:rFonts w:hint="default" w:ascii="Times New Roman" w:hAnsi="Times New Roman" w:cs="Times New Roman"/>
                <w:b w:val="0"/>
                <w:bCs w:val="0"/>
                <w:sz w:val="24"/>
                <w:szCs w:val="22"/>
                <w:vertAlign w:val="baseline"/>
                <w:lang w:eastAsia="zh-CN"/>
              </w:rPr>
              <w:t>本项目特点，将评价范围作如下规定：</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eastAsia="zh-CN"/>
              </w:rPr>
            </w:pPr>
            <w:r>
              <w:rPr>
                <w:rFonts w:hint="eastAsia" w:ascii="Times New Roman" w:cs="Times New Roman"/>
                <w:b w:val="0"/>
                <w:bCs w:val="0"/>
                <w:sz w:val="24"/>
                <w:szCs w:val="22"/>
                <w:vertAlign w:val="baseline"/>
                <w:lang w:val="en-US" w:eastAsia="zh-CN"/>
              </w:rPr>
              <w:t>1</w:t>
            </w:r>
            <w:r>
              <w:rPr>
                <w:rFonts w:hint="default" w:ascii="Times New Roman" w:hAnsi="Times New Roman" w:cs="Times New Roman"/>
                <w:b w:val="0"/>
                <w:bCs w:val="0"/>
                <w:sz w:val="24"/>
                <w:szCs w:val="22"/>
                <w:vertAlign w:val="baseline"/>
                <w:lang w:eastAsia="zh-CN"/>
              </w:rPr>
              <w:t>l0kV架空输电线路：边导线地面投影外两侧各30m带状区域。</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eastAsiaTheme="minorEastAsia"/>
                <w:b/>
                <w:bCs/>
                <w:color w:val="auto"/>
                <w:kern w:val="2"/>
                <w:sz w:val="28"/>
                <w:szCs w:val="28"/>
                <w:vertAlign w:val="baseline"/>
                <w:lang w:val="en-US" w:eastAsia="zh-CN" w:bidi="ar-SA"/>
              </w:rPr>
            </w:pPr>
            <w:r>
              <w:rPr>
                <w:rFonts w:hint="eastAsia" w:ascii="Times New Roman" w:hAnsi="Times New Roman" w:cs="Times New Roman" w:eastAsiaTheme="minorEastAsia"/>
                <w:b/>
                <w:bCs/>
                <w:color w:val="auto"/>
                <w:kern w:val="2"/>
                <w:sz w:val="28"/>
                <w:szCs w:val="28"/>
                <w:vertAlign w:val="baseline"/>
                <w:lang w:val="en-US" w:eastAsia="zh-CN" w:bidi="ar-SA"/>
              </w:rPr>
              <w:t xml:space="preserve">3.2.2 </w:t>
            </w:r>
            <w:r>
              <w:rPr>
                <w:rFonts w:hint="eastAsia" w:ascii="Times New Roman" w:cs="Times New Roman" w:eastAsiaTheme="minorEastAsia"/>
                <w:b/>
                <w:bCs/>
                <w:color w:val="auto"/>
                <w:kern w:val="2"/>
                <w:sz w:val="28"/>
                <w:szCs w:val="28"/>
                <w:vertAlign w:val="baseline"/>
                <w:lang w:val="en-US" w:eastAsia="zh-CN" w:bidi="ar-SA"/>
              </w:rPr>
              <w:t>声环境</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eastAsia="zh-CN"/>
              </w:rPr>
              <w:t>根据《环境影响评价技术导则</w:t>
            </w:r>
            <w:r>
              <w:rPr>
                <w:rFonts w:hint="eastAsia" w:ascii="Times New Roman" w:cs="Times New Roman"/>
                <w:b w:val="0"/>
                <w:bCs w:val="0"/>
                <w:sz w:val="24"/>
                <w:szCs w:val="22"/>
                <w:vertAlign w:val="baseline"/>
                <w:lang w:val="en-US" w:eastAsia="zh-CN"/>
              </w:rPr>
              <w:t xml:space="preserve"> </w:t>
            </w:r>
            <w:r>
              <w:rPr>
                <w:rFonts w:hint="default" w:ascii="Times New Roman" w:hAnsi="Times New Roman" w:cs="Times New Roman"/>
                <w:b w:val="0"/>
                <w:bCs w:val="0"/>
                <w:sz w:val="24"/>
                <w:szCs w:val="22"/>
                <w:vertAlign w:val="baseline"/>
                <w:lang w:eastAsia="zh-CN"/>
              </w:rPr>
              <w:t>输变电工程》（HJ24-2014）规定，架空输电线路工程的声环境影响评价范围参照电磁环境影响评价范围中相应电压等级线路的评价范围</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本项目</w:t>
            </w:r>
            <w:r>
              <w:rPr>
                <w:rFonts w:hint="eastAsia" w:ascii="Times New Roman" w:cs="Times New Roman"/>
                <w:b w:val="0"/>
                <w:bCs w:val="0"/>
                <w:sz w:val="24"/>
                <w:szCs w:val="22"/>
                <w:vertAlign w:val="baseline"/>
                <w:lang w:val="en-US" w:eastAsia="zh-CN"/>
              </w:rPr>
              <w:t>110</w:t>
            </w:r>
            <w:r>
              <w:rPr>
                <w:rFonts w:hint="default" w:ascii="Times New Roman" w:hAnsi="Times New Roman" w:cs="Times New Roman"/>
                <w:b w:val="0"/>
                <w:bCs w:val="0"/>
                <w:sz w:val="24"/>
                <w:szCs w:val="22"/>
                <w:vertAlign w:val="baseline"/>
                <w:lang w:eastAsia="zh-CN"/>
              </w:rPr>
              <w:t>k</w:t>
            </w:r>
            <w:r>
              <w:rPr>
                <w:rFonts w:hint="eastAsia" w:ascii="Times New Roman" w:cs="Times New Roman"/>
                <w:b w:val="0"/>
                <w:bCs w:val="0"/>
                <w:sz w:val="24"/>
                <w:szCs w:val="22"/>
                <w:vertAlign w:val="baseline"/>
                <w:lang w:val="en-US" w:eastAsia="zh-CN"/>
              </w:rPr>
              <w:t>V</w:t>
            </w:r>
            <w:r>
              <w:rPr>
                <w:rFonts w:hint="default" w:ascii="Times New Roman" w:hAnsi="Times New Roman" w:cs="Times New Roman"/>
                <w:b w:val="0"/>
                <w:bCs w:val="0"/>
                <w:sz w:val="24"/>
                <w:szCs w:val="22"/>
                <w:vertAlign w:val="baseline"/>
                <w:lang w:eastAsia="zh-CN"/>
              </w:rPr>
              <w:t>架空输电线路噪声评价范围为架空线路边导线地面投影两侧各30m带状区域。</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cs="Times New Roman" w:eastAsiaTheme="minorEastAsia"/>
                <w:b/>
                <w:bCs/>
                <w:color w:val="auto"/>
                <w:kern w:val="2"/>
                <w:sz w:val="28"/>
                <w:szCs w:val="28"/>
                <w:vertAlign w:val="baseline"/>
                <w:lang w:val="en-US" w:eastAsia="zh-CN" w:bidi="ar-SA"/>
              </w:rPr>
            </w:pPr>
            <w:r>
              <w:rPr>
                <w:rFonts w:hint="eastAsia" w:ascii="Times New Roman" w:cs="Times New Roman" w:eastAsiaTheme="minorEastAsia"/>
                <w:b/>
                <w:bCs/>
                <w:color w:val="auto"/>
                <w:kern w:val="2"/>
                <w:sz w:val="28"/>
                <w:szCs w:val="28"/>
                <w:vertAlign w:val="baseline"/>
                <w:lang w:val="en-US" w:eastAsia="zh-CN" w:bidi="ar-SA"/>
              </w:rPr>
              <w:t>3.2.3 生态环境</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根据《环境影响评价技术导则</w:t>
            </w:r>
            <w:r>
              <w:rPr>
                <w:rFonts w:hint="eastAsia" w:ascii="Times New Roman" w:cs="Times New Roman"/>
                <w:b w:val="0"/>
                <w:bCs w:val="0"/>
                <w:sz w:val="24"/>
                <w:szCs w:val="22"/>
                <w:vertAlign w:val="baseline"/>
                <w:lang w:val="en-US" w:eastAsia="zh-CN"/>
              </w:rPr>
              <w:t xml:space="preserve"> </w:t>
            </w:r>
            <w:r>
              <w:rPr>
                <w:rFonts w:hint="default" w:ascii="Times New Roman" w:hAnsi="Times New Roman" w:cs="Times New Roman"/>
                <w:b w:val="0"/>
                <w:bCs w:val="0"/>
                <w:sz w:val="24"/>
                <w:szCs w:val="22"/>
                <w:vertAlign w:val="baseline"/>
                <w:lang w:eastAsia="zh-CN"/>
              </w:rPr>
              <w:t>生态影响》（H</w:t>
            </w:r>
            <w:r>
              <w:rPr>
                <w:rFonts w:hint="eastAsia" w:ascii="Times New Roman" w:cs="Times New Roman"/>
                <w:b w:val="0"/>
                <w:bCs w:val="0"/>
                <w:sz w:val="24"/>
                <w:szCs w:val="22"/>
                <w:vertAlign w:val="baseline"/>
                <w:lang w:val="en-US" w:eastAsia="zh-CN"/>
              </w:rPr>
              <w:t>J</w:t>
            </w:r>
            <w:r>
              <w:rPr>
                <w:rFonts w:hint="default" w:ascii="Times New Roman" w:hAnsi="Times New Roman" w:cs="Times New Roman"/>
                <w:b w:val="0"/>
                <w:bCs w:val="0"/>
                <w:sz w:val="24"/>
                <w:szCs w:val="22"/>
                <w:vertAlign w:val="baseline"/>
                <w:lang w:eastAsia="zh-CN"/>
              </w:rPr>
              <w:t>19-201</w:t>
            </w:r>
            <w:r>
              <w:rPr>
                <w:rFonts w:hint="eastAsia" w:ascii="Times New Roman" w:cs="Times New Roman"/>
                <w:b w:val="0"/>
                <w:bCs w:val="0"/>
                <w:sz w:val="24"/>
                <w:szCs w:val="22"/>
                <w:vertAlign w:val="baseline"/>
                <w:lang w:val="en-US" w:eastAsia="zh-CN"/>
              </w:rPr>
              <w:t>1</w:t>
            </w:r>
            <w:r>
              <w:rPr>
                <w:rFonts w:hint="default" w:ascii="Times New Roman" w:hAnsi="Times New Roman" w:cs="Times New Roman"/>
                <w:b w:val="0"/>
                <w:bCs w:val="0"/>
                <w:sz w:val="24"/>
                <w:szCs w:val="22"/>
                <w:vertAlign w:val="baseline"/>
                <w:lang w:eastAsia="zh-CN"/>
              </w:rPr>
              <w:t>）：</w:t>
            </w:r>
            <w:r>
              <w:rPr>
                <w:rFonts w:hint="eastAsia" w:ascii="Times New Roman" w:cs="Times New Roman"/>
                <w:b w:val="0"/>
                <w:bCs w:val="0"/>
                <w:sz w:val="24"/>
                <w:szCs w:val="22"/>
                <w:vertAlign w:val="baseline"/>
                <w:lang w:eastAsia="zh-CN"/>
              </w:rPr>
              <w:t>“</w:t>
            </w:r>
            <w:r>
              <w:rPr>
                <w:rFonts w:hint="default" w:ascii="Times New Roman" w:hAnsi="Times New Roman" w:cs="Times New Roman"/>
                <w:b w:val="0"/>
                <w:bCs w:val="0"/>
                <w:sz w:val="24"/>
                <w:szCs w:val="22"/>
                <w:vertAlign w:val="baseline"/>
                <w:lang w:eastAsia="zh-CN"/>
              </w:rPr>
              <w:t>生态影响评价应能够充分体现生态完整性，涵盖评价项目全部活动的直接影响区域和间接影响区域。评价工作范围应依据评价项目对生态因子的影响方式、影响程度和生态因子之间的相互影响和相互依存关系确定。</w:t>
            </w:r>
            <w:r>
              <w:rPr>
                <w:rFonts w:hint="eastAsia" w:ascii="Times New Roman" w:cs="Times New Roman"/>
                <w:b w:val="0"/>
                <w:bCs w:val="0"/>
                <w:sz w:val="24"/>
                <w:szCs w:val="22"/>
                <w:vertAlign w:val="baseline"/>
                <w:lang w:eastAsia="zh-CN"/>
              </w:rPr>
              <w:t>”</w:t>
            </w:r>
            <w:r>
              <w:rPr>
                <w:rFonts w:hint="default" w:ascii="Times New Roman" w:hAnsi="Times New Roman" w:cs="Times New Roman"/>
                <w:b w:val="0"/>
                <w:bCs w:val="0"/>
                <w:sz w:val="24"/>
                <w:szCs w:val="22"/>
                <w:vertAlign w:val="baseline"/>
                <w:lang w:eastAsia="zh-CN"/>
              </w:rPr>
              <w:t>根据《环境影响评价技术导则</w:t>
            </w:r>
            <w:r>
              <w:rPr>
                <w:rFonts w:hint="eastAsia" w:ascii="Times New Roman" w:cs="Times New Roman"/>
                <w:b w:val="0"/>
                <w:bCs w:val="0"/>
                <w:sz w:val="24"/>
                <w:szCs w:val="22"/>
                <w:vertAlign w:val="baseline"/>
                <w:lang w:val="en-US" w:eastAsia="zh-CN"/>
              </w:rPr>
              <w:t xml:space="preserve"> </w:t>
            </w:r>
            <w:r>
              <w:rPr>
                <w:rFonts w:hint="default" w:ascii="Times New Roman" w:hAnsi="Times New Roman" w:cs="Times New Roman"/>
                <w:b w:val="0"/>
                <w:bCs w:val="0"/>
                <w:sz w:val="24"/>
                <w:szCs w:val="22"/>
                <w:vertAlign w:val="baseline"/>
                <w:lang w:eastAsia="zh-CN"/>
              </w:rPr>
              <w:t>输变电工程》（H</w:t>
            </w:r>
            <w:r>
              <w:rPr>
                <w:rFonts w:hint="eastAsia" w:ascii="Times New Roman" w:cs="Times New Roman"/>
                <w:b w:val="0"/>
                <w:bCs w:val="0"/>
                <w:sz w:val="24"/>
                <w:szCs w:val="22"/>
                <w:vertAlign w:val="baseline"/>
                <w:lang w:val="en-US" w:eastAsia="zh-CN"/>
              </w:rPr>
              <w:t>J</w:t>
            </w:r>
            <w:r>
              <w:rPr>
                <w:rFonts w:hint="default" w:ascii="Times New Roman" w:hAnsi="Times New Roman" w:cs="Times New Roman"/>
                <w:b w:val="0"/>
                <w:bCs w:val="0"/>
                <w:sz w:val="24"/>
                <w:szCs w:val="22"/>
                <w:vertAlign w:val="baseline"/>
                <w:lang w:eastAsia="zh-CN"/>
              </w:rPr>
              <w:t>24-2014）中生态环境影响评价范围：变电站、换流站、开关站、串补站生态环境影响评价范围为站场围墙外500m范围内。不涉及生态敏感区的输电线路段生态环境影响评价范围为线路边导线地面投影外两侧各300m内的带状区域，涉及生态敏感区的输电线路段生态环境影响评价范围为线路边导线地面投影外两侧各1000m的带状区域。根据这一原则和本项目特点，将评价范围作如下规定</w:t>
            </w:r>
            <w:r>
              <w:rPr>
                <w:rFonts w:hint="eastAsia" w:ascii="Times New Roman" w:cs="Times New Roman"/>
                <w:b w:val="0"/>
                <w:bCs w:val="0"/>
                <w:sz w:val="24"/>
                <w:szCs w:val="22"/>
                <w:vertAlign w:val="baseline"/>
                <w:lang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imes New Roman" w:cs="Times New Roman"/>
                <w:b w:val="0"/>
                <w:bCs w:val="0"/>
                <w:sz w:val="24"/>
                <w:szCs w:val="22"/>
                <w:vertAlign w:val="baseline"/>
                <w:lang w:eastAsia="zh-CN"/>
              </w:rPr>
            </w:pPr>
            <w:r>
              <w:rPr>
                <w:rFonts w:hint="eastAsia" w:ascii="Times New Roman" w:cs="Times New Roman"/>
                <w:b w:val="0"/>
                <w:bCs w:val="0"/>
                <w:sz w:val="24"/>
                <w:szCs w:val="22"/>
                <w:vertAlign w:val="baseline"/>
                <w:lang w:val="en-US" w:eastAsia="zh-CN"/>
              </w:rPr>
              <w:t>110</w:t>
            </w:r>
            <w:r>
              <w:rPr>
                <w:rFonts w:hint="default" w:ascii="Times New Roman" w:hAnsi="Times New Roman" w:cs="Times New Roman"/>
                <w:b w:val="0"/>
                <w:bCs w:val="0"/>
                <w:sz w:val="24"/>
                <w:szCs w:val="22"/>
                <w:vertAlign w:val="baseline"/>
                <w:lang w:eastAsia="zh-CN"/>
              </w:rPr>
              <w:t>kV输电线路：输电线路走廊两侧各300m带状区域</w:t>
            </w:r>
            <w:r>
              <w:rPr>
                <w:rFonts w:hint="eastAsia" w:ascii="Times New Roman" w:cs="Times New Roman"/>
                <w:b w:val="0"/>
                <w:bCs w:val="0"/>
                <w:sz w:val="24"/>
                <w:szCs w:val="22"/>
                <w:vertAlign w:val="baseline"/>
                <w:lang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本项目生态环境评价范围内无生态环境保护目标</w:t>
            </w:r>
            <w:r>
              <w:rPr>
                <w:rFonts w:hint="eastAsia" w:ascii="Times New Roman" w:cs="Times New Roman"/>
                <w:b w:val="0"/>
                <w:bCs w:val="0"/>
                <w:sz w:val="24"/>
                <w:szCs w:val="22"/>
                <w:vertAlign w:val="baseline"/>
                <w:lang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Times New Roman" w:hAnsi="Times New Roman" w:cs="Times New Roman" w:eastAsiaTheme="minorEastAsia"/>
                <w:b/>
                <w:bCs/>
                <w:color w:val="auto"/>
                <w:kern w:val="2"/>
                <w:sz w:val="28"/>
                <w:szCs w:val="28"/>
                <w:vertAlign w:val="baseline"/>
                <w:lang w:val="en-US" w:eastAsia="zh-CN" w:bidi="ar-SA"/>
              </w:rPr>
            </w:pPr>
            <w:r>
              <w:rPr>
                <w:rFonts w:hint="default" w:ascii="Times New Roman" w:hAnsi="Times New Roman" w:cs="Times New Roman" w:eastAsiaTheme="minorEastAsia"/>
                <w:b/>
                <w:bCs/>
                <w:color w:val="auto"/>
                <w:kern w:val="2"/>
                <w:sz w:val="28"/>
                <w:szCs w:val="28"/>
                <w:vertAlign w:val="baseline"/>
                <w:lang w:val="en-US" w:eastAsia="zh-CN" w:bidi="ar-SA"/>
              </w:rPr>
              <w:t xml:space="preserve">3.3 </w:t>
            </w:r>
            <w:r>
              <w:rPr>
                <w:rFonts w:hint="eastAsia" w:ascii="Times New Roman" w:hAnsi="Times New Roman" w:cs="Times New Roman" w:eastAsiaTheme="minorEastAsia"/>
                <w:b/>
                <w:bCs/>
                <w:color w:val="auto"/>
                <w:kern w:val="2"/>
                <w:sz w:val="28"/>
                <w:szCs w:val="28"/>
                <w:vertAlign w:val="baseline"/>
                <w:lang w:val="en-US" w:eastAsia="zh-CN" w:bidi="ar-SA"/>
              </w:rPr>
              <w:t>主要环境保护目标</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eastAsia="宋体" w:cs="Times New Roman"/>
                <w:bCs/>
                <w:color w:val="auto"/>
                <w:kern w:val="2"/>
                <w:sz w:val="24"/>
                <w:szCs w:val="24"/>
                <w:lang w:val="en-US" w:eastAsia="zh-CN" w:bidi="ar-SA"/>
              </w:rPr>
              <w:t>国家电投吴起高胜新能源50</w:t>
            </w:r>
            <w:r>
              <w:rPr>
                <w:rFonts w:hint="eastAsia" w:ascii="Times New Roman" w:hAnsi="Times New Roman" w:cs="Times New Roman"/>
                <w:bCs/>
                <w:color w:val="auto"/>
                <w:kern w:val="2"/>
                <w:sz w:val="24"/>
                <w:szCs w:val="24"/>
                <w:lang w:val="en-US" w:eastAsia="zh-CN" w:bidi="ar-SA"/>
              </w:rPr>
              <w:t>MW风</w:t>
            </w:r>
            <w:r>
              <w:rPr>
                <w:rFonts w:hint="default" w:ascii="Times New Roman" w:hAnsi="Times New Roman" w:eastAsia="宋体" w:cs="Times New Roman"/>
                <w:bCs/>
                <w:color w:val="auto"/>
                <w:kern w:val="2"/>
                <w:sz w:val="24"/>
                <w:szCs w:val="24"/>
                <w:lang w:val="en-US" w:eastAsia="zh-CN" w:bidi="ar-SA"/>
              </w:rPr>
              <w:t>电场110kV送出工程</w:t>
            </w:r>
            <w:r>
              <w:rPr>
                <w:rFonts w:hint="default" w:ascii="Times New Roman" w:hAnsi="Times New Roman" w:cs="Times New Roman"/>
                <w:b w:val="0"/>
                <w:bCs w:val="0"/>
                <w:sz w:val="24"/>
                <w:szCs w:val="22"/>
                <w:vertAlign w:val="baseline"/>
                <w:lang w:val="en-US" w:eastAsia="zh-CN"/>
              </w:rPr>
              <w:t>环境保护对象主要为工频</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电磁场和噪声评价范围内的公众。经过现场调查，本项目评价范围内保护目标列表如下。</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cs="Times New Roman"/>
                <w:b/>
                <w:bCs/>
                <w:sz w:val="21"/>
                <w:szCs w:val="20"/>
                <w:vertAlign w:val="baseline"/>
                <w:lang w:val="en-US" w:eastAsia="zh-CN"/>
              </w:rPr>
            </w:pPr>
            <w:r>
              <w:rPr>
                <w:rFonts w:hint="eastAsia" w:ascii="Times New Roman" w:hAnsi="Times New Roman" w:cs="Times New Roman"/>
                <w:b/>
                <w:bCs/>
                <w:sz w:val="21"/>
                <w:szCs w:val="20"/>
                <w:vertAlign w:val="baseline"/>
                <w:lang w:val="en-US" w:eastAsia="zh-CN"/>
              </w:rPr>
              <w:t>表3-3  环境保护目标一览表</w:t>
            </w:r>
          </w:p>
          <w:tbl>
            <w:tblPr>
              <w:tblStyle w:val="15"/>
              <w:tblW w:w="90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722"/>
              <w:gridCol w:w="1015"/>
              <w:gridCol w:w="845"/>
              <w:gridCol w:w="1185"/>
              <w:gridCol w:w="913"/>
              <w:gridCol w:w="1440"/>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工程</w:t>
                  </w:r>
                </w:p>
              </w:tc>
              <w:tc>
                <w:tcPr>
                  <w:tcW w:w="722"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环境要素</w:t>
                  </w:r>
                </w:p>
              </w:tc>
              <w:tc>
                <w:tcPr>
                  <w:tcW w:w="3045" w:type="dxa"/>
                  <w:gridSpan w:val="3"/>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保护目标</w:t>
                  </w:r>
                </w:p>
              </w:tc>
              <w:tc>
                <w:tcPr>
                  <w:tcW w:w="913"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距离线路方位</w:t>
                  </w:r>
                </w:p>
              </w:tc>
              <w:tc>
                <w:tcPr>
                  <w:tcW w:w="1440"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与边导线距离（m）</w:t>
                  </w:r>
                </w:p>
              </w:tc>
              <w:tc>
                <w:tcPr>
                  <w:tcW w:w="1839"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Times New Roman"/>
                      <w:b w:val="0"/>
                      <w:bCs w:val="0"/>
                      <w:sz w:val="21"/>
                      <w:szCs w:val="20"/>
                      <w:vertAlign w:val="baseline"/>
                      <w:lang w:val="en-US" w:eastAsia="zh-CN"/>
                    </w:rPr>
                  </w:pPr>
                </w:p>
              </w:tc>
              <w:tc>
                <w:tcPr>
                  <w:tcW w:w="722"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c>
                <w:tcPr>
                  <w:tcW w:w="101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性质</w:t>
                  </w:r>
                </w:p>
              </w:tc>
              <w:tc>
                <w:tcPr>
                  <w:tcW w:w="84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规模</w:t>
                  </w:r>
                </w:p>
              </w:tc>
              <w:tc>
                <w:tcPr>
                  <w:tcW w:w="118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特征</w:t>
                  </w:r>
                </w:p>
              </w:tc>
              <w:tc>
                <w:tcPr>
                  <w:tcW w:w="913"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c>
                <w:tcPr>
                  <w:tcW w:w="1440"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c>
                <w:tcPr>
                  <w:tcW w:w="1839"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6"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国家电投吴起高胜新能源50MW风电场110kV送出工程</w:t>
                  </w:r>
                </w:p>
              </w:tc>
              <w:tc>
                <w:tcPr>
                  <w:tcW w:w="722"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声环境</w:t>
                  </w:r>
                </w:p>
              </w:tc>
              <w:tc>
                <w:tcPr>
                  <w:tcW w:w="1015"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0"/>
                      <w:vertAlign w:val="baseline"/>
                      <w:lang w:val="en-US" w:eastAsia="zh-CN" w:bidi="ar-SA"/>
                    </w:rPr>
                  </w:pPr>
                  <w:r>
                    <w:rPr>
                      <w:rFonts w:hint="eastAsia" w:ascii="Times New Roman" w:hAnsi="Times New Roman" w:eastAsia="宋体" w:cs="Times New Roman"/>
                      <w:b w:val="0"/>
                      <w:bCs w:val="0"/>
                      <w:kern w:val="0"/>
                      <w:sz w:val="21"/>
                      <w:szCs w:val="20"/>
                      <w:vertAlign w:val="baseline"/>
                      <w:lang w:val="en-US" w:eastAsia="zh-CN" w:bidi="ar-SA"/>
                    </w:rPr>
                    <w:t>后河子沟村</w:t>
                  </w:r>
                </w:p>
              </w:tc>
              <w:tc>
                <w:tcPr>
                  <w:tcW w:w="84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6人</w:t>
                  </w:r>
                </w:p>
              </w:tc>
              <w:tc>
                <w:tcPr>
                  <w:tcW w:w="118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窑洞</w:t>
                  </w:r>
                </w:p>
              </w:tc>
              <w:tc>
                <w:tcPr>
                  <w:tcW w:w="913"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0"/>
                      <w:vertAlign w:val="baseline"/>
                      <w:lang w:val="en-US" w:eastAsia="zh-CN" w:bidi="ar-SA"/>
                    </w:rPr>
                  </w:pPr>
                  <w:r>
                    <w:rPr>
                      <w:rFonts w:hint="eastAsia" w:ascii="Times New Roman" w:hAnsi="Times New Roman" w:eastAsia="宋体" w:cs="Times New Roman"/>
                      <w:b w:val="0"/>
                      <w:bCs w:val="0"/>
                      <w:kern w:val="0"/>
                      <w:sz w:val="21"/>
                      <w:szCs w:val="20"/>
                      <w:vertAlign w:val="baseline"/>
                      <w:lang w:val="en-US" w:eastAsia="zh-CN" w:bidi="ar-SA"/>
                    </w:rPr>
                    <w:t>NE</w:t>
                  </w:r>
                </w:p>
              </w:tc>
              <w:tc>
                <w:tcPr>
                  <w:tcW w:w="1440"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0"/>
                      <w:vertAlign w:val="baseline"/>
                      <w:lang w:val="en-US" w:eastAsia="zh-CN" w:bidi="ar-SA"/>
                    </w:rPr>
                  </w:pPr>
                  <w:r>
                    <w:rPr>
                      <w:rFonts w:hint="eastAsia" w:ascii="Times New Roman" w:hAnsi="Times New Roman" w:eastAsia="宋体" w:cs="Times New Roman"/>
                      <w:b w:val="0"/>
                      <w:bCs w:val="0"/>
                      <w:kern w:val="0"/>
                      <w:sz w:val="21"/>
                      <w:szCs w:val="20"/>
                      <w:vertAlign w:val="baseline"/>
                      <w:lang w:val="en-US" w:eastAsia="zh-CN" w:bidi="ar-SA"/>
                    </w:rPr>
                    <w:t>140</w:t>
                  </w:r>
                </w:p>
              </w:tc>
              <w:tc>
                <w:tcPr>
                  <w:tcW w:w="1839"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《声环境质量标准》</w:t>
                  </w:r>
                </w:p>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（GB3096-2008）1类标准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6"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c>
                <w:tcPr>
                  <w:tcW w:w="722"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c>
                <w:tcPr>
                  <w:tcW w:w="1015"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0"/>
                      <w:vertAlign w:val="baseline"/>
                      <w:lang w:val="en-US" w:eastAsia="zh-CN" w:bidi="ar-SA"/>
                    </w:rPr>
                  </w:pPr>
                  <w:r>
                    <w:rPr>
                      <w:rFonts w:hint="eastAsia" w:ascii="Times New Roman" w:hAnsi="Times New Roman" w:eastAsia="宋体" w:cs="Times New Roman"/>
                      <w:b w:val="0"/>
                      <w:bCs w:val="0"/>
                      <w:kern w:val="0"/>
                      <w:sz w:val="21"/>
                      <w:szCs w:val="20"/>
                      <w:vertAlign w:val="baseline"/>
                      <w:lang w:val="en-US" w:eastAsia="zh-CN" w:bidi="ar-SA"/>
                    </w:rPr>
                    <w:t>安门村</w:t>
                  </w:r>
                </w:p>
              </w:tc>
              <w:tc>
                <w:tcPr>
                  <w:tcW w:w="84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25人</w:t>
                  </w:r>
                </w:p>
              </w:tc>
              <w:tc>
                <w:tcPr>
                  <w:tcW w:w="118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一层平房</w:t>
                  </w:r>
                </w:p>
              </w:tc>
              <w:tc>
                <w:tcPr>
                  <w:tcW w:w="913"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0"/>
                      <w:vertAlign w:val="baseline"/>
                      <w:lang w:val="en-US" w:eastAsia="zh-CN" w:bidi="ar-SA"/>
                    </w:rPr>
                  </w:pPr>
                  <w:r>
                    <w:rPr>
                      <w:rFonts w:hint="eastAsia" w:ascii="Times New Roman" w:hAnsi="Times New Roman" w:eastAsia="宋体" w:cs="Times New Roman"/>
                      <w:b w:val="0"/>
                      <w:bCs w:val="0"/>
                      <w:kern w:val="0"/>
                      <w:sz w:val="21"/>
                      <w:szCs w:val="20"/>
                      <w:vertAlign w:val="baseline"/>
                      <w:lang w:val="en-US" w:eastAsia="zh-CN" w:bidi="ar-SA"/>
                    </w:rPr>
                    <w:t>S</w:t>
                  </w:r>
                </w:p>
              </w:tc>
              <w:tc>
                <w:tcPr>
                  <w:tcW w:w="1440"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0"/>
                      <w:vertAlign w:val="baseline"/>
                      <w:lang w:val="en-US" w:eastAsia="zh-CN" w:bidi="ar-SA"/>
                    </w:rPr>
                  </w:pPr>
                  <w:r>
                    <w:rPr>
                      <w:rFonts w:hint="eastAsia" w:ascii="Times New Roman" w:hAnsi="Times New Roman" w:eastAsia="宋体" w:cs="Times New Roman"/>
                      <w:b w:val="0"/>
                      <w:bCs w:val="0"/>
                      <w:kern w:val="0"/>
                      <w:sz w:val="21"/>
                      <w:szCs w:val="20"/>
                      <w:vertAlign w:val="baseline"/>
                      <w:lang w:val="en-US" w:eastAsia="zh-CN" w:bidi="ar-SA"/>
                    </w:rPr>
                    <w:t>158</w:t>
                  </w:r>
                </w:p>
              </w:tc>
              <w:tc>
                <w:tcPr>
                  <w:tcW w:w="1839"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r>
          </w:tbl>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val="0"/>
                <w:bCs w:val="0"/>
                <w:sz w:val="24"/>
                <w:szCs w:val="22"/>
                <w:vertAlign w:val="baseline"/>
                <w:lang w:val="en-US" w:eastAsia="zh-CN"/>
              </w:rPr>
            </w:pP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val="en-US" w:eastAsia="zh-CN"/>
              </w:rPr>
            </w:pP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val="en-US" w:eastAsia="zh-CN"/>
              </w:rPr>
            </w:pPr>
          </w:p>
        </w:tc>
      </w:tr>
    </w:tbl>
    <w:p>
      <w:pPr>
        <w:rPr>
          <w:rFonts w:hint="eastAsia"/>
          <w:b w:val="0"/>
          <w:bCs w:val="0"/>
          <w:sz w:val="24"/>
          <w:szCs w:val="22"/>
          <w:lang w:eastAsia="zh-CN"/>
        </w:rPr>
      </w:pPr>
      <w:r>
        <w:rPr>
          <w:rFonts w:hint="eastAsia"/>
          <w:b w:val="0"/>
          <w:bCs w:val="0"/>
          <w:sz w:val="24"/>
          <w:szCs w:val="22"/>
          <w:lang w:eastAsia="zh-CN"/>
        </w:rPr>
        <w:br w:type="page"/>
      </w:r>
    </w:p>
    <w:p>
      <w:pPr>
        <w:pStyle w:val="3"/>
        <w:ind w:left="0" w:leftChars="0" w:firstLine="0" w:firstLineChars="0"/>
        <w:outlineLvl w:val="0"/>
        <w:rPr>
          <w:rFonts w:hint="eastAsia"/>
          <w:b/>
          <w:bCs/>
          <w:sz w:val="32"/>
          <w:szCs w:val="28"/>
          <w:lang w:eastAsia="zh-CN"/>
        </w:rPr>
      </w:pPr>
      <w:bookmarkStart w:id="5" w:name="_Toc20831"/>
      <w:r>
        <w:rPr>
          <w:rFonts w:hint="eastAsia"/>
          <w:b/>
          <w:bCs/>
          <w:sz w:val="32"/>
          <w:szCs w:val="28"/>
          <w:lang w:val="en-US" w:eastAsia="zh-CN"/>
        </w:rPr>
        <w:t xml:space="preserve">4 </w:t>
      </w:r>
      <w:r>
        <w:rPr>
          <w:rFonts w:hint="eastAsia"/>
          <w:b/>
          <w:bCs/>
          <w:sz w:val="32"/>
          <w:szCs w:val="28"/>
          <w:lang w:eastAsia="zh-CN"/>
        </w:rPr>
        <w:t>评价适用标准</w:t>
      </w:r>
      <w:bookmarkEnd w:id="5"/>
    </w:p>
    <w:tbl>
      <w:tblPr>
        <w:tblStyle w:val="15"/>
        <w:tblW w:w="9075"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8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Align w:val="center"/>
          </w:tcPr>
          <w:p>
            <w:pPr>
              <w:pStyle w:val="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default" w:ascii="Times New Roman" w:hAnsi="Times New Roman" w:cs="Times New Roman"/>
                <w:b/>
                <w:bCs/>
                <w:sz w:val="32"/>
                <w:szCs w:val="28"/>
                <w:vertAlign w:val="baseline"/>
                <w:lang w:eastAsia="zh-CN"/>
              </w:rPr>
            </w:pPr>
            <w:r>
              <w:rPr>
                <w:rFonts w:hint="default" w:ascii="Times New Roman" w:hAnsi="Times New Roman" w:cs="Times New Roman"/>
                <w:b/>
                <w:bCs/>
                <w:sz w:val="32"/>
                <w:szCs w:val="28"/>
                <w:vertAlign w:val="baseline"/>
                <w:lang w:eastAsia="zh-CN"/>
              </w:rPr>
              <w:t>环境质量标准</w:t>
            </w:r>
          </w:p>
        </w:tc>
        <w:tc>
          <w:tcPr>
            <w:tcW w:w="8415" w:type="dxa"/>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val="0"/>
                <w:bCs w:val="0"/>
                <w:sz w:val="24"/>
                <w:szCs w:val="22"/>
                <w:vertAlign w:val="baseline"/>
                <w:lang w:eastAsia="zh-CN"/>
              </w:rPr>
            </w:pPr>
          </w:p>
          <w:p>
            <w:pPr>
              <w:pStyle w:val="3"/>
              <w:keepNext w:val="0"/>
              <w:keepLines w:val="0"/>
              <w:pageBreakBefore w:val="0"/>
              <w:widowControl/>
              <w:numPr>
                <w:ilvl w:val="0"/>
                <w:numId w:val="4"/>
              </w:numPr>
              <w:kinsoku/>
              <w:wordWrap/>
              <w:overflowPunct/>
              <w:topLinePunct w:val="0"/>
              <w:autoSpaceDE w:val="0"/>
              <w:autoSpaceDN w:val="0"/>
              <w:bidi w:val="0"/>
              <w:adjustRightInd/>
              <w:snapToGrid/>
              <w:spacing w:line="360" w:lineRule="auto"/>
              <w:textAlignment w:val="auto"/>
              <w:rPr>
                <w:rFonts w:hint="eastAsia" w:ascii="Times New Roman" w:cs="Times New Roman"/>
                <w:b w:val="0"/>
                <w:bCs w:val="0"/>
                <w:sz w:val="24"/>
                <w:szCs w:val="22"/>
                <w:vertAlign w:val="baseline"/>
                <w:lang w:eastAsia="zh-CN"/>
              </w:rPr>
            </w:pPr>
            <w:r>
              <w:rPr>
                <w:rFonts w:hint="eastAsia" w:ascii="Times New Roman" w:cs="Times New Roman"/>
                <w:b w:val="0"/>
                <w:bCs w:val="0"/>
                <w:sz w:val="24"/>
                <w:szCs w:val="22"/>
                <w:vertAlign w:val="baseline"/>
                <w:lang w:eastAsia="zh-CN"/>
              </w:rPr>
              <w:t>大气环境：项目环境空气功能区为二类区，环境空气执行《环境空气质量标准》（</w:t>
            </w:r>
            <w:r>
              <w:rPr>
                <w:rFonts w:hint="eastAsia" w:ascii="Times New Roman" w:cs="Times New Roman"/>
                <w:b w:val="0"/>
                <w:bCs w:val="0"/>
                <w:sz w:val="24"/>
                <w:szCs w:val="22"/>
                <w:vertAlign w:val="baseline"/>
                <w:lang w:val="en-US" w:eastAsia="zh-CN"/>
              </w:rPr>
              <w:t>GB3095-2012</w:t>
            </w:r>
            <w:r>
              <w:rPr>
                <w:rFonts w:hint="eastAsia" w:ascii="Times New Roman" w:cs="Times New Roman"/>
                <w:b w:val="0"/>
                <w:bCs w:val="0"/>
                <w:sz w:val="24"/>
                <w:szCs w:val="22"/>
                <w:vertAlign w:val="baseline"/>
                <w:lang w:eastAsia="zh-CN"/>
              </w:rPr>
              <w:t>）中二级标准。</w:t>
            </w:r>
          </w:p>
          <w:p>
            <w:pPr>
              <w:pStyle w:val="3"/>
              <w:keepNext w:val="0"/>
              <w:keepLines w:val="0"/>
              <w:pageBreakBefore w:val="0"/>
              <w:widowControl/>
              <w:numPr>
                <w:ilvl w:val="0"/>
                <w:numId w:val="4"/>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电磁环境执行《电磁环境控制限值》（GB8702-2014）中表1</w:t>
            </w:r>
            <w:r>
              <w:rPr>
                <w:rFonts w:hint="eastAsia" w:ascii="Times New Roman" w:hAnsi="Times New Roman" w:cs="Times New Roman"/>
                <w:b w:val="0"/>
                <w:bCs w:val="0"/>
                <w:sz w:val="24"/>
                <w:szCs w:val="22"/>
                <w:vertAlign w:val="baseline"/>
                <w:lang w:eastAsia="zh-CN"/>
              </w:rPr>
              <w:t>“</w:t>
            </w:r>
            <w:r>
              <w:rPr>
                <w:rFonts w:hint="default" w:ascii="Times New Roman" w:hAnsi="Times New Roman" w:cs="Times New Roman"/>
                <w:b w:val="0"/>
                <w:bCs w:val="0"/>
                <w:sz w:val="24"/>
                <w:szCs w:val="22"/>
                <w:vertAlign w:val="baseline"/>
                <w:lang w:eastAsia="zh-CN"/>
              </w:rPr>
              <w:t>公众曝露控制限值</w:t>
            </w:r>
            <w:r>
              <w:rPr>
                <w:rFonts w:hint="eastAsia" w:ascii="Times New Roman" w:hAnsi="Times New Roman" w:cs="Times New Roman"/>
                <w:b w:val="0"/>
                <w:bCs w:val="0"/>
                <w:sz w:val="24"/>
                <w:szCs w:val="22"/>
                <w:vertAlign w:val="baseline"/>
                <w:lang w:eastAsia="zh-CN"/>
              </w:rPr>
              <w:t>”</w:t>
            </w:r>
            <w:r>
              <w:rPr>
                <w:rFonts w:hint="default" w:ascii="Times New Roman" w:hAnsi="Times New Roman" w:cs="Times New Roman"/>
                <w:b w:val="0"/>
                <w:bCs w:val="0"/>
                <w:sz w:val="24"/>
                <w:szCs w:val="22"/>
                <w:vertAlign w:val="baseline"/>
                <w:lang w:eastAsia="zh-CN"/>
              </w:rPr>
              <w:t>规定</w:t>
            </w:r>
            <w:r>
              <w:rPr>
                <w:rFonts w:hint="eastAsia" w:ascii="Times New Roman" w:hAnsi="Times New Roman" w:cs="Times New Roman"/>
                <w:b w:val="0"/>
                <w:bCs w:val="0"/>
                <w:sz w:val="24"/>
                <w:szCs w:val="22"/>
                <w:vertAlign w:val="baseline"/>
                <w:lang w:eastAsia="zh-CN"/>
              </w:rPr>
              <w:t>：</w:t>
            </w:r>
            <w:r>
              <w:rPr>
                <w:rFonts w:hint="default" w:ascii="Times New Roman" w:hAnsi="Times New Roman" w:cs="Times New Roman"/>
                <w:b w:val="0"/>
                <w:bCs w:val="0"/>
                <w:sz w:val="24"/>
                <w:szCs w:val="22"/>
                <w:vertAlign w:val="baseline"/>
                <w:lang w:eastAsia="zh-CN"/>
              </w:rPr>
              <w:t>对于频率为50H</w:t>
            </w:r>
            <w:r>
              <w:rPr>
                <w:rFonts w:hint="eastAsia" w:ascii="Times New Roman" w:hAnsi="Times New Roman" w:cs="Times New Roman"/>
                <w:b w:val="0"/>
                <w:bCs w:val="0"/>
                <w:sz w:val="24"/>
                <w:szCs w:val="22"/>
                <w:vertAlign w:val="baseline"/>
                <w:lang w:val="en-US" w:eastAsia="zh-CN"/>
              </w:rPr>
              <w:t>z</w:t>
            </w:r>
            <w:r>
              <w:rPr>
                <w:rFonts w:hint="default" w:ascii="Times New Roman" w:hAnsi="Times New Roman" w:cs="Times New Roman"/>
                <w:b w:val="0"/>
                <w:bCs w:val="0"/>
                <w:sz w:val="24"/>
                <w:szCs w:val="22"/>
                <w:vertAlign w:val="baseline"/>
                <w:lang w:eastAsia="zh-CN"/>
              </w:rPr>
              <w:t>环境中电场强度控制限值为4000V</w:t>
            </w:r>
            <w:r>
              <w:rPr>
                <w:rFonts w:hint="eastAsia" w:ascii="Times New Roman" w:hAns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eastAsia="zh-CN"/>
              </w:rPr>
              <w:t>m</w:t>
            </w:r>
            <w:r>
              <w:rPr>
                <w:rFonts w:hint="eastAsia" w:ascii="Times New Roman" w:hAnsi="Times New Roman" w:cs="Times New Roman"/>
                <w:b w:val="0"/>
                <w:bCs w:val="0"/>
                <w:sz w:val="24"/>
                <w:szCs w:val="22"/>
                <w:vertAlign w:val="baseline"/>
                <w:lang w:eastAsia="zh-CN"/>
              </w:rPr>
              <w:t>；</w:t>
            </w:r>
            <w:r>
              <w:rPr>
                <w:rFonts w:hint="default" w:ascii="Times New Roman" w:hAnsi="Times New Roman" w:cs="Times New Roman"/>
                <w:b w:val="0"/>
                <w:bCs w:val="0"/>
                <w:sz w:val="24"/>
                <w:szCs w:val="22"/>
                <w:vertAlign w:val="baseline"/>
                <w:lang w:eastAsia="zh-CN"/>
              </w:rPr>
              <w:t>磁感应强度控制限值为100μT</w:t>
            </w:r>
            <w:r>
              <w:rPr>
                <w:rFonts w:hint="eastAsia" w:ascii="Times New Roman" w:hAnsi="Times New Roman" w:cs="Times New Roman"/>
                <w:b w:val="0"/>
                <w:bCs w:val="0"/>
                <w:sz w:val="24"/>
                <w:szCs w:val="22"/>
                <w:vertAlign w:val="baseline"/>
                <w:lang w:eastAsia="zh-CN"/>
              </w:rPr>
              <w:t>。</w:t>
            </w:r>
          </w:p>
          <w:p>
            <w:pPr>
              <w:pStyle w:val="3"/>
              <w:keepNext w:val="0"/>
              <w:keepLines w:val="0"/>
              <w:pageBreakBefore w:val="0"/>
              <w:widowControl/>
              <w:numPr>
                <w:ilvl w:val="0"/>
                <w:numId w:val="4"/>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声环境：本项目位于山区，根据</w:t>
            </w:r>
            <w:r>
              <w:rPr>
                <w:rFonts w:hint="eastAsia" w:ascii="Times New Roman" w:hAnsi="Times New Roman" w:cs="Times New Roman"/>
                <w:b w:val="0"/>
                <w:bCs w:val="0"/>
                <w:sz w:val="24"/>
                <w:szCs w:val="22"/>
                <w:vertAlign w:val="baseline"/>
                <w:lang w:eastAsia="zh-CN"/>
              </w:rPr>
              <w:t>“</w:t>
            </w:r>
            <w:r>
              <w:rPr>
                <w:rFonts w:hint="default" w:ascii="Times New Roman" w:hAnsi="Times New Roman" w:cs="Times New Roman"/>
                <w:b w:val="0"/>
                <w:bCs w:val="0"/>
                <w:sz w:val="24"/>
                <w:szCs w:val="22"/>
                <w:vertAlign w:val="baseline"/>
                <w:lang w:eastAsia="zh-CN"/>
              </w:rPr>
              <w:t>《声环境质量标准》（GB3096-2008）7.2乡村声环境功能的确定</w:t>
            </w:r>
            <w:r>
              <w:rPr>
                <w:rFonts w:hint="eastAsia" w:ascii="Times New Roman" w:cs="Times New Roman"/>
                <w:b w:val="0"/>
                <w:bCs w:val="0"/>
                <w:sz w:val="24"/>
                <w:szCs w:val="22"/>
                <w:vertAlign w:val="baseline"/>
                <w:lang w:val="en-US" w:eastAsia="zh-CN"/>
              </w:rPr>
              <w:t xml:space="preserve"> </w:t>
            </w:r>
            <w:r>
              <w:rPr>
                <w:rFonts w:hint="default" w:ascii="Times New Roman" w:hAnsi="Times New Roman" w:cs="Times New Roman"/>
                <w:b w:val="0"/>
                <w:bCs w:val="0"/>
                <w:sz w:val="24"/>
                <w:szCs w:val="22"/>
                <w:vertAlign w:val="baseline"/>
                <w:lang w:eastAsia="zh-CN"/>
              </w:rPr>
              <w:t>b）村庄原则上执行1类声环境功能区要求</w:t>
            </w:r>
            <w:r>
              <w:rPr>
                <w:rFonts w:hint="eastAsia" w:ascii="Times New Roman" w:hAnsi="Times New Roman" w:cs="Times New Roman"/>
                <w:b w:val="0"/>
                <w:bCs w:val="0"/>
                <w:sz w:val="24"/>
                <w:szCs w:val="22"/>
                <w:vertAlign w:val="baseline"/>
                <w:lang w:eastAsia="zh-CN"/>
              </w:rPr>
              <w:t>”</w:t>
            </w:r>
            <w:r>
              <w:rPr>
                <w:rFonts w:hint="default" w:ascii="Times New Roman" w:hAnsi="Times New Roman" w:cs="Times New Roman"/>
                <w:b w:val="0"/>
                <w:bCs w:val="0"/>
                <w:sz w:val="24"/>
                <w:szCs w:val="22"/>
                <w:vertAlign w:val="baseline"/>
                <w:lang w:eastAsia="zh-CN"/>
              </w:rPr>
              <w:t>，本项</w:t>
            </w:r>
            <w:r>
              <w:rPr>
                <w:rFonts w:hint="eastAsia" w:ascii="Times New Roman" w:hAnsi="Times New Roman" w:cs="Times New Roman"/>
                <w:b w:val="0"/>
                <w:bCs w:val="0"/>
                <w:sz w:val="24"/>
                <w:szCs w:val="22"/>
                <w:vertAlign w:val="baseline"/>
                <w:lang w:eastAsia="zh-CN"/>
              </w:rPr>
              <w:t>目</w:t>
            </w:r>
            <w:r>
              <w:rPr>
                <w:rFonts w:hint="default" w:ascii="Times New Roman" w:hAnsi="Times New Roman" w:cs="Times New Roman"/>
                <w:b w:val="0"/>
                <w:bCs w:val="0"/>
                <w:sz w:val="24"/>
                <w:szCs w:val="22"/>
                <w:vertAlign w:val="baseline"/>
                <w:lang w:eastAsia="zh-CN"/>
              </w:rPr>
              <w:t>声环境执行《声环境质量标准》（GB3096-2008）中1类标准</w:t>
            </w:r>
            <w:r>
              <w:rPr>
                <w:rFonts w:hint="eastAsia" w:ascii="Times New Roman" w:hAnsi="Times New Roman" w:cs="Times New Roman"/>
                <w:b w:val="0"/>
                <w:bCs w:val="0"/>
                <w:sz w:val="24"/>
                <w:szCs w:val="22"/>
                <w:vertAlign w:val="baseline"/>
                <w:lang w:eastAsia="zh-CN"/>
              </w:rPr>
              <w:t>。</w:t>
            </w:r>
          </w:p>
          <w:p>
            <w:pPr>
              <w:pStyle w:val="3"/>
              <w:keepNext w:val="0"/>
              <w:keepLines w:val="0"/>
              <w:pageBreakBefore w:val="0"/>
              <w:widowControl/>
              <w:numPr>
                <w:ilvl w:val="0"/>
                <w:numId w:val="0"/>
              </w:numPr>
              <w:kinsoku/>
              <w:wordWrap/>
              <w:overflowPunct/>
              <w:topLinePunct w:val="0"/>
              <w:autoSpaceDE w:val="0"/>
              <w:autoSpaceDN w:val="0"/>
              <w:bidi w:val="0"/>
              <w:adjustRightInd/>
              <w:snapToGrid/>
              <w:spacing w:line="360" w:lineRule="auto"/>
              <w:jc w:val="center"/>
              <w:textAlignment w:val="auto"/>
              <w:rPr>
                <w:rFonts w:hint="eastAsia" w:ascii="Times New Roman" w:hAnsi="Times New Roman" w:cs="Times New Roman"/>
                <w:b/>
                <w:bCs/>
                <w:sz w:val="21"/>
                <w:szCs w:val="20"/>
                <w:vertAlign w:val="baseline"/>
                <w:lang w:val="en-US" w:eastAsia="zh-CN"/>
              </w:rPr>
            </w:pPr>
            <w:r>
              <w:rPr>
                <w:rFonts w:hint="eastAsia" w:ascii="Times New Roman" w:hAnsi="Times New Roman" w:cs="Times New Roman"/>
                <w:b/>
                <w:bCs/>
                <w:sz w:val="21"/>
                <w:szCs w:val="20"/>
                <w:vertAlign w:val="baseline"/>
                <w:lang w:eastAsia="zh-CN"/>
              </w:rPr>
              <w:t>表</w:t>
            </w:r>
            <w:r>
              <w:rPr>
                <w:rFonts w:hint="eastAsia" w:ascii="Times New Roman" w:hAnsi="Times New Roman" w:cs="Times New Roman"/>
                <w:b/>
                <w:bCs/>
                <w:sz w:val="21"/>
                <w:szCs w:val="20"/>
                <w:vertAlign w:val="baseline"/>
                <w:lang w:val="en-US" w:eastAsia="zh-CN"/>
              </w:rPr>
              <w:t>4-1  本项目执行环境质量标准一览表</w:t>
            </w:r>
          </w:p>
          <w:tbl>
            <w:tblPr>
              <w:tblStyle w:val="15"/>
              <w:tblW w:w="8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2235"/>
              <w:gridCol w:w="1455"/>
              <w:gridCol w:w="1275"/>
              <w:gridCol w:w="1665"/>
              <w:gridCol w:w="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bCs/>
                      <w:sz w:val="21"/>
                      <w:szCs w:val="20"/>
                      <w:vertAlign w:val="baseline"/>
                      <w:lang w:val="en-US" w:eastAsia="zh-CN"/>
                    </w:rPr>
                  </w:pPr>
                  <w:r>
                    <w:rPr>
                      <w:rFonts w:hint="eastAsia" w:ascii="Times New Roman" w:hAnsi="Times New Roman" w:cs="Times New Roman"/>
                      <w:b/>
                      <w:bCs/>
                      <w:sz w:val="21"/>
                      <w:szCs w:val="20"/>
                      <w:vertAlign w:val="baseline"/>
                      <w:lang w:val="en-US" w:eastAsia="zh-CN"/>
                    </w:rPr>
                    <w:t>要素分类</w:t>
                  </w:r>
                </w:p>
              </w:tc>
              <w:tc>
                <w:tcPr>
                  <w:tcW w:w="2235" w:type="dxa"/>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bCs/>
                      <w:sz w:val="21"/>
                      <w:szCs w:val="20"/>
                      <w:vertAlign w:val="baseline"/>
                      <w:lang w:val="en-US" w:eastAsia="zh-CN"/>
                    </w:rPr>
                  </w:pPr>
                  <w:r>
                    <w:rPr>
                      <w:rFonts w:hint="eastAsia" w:ascii="Times New Roman" w:hAnsi="Times New Roman" w:cs="Times New Roman"/>
                      <w:b/>
                      <w:bCs/>
                      <w:sz w:val="21"/>
                      <w:szCs w:val="20"/>
                      <w:vertAlign w:val="baseline"/>
                      <w:lang w:val="en-US" w:eastAsia="zh-CN"/>
                    </w:rPr>
                    <w:t>标准名称</w:t>
                  </w:r>
                </w:p>
              </w:tc>
              <w:tc>
                <w:tcPr>
                  <w:tcW w:w="1455" w:type="dxa"/>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bCs/>
                      <w:sz w:val="21"/>
                      <w:szCs w:val="20"/>
                      <w:vertAlign w:val="baseline"/>
                      <w:lang w:val="en-US" w:eastAsia="zh-CN"/>
                    </w:rPr>
                  </w:pPr>
                  <w:r>
                    <w:rPr>
                      <w:rFonts w:hint="eastAsia" w:ascii="Times New Roman" w:hAnsi="Times New Roman" w:cs="Times New Roman"/>
                      <w:b/>
                      <w:bCs/>
                      <w:sz w:val="21"/>
                      <w:szCs w:val="20"/>
                      <w:vertAlign w:val="baseline"/>
                      <w:lang w:val="en-US" w:eastAsia="zh-CN"/>
                    </w:rPr>
                    <w:t>适用类别</w:t>
                  </w:r>
                </w:p>
              </w:tc>
              <w:tc>
                <w:tcPr>
                  <w:tcW w:w="1275" w:type="dxa"/>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bCs/>
                      <w:sz w:val="21"/>
                      <w:szCs w:val="20"/>
                      <w:vertAlign w:val="baseline"/>
                      <w:lang w:val="en-US" w:eastAsia="zh-CN"/>
                    </w:rPr>
                  </w:pPr>
                  <w:r>
                    <w:rPr>
                      <w:rFonts w:hint="eastAsia" w:ascii="Times New Roman" w:hAnsi="Times New Roman" w:cs="Times New Roman"/>
                      <w:b/>
                      <w:bCs/>
                      <w:sz w:val="21"/>
                      <w:szCs w:val="20"/>
                      <w:vertAlign w:val="baseline"/>
                      <w:lang w:val="en-US" w:eastAsia="zh-CN"/>
                    </w:rPr>
                    <w:t>参数名称</w:t>
                  </w:r>
                </w:p>
              </w:tc>
              <w:tc>
                <w:tcPr>
                  <w:tcW w:w="1665" w:type="dxa"/>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bCs/>
                      <w:sz w:val="21"/>
                      <w:szCs w:val="20"/>
                      <w:vertAlign w:val="baseline"/>
                      <w:lang w:val="en-US" w:eastAsia="zh-CN"/>
                    </w:rPr>
                  </w:pPr>
                  <w:r>
                    <w:rPr>
                      <w:rFonts w:hint="eastAsia" w:ascii="Times New Roman" w:hAnsi="Times New Roman" w:cs="Times New Roman"/>
                      <w:b/>
                      <w:bCs/>
                      <w:sz w:val="21"/>
                      <w:szCs w:val="20"/>
                      <w:vertAlign w:val="baseline"/>
                      <w:lang w:val="en-US" w:eastAsia="zh-CN"/>
                    </w:rPr>
                    <w:t>限值</w:t>
                  </w:r>
                </w:p>
              </w:tc>
              <w:tc>
                <w:tcPr>
                  <w:tcW w:w="827" w:type="dxa"/>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bCs/>
                      <w:sz w:val="21"/>
                      <w:szCs w:val="20"/>
                      <w:vertAlign w:val="baseline"/>
                      <w:lang w:val="en-US" w:eastAsia="zh-CN"/>
                    </w:rPr>
                  </w:pPr>
                  <w:r>
                    <w:rPr>
                      <w:rFonts w:hint="eastAsia" w:ascii="Times New Roman" w:hAnsi="Times New Roman" w:cs="Times New Roman"/>
                      <w:b/>
                      <w:bCs/>
                      <w:sz w:val="21"/>
                      <w:szCs w:val="20"/>
                      <w:vertAlign w:val="baseline"/>
                      <w:lang w:val="en-US" w:eastAsia="zh-CN"/>
                    </w:rPr>
                    <w:t>评价对象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电磁环境</w:t>
                  </w:r>
                </w:p>
              </w:tc>
              <w:tc>
                <w:tcPr>
                  <w:tcW w:w="2235" w:type="dxa"/>
                  <w:vMerge w:val="restart"/>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《电磁环境控制限值》</w:t>
                  </w:r>
                </w:p>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（GB8702-2014）</w:t>
                  </w:r>
                </w:p>
              </w:tc>
              <w:tc>
                <w:tcPr>
                  <w:tcW w:w="1455" w:type="dxa"/>
                  <w:vMerge w:val="restart"/>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0.025~1.2kHz</w:t>
                  </w:r>
                </w:p>
              </w:tc>
              <w:tc>
                <w:tcPr>
                  <w:tcW w:w="1275" w:type="dxa"/>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电场强度</w:t>
                  </w:r>
                </w:p>
              </w:tc>
              <w:tc>
                <w:tcPr>
                  <w:tcW w:w="1665" w:type="dxa"/>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4000V/m</w:t>
                  </w:r>
                </w:p>
              </w:tc>
              <w:tc>
                <w:tcPr>
                  <w:tcW w:w="827" w:type="dxa"/>
                  <w:vMerge w:val="restart"/>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项目所处区域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p>
              </w:tc>
              <w:tc>
                <w:tcPr>
                  <w:tcW w:w="2235" w:type="dxa"/>
                  <w:vMerge w:val="continue"/>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p>
              </w:tc>
              <w:tc>
                <w:tcPr>
                  <w:tcW w:w="1455" w:type="dxa"/>
                  <w:vMerge w:val="continue"/>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p>
              </w:tc>
              <w:tc>
                <w:tcPr>
                  <w:tcW w:w="1275" w:type="dxa"/>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磁感应强度</w:t>
                  </w:r>
                </w:p>
              </w:tc>
              <w:tc>
                <w:tcPr>
                  <w:tcW w:w="1665" w:type="dxa"/>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100μT</w:t>
                  </w:r>
                </w:p>
              </w:tc>
              <w:tc>
                <w:tcPr>
                  <w:tcW w:w="827" w:type="dxa"/>
                  <w:vMerge w:val="continue"/>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p>
              </w:tc>
              <w:tc>
                <w:tcPr>
                  <w:tcW w:w="6630" w:type="dxa"/>
                  <w:gridSpan w:val="4"/>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left"/>
                    <w:textAlignment w:val="auto"/>
                    <w:rPr>
                      <w:rFonts w:hint="eastAsia"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架空输电线路线下的耕地、园地、牧草地、畜禽饲养地、养殖水面、道路等场所，其频率50Hz的电场强度控制限值为10kV/m，且应给出警示和防护指示标志。</w:t>
                  </w:r>
                </w:p>
              </w:tc>
              <w:tc>
                <w:tcPr>
                  <w:tcW w:w="827" w:type="dxa"/>
                  <w:vMerge w:val="continue"/>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restart"/>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声环境</w:t>
                  </w:r>
                </w:p>
              </w:tc>
              <w:tc>
                <w:tcPr>
                  <w:tcW w:w="2235" w:type="dxa"/>
                  <w:vMerge w:val="restart"/>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《声环境质量标准》</w:t>
                  </w:r>
                </w:p>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（GB3096-2008）</w:t>
                  </w:r>
                </w:p>
              </w:tc>
              <w:tc>
                <w:tcPr>
                  <w:tcW w:w="1455" w:type="dxa"/>
                  <w:vMerge w:val="restart"/>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1类</w:t>
                  </w:r>
                </w:p>
              </w:tc>
              <w:tc>
                <w:tcPr>
                  <w:tcW w:w="1275" w:type="dxa"/>
                  <w:vMerge w:val="restart"/>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等效连续A声级</w:t>
                  </w:r>
                </w:p>
              </w:tc>
              <w:tc>
                <w:tcPr>
                  <w:tcW w:w="1665" w:type="dxa"/>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昼间：55dB（A）</w:t>
                  </w:r>
                </w:p>
              </w:tc>
              <w:tc>
                <w:tcPr>
                  <w:tcW w:w="827" w:type="dxa"/>
                  <w:vMerge w:val="continue"/>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Merge w:val="continue"/>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p>
              </w:tc>
              <w:tc>
                <w:tcPr>
                  <w:tcW w:w="2235" w:type="dxa"/>
                  <w:vMerge w:val="continue"/>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p>
              </w:tc>
              <w:tc>
                <w:tcPr>
                  <w:tcW w:w="1455" w:type="dxa"/>
                  <w:vMerge w:val="continue"/>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p>
              </w:tc>
              <w:tc>
                <w:tcPr>
                  <w:tcW w:w="1275" w:type="dxa"/>
                  <w:vMerge w:val="continue"/>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p>
              </w:tc>
              <w:tc>
                <w:tcPr>
                  <w:tcW w:w="1665" w:type="dxa"/>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夜</w:t>
                  </w:r>
                  <w:r>
                    <w:rPr>
                      <w:rFonts w:hint="eastAsia" w:ascii="Times New Roman" w:hAnsi="Times New Roman" w:cs="Times New Roman"/>
                      <w:b w:val="0"/>
                      <w:bCs w:val="0"/>
                      <w:sz w:val="21"/>
                      <w:szCs w:val="20"/>
                      <w:vertAlign w:val="baseline"/>
                      <w:lang w:val="en-US" w:eastAsia="zh-CN"/>
                    </w:rPr>
                    <w:t>间：</w:t>
                  </w:r>
                  <w:r>
                    <w:rPr>
                      <w:rFonts w:hint="eastAsia" w:ascii="Times New Roman" w:cs="Times New Roman"/>
                      <w:b w:val="0"/>
                      <w:bCs w:val="0"/>
                      <w:sz w:val="21"/>
                      <w:szCs w:val="20"/>
                      <w:vertAlign w:val="baseline"/>
                      <w:lang w:val="en-US" w:eastAsia="zh-CN"/>
                    </w:rPr>
                    <w:t>45</w:t>
                  </w:r>
                  <w:r>
                    <w:rPr>
                      <w:rFonts w:hint="eastAsia" w:ascii="Times New Roman" w:hAnsi="Times New Roman" w:cs="Times New Roman"/>
                      <w:b w:val="0"/>
                      <w:bCs w:val="0"/>
                      <w:sz w:val="21"/>
                      <w:szCs w:val="20"/>
                      <w:vertAlign w:val="baseline"/>
                      <w:lang w:val="en-US" w:eastAsia="zh-CN"/>
                    </w:rPr>
                    <w:t>dB（A）</w:t>
                  </w:r>
                </w:p>
              </w:tc>
              <w:tc>
                <w:tcPr>
                  <w:tcW w:w="827" w:type="dxa"/>
                  <w:vMerge w:val="continue"/>
                  <w:vAlign w:val="center"/>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240" w:lineRule="auto"/>
                    <w:jc w:val="center"/>
                    <w:textAlignment w:val="auto"/>
                    <w:rPr>
                      <w:rFonts w:hint="eastAsia" w:ascii="Times New Roman" w:hAnsi="Times New Roman" w:cs="Times New Roman"/>
                      <w:b w:val="0"/>
                      <w:bCs w:val="0"/>
                      <w:sz w:val="21"/>
                      <w:szCs w:val="20"/>
                      <w:vertAlign w:val="baseline"/>
                      <w:lang w:val="en-US" w:eastAsia="zh-CN"/>
                    </w:rPr>
                  </w:pPr>
                </w:p>
              </w:tc>
            </w:tr>
          </w:tbl>
          <w:p>
            <w:pPr>
              <w:pStyle w:val="3"/>
              <w:keepNext w:val="0"/>
              <w:keepLines w:val="0"/>
              <w:pageBreakBefore w:val="0"/>
              <w:widowControl/>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eastAsia="zh-CN"/>
              </w:rPr>
            </w:pPr>
          </w:p>
          <w:p>
            <w:pPr>
              <w:pStyle w:val="3"/>
              <w:keepNext w:val="0"/>
              <w:keepLines w:val="0"/>
              <w:pageBreakBefore w:val="0"/>
              <w:widowControl/>
              <w:numPr>
                <w:ilvl w:val="0"/>
                <w:numId w:val="0"/>
              </w:numPr>
              <w:kinsoku/>
              <w:wordWrap/>
              <w:overflowPunct/>
              <w:topLinePunct w:val="0"/>
              <w:autoSpaceDE w:val="0"/>
              <w:autoSpaceDN w:val="0"/>
              <w:bidi w:val="0"/>
              <w:adjustRightInd/>
              <w:snapToGrid/>
              <w:spacing w:line="360" w:lineRule="auto"/>
              <w:jc w:val="both"/>
              <w:textAlignment w:val="auto"/>
              <w:rPr>
                <w:rFonts w:hint="default" w:ascii="Times New Roman" w:hAnsi="Times New Roman" w:cs="Times New Roman"/>
                <w:b w:val="0"/>
                <w:bCs w:val="0"/>
                <w:sz w:val="24"/>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Align w:val="center"/>
          </w:tcPr>
          <w:p>
            <w:pPr>
              <w:pStyle w:val="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default" w:ascii="Times New Roman" w:hAnsi="Times New Roman" w:cs="Times New Roman"/>
                <w:b/>
                <w:bCs/>
                <w:sz w:val="32"/>
                <w:szCs w:val="28"/>
                <w:vertAlign w:val="baseline"/>
                <w:lang w:eastAsia="zh-CN"/>
              </w:rPr>
            </w:pPr>
            <w:r>
              <w:rPr>
                <w:rFonts w:hint="eastAsia" w:ascii="Times New Roman" w:hAnsi="Times New Roman" w:cs="Times New Roman"/>
                <w:b/>
                <w:bCs/>
                <w:sz w:val="32"/>
                <w:szCs w:val="28"/>
                <w:vertAlign w:val="baseline"/>
                <w:lang w:eastAsia="zh-CN"/>
              </w:rPr>
              <w:t>污染物排放标准</w:t>
            </w:r>
          </w:p>
        </w:tc>
        <w:tc>
          <w:tcPr>
            <w:tcW w:w="8415" w:type="dxa"/>
          </w:tcPr>
          <w:p>
            <w:pPr>
              <w:pStyle w:val="3"/>
              <w:keepNext w:val="0"/>
              <w:keepLines w:val="0"/>
              <w:pageBreakBefore w:val="0"/>
              <w:widowControl/>
              <w:numPr>
                <w:ilvl w:val="0"/>
                <w:numId w:val="0"/>
              </w:numPr>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val="0"/>
                <w:bCs w:val="0"/>
                <w:sz w:val="24"/>
                <w:szCs w:val="22"/>
                <w:vertAlign w:val="baseline"/>
                <w:lang w:val="en-US" w:eastAsia="zh-CN"/>
              </w:rPr>
            </w:pPr>
          </w:p>
          <w:p>
            <w:pPr>
              <w:pStyle w:val="3"/>
              <w:keepNext w:val="0"/>
              <w:keepLines w:val="0"/>
              <w:pageBreakBefore w:val="0"/>
              <w:widowControl/>
              <w:numPr>
                <w:ilvl w:val="0"/>
                <w:numId w:val="5"/>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施工期扬尘排放执行《施工场界扬尘排放限制》（DB6l/1078-2017）相关要求。</w:t>
            </w:r>
          </w:p>
          <w:p>
            <w:pPr>
              <w:pStyle w:val="3"/>
              <w:keepNext w:val="0"/>
              <w:keepLines w:val="0"/>
              <w:pageBreakBefore w:val="0"/>
              <w:widowControl/>
              <w:numPr>
                <w:ilvl w:val="0"/>
                <w:numId w:val="5"/>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施工期噪声排放执行《建筑施工场界环境噪声排放标准》（GB12523-2011）中的标准；运营期噪声执行《声环境质量标准》（GB3096-2008）中1类标准。</w:t>
            </w:r>
          </w:p>
          <w:p>
            <w:pPr>
              <w:pStyle w:val="3"/>
              <w:keepNext w:val="0"/>
              <w:keepLines w:val="0"/>
              <w:pageBreakBefore w:val="0"/>
              <w:widowControl/>
              <w:numPr>
                <w:ilvl w:val="0"/>
                <w:numId w:val="5"/>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施工期废水不外排，运营期无废水产生。</w:t>
            </w:r>
          </w:p>
          <w:p>
            <w:pPr>
              <w:pStyle w:val="3"/>
              <w:keepNext w:val="0"/>
              <w:keepLines w:val="0"/>
              <w:pageBreakBefore w:val="0"/>
              <w:widowControl/>
              <w:numPr>
                <w:ilvl w:val="0"/>
                <w:numId w:val="5"/>
              </w:numPr>
              <w:kinsoku/>
              <w:wordWrap/>
              <w:overflowPunct/>
              <w:topLinePunct w:val="0"/>
              <w:autoSpaceDE w:val="0"/>
              <w:autoSpaceDN w:val="0"/>
              <w:bidi w:val="0"/>
              <w:adjustRightInd/>
              <w:snapToGrid/>
              <w:spacing w:line="360" w:lineRule="auto"/>
              <w:ind w:left="0" w:leftChars="0" w:firstLine="480" w:firstLineChars="200"/>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电磁环境执行《电磁环境控制限值》（GB8702-2014）中的规定。</w:t>
            </w:r>
          </w:p>
          <w:p>
            <w:pPr>
              <w:pStyle w:val="3"/>
              <w:keepNext w:val="0"/>
              <w:keepLines w:val="0"/>
              <w:pageBreakBefore w:val="0"/>
              <w:widowControl/>
              <w:numPr>
                <w:ilvl w:val="0"/>
                <w:numId w:val="5"/>
              </w:numPr>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其他要素评价执行国家有关规定的标准。</w:t>
            </w:r>
          </w:p>
          <w:p>
            <w:pPr>
              <w:pStyle w:val="3"/>
              <w:keepNext w:val="0"/>
              <w:keepLines w:val="0"/>
              <w:pageBreakBefore w:val="0"/>
              <w:widowControl/>
              <w:numPr>
                <w:ilvl w:val="0"/>
                <w:numId w:val="0"/>
              </w:numPr>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0" w:type="dxa"/>
            <w:vAlign w:val="center"/>
          </w:tcPr>
          <w:p>
            <w:pPr>
              <w:pStyle w:val="3"/>
              <w:keepNext w:val="0"/>
              <w:keepLines w:val="0"/>
              <w:pageBreakBefore w:val="0"/>
              <w:widowControl/>
              <w:kinsoku/>
              <w:wordWrap/>
              <w:overflowPunct/>
              <w:topLinePunct w:val="0"/>
              <w:autoSpaceDE w:val="0"/>
              <w:autoSpaceDN w:val="0"/>
              <w:bidi w:val="0"/>
              <w:adjustRightInd/>
              <w:snapToGrid/>
              <w:ind w:left="0" w:leftChars="0" w:firstLine="0" w:firstLineChars="0"/>
              <w:jc w:val="center"/>
              <w:textAlignment w:val="auto"/>
              <w:rPr>
                <w:rFonts w:hint="default" w:ascii="Times New Roman" w:hAnsi="Times New Roman" w:cs="Times New Roman"/>
                <w:b/>
                <w:bCs/>
                <w:sz w:val="32"/>
                <w:szCs w:val="28"/>
                <w:vertAlign w:val="baseline"/>
                <w:lang w:eastAsia="zh-CN"/>
              </w:rPr>
            </w:pPr>
            <w:r>
              <w:rPr>
                <w:rFonts w:hint="eastAsia" w:ascii="Times New Roman" w:hAnsi="Times New Roman" w:cs="Times New Roman"/>
                <w:b/>
                <w:bCs/>
                <w:sz w:val="32"/>
                <w:szCs w:val="28"/>
                <w:vertAlign w:val="baseline"/>
                <w:lang w:eastAsia="zh-CN"/>
              </w:rPr>
              <w:t>总量控制指标</w:t>
            </w:r>
          </w:p>
        </w:tc>
        <w:tc>
          <w:tcPr>
            <w:tcW w:w="8415" w:type="dxa"/>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default" w:ascii="Times New Roman" w:hAnsi="Times New Roman" w:cs="Times New Roman"/>
                <w:b w:val="0"/>
                <w:bCs w:val="0"/>
                <w:sz w:val="24"/>
                <w:szCs w:val="22"/>
                <w:vertAlign w:val="baseline"/>
                <w:lang w:eastAsia="zh-CN"/>
              </w:rPr>
            </w:pPr>
            <w:r>
              <w:rPr>
                <w:rFonts w:hint="default" w:ascii="Times New Roman" w:hAnsi="Times New Roman" w:cs="Times New Roman"/>
                <w:b w:val="0"/>
                <w:bCs w:val="0"/>
                <w:sz w:val="24"/>
                <w:szCs w:val="22"/>
                <w:vertAlign w:val="baseline"/>
                <w:lang w:eastAsia="zh-CN"/>
              </w:rPr>
              <w:t>结合本工程工艺特征及排污特点：无废水废气外排。故本工程不申请总量控制指标。</w:t>
            </w:r>
          </w:p>
        </w:tc>
      </w:tr>
    </w:tbl>
    <w:p>
      <w:pPr>
        <w:rPr>
          <w:rFonts w:hint="eastAsia"/>
          <w:b/>
          <w:bCs/>
          <w:sz w:val="32"/>
          <w:szCs w:val="28"/>
          <w:lang w:eastAsia="zh-CN"/>
        </w:rPr>
      </w:pPr>
      <w:r>
        <w:rPr>
          <w:rFonts w:hint="eastAsia"/>
          <w:b/>
          <w:bCs/>
          <w:sz w:val="32"/>
          <w:szCs w:val="28"/>
          <w:lang w:eastAsia="zh-CN"/>
        </w:rPr>
        <w:br w:type="page"/>
      </w:r>
    </w:p>
    <w:p>
      <w:pPr>
        <w:pStyle w:val="3"/>
        <w:ind w:left="0" w:leftChars="0" w:firstLine="0" w:firstLineChars="0"/>
        <w:outlineLvl w:val="0"/>
        <w:rPr>
          <w:rFonts w:hint="eastAsia"/>
          <w:b/>
          <w:bCs/>
          <w:sz w:val="32"/>
          <w:szCs w:val="28"/>
          <w:lang w:val="en-US" w:eastAsia="zh-CN"/>
        </w:rPr>
      </w:pPr>
      <w:bookmarkStart w:id="6" w:name="_Toc12701"/>
      <w:r>
        <w:rPr>
          <w:rFonts w:hint="eastAsia"/>
          <w:b/>
          <w:bCs/>
          <w:sz w:val="32"/>
          <w:szCs w:val="28"/>
          <w:lang w:val="en-US" w:eastAsia="zh-CN"/>
        </w:rPr>
        <w:t>5 建设项目工程分析</w:t>
      </w:r>
      <w:bookmarkEnd w:id="6"/>
    </w:p>
    <w:tbl>
      <w:tblPr>
        <w:tblStyle w:val="15"/>
        <w:tblW w:w="9090"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0" w:type="dxa"/>
          </w:tcPr>
          <w:p>
            <w:pPr>
              <w:pStyle w:val="3"/>
              <w:widowControl w:val="0"/>
              <w:ind w:left="0" w:leftChars="0" w:firstLine="0" w:firstLineChars="0"/>
              <w:rPr>
                <w:rFonts w:hint="default"/>
                <w:b/>
                <w:bCs/>
                <w:sz w:val="28"/>
                <w:szCs w:val="24"/>
                <w:vertAlign w:val="baseline"/>
                <w:lang w:val="en-US" w:eastAsia="zh-CN"/>
              </w:rPr>
            </w:pPr>
            <w:r>
              <w:rPr>
                <w:rFonts w:hint="eastAsia"/>
                <w:b/>
                <w:bCs/>
                <w:sz w:val="28"/>
                <w:szCs w:val="24"/>
                <w:vertAlign w:val="baseline"/>
                <w:lang w:val="en-US" w:eastAsia="zh-CN"/>
              </w:rPr>
              <w:t>工艺流程简述（图示）：</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工程环境影响主要分为施工期环境影响和运行期环境影响。</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5.1 施工期产污环节分析</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输电线路施工主要包括开辟路径走廊、塔基施工、组立铁塔、牵张引线等阶段。主要环境影响为施工噪声、扬尘、废水及施工造成的水土流失、植被破坏等。</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施工期工艺及产污环节见图5-1。</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drawing>
                <wp:inline distT="0" distB="0" distL="114300" distR="114300">
                  <wp:extent cx="5625465" cy="1750695"/>
                  <wp:effectExtent l="0" t="0" r="13335" b="1905"/>
                  <wp:docPr id="15" name="图片 15" descr="吴起高胜输电线路施工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吴起高胜输电线路施工流程图"/>
                          <pic:cNvPicPr>
                            <a:picLocks noChangeAspect="1"/>
                          </pic:cNvPicPr>
                        </pic:nvPicPr>
                        <pic:blipFill>
                          <a:blip r:embed="rId17"/>
                          <a:srcRect t="8058" b="13995"/>
                          <a:stretch>
                            <a:fillRect/>
                          </a:stretch>
                        </pic:blipFill>
                        <pic:spPr>
                          <a:xfrm>
                            <a:off x="0" y="0"/>
                            <a:ext cx="5625465" cy="1750695"/>
                          </a:xfrm>
                          <a:prstGeom prst="rect">
                            <a:avLst/>
                          </a:prstGeom>
                        </pic:spPr>
                      </pic:pic>
                    </a:graphicData>
                  </a:graphic>
                </wp:inline>
              </w:drawing>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0"/>
                <w:vertAlign w:val="baseline"/>
                <w:lang w:val="en-US" w:eastAsia="zh-CN"/>
              </w:rPr>
            </w:pPr>
            <w:r>
              <w:rPr>
                <w:rFonts w:hint="eastAsia" w:ascii="Times New Roman" w:hAnsi="Times New Roman" w:cs="Times New Roman"/>
                <w:b/>
                <w:bCs/>
                <w:sz w:val="21"/>
                <w:szCs w:val="20"/>
                <w:vertAlign w:val="baseline"/>
                <w:lang w:val="en-US" w:eastAsia="zh-CN"/>
              </w:rPr>
              <w:t>图5-1  架空线路工艺流程及产污环节示意图</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5.2 运行期产污环节分析</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运行期在电能输送过程中，高压线与周围环境存在电位差，在导线的周围空间存在磁场效应，因此在其附近形成工频磁感应场。此外，110kV架空线路还产生一定的可听噪声，对周围环境产生一定影响。</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输电线路工艺流程及产污环节见图5-2。</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val="0"/>
                <w:bCs w:val="0"/>
                <w:sz w:val="24"/>
                <w:szCs w:val="22"/>
                <w:vertAlign w:val="baseline"/>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2788920</wp:posOffset>
                      </wp:positionH>
                      <wp:positionV relativeFrom="paragraph">
                        <wp:posOffset>894080</wp:posOffset>
                      </wp:positionV>
                      <wp:extent cx="0" cy="457200"/>
                      <wp:effectExtent l="53975" t="0" r="60325" b="0"/>
                      <wp:wrapNone/>
                      <wp:docPr id="17" name="直接箭头连接符 17"/>
                      <wp:cNvGraphicFramePr/>
                      <a:graphic xmlns:a="http://schemas.openxmlformats.org/drawingml/2006/main">
                        <a:graphicData uri="http://schemas.microsoft.com/office/word/2010/wordprocessingShape">
                          <wps:wsp>
                            <wps:cNvCnPr/>
                            <wps:spPr>
                              <a:xfrm flipV="1">
                                <a:off x="3754120" y="8290560"/>
                                <a:ext cx="0" cy="45720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19.6pt;margin-top:70.4pt;height:36pt;width:0pt;z-index:251669504;mso-width-relative:page;mso-height-relative:page;" filled="f" stroked="t" coordsize="21600,21600" o:gfxdata="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fD9iX1QAAAAsBAAAPAAAAAAAAAAEAIAAAACIAAABkcnMvZG93bnJldi54bWxQ&#10;SwECFAAUAAAACACHTuJA1xIXuvoBAACnAwAADgAAAAAAAAABACAAAAAkAQAAZHJzL2Uyb0RvYy54&#10;bWxQSwUGAAAAAAYABgBZAQAAkAUAAAAA&#10;">
                      <v:fill on="f" focussize="0,0"/>
                      <v:stroke weight="1.5pt" color="#000000 [3213]" miterlimit="8" joinstyle="miter" dashstyle="dash" endarrow="open"/>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2151380</wp:posOffset>
                      </wp:positionH>
                      <wp:positionV relativeFrom="paragraph">
                        <wp:posOffset>484505</wp:posOffset>
                      </wp:positionV>
                      <wp:extent cx="1275715" cy="323850"/>
                      <wp:effectExtent l="0" t="0" r="0" b="0"/>
                      <wp:wrapNone/>
                      <wp:docPr id="18" name="文本框 18"/>
                      <wp:cNvGraphicFramePr/>
                      <a:graphic xmlns:a="http://schemas.openxmlformats.org/drawingml/2006/main">
                        <a:graphicData uri="http://schemas.microsoft.com/office/word/2010/wordprocessingShape">
                          <wps:wsp>
                            <wps:cNvSpPr txBox="1"/>
                            <wps:spPr>
                              <a:xfrm>
                                <a:off x="3287395" y="7252335"/>
                                <a:ext cx="127571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b w:val="0"/>
                                      <w:bCs w:val="0"/>
                                      <w:lang w:eastAsia="zh-CN"/>
                                    </w:rPr>
                                    <w:t>噪声、工频电磁场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4pt;margin-top:38.15pt;height:25.5pt;width:100.45pt;z-index:251670528;mso-width-relative:page;mso-height-relative:page;" filled="f" stroked="f" coordsize="21600,21600" o:gfxdata="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zOHkNsAAAAKAQAADwAAAAAAAAABACAAAAAiAAAAZHJzL2Rvd25yZXYueG1sUEsB&#10;AhQAFAAAAAgAh07iQHEhL4QrAgAAJgQAAA4AAAAAAAAAAQAgAAAAKgEAAGRycy9lMm9Eb2MueG1s&#10;UEsFBgAAAAAGAAYAWQEAAMcFAAAAAA==&#10;">
                      <v:fill on="f" focussize="0,0"/>
                      <v:stroke on="f" weight="0.5pt"/>
                      <v:imagedata o:title=""/>
                      <o:lock v:ext="edit" aspectratio="f"/>
                      <v:textbox>
                        <w:txbxContent>
                          <w:p>
                            <w:pPr>
                              <w:rPr>
                                <w:rFonts w:hint="eastAsia" w:eastAsiaTheme="minorEastAsia"/>
                                <w:lang w:eastAsia="zh-CN"/>
                              </w:rPr>
                            </w:pPr>
                            <w:r>
                              <w:rPr>
                                <w:rFonts w:hint="eastAsia"/>
                                <w:b w:val="0"/>
                                <w:bCs w:val="0"/>
                                <w:lang w:eastAsia="zh-CN"/>
                              </w:rPr>
                              <w:t>噪声、工频电磁场</w:t>
                            </w:r>
                          </w:p>
                        </w:txbxContent>
                      </v:textbox>
                    </v:shape>
                  </w:pict>
                </mc:Fallback>
              </mc:AlternateContent>
            </w:r>
            <w:r>
              <w:drawing>
                <wp:inline distT="0" distB="0" distL="114300" distR="114300">
                  <wp:extent cx="5628640" cy="2106930"/>
                  <wp:effectExtent l="0" t="0" r="10160" b="762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8"/>
                          <a:stretch>
                            <a:fillRect/>
                          </a:stretch>
                        </pic:blipFill>
                        <pic:spPr>
                          <a:xfrm>
                            <a:off x="0" y="0"/>
                            <a:ext cx="5628640" cy="2106930"/>
                          </a:xfrm>
                          <a:prstGeom prst="rect">
                            <a:avLst/>
                          </a:prstGeom>
                          <a:noFill/>
                          <a:ln>
                            <a:noFill/>
                          </a:ln>
                        </pic:spPr>
                      </pic:pic>
                    </a:graphicData>
                  </a:graphic>
                </wp:inline>
              </w:drawing>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b/>
                <w:bCs/>
                <w:sz w:val="32"/>
                <w:szCs w:val="28"/>
                <w:vertAlign w:val="baseline"/>
                <w:lang w:val="en-US" w:eastAsia="zh-CN"/>
              </w:rPr>
            </w:pPr>
            <w:r>
              <w:rPr>
                <w:rFonts w:hint="eastAsia" w:ascii="Times New Roman" w:hAnsi="Times New Roman" w:cs="Times New Roman"/>
                <w:b/>
                <w:bCs/>
                <w:sz w:val="21"/>
                <w:szCs w:val="20"/>
                <w:vertAlign w:val="baseline"/>
                <w:lang w:val="en-US" w:eastAsia="zh-CN"/>
              </w:rPr>
              <w:t>图5-2  输电线路运行期工艺流程及产污环节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0" w:type="dxa"/>
          </w:tcPr>
          <w:p>
            <w:pPr>
              <w:pStyle w:val="3"/>
              <w:widowControl w:val="0"/>
              <w:ind w:left="0" w:leftChars="0" w:firstLine="0" w:firstLineChars="0"/>
              <w:rPr>
                <w:rFonts w:hint="default"/>
                <w:b/>
                <w:bCs/>
                <w:sz w:val="32"/>
                <w:szCs w:val="28"/>
                <w:vertAlign w:val="baseline"/>
                <w:lang w:val="en-US" w:eastAsia="zh-CN"/>
              </w:rPr>
            </w:pPr>
            <w:r>
              <w:rPr>
                <w:rFonts w:hint="eastAsia"/>
                <w:b/>
                <w:bCs/>
                <w:sz w:val="32"/>
                <w:szCs w:val="28"/>
                <w:vertAlign w:val="baseline"/>
                <w:lang w:val="en-US" w:eastAsia="zh-CN"/>
              </w:rPr>
              <w:t>主要污染工序：</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default" w:ascii="Times New Roman" w:hAnsi="Times New Roman" w:cs="Times New Roman"/>
                <w:b/>
                <w:bCs/>
                <w:sz w:val="28"/>
                <w:szCs w:val="24"/>
                <w:vertAlign w:val="baseline"/>
                <w:lang w:val="en-US" w:eastAsia="zh-CN"/>
              </w:rPr>
              <w:t>5.3 施工期</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5.3.1 施工期废气</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bCs/>
                <w:sz w:val="24"/>
                <w:szCs w:val="22"/>
                <w:vertAlign w:val="baseline"/>
                <w:lang w:val="en-US" w:eastAsia="zh-CN"/>
              </w:rPr>
            </w:pPr>
            <w:r>
              <w:rPr>
                <w:rFonts w:hint="eastAsia" w:ascii="Times New Roman" w:hAnsi="Times New Roman" w:cs="Times New Roman"/>
                <w:b/>
                <w:bCs/>
                <w:sz w:val="24"/>
                <w:szCs w:val="22"/>
                <w:vertAlign w:val="baseline"/>
                <w:lang w:val="en-US" w:eastAsia="zh-CN"/>
              </w:rPr>
              <w:t>5.3.1.1 施工扬尘</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施工扬尘主要来自土方的挖掘扬尘：工程所需砂、石、混凝土等材料均外购，采用汽车运输，物料运输过程中产生道路扬尘；砂、石、混凝土等建筑材料的现场搬运及堆放扬尘；主要污染物为TSP。</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bCs/>
                <w:sz w:val="24"/>
                <w:szCs w:val="22"/>
                <w:vertAlign w:val="baseline"/>
                <w:lang w:val="en-US" w:eastAsia="zh-CN"/>
              </w:rPr>
            </w:pPr>
            <w:r>
              <w:rPr>
                <w:rFonts w:hint="eastAsia" w:ascii="Times New Roman" w:hAnsi="Times New Roman" w:cs="Times New Roman"/>
                <w:b/>
                <w:bCs/>
                <w:sz w:val="24"/>
                <w:szCs w:val="22"/>
                <w:vertAlign w:val="baseline"/>
                <w:lang w:val="en-US" w:eastAsia="zh-CN"/>
              </w:rPr>
              <w:t>5.3.1.2 机械废气</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施工机械废气包括施工机械废气和运输车辆废气，施工机械废气中的污染物主要是NO</w:t>
            </w:r>
            <w:r>
              <w:rPr>
                <w:rFonts w:hint="eastAsia" w:ascii="Times New Roman" w:hAnsi="Times New Roman" w:cs="Times New Roman"/>
                <w:b w:val="0"/>
                <w:bCs w:val="0"/>
                <w:sz w:val="24"/>
                <w:szCs w:val="22"/>
                <w:vertAlign w:val="subscript"/>
                <w:lang w:val="en-US" w:eastAsia="zh-CN"/>
              </w:rPr>
              <w:t>X</w:t>
            </w:r>
            <w:r>
              <w:rPr>
                <w:rFonts w:hint="eastAsia" w:ascii="Times New Roman" w:hAnsi="Times New Roman" w:cs="Times New Roman"/>
                <w:b w:val="0"/>
                <w:bCs w:val="0"/>
                <w:sz w:val="24"/>
                <w:szCs w:val="22"/>
                <w:vertAlign w:val="baseline"/>
                <w:lang w:val="en-US" w:eastAsia="zh-CN"/>
              </w:rPr>
              <w:t>、CO、HC，废气中污染物浓度及产生量视其使用频率及发动机对燃料的燃烧情况而异。该废气属于低架点源无组织排放废气，具有间断性产生、产生量较小、产生点相对分散、易被稀释扩散等特点，故本次评价不对其进行定量核算。</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5.3.2 施工期废水</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施工期废水由施工人员的生活污水和少量的施工废水组成。</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bCs/>
                <w:sz w:val="24"/>
                <w:szCs w:val="22"/>
                <w:vertAlign w:val="baseline"/>
                <w:lang w:val="en-US" w:eastAsia="zh-CN"/>
              </w:rPr>
            </w:pPr>
            <w:r>
              <w:rPr>
                <w:rFonts w:hint="eastAsia" w:ascii="Times New Roman" w:hAnsi="Times New Roman" w:cs="Times New Roman"/>
                <w:b/>
                <w:bCs/>
                <w:sz w:val="24"/>
                <w:szCs w:val="22"/>
                <w:vertAlign w:val="baseline"/>
                <w:lang w:val="en-US" w:eastAsia="zh-CN"/>
              </w:rPr>
              <w:t>5.3.2.1 生产废水</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施工期施工废水包括各种施工机械设备运转的冷却水、洗涤用水和建材淸洗等产生的废水。这部分废水含有一定量的泥沙，经沉淀池处理后全部回用</w:t>
            </w:r>
            <w:r>
              <w:rPr>
                <w:rFonts w:hint="eastAsia" w:ascii="Times New Roman" w:cs="Times New Roman"/>
                <w:b w:val="0"/>
                <w:bCs w:val="0"/>
                <w:sz w:val="24"/>
                <w:szCs w:val="22"/>
                <w:vertAlign w:val="baseline"/>
                <w:lang w:val="en-US" w:eastAsia="zh-CN"/>
              </w:rPr>
              <w:t>，不外排。</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bCs/>
                <w:sz w:val="24"/>
                <w:szCs w:val="22"/>
                <w:vertAlign w:val="baseline"/>
                <w:lang w:val="en-US" w:eastAsia="zh-CN"/>
              </w:rPr>
            </w:pPr>
            <w:r>
              <w:rPr>
                <w:rFonts w:hint="eastAsia" w:ascii="Times New Roman" w:hAnsi="Times New Roman" w:cs="Times New Roman"/>
                <w:b/>
                <w:bCs/>
                <w:sz w:val="24"/>
                <w:szCs w:val="22"/>
                <w:vertAlign w:val="baseline"/>
                <w:lang w:val="en-US" w:eastAsia="zh-CN"/>
              </w:rPr>
              <w:t>5.3.2.2 生活污水</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参考《行业用水定额》（DB6l/T943-2014）中“农村居民生活”用水定额（65L/人·d），考虑到项目施工期依托周边村庄现有生活设施，不在项目区食宿，生活用水量较少，人均用水指标按20L/d计。项目平均施工人员约12人，则施工期施工人员用水量为0.24m</w:t>
            </w:r>
            <w:r>
              <w:rPr>
                <w:rFonts w:hint="eastAsia" w:ascii="Times New Roman" w:hAnsi="Times New Roman" w:cs="Times New Roman"/>
                <w:b w:val="0"/>
                <w:bCs w:val="0"/>
                <w:sz w:val="24"/>
                <w:szCs w:val="22"/>
                <w:vertAlign w:val="superscript"/>
                <w:lang w:val="en-US" w:eastAsia="zh-CN"/>
              </w:rPr>
              <w:t>3</w:t>
            </w:r>
            <w:r>
              <w:rPr>
                <w:rFonts w:hint="eastAsia" w:ascii="Times New Roman" w:hAnsi="Times New Roman" w:cs="Times New Roman"/>
                <w:b w:val="0"/>
                <w:bCs w:val="0"/>
                <w:sz w:val="24"/>
                <w:szCs w:val="22"/>
                <w:vertAlign w:val="baseline"/>
                <w:lang w:val="en-US" w:eastAsia="zh-CN"/>
              </w:rPr>
              <w:t>/d，废水产生量按0.8计，则产生量为0.192m</w:t>
            </w:r>
            <w:r>
              <w:rPr>
                <w:rFonts w:hint="eastAsia" w:ascii="Times New Roman" w:hAnsi="Times New Roman" w:cs="Times New Roman"/>
                <w:b w:val="0"/>
                <w:bCs w:val="0"/>
                <w:sz w:val="24"/>
                <w:szCs w:val="22"/>
                <w:vertAlign w:val="superscript"/>
                <w:lang w:val="en-US" w:eastAsia="zh-CN"/>
              </w:rPr>
              <w:t>3</w:t>
            </w:r>
            <w:r>
              <w:rPr>
                <w:rFonts w:hint="eastAsia" w:ascii="Times New Roman" w:hAnsi="Times New Roman" w:cs="Times New Roman"/>
                <w:b w:val="0"/>
                <w:bCs w:val="0"/>
                <w:sz w:val="24"/>
                <w:szCs w:val="22"/>
                <w:vertAlign w:val="baseline"/>
                <w:lang w:val="en-US" w:eastAsia="zh-CN"/>
              </w:rPr>
              <w:t>/d</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5.3.3 施工期噪声</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施工过程中主要机械设备为推土机、轮式</w:t>
            </w:r>
            <w:r>
              <w:rPr>
                <w:rFonts w:hint="eastAsia" w:ascii="Times New Roman" w:cs="Times New Roman"/>
                <w:b w:val="0"/>
                <w:bCs w:val="0"/>
                <w:sz w:val="24"/>
                <w:szCs w:val="22"/>
                <w:vertAlign w:val="baseline"/>
                <w:lang w:val="en-US" w:eastAsia="zh-CN"/>
              </w:rPr>
              <w:t>装载机</w:t>
            </w:r>
            <w:r>
              <w:rPr>
                <w:rFonts w:hint="default" w:ascii="Times New Roman" w:hAnsi="Times New Roman" w:cs="Times New Roman"/>
                <w:b w:val="0"/>
                <w:bCs w:val="0"/>
                <w:sz w:val="24"/>
                <w:szCs w:val="22"/>
                <w:vertAlign w:val="baseline"/>
                <w:lang w:val="en-US" w:eastAsia="zh-CN"/>
              </w:rPr>
              <w:t>、挖掘机、混凝土搅拌机、混凝土振捣器、混凝土输送泵、电焊机、角磨机、手电钻及运输车辆等。这些机械产生的噪声会对环境造成不利影响，各施工阶段使用施工机械类型、数量、地点常发生变化作业时间也不定，从而导致噪声产生具有随机性、无组织性，属不连续产生。施工期噪声源强参照《环境噪声与振动控制工程技术导则》（H2034-03），噪声值约80~</w:t>
            </w:r>
            <w:r>
              <w:rPr>
                <w:rFonts w:hint="eastAsia" w:ascii="Times New Roman" w:cs="Times New Roman"/>
                <w:b w:val="0"/>
                <w:bCs w:val="0"/>
                <w:sz w:val="24"/>
                <w:szCs w:val="22"/>
                <w:vertAlign w:val="baseline"/>
                <w:lang w:val="en-US" w:eastAsia="zh-CN"/>
              </w:rPr>
              <w:t>96dB</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（A），施工期各机械设备噪声值见表5-1。</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0"/>
                <w:vertAlign w:val="baseline"/>
                <w:lang w:val="en-US" w:eastAsia="zh-CN"/>
              </w:rPr>
            </w:pPr>
            <w:r>
              <w:rPr>
                <w:rFonts w:hint="eastAsia" w:ascii="Times New Roman" w:cs="Times New Roman"/>
                <w:b/>
                <w:bCs/>
                <w:sz w:val="21"/>
                <w:szCs w:val="20"/>
                <w:vertAlign w:val="baseline"/>
                <w:lang w:val="en-US" w:eastAsia="zh-CN"/>
              </w:rPr>
              <w:t>表5-1  主要施工机械设备的噪声声级</w:t>
            </w:r>
          </w:p>
          <w:tbl>
            <w:tblPr>
              <w:tblStyle w:val="15"/>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8"/>
              <w:gridCol w:w="2958"/>
              <w:gridCol w:w="2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设备名称</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声级dB（A）</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测点距声源距离（m）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推土机</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83~88</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轮式装载机</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90~95</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挖掘机</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80~86</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混凝土搅拌机</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85~90</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混凝土振捣器</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80~88</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混凝土输送泵</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88~95</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重型运输车</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82~90</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电焊机</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90~95</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角磨机</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90~96</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手电钻</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85~90</w:t>
                  </w:r>
                </w:p>
              </w:tc>
              <w:tc>
                <w:tcPr>
                  <w:tcW w:w="29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w:t>
                  </w:r>
                </w:p>
              </w:tc>
            </w:tr>
          </w:tbl>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eastAsia" w:ascii="Times New Roman" w:cs="Times New Roman"/>
                <w:b/>
                <w:bCs/>
                <w:sz w:val="28"/>
                <w:szCs w:val="24"/>
                <w:vertAlign w:val="baseline"/>
                <w:lang w:val="en-US" w:eastAsia="zh-CN"/>
              </w:rPr>
              <w:t>5.3.4 施工期固体废物</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施工期产生的固体废物主要有建筑垃圾</w:t>
            </w:r>
            <w:r>
              <w:rPr>
                <w:rFonts w:hint="eastAsia" w:ascii="Times New Roman" w:cs="Times New Roman"/>
                <w:b w:val="0"/>
                <w:bCs w:val="0"/>
                <w:sz w:val="24"/>
                <w:szCs w:val="22"/>
                <w:vertAlign w:val="baseline"/>
                <w:lang w:val="en-US" w:eastAsia="zh-CN"/>
              </w:rPr>
              <w:t>和</w:t>
            </w:r>
            <w:r>
              <w:rPr>
                <w:rFonts w:hint="default" w:ascii="Times New Roman" w:hAnsi="Times New Roman" w:cs="Times New Roman"/>
                <w:b w:val="0"/>
                <w:bCs w:val="0"/>
                <w:sz w:val="24"/>
                <w:szCs w:val="22"/>
                <w:vertAlign w:val="baseline"/>
                <w:lang w:val="en-US" w:eastAsia="zh-CN"/>
              </w:rPr>
              <w:t>施工人员产生的生活垃圾。</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bCs/>
                <w:sz w:val="24"/>
                <w:szCs w:val="22"/>
                <w:vertAlign w:val="baseline"/>
                <w:lang w:val="en-US" w:eastAsia="zh-CN"/>
              </w:rPr>
            </w:pPr>
            <w:r>
              <w:rPr>
                <w:rFonts w:hint="eastAsia" w:ascii="Times New Roman" w:cs="Times New Roman"/>
                <w:b/>
                <w:bCs/>
                <w:sz w:val="24"/>
                <w:szCs w:val="22"/>
                <w:vertAlign w:val="baseline"/>
                <w:lang w:val="en-US" w:eastAsia="zh-CN"/>
              </w:rPr>
              <w:t xml:space="preserve">5.3.4.1 </w:t>
            </w:r>
            <w:r>
              <w:rPr>
                <w:rFonts w:hint="default" w:ascii="Times New Roman" w:hAnsi="Times New Roman" w:cs="Times New Roman"/>
                <w:b/>
                <w:bCs/>
                <w:sz w:val="24"/>
                <w:szCs w:val="22"/>
                <w:vertAlign w:val="baseline"/>
                <w:lang w:val="en-US" w:eastAsia="zh-CN"/>
              </w:rPr>
              <w:t>建筑垃圾</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工程建设内容不多，建设材料较少，产生的建筑垃圾也较少，工程产生的建筑垃圾收集后堆放于指定地点，其中可再生部分回收出售给废品站，不可再生利用部分清运至</w:t>
            </w:r>
            <w:r>
              <w:rPr>
                <w:rFonts w:hint="eastAsia" w:ascii="Times New Roman" w:cs="Times New Roman"/>
                <w:b w:val="0"/>
                <w:bCs w:val="0"/>
                <w:sz w:val="24"/>
                <w:szCs w:val="22"/>
                <w:vertAlign w:val="baseline"/>
                <w:lang w:val="en-US" w:eastAsia="zh-CN"/>
              </w:rPr>
              <w:t>吴起县</w:t>
            </w:r>
            <w:r>
              <w:rPr>
                <w:rFonts w:hint="default" w:ascii="Times New Roman" w:hAnsi="Times New Roman" w:cs="Times New Roman"/>
                <w:b w:val="0"/>
                <w:bCs w:val="0"/>
                <w:sz w:val="24"/>
                <w:szCs w:val="22"/>
                <w:vertAlign w:val="baseline"/>
                <w:lang w:val="en-US" w:eastAsia="zh-CN"/>
              </w:rPr>
              <w:t>指定的建筑垃圾填埋场，严禁随意丢弃</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bCs/>
                <w:sz w:val="24"/>
                <w:szCs w:val="22"/>
                <w:vertAlign w:val="baseline"/>
                <w:lang w:val="en-US" w:eastAsia="zh-CN"/>
              </w:rPr>
              <w:t xml:space="preserve">5.3.4.2 </w:t>
            </w:r>
            <w:r>
              <w:rPr>
                <w:rFonts w:hint="default" w:ascii="Times New Roman" w:hAnsi="Times New Roman" w:cs="Times New Roman"/>
                <w:b/>
                <w:bCs/>
                <w:sz w:val="24"/>
                <w:szCs w:val="22"/>
                <w:vertAlign w:val="baseline"/>
                <w:lang w:val="en-US" w:eastAsia="zh-CN"/>
              </w:rPr>
              <w:t>施工人员生活垃圾</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项目施工人员依托周边村庄现有生活设施，不在项目区食宿，项目平均施工人员约</w:t>
            </w:r>
            <w:r>
              <w:rPr>
                <w:rFonts w:hint="eastAsia" w:ascii="Times New Roman" w:cs="Times New Roman"/>
                <w:b w:val="0"/>
                <w:bCs w:val="0"/>
                <w:sz w:val="24"/>
                <w:szCs w:val="22"/>
                <w:vertAlign w:val="baseline"/>
                <w:lang w:val="en-US" w:eastAsia="zh-CN"/>
              </w:rPr>
              <w:t>12</w:t>
            </w:r>
            <w:r>
              <w:rPr>
                <w:rFonts w:hint="default" w:ascii="Times New Roman" w:hAnsi="Times New Roman" w:cs="Times New Roman"/>
                <w:b w:val="0"/>
                <w:bCs w:val="0"/>
                <w:sz w:val="24"/>
                <w:szCs w:val="22"/>
                <w:vertAlign w:val="baseline"/>
                <w:lang w:val="en-US" w:eastAsia="zh-CN"/>
              </w:rPr>
              <w:t>人。参考《第一次全国污染源普查城镇生活源产排污系数手册》，五区2类区（延安市）居民生活垃圾产生量按0.50kg/人</w:t>
            </w:r>
            <w:r>
              <w:rPr>
                <w:rFonts w:hint="eastAsia" w:asci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val="en-US" w:eastAsia="zh-CN"/>
              </w:rPr>
              <w:t>d计。本项目施工期不涉及食宿，施工人员生活垃圾产生量按0.2kg/人</w:t>
            </w:r>
            <w:r>
              <w:rPr>
                <w:rFonts w:hint="eastAsia" w:asci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val="en-US" w:eastAsia="zh-CN"/>
              </w:rPr>
              <w:t>d计，即为</w:t>
            </w:r>
            <w:r>
              <w:rPr>
                <w:rFonts w:hint="eastAsia" w:ascii="Times New Roman" w:cs="Times New Roman"/>
                <w:b w:val="0"/>
                <w:bCs w:val="0"/>
                <w:sz w:val="24"/>
                <w:szCs w:val="22"/>
                <w:vertAlign w:val="baseline"/>
                <w:lang w:val="en-US" w:eastAsia="zh-CN"/>
              </w:rPr>
              <w:t>2.</w:t>
            </w:r>
            <w:r>
              <w:rPr>
                <w:rFonts w:hint="default" w:ascii="Times New Roman" w:hAnsi="Times New Roman" w:cs="Times New Roman"/>
                <w:b w:val="0"/>
                <w:bCs w:val="0"/>
                <w:sz w:val="24"/>
                <w:szCs w:val="22"/>
                <w:vertAlign w:val="baseline"/>
                <w:lang w:val="en-US" w:eastAsia="zh-CN"/>
              </w:rPr>
              <w:t>4kg</w:t>
            </w:r>
            <w:r>
              <w:rPr>
                <w:rFonts w:hint="eastAsia" w:asci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val="en-US" w:eastAsia="zh-CN"/>
              </w:rPr>
              <w:t>d。生活垃圾不得随意丢弃，</w:t>
            </w:r>
            <w:r>
              <w:rPr>
                <w:rFonts w:hint="eastAsia" w:ascii="Times New Roman" w:cs="Times New Roman"/>
                <w:b w:val="0"/>
                <w:bCs w:val="0"/>
                <w:sz w:val="24"/>
                <w:szCs w:val="22"/>
                <w:vertAlign w:val="baseline"/>
                <w:lang w:val="en-US" w:eastAsia="zh-CN"/>
              </w:rPr>
              <w:t>分类收集，</w:t>
            </w:r>
            <w:r>
              <w:rPr>
                <w:rFonts w:hint="default" w:ascii="Times New Roman" w:hAnsi="Times New Roman" w:cs="Times New Roman"/>
                <w:b w:val="0"/>
                <w:bCs w:val="0"/>
                <w:sz w:val="24"/>
                <w:szCs w:val="22"/>
                <w:vertAlign w:val="baseline"/>
                <w:lang w:val="en-US" w:eastAsia="zh-CN"/>
              </w:rPr>
              <w:t>统一纳入当地垃圾清运系统</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cs="Times New Roman"/>
                <w:b/>
                <w:bCs/>
                <w:sz w:val="28"/>
                <w:szCs w:val="24"/>
                <w:vertAlign w:val="baseline"/>
                <w:lang w:val="en-US" w:eastAsia="zh-CN"/>
              </w:rPr>
            </w:pPr>
            <w:r>
              <w:rPr>
                <w:rFonts w:hint="eastAsia" w:ascii="Times New Roman" w:cs="Times New Roman"/>
                <w:b/>
                <w:bCs/>
                <w:sz w:val="28"/>
                <w:szCs w:val="24"/>
                <w:vertAlign w:val="baseline"/>
                <w:lang w:val="en-US" w:eastAsia="zh-CN"/>
              </w:rPr>
              <w:t>5.3.5 生态影响</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输电线路施工期对生态环境的主要影响为塔基施工时破坏地表植被，同时牵张场、塔基施工等临时占地也会破坏植被。在地表植被破坏的</w:t>
            </w:r>
            <w:r>
              <w:rPr>
                <w:rFonts w:hint="eastAsia" w:ascii="Times New Roman" w:cs="Times New Roman"/>
                <w:b w:val="0"/>
                <w:bCs w:val="0"/>
                <w:sz w:val="24"/>
                <w:szCs w:val="22"/>
                <w:vertAlign w:val="baseline"/>
                <w:lang w:val="en-US" w:eastAsia="zh-CN"/>
              </w:rPr>
              <w:t>同时</w:t>
            </w:r>
            <w:r>
              <w:rPr>
                <w:rFonts w:hint="default" w:ascii="Times New Roman" w:hAnsi="Times New Roman" w:cs="Times New Roman"/>
                <w:b w:val="0"/>
                <w:bCs w:val="0"/>
                <w:sz w:val="24"/>
                <w:szCs w:val="22"/>
                <w:vertAlign w:val="baseline"/>
                <w:lang w:val="en-US" w:eastAsia="zh-CN"/>
              </w:rPr>
              <w:t>，施工区的动物生境被破坏，迫使其向周边迁移。</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根据现场调査，输电线路施工区植被主要为刺槐、沙棘、长芒草等，动物多为兔鼠类、麻雀等常见动物，迁移能力较强，工程施工对其区域生物多样性影响较小。工程施工时尽量利用现有农村生产道路，临时占地避开植被较丰富区域，单塔施工时间短，占地面积小，对区域生物多样性影响较小。在施工结束后，通过采取土地复垦植被恢复等措施，植被可以较快恢复原状，动物生境也将得到恢复，对生态环境的影响将逐渐消失。</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5.4 运营期</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本工程运行期主要影响为工频电场、工频磁场和噪声。</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5.4.1 工频电场、工频磁感应强度</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输变电工程建成运行后，在电能输送或电压转换过程中，高压线、主变压器和高压配电设备与周围环境存在电位差，因此形成工频（50Hz）电场。</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高压输电线导线内有强电流通过时，在导线的周围空间还存在磁场效应，因此在其附近形成工频磁场</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5.4.2 噪声</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输电线路工程由于线路输送的电压较高，会使导线周围的空气击穿，产生电晕放电的可听噪声，尤其是在阴雨天气。</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5.4.3 废水</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l10kV输电线路工程在运行期无生产废水产生</w:t>
            </w:r>
            <w:r>
              <w:rPr>
                <w:rFonts w:hint="eastAsia" w:ascii="Times New Roman" w:cs="Times New Roman"/>
                <w:b w:val="0"/>
                <w:bCs w:val="0"/>
                <w:sz w:val="24"/>
                <w:szCs w:val="22"/>
                <w:vertAlign w:val="baseline"/>
                <w:lang w:val="en-US" w:eastAsia="zh-CN"/>
              </w:rPr>
              <w:t>，因此线路运行期对水环境无影响</w:t>
            </w:r>
            <w:r>
              <w:rPr>
                <w:rFonts w:hint="default"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5.4.4 固体废物</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巡回检查和维修人员产生极少量垃圾，由他们自身携带到环卫部门制定的垃圾处置点，不会对环境造成影响。</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5.4.5 生态</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输电线路工程运行期不产生占地、不破坏植被，运行过程中不会对生态环境产生影响</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default" w:ascii="Times New Roman" w:hAnsi="Times New Roman" w:cs="Times New Roman"/>
                <w:b w:val="0"/>
                <w:bCs w:val="0"/>
                <w:sz w:val="24"/>
                <w:szCs w:val="22"/>
                <w:vertAlign w:val="baseline"/>
                <w:lang w:val="en-US" w:eastAsia="zh-CN"/>
              </w:rPr>
            </w:pPr>
          </w:p>
          <w:p>
            <w:pPr>
              <w:pStyle w:val="3"/>
              <w:widowControl w:val="0"/>
              <w:rPr>
                <w:rFonts w:hint="default"/>
                <w:b/>
                <w:bCs/>
                <w:sz w:val="32"/>
                <w:szCs w:val="28"/>
                <w:vertAlign w:val="baseline"/>
                <w:lang w:val="en-US" w:eastAsia="zh-CN"/>
              </w:rPr>
            </w:pPr>
          </w:p>
        </w:tc>
      </w:tr>
    </w:tbl>
    <w:p>
      <w:pPr>
        <w:rPr>
          <w:rFonts w:hint="default"/>
          <w:b/>
          <w:bCs/>
          <w:sz w:val="32"/>
          <w:szCs w:val="28"/>
          <w:lang w:val="en-US" w:eastAsia="zh-CN"/>
        </w:rPr>
      </w:pPr>
      <w:r>
        <w:rPr>
          <w:rFonts w:hint="default"/>
          <w:b/>
          <w:bCs/>
          <w:sz w:val="32"/>
          <w:szCs w:val="28"/>
          <w:lang w:val="en-US" w:eastAsia="zh-CN"/>
        </w:rPr>
        <w:br w:type="page"/>
      </w:r>
    </w:p>
    <w:p>
      <w:pPr>
        <w:pStyle w:val="3"/>
        <w:ind w:left="0" w:leftChars="0" w:firstLine="0" w:firstLineChars="0"/>
        <w:outlineLvl w:val="0"/>
        <w:rPr>
          <w:rFonts w:hint="eastAsia"/>
          <w:b/>
          <w:bCs/>
          <w:sz w:val="32"/>
          <w:szCs w:val="28"/>
          <w:lang w:val="en-US" w:eastAsia="zh-CN"/>
        </w:rPr>
      </w:pPr>
      <w:bookmarkStart w:id="7" w:name="_Toc14195"/>
      <w:r>
        <w:rPr>
          <w:rFonts w:hint="eastAsia"/>
          <w:b/>
          <w:bCs/>
          <w:sz w:val="32"/>
          <w:szCs w:val="28"/>
          <w:lang w:val="en-US" w:eastAsia="zh-CN"/>
        </w:rPr>
        <w:t>6 项目主要污染物产生及预计排放情况</w:t>
      </w:r>
      <w:bookmarkEnd w:id="7"/>
    </w:p>
    <w:tbl>
      <w:tblPr>
        <w:tblStyle w:val="15"/>
        <w:tblW w:w="9075"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957"/>
        <w:gridCol w:w="1500"/>
        <w:gridCol w:w="1545"/>
        <w:gridCol w:w="1877"/>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sz w:val="32"/>
              </w:rPr>
              <mc:AlternateContent>
                <mc:Choice Requires="wps">
                  <w:drawing>
                    <wp:anchor distT="0" distB="0" distL="114300" distR="114300" simplePos="0" relativeHeight="251671552" behindDoc="0" locked="0" layoutInCell="1" allowOverlap="1">
                      <wp:simplePos x="0" y="0"/>
                      <wp:positionH relativeFrom="column">
                        <wp:posOffset>-62865</wp:posOffset>
                      </wp:positionH>
                      <wp:positionV relativeFrom="paragraph">
                        <wp:posOffset>-4445</wp:posOffset>
                      </wp:positionV>
                      <wp:extent cx="666750" cy="600075"/>
                      <wp:effectExtent l="3175" t="3810" r="15875" b="5715"/>
                      <wp:wrapNone/>
                      <wp:docPr id="3" name="直接连接符 3"/>
                      <wp:cNvGraphicFramePr/>
                      <a:graphic xmlns:a="http://schemas.openxmlformats.org/drawingml/2006/main">
                        <a:graphicData uri="http://schemas.microsoft.com/office/word/2010/wordprocessingShape">
                          <wps:wsp>
                            <wps:cNvCnPr/>
                            <wps:spPr>
                              <a:xfrm>
                                <a:off x="908685" y="1289050"/>
                                <a:ext cx="666750" cy="600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95pt;margin-top:-0.35pt;height:47.25pt;width:52.5pt;z-index:251671552;mso-width-relative:page;mso-height-relative:page;" filled="f" stroked="t" coordsize="21600,21600" o:gfxdata="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gY5xNQAAAAGAQAADwAAAAAAAAABACAAAAAi&#10;AAAAZHJzL2Rvd25yZXYueG1sUEsBAhQAFAAAAAgAh07iQFHJEYXVAQAAcgMAAA4AAAAAAAAAAQAg&#10;AAAAIwEAAGRycy9lMm9Eb2MueG1sUEsFBgAAAAAGAAYAWQEAAGoFAAAAAA==&#10;">
                      <v:fill on="f" focussize="0,0"/>
                      <v:stroke weight="0.5pt" color="#000000 [3213]" miterlimit="8" joinstyle="miter"/>
                      <v:imagedata o:title=""/>
                      <o:lock v:ext="edit" aspectratio="f"/>
                    </v:line>
                  </w:pict>
                </mc:Fallback>
              </mc:AlternateContent>
            </w:r>
            <w:r>
              <w:rPr>
                <w:rFonts w:hint="default" w:ascii="Times New Roman" w:hAnsi="Times New Roman" w:cs="Times New Roman"/>
                <w:b w:val="0"/>
                <w:bCs w:val="0"/>
                <w:sz w:val="24"/>
                <w:szCs w:val="22"/>
                <w:vertAlign w:val="baseline"/>
                <w:lang w:val="en-US" w:eastAsia="zh-CN"/>
              </w:rPr>
              <w:t xml:space="preserve">  内容</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both"/>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类型</w:t>
            </w:r>
          </w:p>
        </w:tc>
        <w:tc>
          <w:tcPr>
            <w:tcW w:w="2457"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排放源</w:t>
            </w:r>
          </w:p>
        </w:tc>
        <w:tc>
          <w:tcPr>
            <w:tcW w:w="1545"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污染物名称</w:t>
            </w:r>
          </w:p>
        </w:tc>
        <w:tc>
          <w:tcPr>
            <w:tcW w:w="1877"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处理前产生浓度及产生量</w:t>
            </w:r>
          </w:p>
        </w:tc>
        <w:tc>
          <w:tcPr>
            <w:tcW w:w="2146"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排放浓度</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及排放量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大气污染物</w:t>
            </w:r>
          </w:p>
        </w:tc>
        <w:tc>
          <w:tcPr>
            <w:tcW w:w="957"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施工期</w:t>
            </w:r>
          </w:p>
        </w:tc>
        <w:tc>
          <w:tcPr>
            <w:tcW w:w="1500"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施工扬尘</w:t>
            </w:r>
          </w:p>
        </w:tc>
        <w:tc>
          <w:tcPr>
            <w:tcW w:w="1545"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TSP</w:t>
            </w:r>
          </w:p>
        </w:tc>
        <w:tc>
          <w:tcPr>
            <w:tcW w:w="1877"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无组织排放</w:t>
            </w:r>
          </w:p>
        </w:tc>
        <w:tc>
          <w:tcPr>
            <w:tcW w:w="2146"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p>
        </w:tc>
        <w:tc>
          <w:tcPr>
            <w:tcW w:w="957"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p>
        </w:tc>
        <w:tc>
          <w:tcPr>
            <w:tcW w:w="1500"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机械废气</w:t>
            </w:r>
          </w:p>
        </w:tc>
        <w:tc>
          <w:tcPr>
            <w:tcW w:w="1545"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NO</w:t>
            </w:r>
            <w:r>
              <w:rPr>
                <w:rFonts w:hint="eastAsia" w:ascii="Times New Roman" w:hAnsi="Times New Roman" w:cs="Times New Roman"/>
                <w:b w:val="0"/>
                <w:bCs w:val="0"/>
                <w:sz w:val="24"/>
                <w:szCs w:val="22"/>
                <w:vertAlign w:val="subscript"/>
                <w:lang w:val="en-US" w:eastAsia="zh-CN"/>
              </w:rPr>
              <w:t>X</w:t>
            </w:r>
            <w:r>
              <w:rPr>
                <w:rFonts w:hint="eastAsia" w:ascii="Times New Roman" w:cs="Times New Roman"/>
                <w:b w:val="0"/>
                <w:bCs w:val="0"/>
                <w:sz w:val="24"/>
                <w:szCs w:val="22"/>
                <w:vertAlign w:val="baseline"/>
                <w:lang w:val="en-US" w:eastAsia="zh-CN"/>
              </w:rPr>
              <w:t>、CO、HC</w:t>
            </w:r>
          </w:p>
        </w:tc>
        <w:tc>
          <w:tcPr>
            <w:tcW w:w="1877"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无组织排放</w:t>
            </w:r>
          </w:p>
        </w:tc>
        <w:tc>
          <w:tcPr>
            <w:tcW w:w="2146"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水污</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染物</w:t>
            </w:r>
          </w:p>
        </w:tc>
        <w:tc>
          <w:tcPr>
            <w:tcW w:w="957"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施工期</w:t>
            </w:r>
          </w:p>
        </w:tc>
        <w:tc>
          <w:tcPr>
            <w:tcW w:w="1500"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施工废水</w:t>
            </w:r>
          </w:p>
        </w:tc>
        <w:tc>
          <w:tcPr>
            <w:tcW w:w="1545"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SS</w:t>
            </w:r>
          </w:p>
        </w:tc>
        <w:tc>
          <w:tcPr>
            <w:tcW w:w="1877"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少量</w:t>
            </w:r>
          </w:p>
        </w:tc>
        <w:tc>
          <w:tcPr>
            <w:tcW w:w="2146"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p>
        </w:tc>
        <w:tc>
          <w:tcPr>
            <w:tcW w:w="957"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p>
        </w:tc>
        <w:tc>
          <w:tcPr>
            <w:tcW w:w="1500"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生活污水</w:t>
            </w:r>
          </w:p>
        </w:tc>
        <w:tc>
          <w:tcPr>
            <w:tcW w:w="1545"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COD、BOD</w:t>
            </w:r>
            <w:r>
              <w:rPr>
                <w:rFonts w:hint="eastAsia" w:ascii="Times New Roman" w:hAnsi="Times New Roman" w:cs="Times New Roman"/>
                <w:b w:val="0"/>
                <w:bCs w:val="0"/>
                <w:sz w:val="24"/>
                <w:szCs w:val="22"/>
                <w:vertAlign w:val="subscript"/>
                <w:lang w:val="en-US" w:eastAsia="zh-CN"/>
              </w:rPr>
              <w:t>5</w:t>
            </w:r>
            <w:r>
              <w:rPr>
                <w:rFonts w:hint="eastAsia" w:ascii="Times New Roman" w:cs="Times New Roman"/>
                <w:b w:val="0"/>
                <w:bCs w:val="0"/>
                <w:sz w:val="24"/>
                <w:szCs w:val="22"/>
                <w:vertAlign w:val="baseline"/>
                <w:lang w:val="en-US" w:eastAsia="zh-CN"/>
              </w:rPr>
              <w:t>、SS、氨氮</w:t>
            </w:r>
          </w:p>
        </w:tc>
        <w:tc>
          <w:tcPr>
            <w:tcW w:w="1877"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0.192m</w:t>
            </w:r>
            <w:r>
              <w:rPr>
                <w:rFonts w:hint="eastAsia" w:ascii="Times New Roman" w:hAnsi="Times New Roman" w:cs="Times New Roman"/>
                <w:b w:val="0"/>
                <w:bCs w:val="0"/>
                <w:sz w:val="24"/>
                <w:szCs w:val="22"/>
                <w:vertAlign w:val="superscript"/>
                <w:lang w:val="en-US" w:eastAsia="zh-CN"/>
              </w:rPr>
              <w:t>3</w:t>
            </w:r>
            <w:r>
              <w:rPr>
                <w:rFonts w:hint="eastAsia" w:ascii="Times New Roman" w:hAnsi="Times New Roman" w:cs="Times New Roman"/>
                <w:b w:val="0"/>
                <w:bCs w:val="0"/>
                <w:sz w:val="24"/>
                <w:szCs w:val="22"/>
                <w:vertAlign w:val="baseline"/>
                <w:lang w:val="en-US" w:eastAsia="zh-CN"/>
              </w:rPr>
              <w:t>/d</w:t>
            </w:r>
          </w:p>
        </w:tc>
        <w:tc>
          <w:tcPr>
            <w:tcW w:w="2146"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噪声</w:t>
            </w:r>
          </w:p>
        </w:tc>
        <w:tc>
          <w:tcPr>
            <w:tcW w:w="957"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施工期</w:t>
            </w:r>
          </w:p>
        </w:tc>
        <w:tc>
          <w:tcPr>
            <w:tcW w:w="1500"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施工车辆及运输车辆</w:t>
            </w:r>
          </w:p>
        </w:tc>
        <w:tc>
          <w:tcPr>
            <w:tcW w:w="1545"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噪声</w:t>
            </w:r>
          </w:p>
        </w:tc>
        <w:tc>
          <w:tcPr>
            <w:tcW w:w="1877"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w:t>
            </w:r>
          </w:p>
        </w:tc>
        <w:tc>
          <w:tcPr>
            <w:tcW w:w="2146"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昼间&lt;70dB（A）</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夜间&lt;55dB（A）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cs="Times New Roman"/>
                <w:b w:val="0"/>
                <w:bCs w:val="0"/>
                <w:sz w:val="24"/>
                <w:szCs w:val="22"/>
                <w:vertAlign w:val="baseline"/>
                <w:lang w:val="en-US" w:eastAsia="zh-CN"/>
              </w:rPr>
            </w:pPr>
          </w:p>
        </w:tc>
        <w:tc>
          <w:tcPr>
            <w:tcW w:w="957"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运行期</w:t>
            </w:r>
          </w:p>
        </w:tc>
        <w:tc>
          <w:tcPr>
            <w:tcW w:w="1500"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输电线路</w:t>
            </w:r>
          </w:p>
        </w:tc>
        <w:tc>
          <w:tcPr>
            <w:tcW w:w="1545"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噪声</w:t>
            </w:r>
          </w:p>
        </w:tc>
        <w:tc>
          <w:tcPr>
            <w:tcW w:w="1877"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w:t>
            </w:r>
          </w:p>
        </w:tc>
        <w:tc>
          <w:tcPr>
            <w:tcW w:w="2146"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昼间&lt;</w:t>
            </w:r>
            <w:r>
              <w:rPr>
                <w:rFonts w:hint="eastAsia" w:ascii="Times New Roman" w:cs="Times New Roman"/>
                <w:b w:val="0"/>
                <w:bCs w:val="0"/>
                <w:sz w:val="24"/>
                <w:szCs w:val="22"/>
                <w:vertAlign w:val="baseline"/>
                <w:lang w:val="en-US" w:eastAsia="zh-CN"/>
              </w:rPr>
              <w:t>55</w:t>
            </w:r>
            <w:r>
              <w:rPr>
                <w:rFonts w:hint="eastAsia" w:ascii="Times New Roman" w:hAnsi="Times New Roman" w:cs="Times New Roman"/>
                <w:b w:val="0"/>
                <w:bCs w:val="0"/>
                <w:sz w:val="24"/>
                <w:szCs w:val="22"/>
                <w:vertAlign w:val="baseline"/>
                <w:lang w:val="en-US" w:eastAsia="zh-CN"/>
              </w:rPr>
              <w:t>dB（A）</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夜间&lt;</w:t>
            </w:r>
            <w:r>
              <w:rPr>
                <w:rFonts w:hint="eastAsia" w:ascii="Times New Roman" w:cs="Times New Roman"/>
                <w:b w:val="0"/>
                <w:bCs w:val="0"/>
                <w:sz w:val="24"/>
                <w:szCs w:val="22"/>
                <w:vertAlign w:val="baseline"/>
                <w:lang w:val="en-US" w:eastAsia="zh-CN"/>
              </w:rPr>
              <w:t>4</w:t>
            </w:r>
            <w:r>
              <w:rPr>
                <w:rFonts w:hint="eastAsia" w:ascii="Times New Roman" w:hAnsi="Times New Roman" w:cs="Times New Roman"/>
                <w:b w:val="0"/>
                <w:bCs w:val="0"/>
                <w:sz w:val="24"/>
                <w:szCs w:val="22"/>
                <w:vertAlign w:val="baseline"/>
                <w:lang w:val="en-US" w:eastAsia="zh-CN"/>
              </w:rPr>
              <w:t>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固体</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废物</w:t>
            </w:r>
          </w:p>
        </w:tc>
        <w:tc>
          <w:tcPr>
            <w:tcW w:w="957"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施工期</w:t>
            </w:r>
          </w:p>
        </w:tc>
        <w:tc>
          <w:tcPr>
            <w:tcW w:w="1500"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施工场地</w:t>
            </w:r>
          </w:p>
        </w:tc>
        <w:tc>
          <w:tcPr>
            <w:tcW w:w="1545"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建筑垃圾</w:t>
            </w:r>
          </w:p>
        </w:tc>
        <w:tc>
          <w:tcPr>
            <w:tcW w:w="1877"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少量</w:t>
            </w:r>
          </w:p>
        </w:tc>
        <w:tc>
          <w:tcPr>
            <w:tcW w:w="2146"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cs="Times New Roman"/>
                <w:b w:val="0"/>
                <w:bCs w:val="0"/>
                <w:sz w:val="24"/>
                <w:szCs w:val="22"/>
                <w:vertAlign w:val="baseline"/>
                <w:lang w:val="en-US" w:eastAsia="zh-CN"/>
              </w:rPr>
            </w:pPr>
          </w:p>
        </w:tc>
        <w:tc>
          <w:tcPr>
            <w:tcW w:w="957"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cs="Times New Roman"/>
                <w:b w:val="0"/>
                <w:bCs w:val="0"/>
                <w:sz w:val="24"/>
                <w:szCs w:val="22"/>
                <w:vertAlign w:val="baseline"/>
                <w:lang w:val="en-US" w:eastAsia="zh-CN"/>
              </w:rPr>
            </w:pPr>
          </w:p>
        </w:tc>
        <w:tc>
          <w:tcPr>
            <w:tcW w:w="1500"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施工人员</w:t>
            </w:r>
          </w:p>
        </w:tc>
        <w:tc>
          <w:tcPr>
            <w:tcW w:w="1545"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生活垃圾</w:t>
            </w:r>
          </w:p>
        </w:tc>
        <w:tc>
          <w:tcPr>
            <w:tcW w:w="1877"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2.4kg/d</w:t>
            </w:r>
          </w:p>
        </w:tc>
        <w:tc>
          <w:tcPr>
            <w:tcW w:w="2146"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cs="Times New Roman"/>
                <w:b w:val="0"/>
                <w:bCs w:val="0"/>
                <w:sz w:val="24"/>
                <w:szCs w:val="22"/>
                <w:vertAlign w:val="baseline"/>
                <w:lang w:val="en-US" w:eastAsia="zh-CN"/>
              </w:rPr>
            </w:pPr>
          </w:p>
        </w:tc>
        <w:tc>
          <w:tcPr>
            <w:tcW w:w="957"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运行期</w:t>
            </w:r>
          </w:p>
        </w:tc>
        <w:tc>
          <w:tcPr>
            <w:tcW w:w="1500"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巡回检查和维修人员</w:t>
            </w:r>
          </w:p>
        </w:tc>
        <w:tc>
          <w:tcPr>
            <w:tcW w:w="1545"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生活垃圾</w:t>
            </w:r>
          </w:p>
        </w:tc>
        <w:tc>
          <w:tcPr>
            <w:tcW w:w="1877"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少量</w:t>
            </w:r>
          </w:p>
        </w:tc>
        <w:tc>
          <w:tcPr>
            <w:tcW w:w="2146"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电磁</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影响</w:t>
            </w:r>
          </w:p>
        </w:tc>
        <w:tc>
          <w:tcPr>
            <w:tcW w:w="957"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运行期</w:t>
            </w:r>
          </w:p>
        </w:tc>
        <w:tc>
          <w:tcPr>
            <w:tcW w:w="1500"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输电线路</w:t>
            </w:r>
          </w:p>
        </w:tc>
        <w:tc>
          <w:tcPr>
            <w:tcW w:w="1545"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工频电场、工频磁感应强度</w:t>
            </w:r>
          </w:p>
        </w:tc>
        <w:tc>
          <w:tcPr>
            <w:tcW w:w="1877"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工频电场强度</w:t>
            </w:r>
            <w:r>
              <w:rPr>
                <w:rFonts w:hint="eastAsia" w:asci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val="en-US" w:eastAsia="zh-CN"/>
              </w:rPr>
              <w:t>4000V/m</w:t>
            </w:r>
            <w:r>
              <w:rPr>
                <w:rFonts w:hint="eastAsia" w:asci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val="en-US" w:eastAsia="zh-CN"/>
              </w:rPr>
              <w:t>工频磁感应强度：</w:t>
            </w:r>
            <w:r>
              <w:rPr>
                <w:rFonts w:hint="eastAsia" w:asci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val="en-US" w:eastAsia="zh-CN"/>
              </w:rPr>
              <w:t>100μT</w:t>
            </w:r>
          </w:p>
        </w:tc>
        <w:tc>
          <w:tcPr>
            <w:tcW w:w="2146" w:type="dxa"/>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工频电场强度</w:t>
            </w:r>
            <w:r>
              <w:rPr>
                <w:rFonts w:hint="eastAsia" w:asci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val="en-US" w:eastAsia="zh-CN"/>
              </w:rPr>
              <w:t>4000V/m</w:t>
            </w:r>
            <w:r>
              <w:rPr>
                <w:rFonts w:hint="eastAsia" w:asci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val="en-US" w:eastAsia="zh-CN"/>
              </w:rPr>
              <w:t>工频磁感应强度：</w:t>
            </w:r>
            <w:r>
              <w:rPr>
                <w:rFonts w:hint="eastAsia" w:asci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val="en-US" w:eastAsia="zh-CN"/>
              </w:rPr>
              <w:t>100μT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5" w:type="dxa"/>
            <w:gridSpan w:val="6"/>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eastAsia"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主要生态影响（不够时可附另页）：</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b/>
                <w:bCs/>
                <w:sz w:val="28"/>
                <w:szCs w:val="24"/>
                <w:vertAlign w:val="baseline"/>
                <w:lang w:val="en-US" w:eastAsia="zh-CN"/>
              </w:rPr>
            </w:pPr>
            <w:r>
              <w:rPr>
                <w:rFonts w:hint="eastAsia" w:ascii="Times New Roman" w:cs="Times New Roman"/>
                <w:b/>
                <w:bCs/>
                <w:sz w:val="28"/>
                <w:szCs w:val="24"/>
                <w:vertAlign w:val="baseline"/>
                <w:lang w:val="en-US" w:eastAsia="zh-CN"/>
              </w:rPr>
              <w:t>6.1 施工期生态环境影响</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jc w:val="left"/>
              <w:textAlignment w:val="auto"/>
              <w:rPr>
                <w:rFonts w:hint="eastAsia" w:asci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施工期对生态环境的影响主要表现在土地占用、植被破坏等方面。本项目输电线路位于延安市吴起县，线路路径长</w:t>
            </w:r>
            <w:r>
              <w:rPr>
                <w:rFonts w:hint="eastAsia" w:ascii="Times New Roman" w:cs="Times New Roman"/>
                <w:b w:val="0"/>
                <w:bCs w:val="0"/>
                <w:sz w:val="24"/>
                <w:szCs w:val="22"/>
                <w:vertAlign w:val="baseline"/>
                <w:lang w:val="en-US" w:eastAsia="zh-CN"/>
              </w:rPr>
              <w:t>约7.105</w:t>
            </w:r>
            <w:r>
              <w:rPr>
                <w:rFonts w:hint="default" w:ascii="Times New Roman" w:hAnsi="Times New Roman" w:cs="Times New Roman"/>
                <w:b w:val="0"/>
                <w:bCs w:val="0"/>
                <w:sz w:val="24"/>
                <w:szCs w:val="22"/>
                <w:vertAlign w:val="baseline"/>
                <w:lang w:val="en-US" w:eastAsia="zh-CN"/>
              </w:rPr>
              <w:t>km，塔基永久占地面积约12</w:t>
            </w:r>
            <w:r>
              <w:rPr>
                <w:rFonts w:hint="eastAsia" w:ascii="Times New Roman" w:cs="Times New Roman"/>
                <w:b w:val="0"/>
                <w:bCs w:val="0"/>
                <w:sz w:val="24"/>
                <w:szCs w:val="22"/>
                <w:vertAlign w:val="baseline"/>
                <w:lang w:val="en-US" w:eastAsia="zh-CN"/>
              </w:rPr>
              <w:t>60</w:t>
            </w:r>
            <w:r>
              <w:rPr>
                <w:rFonts w:hint="default" w:ascii="Times New Roman" w:hAnsi="Times New Roman" w:cs="Times New Roman"/>
                <w:b w:val="0"/>
                <w:bCs w:val="0"/>
                <w:sz w:val="24"/>
                <w:szCs w:val="22"/>
                <w:vertAlign w:val="baseline"/>
                <w:lang w:val="en-US" w:eastAsia="zh-CN"/>
              </w:rPr>
              <w:t>m</w:t>
            </w:r>
            <w:r>
              <w:rPr>
                <w:rFonts w:hint="default" w:ascii="Times New Roman" w:hAnsi="Times New Roman" w:cs="Times New Roman"/>
                <w:b w:val="0"/>
                <w:bCs w:val="0"/>
                <w:sz w:val="24"/>
                <w:szCs w:val="22"/>
                <w:vertAlign w:val="superscript"/>
                <w:lang w:val="en-US" w:eastAsia="zh-CN"/>
              </w:rPr>
              <w:t>2</w:t>
            </w:r>
            <w:r>
              <w:rPr>
                <w:rFonts w:hint="default" w:ascii="Times New Roman" w:hAnsi="Times New Roman" w:cs="Times New Roman"/>
                <w:b w:val="0"/>
                <w:bCs w:val="0"/>
                <w:sz w:val="24"/>
                <w:szCs w:val="22"/>
                <w:vertAlign w:val="baseline"/>
                <w:lang w:val="en-US" w:eastAsia="zh-CN"/>
              </w:rPr>
              <w:t>，</w:t>
            </w:r>
            <w:r>
              <w:rPr>
                <w:rFonts w:hint="eastAsia" w:ascii="Times New Roman" w:cs="Times New Roman"/>
                <w:b w:val="0"/>
                <w:bCs w:val="0"/>
                <w:sz w:val="24"/>
                <w:szCs w:val="22"/>
                <w:vertAlign w:val="baseline"/>
                <w:lang w:val="en-US" w:eastAsia="zh-CN"/>
              </w:rPr>
              <w:t>在线路施工时，</w:t>
            </w:r>
            <w:r>
              <w:rPr>
                <w:rFonts w:hint="default" w:ascii="Times New Roman" w:hAnsi="Times New Roman" w:cs="Times New Roman"/>
                <w:b w:val="0"/>
                <w:bCs w:val="0"/>
                <w:sz w:val="24"/>
                <w:szCs w:val="22"/>
                <w:vertAlign w:val="baseline"/>
                <w:lang w:val="en-US" w:eastAsia="zh-CN"/>
              </w:rPr>
              <w:t>会破坏部分地表植被。线路工程需新开挖土方，多余土方平摊至塔基周围，但随着工程施工结束后地表植的生态恢复，影响将会逐渐</w:t>
            </w:r>
            <w:r>
              <w:rPr>
                <w:rFonts w:hint="eastAsia" w:ascii="Times New Roman" w:cs="Times New Roman"/>
                <w:b w:val="0"/>
                <w:bCs w:val="0"/>
                <w:sz w:val="24"/>
                <w:szCs w:val="22"/>
                <w:vertAlign w:val="baseline"/>
                <w:lang w:val="en-US" w:eastAsia="zh-CN"/>
              </w:rPr>
              <w:t>减小。</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cs="Times New Roman"/>
                <w:b/>
                <w:bCs/>
                <w:sz w:val="28"/>
                <w:szCs w:val="24"/>
                <w:vertAlign w:val="baseline"/>
                <w:lang w:val="en-US" w:eastAsia="zh-CN"/>
              </w:rPr>
            </w:pPr>
            <w:r>
              <w:rPr>
                <w:rFonts w:hint="eastAsia" w:ascii="Times New Roman" w:cs="Times New Roman"/>
                <w:b/>
                <w:bCs/>
                <w:sz w:val="28"/>
                <w:szCs w:val="24"/>
                <w:vertAlign w:val="baseline"/>
                <w:lang w:val="en-US" w:eastAsia="zh-CN"/>
              </w:rPr>
              <w:t>6.2 运营期生态环境影响</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运营期对生态环境基本无影响。本项目建成投运后，对周边环境的影响主要表现为电磁环境的影响，对生态环境影响很小。</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总体来说，本项目对生态影响主要体现在施工期，且属短期影响</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cs="Times New Roman"/>
                <w:b w:val="0"/>
                <w:bCs w:val="0"/>
                <w:sz w:val="24"/>
                <w:szCs w:val="22"/>
                <w:vertAlign w:val="baseline"/>
                <w:lang w:val="en-US" w:eastAsia="zh-CN"/>
              </w:rPr>
            </w:pPr>
          </w:p>
        </w:tc>
      </w:tr>
    </w:tbl>
    <w:p>
      <w:pPr>
        <w:rPr>
          <w:rFonts w:hint="default"/>
          <w:b/>
          <w:bCs/>
          <w:sz w:val="32"/>
          <w:szCs w:val="28"/>
          <w:lang w:val="en-US" w:eastAsia="zh-CN"/>
        </w:rPr>
      </w:pPr>
      <w:r>
        <w:rPr>
          <w:rFonts w:hint="default"/>
          <w:b/>
          <w:bCs/>
          <w:sz w:val="32"/>
          <w:szCs w:val="28"/>
          <w:lang w:val="en-US" w:eastAsia="zh-CN"/>
        </w:rPr>
        <w:br w:type="page"/>
      </w:r>
    </w:p>
    <w:p>
      <w:pPr>
        <w:pStyle w:val="3"/>
        <w:ind w:left="0" w:leftChars="0" w:firstLine="0" w:firstLineChars="0"/>
        <w:outlineLvl w:val="0"/>
        <w:rPr>
          <w:rFonts w:hint="eastAsia"/>
          <w:b/>
          <w:bCs/>
          <w:sz w:val="32"/>
          <w:szCs w:val="28"/>
          <w:lang w:val="en-US" w:eastAsia="zh-CN"/>
        </w:rPr>
      </w:pPr>
      <w:bookmarkStart w:id="8" w:name="_Toc25261"/>
      <w:r>
        <w:rPr>
          <w:rFonts w:hint="eastAsia"/>
          <w:b/>
          <w:bCs/>
          <w:sz w:val="32"/>
          <w:szCs w:val="28"/>
          <w:lang w:val="en-US" w:eastAsia="zh-CN"/>
        </w:rPr>
        <w:t>7 环境影响分析</w:t>
      </w:r>
      <w:bookmarkEnd w:id="8"/>
    </w:p>
    <w:tbl>
      <w:tblPr>
        <w:tblStyle w:val="15"/>
        <w:tblW w:w="9090" w:type="dxa"/>
        <w:tblInd w:w="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0" w:type="dxa"/>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b/>
                <w:bCs/>
                <w:sz w:val="28"/>
                <w:szCs w:val="24"/>
                <w:vertAlign w:val="baseline"/>
                <w:lang w:val="en-US" w:eastAsia="zh-CN"/>
              </w:rPr>
            </w:pPr>
            <w:r>
              <w:rPr>
                <w:rFonts w:hint="eastAsia"/>
                <w:b/>
                <w:bCs/>
                <w:sz w:val="28"/>
                <w:szCs w:val="24"/>
                <w:vertAlign w:val="baseline"/>
                <w:lang w:val="en-US" w:eastAsia="zh-CN"/>
              </w:rPr>
              <w:t>施工期环境影响分析：</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b/>
                <w:bCs/>
                <w:sz w:val="28"/>
                <w:szCs w:val="24"/>
                <w:vertAlign w:val="baseline"/>
                <w:lang w:val="en-US" w:eastAsia="zh-CN"/>
              </w:rPr>
            </w:pPr>
            <w:r>
              <w:rPr>
                <w:rFonts w:hint="default" w:ascii="Times New Roman" w:hAnsi="Times New Roman" w:cs="Times New Roman"/>
                <w:b/>
                <w:bCs/>
                <w:sz w:val="28"/>
                <w:szCs w:val="24"/>
                <w:vertAlign w:val="baseline"/>
                <w:lang w:val="en-US" w:eastAsia="zh-CN"/>
              </w:rPr>
              <w:t>7.1 大气环境影响分析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施工期对环境空气的影响主要表现在扬尘、运输车辆排放的尾气等</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7.1.1 施工扬尘</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输电线路的塔基施工在开挖、堆放、回填过程中，由于土地裸露产生的局部、少量二次扬尘，可能对周围环境产生暂时影响：施工建筑材料的装卸、运输、堆放及施工车辆运输过程中将产生扬尘。</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本工程输电线路塔基施工时，全部采用商砼，可有效防止水泥粉尘对环境质量的影响。对土、石料等可能产生扬尘的材料，在运输时用篷布覆盖。同时输电线路工程具有开挖量小，作业点分散，施工时间较短，影响区域较小的特点，故对周围环境空气的影响只是短期的、小范围的，并且能够很快恢复，施工扬尘对周围环境的影响较</w:t>
            </w:r>
            <w:r>
              <w:rPr>
                <w:rFonts w:hint="eastAsia" w:ascii="Times New Roman" w:hAnsi="Times New Roman" w:cs="Times New Roman"/>
                <w:b w:val="0"/>
                <w:bCs w:val="0"/>
                <w:sz w:val="24"/>
                <w:szCs w:val="22"/>
                <w:vertAlign w:val="baseline"/>
                <w:lang w:val="en-US" w:eastAsia="zh-CN"/>
              </w:rPr>
              <w:t>小。</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根据《陕西省建筑施工扬尘治理行动方案》及《陕西省建筑施工扬尘治理措施16条》、《陕西省人民政府铁腕治霾打赢蓝天保卫战三年行动方案（2018~2020）（修订版）》、《延安市打贏蓝天保卫战三年行动方案（2018~2020年）》及其中的相关要求</w:t>
            </w:r>
            <w:r>
              <w:rPr>
                <w:rFonts w:hint="eastAsia" w:ascii="Times New Roman" w:hAns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val="en-US" w:eastAsia="zh-CN"/>
              </w:rPr>
              <w:t>本工程施工时应采取以下措施</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（1）</w:t>
            </w:r>
            <w:r>
              <w:rPr>
                <w:rFonts w:hint="default" w:ascii="Times New Roman" w:hAnsi="Times New Roman" w:cs="Times New Roman"/>
                <w:b w:val="0"/>
                <w:bCs w:val="0"/>
                <w:sz w:val="24"/>
                <w:szCs w:val="22"/>
                <w:vertAlign w:val="baseline"/>
                <w:lang w:val="en-US" w:eastAsia="zh-CN"/>
              </w:rPr>
              <w:t>施工期严格执行建筑工地</w:t>
            </w:r>
            <w:r>
              <w:rPr>
                <w:rFonts w:hint="eastAsia" w:ascii="Times New Roman" w:hAns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val="en-US" w:eastAsia="zh-CN"/>
              </w:rPr>
              <w:t>六个100%管理+红黄绿牌结果管理</w:t>
            </w:r>
            <w:r>
              <w:rPr>
                <w:rFonts w:hint="eastAsia" w:ascii="Times New Roman" w:hAns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val="en-US" w:eastAsia="zh-CN"/>
              </w:rPr>
              <w:t>防治联动制度：施工作业面周边进行围挡、物料堆放覆盖、土方开挖湿法作业、出入车辆清洗等</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（2）</w:t>
            </w:r>
            <w:r>
              <w:rPr>
                <w:rFonts w:hint="default" w:ascii="Times New Roman" w:hAnsi="Times New Roman" w:cs="Times New Roman"/>
                <w:b w:val="0"/>
                <w:bCs w:val="0"/>
                <w:sz w:val="24"/>
                <w:szCs w:val="22"/>
                <w:vertAlign w:val="baseline"/>
                <w:lang w:val="en-US" w:eastAsia="zh-CN"/>
              </w:rPr>
              <w:t>施工场内非道路移动机械符合国三标准</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（3）</w:t>
            </w:r>
            <w:r>
              <w:rPr>
                <w:rFonts w:hint="default" w:ascii="Times New Roman" w:hAnsi="Times New Roman" w:cs="Times New Roman"/>
                <w:b w:val="0"/>
                <w:bCs w:val="0"/>
                <w:sz w:val="24"/>
                <w:szCs w:val="22"/>
                <w:vertAlign w:val="baseline"/>
                <w:lang w:val="en-US" w:eastAsia="zh-CN"/>
              </w:rPr>
              <w:t>严格渣土运输车辆规范化管理，渣土运输车要密闭</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（4）</w:t>
            </w:r>
            <w:r>
              <w:rPr>
                <w:rFonts w:hint="default" w:ascii="Times New Roman" w:hAnsi="Times New Roman" w:cs="Times New Roman"/>
                <w:b w:val="0"/>
                <w:bCs w:val="0"/>
                <w:sz w:val="24"/>
                <w:szCs w:val="22"/>
                <w:vertAlign w:val="baseline"/>
                <w:lang w:val="en-US" w:eastAsia="zh-CN"/>
              </w:rPr>
              <w:t>遇有严重污染日时，严禁建筑工地土方作业</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（5）</w:t>
            </w:r>
            <w:r>
              <w:rPr>
                <w:rFonts w:hint="default" w:ascii="Times New Roman" w:hAnsi="Times New Roman" w:cs="Times New Roman"/>
                <w:b w:val="0"/>
                <w:bCs w:val="0"/>
                <w:sz w:val="24"/>
                <w:szCs w:val="22"/>
                <w:vertAlign w:val="baseline"/>
                <w:lang w:val="en-US" w:eastAsia="zh-CN"/>
              </w:rPr>
              <w:t>气象预报风速达到四级以上或出现重污染天气状况时，严禁土石方、开挖、回填、倒土等可能产生扬尘的施工作业，同时要对现场采取覆盖、洒水等降尘措施</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通过切实落实上述措施，施工期扬尘可满足《施工场界扬尘排放限值》（DB6l/1078-2017）要求，施工期大气环境影响较小</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7.1.2 施工机械和运输车辆废气</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施工机械和运输车辆排放的尾气中主要污染因子为CO、NO</w:t>
            </w:r>
            <w:r>
              <w:rPr>
                <w:rFonts w:hint="eastAsia" w:ascii="Times New Roman" w:hAnsi="Times New Roman" w:cs="Times New Roman"/>
                <w:b w:val="0"/>
                <w:bCs w:val="0"/>
                <w:sz w:val="24"/>
                <w:szCs w:val="22"/>
                <w:vertAlign w:val="subscript"/>
                <w:lang w:val="en-US" w:eastAsia="zh-CN"/>
              </w:rPr>
              <w:t>X</w:t>
            </w:r>
            <w:r>
              <w:rPr>
                <w:rFonts w:hint="default" w:ascii="Times New Roman" w:hAnsi="Times New Roman" w:cs="Times New Roman"/>
                <w:b w:val="0"/>
                <w:bCs w:val="0"/>
                <w:sz w:val="24"/>
                <w:szCs w:val="22"/>
                <w:vertAlign w:val="baseline"/>
                <w:lang w:val="en-US" w:eastAsia="zh-CN"/>
              </w:rPr>
              <w:t>、HC等，由于车辆废气属小范围短期影响，且通过加强对施工机械和施工车辆的运行管理与维护保养对环境空气影响小</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7.2 水环境影响分析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施工期废水由施工人员的生活污水和少量的施工废水组成。施工人员生活污水可利用附近村庄生活污水处理设施收集处理，</w:t>
            </w:r>
            <w:r>
              <w:rPr>
                <w:rFonts w:hint="eastAsia" w:ascii="Times New Roman" w:hAnsi="Times New Roman" w:cs="Times New Roman"/>
                <w:b w:val="0"/>
                <w:bCs w:val="0"/>
                <w:sz w:val="24"/>
                <w:szCs w:val="22"/>
                <w:vertAlign w:val="baseline"/>
                <w:lang w:val="en-US" w:eastAsia="zh-CN"/>
              </w:rPr>
              <w:t>杆</w:t>
            </w:r>
            <w:r>
              <w:rPr>
                <w:rFonts w:hint="default" w:ascii="Times New Roman" w:hAnsi="Times New Roman" w:cs="Times New Roman"/>
                <w:b w:val="0"/>
                <w:bCs w:val="0"/>
                <w:sz w:val="24"/>
                <w:szCs w:val="22"/>
                <w:vertAlign w:val="baseline"/>
                <w:lang w:val="en-US" w:eastAsia="zh-CN"/>
              </w:rPr>
              <w:t>塔基础施工浇筑采用商品混凝土，因此线路施工过程基本不产生废水。输电线路工程作业点较分散，施工时间较短，影响区域较小</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7.3 声环境影响分析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拟建输电线路施工期对声环境影响主要是施工机械和车辆。</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建设施工期一般为露天作业，声源较高，由于施工场地内机械设备大多属于移动声源，要准确预测施工场地各场界噪声值较困难。施工机械噪声可近似点声源处理为了反映施工杋械噪声对环境的影响，利用距离传播衰减模式预测施工机械噪声距离厂界处的噪声值，公式为：</w:t>
            </w:r>
          </w:p>
          <w:p>
            <w:pPr>
              <w:keepNext w:val="0"/>
              <w:keepLines w:val="0"/>
              <w:pageBreakBefore w:val="0"/>
              <w:kinsoku/>
              <w:wordWrap/>
              <w:overflowPunct/>
              <w:topLinePunct w:val="0"/>
              <w:bidi w:val="0"/>
              <w:snapToGrid/>
              <w:spacing w:line="360" w:lineRule="auto"/>
              <w:ind w:left="0"/>
              <w:jc w:val="center"/>
              <w:textAlignment w:val="auto"/>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L（r）=L（r</w:t>
            </w:r>
            <w:r>
              <w:rPr>
                <w:rFonts w:hint="default" w:ascii="Times New Roman" w:hAnsi="Times New Roman" w:cs="Times New Roman"/>
                <w:color w:val="auto"/>
                <w:sz w:val="24"/>
                <w:highlight w:val="none"/>
                <w:u w:val="none"/>
                <w:vertAlign w:val="subscript"/>
              </w:rPr>
              <w:t>0</w:t>
            </w:r>
            <w:r>
              <w:rPr>
                <w:rFonts w:hint="default" w:ascii="Times New Roman" w:hAnsi="Times New Roman" w:cs="Times New Roman"/>
                <w:color w:val="auto"/>
                <w:sz w:val="24"/>
                <w:highlight w:val="none"/>
                <w:u w:val="none"/>
              </w:rPr>
              <w:t>）-20Lg（r/r</w:t>
            </w:r>
            <w:r>
              <w:rPr>
                <w:rFonts w:hint="default" w:ascii="Times New Roman" w:hAnsi="Times New Roman" w:cs="Times New Roman"/>
                <w:color w:val="auto"/>
                <w:sz w:val="24"/>
                <w:highlight w:val="none"/>
                <w:u w:val="none"/>
                <w:vertAlign w:val="subscript"/>
              </w:rPr>
              <w:t>0</w:t>
            </w:r>
            <w:r>
              <w:rPr>
                <w:rFonts w:hint="default" w:ascii="Times New Roman" w:hAnsi="Times New Roman" w:cs="Times New Roman"/>
                <w:color w:val="auto"/>
                <w:sz w:val="24"/>
                <w:highlight w:val="none"/>
                <w:u w:val="none"/>
              </w:rPr>
              <w:t>）</w:t>
            </w:r>
          </w:p>
          <w:p>
            <w:pPr>
              <w:keepNext w:val="0"/>
              <w:keepLines w:val="0"/>
              <w:pageBreakBefore w:val="0"/>
              <w:kinsoku/>
              <w:wordWrap/>
              <w:overflowPunct/>
              <w:topLinePunct w:val="0"/>
              <w:bidi w:val="0"/>
              <w:snapToGrid/>
              <w:spacing w:line="360" w:lineRule="auto"/>
              <w:ind w:left="0" w:firstLine="360" w:firstLineChars="150"/>
              <w:jc w:val="left"/>
              <w:textAlignment w:val="auto"/>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式中：L（r）—预测点的噪声值，dB</w:t>
            </w:r>
            <w:r>
              <w:rPr>
                <w:rFonts w:hint="default" w:ascii="Times New Roman" w:hAnsi="Times New Roman" w:cs="Times New Roman"/>
                <w:color w:val="auto"/>
                <w:highlight w:val="none"/>
                <w:u w:val="none"/>
              </w:rPr>
              <w:t>（</w:t>
            </w:r>
            <w:r>
              <w:rPr>
                <w:rFonts w:hint="default" w:ascii="Times New Roman" w:hAnsi="Times New Roman" w:cs="Times New Roman"/>
                <w:color w:val="auto"/>
                <w:sz w:val="24"/>
                <w:highlight w:val="none"/>
                <w:u w:val="none"/>
              </w:rPr>
              <w:t>A</w:t>
            </w:r>
            <w:r>
              <w:rPr>
                <w:rFonts w:hint="default" w:ascii="Times New Roman" w:hAnsi="Times New Roman" w:cs="Times New Roman"/>
                <w:color w:val="auto"/>
                <w:highlight w:val="none"/>
                <w:u w:val="none"/>
              </w:rPr>
              <w:t>）</w:t>
            </w:r>
            <w:r>
              <w:rPr>
                <w:rFonts w:hint="default" w:ascii="Times New Roman" w:hAnsi="Times New Roman" w:cs="Times New Roman"/>
                <w:color w:val="auto"/>
                <w:sz w:val="24"/>
                <w:highlight w:val="none"/>
                <w:u w:val="none"/>
              </w:rPr>
              <w:t>；</w:t>
            </w:r>
          </w:p>
          <w:p>
            <w:pPr>
              <w:keepNext w:val="0"/>
              <w:keepLines w:val="0"/>
              <w:pageBreakBefore w:val="0"/>
              <w:kinsoku/>
              <w:wordWrap/>
              <w:overflowPunct/>
              <w:topLinePunct w:val="0"/>
              <w:bidi w:val="0"/>
              <w:snapToGrid/>
              <w:spacing w:line="360" w:lineRule="auto"/>
              <w:ind w:left="0" w:firstLine="1032" w:firstLineChars="430"/>
              <w:textAlignment w:val="auto"/>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L（r</w:t>
            </w:r>
            <w:r>
              <w:rPr>
                <w:rFonts w:hint="default" w:ascii="Times New Roman" w:hAnsi="Times New Roman" w:cs="Times New Roman"/>
                <w:color w:val="auto"/>
                <w:sz w:val="24"/>
                <w:highlight w:val="none"/>
                <w:u w:val="none"/>
                <w:vertAlign w:val="subscript"/>
              </w:rPr>
              <w:t>0</w:t>
            </w:r>
            <w:r>
              <w:rPr>
                <w:rFonts w:hint="default" w:ascii="Times New Roman" w:hAnsi="Times New Roman" w:cs="Times New Roman"/>
                <w:color w:val="auto"/>
                <w:sz w:val="24"/>
                <w:highlight w:val="none"/>
                <w:u w:val="none"/>
              </w:rPr>
              <w:t>）—基准点r</w:t>
            </w:r>
            <w:r>
              <w:rPr>
                <w:rFonts w:hint="default" w:ascii="Times New Roman" w:hAnsi="Times New Roman" w:cs="Times New Roman"/>
                <w:color w:val="auto"/>
                <w:sz w:val="24"/>
                <w:highlight w:val="none"/>
                <w:u w:val="none"/>
                <w:vertAlign w:val="subscript"/>
              </w:rPr>
              <w:t>0</w:t>
            </w:r>
            <w:r>
              <w:rPr>
                <w:rFonts w:hint="default" w:ascii="Times New Roman" w:hAnsi="Times New Roman" w:cs="Times New Roman"/>
                <w:color w:val="auto"/>
                <w:sz w:val="24"/>
                <w:highlight w:val="none"/>
                <w:u w:val="none"/>
              </w:rPr>
              <w:t>处的噪声值，dB</w:t>
            </w:r>
            <w:r>
              <w:rPr>
                <w:rFonts w:hint="default" w:ascii="Times New Roman" w:hAnsi="Times New Roman" w:cs="Times New Roman"/>
                <w:color w:val="auto"/>
                <w:highlight w:val="none"/>
                <w:u w:val="none"/>
              </w:rPr>
              <w:t>（</w:t>
            </w:r>
            <w:r>
              <w:rPr>
                <w:rFonts w:hint="default" w:ascii="Times New Roman" w:hAnsi="Times New Roman" w:cs="Times New Roman"/>
                <w:color w:val="auto"/>
                <w:sz w:val="24"/>
                <w:highlight w:val="none"/>
                <w:u w:val="none"/>
              </w:rPr>
              <w:t>A</w:t>
            </w:r>
            <w:r>
              <w:rPr>
                <w:rFonts w:hint="default" w:ascii="Times New Roman" w:hAnsi="Times New Roman" w:cs="Times New Roman"/>
                <w:color w:val="auto"/>
                <w:highlight w:val="none"/>
                <w:u w:val="none"/>
              </w:rPr>
              <w:t>）</w:t>
            </w:r>
            <w:r>
              <w:rPr>
                <w:rFonts w:hint="default" w:ascii="Times New Roman" w:hAnsi="Times New Roman" w:cs="Times New Roman"/>
                <w:color w:val="auto"/>
                <w:sz w:val="24"/>
                <w:highlight w:val="none"/>
                <w:u w:val="none"/>
              </w:rPr>
              <w:t>；</w:t>
            </w:r>
          </w:p>
          <w:p>
            <w:pPr>
              <w:keepNext w:val="0"/>
              <w:keepLines w:val="0"/>
              <w:pageBreakBefore w:val="0"/>
              <w:kinsoku/>
              <w:wordWrap/>
              <w:overflowPunct/>
              <w:topLinePunct w:val="0"/>
              <w:bidi w:val="0"/>
              <w:snapToGrid/>
              <w:spacing w:line="360" w:lineRule="auto"/>
              <w:ind w:left="0" w:firstLine="1080" w:firstLineChars="450"/>
              <w:jc w:val="left"/>
              <w:textAlignment w:val="auto"/>
              <w:rPr>
                <w:rFonts w:hint="default" w:ascii="Times New Roman" w:hAnsi="Times New Roman" w:cs="Times New Roman"/>
                <w:color w:val="auto"/>
                <w:sz w:val="24"/>
                <w:highlight w:val="none"/>
                <w:u w:val="none"/>
              </w:rPr>
            </w:pPr>
            <w:r>
              <w:rPr>
                <w:rFonts w:hint="default" w:ascii="Times New Roman" w:hAnsi="Times New Roman" w:cs="Times New Roman"/>
                <w:color w:val="auto"/>
                <w:sz w:val="24"/>
                <w:highlight w:val="none"/>
                <w:u w:val="none"/>
              </w:rPr>
              <w:t>r，r</w:t>
            </w:r>
            <w:r>
              <w:rPr>
                <w:rFonts w:hint="default" w:ascii="Times New Roman" w:hAnsi="Times New Roman" w:cs="Times New Roman"/>
                <w:color w:val="auto"/>
                <w:sz w:val="24"/>
                <w:highlight w:val="none"/>
                <w:u w:val="none"/>
                <w:vertAlign w:val="subscript"/>
              </w:rPr>
              <w:t>0</w:t>
            </w:r>
            <w:r>
              <w:rPr>
                <w:rFonts w:hint="default" w:ascii="Times New Roman" w:hAnsi="Times New Roman" w:cs="Times New Roman"/>
                <w:color w:val="auto"/>
                <w:sz w:val="24"/>
                <w:highlight w:val="none"/>
                <w:u w:val="none"/>
              </w:rPr>
              <w:t>—预测点、基准点的距离，m；</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根据上述公式，预测结果见表7-1。</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0"/>
                <w:vertAlign w:val="baseline"/>
                <w:lang w:val="en-US" w:eastAsia="zh-CN"/>
              </w:rPr>
            </w:pPr>
            <w:r>
              <w:rPr>
                <w:rFonts w:hint="eastAsia" w:ascii="Times New Roman" w:hAnsi="Times New Roman" w:cs="Times New Roman"/>
                <w:b/>
                <w:bCs/>
                <w:sz w:val="21"/>
                <w:szCs w:val="20"/>
                <w:vertAlign w:val="baseline"/>
                <w:lang w:val="en-US" w:eastAsia="zh-CN"/>
              </w:rPr>
              <w:t>表7-1  施工机械环境噪声影响预测结果</w:t>
            </w:r>
          </w:p>
          <w:tbl>
            <w:tblPr>
              <w:tblStyle w:val="15"/>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889"/>
              <w:gridCol w:w="889"/>
              <w:gridCol w:w="889"/>
              <w:gridCol w:w="889"/>
              <w:gridCol w:w="889"/>
              <w:gridCol w:w="889"/>
              <w:gridCol w:w="889"/>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2"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噪声源</w:t>
                  </w:r>
                </w:p>
              </w:tc>
              <w:tc>
                <w:tcPr>
                  <w:tcW w:w="7112" w:type="dxa"/>
                  <w:gridSpan w:val="8"/>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距噪声源不同距离（m）噪声贡献值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2"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1m</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5m</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10m</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30m</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60m</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100m</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150m</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270m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2"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推土机</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86</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80</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70</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66</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60</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56</w:t>
                  </w:r>
                </w:p>
              </w:tc>
              <w:tc>
                <w:tcPr>
                  <w:tcW w:w="889" w:type="dxa"/>
                  <w:vAlign w:val="center"/>
                </w:tcPr>
                <w:p>
                  <w:pPr>
                    <w:pStyle w:val="3"/>
                    <w:keepNext w:val="0"/>
                    <w:keepLines w:val="0"/>
                    <w:pageBreakBefore w:val="0"/>
                    <w:widowControl/>
                    <w:tabs>
                      <w:tab w:val="left" w:pos="599"/>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2"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轮式装载机</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90</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84</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74</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70</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64</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60</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2"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挖掘机</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84</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78</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68</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64</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58</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54</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2"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混凝土搅拌机</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86</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80</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70</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66</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60</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56</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2"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混凝土振捣器</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86</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80</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70</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66</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60</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56</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2"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混凝土输送泵</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90</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84</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74</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70</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64</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60</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2"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电焊机</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92</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92</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72</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62</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56</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52</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48</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2"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角磨机</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92</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92</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72</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62</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56</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52</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48</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2"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手电钻</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88</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88</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68</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58</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52</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48</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44</w:t>
                  </w:r>
                </w:p>
              </w:tc>
              <w:tc>
                <w:tcPr>
                  <w:tcW w:w="88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39</w:t>
                  </w:r>
                </w:p>
              </w:tc>
            </w:tr>
          </w:tbl>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由上表可见，项目施工期施工机械产生的噪声，昼间于60m以外、夜间于270m以外可达到《建筑施工场界环境噪声排放标准》（GB12523-2011）规定的场界排放标准限值。</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为最大限度减少施工期噪声对其影响，评价要求施工期应采取以下噪声防治</w:t>
            </w:r>
            <w:r>
              <w:rPr>
                <w:rFonts w:hint="eastAsia" w:ascii="Times New Roman" w:hAnsi="Times New Roman" w:cs="Times New Roman"/>
                <w:b w:val="0"/>
                <w:bCs w:val="0"/>
                <w:sz w:val="24"/>
                <w:szCs w:val="22"/>
                <w:vertAlign w:val="baseline"/>
                <w:lang w:val="en-US" w:eastAsia="zh-CN"/>
              </w:rPr>
              <w:t>措施：</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（1）</w:t>
            </w:r>
            <w:r>
              <w:rPr>
                <w:rFonts w:hint="default" w:ascii="Times New Roman" w:hAnsi="Times New Roman" w:cs="Times New Roman"/>
                <w:b w:val="0"/>
                <w:bCs w:val="0"/>
                <w:sz w:val="24"/>
                <w:szCs w:val="22"/>
                <w:vertAlign w:val="baseline"/>
                <w:lang w:val="en-US" w:eastAsia="zh-CN"/>
              </w:rPr>
              <w:t>施工前及时做好沟通工作，加大宣传和教育，使工人做到文明施工，绿色施工。合理调配车辆来往行车密度，规范物料车辆进岀场地，</w:t>
            </w:r>
            <w:r>
              <w:rPr>
                <w:rFonts w:hint="eastAsia" w:ascii="Times New Roman" w:cs="Times New Roman"/>
                <w:b w:val="0"/>
                <w:bCs w:val="0"/>
                <w:sz w:val="24"/>
                <w:szCs w:val="22"/>
                <w:vertAlign w:val="baseline"/>
                <w:lang w:val="en-US" w:eastAsia="zh-CN"/>
              </w:rPr>
              <w:t>减</w:t>
            </w:r>
            <w:r>
              <w:rPr>
                <w:rFonts w:hint="default" w:ascii="Times New Roman" w:hAnsi="Times New Roman" w:cs="Times New Roman"/>
                <w:b w:val="0"/>
                <w:bCs w:val="0"/>
                <w:sz w:val="24"/>
                <w:szCs w:val="22"/>
                <w:vertAlign w:val="baseline"/>
                <w:lang w:val="en-US" w:eastAsia="zh-CN"/>
              </w:rPr>
              <w:t>速行驶，不鸣笛等</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（2）</w:t>
            </w:r>
            <w:r>
              <w:rPr>
                <w:rFonts w:hint="default" w:ascii="Times New Roman" w:hAnsi="Times New Roman" w:cs="Times New Roman"/>
                <w:b w:val="0"/>
                <w:bCs w:val="0"/>
                <w:sz w:val="24"/>
                <w:szCs w:val="22"/>
                <w:vertAlign w:val="baseline"/>
                <w:lang w:val="en-US" w:eastAsia="zh-CN"/>
              </w:rPr>
              <w:t>施工期间严格控制高噪声设备运行时间段，加强施工管理，严格控制施工作业时间，合理安排强噪声施工机械的工作频次，采取降噪措施，事先做好周围群众的工作，避免扰民。确因特殊需要夜间连续作业的，必须到相关部门办理夜间施工审批手续，且必须提前公告附近居民</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（3）</w:t>
            </w:r>
            <w:r>
              <w:rPr>
                <w:rFonts w:hint="default" w:ascii="Times New Roman" w:hAnsi="Times New Roman" w:cs="Times New Roman"/>
                <w:b w:val="0"/>
                <w:bCs w:val="0"/>
                <w:sz w:val="24"/>
                <w:szCs w:val="22"/>
                <w:vertAlign w:val="baseline"/>
                <w:lang w:val="en-US" w:eastAsia="zh-CN"/>
              </w:rPr>
              <w:t>施工设备选型时尽量采用低噪声设备，避免强噪声施工机械在同一区域内同时使用，施工现场的强噪声机械尽量设置在远离环境保护目标的地方</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7.4 固体废物环境影响分析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本工程施工期产生的固体废物主要为建筑垃圾和生活垃圾。</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7.4.1 建筑垃圾</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建筑垃圾主要是一些废弃钢结构材料、砖块及混凝土结块等，产生量较小，建筑垃圾收集后堆放于指定地点，其中可再生部分回收出售给废品站，不可再生利用部分清运至</w:t>
            </w:r>
            <w:r>
              <w:rPr>
                <w:rFonts w:hint="eastAsia" w:ascii="Times New Roman" w:hAnsi="Times New Roman" w:cs="Times New Roman"/>
                <w:b w:val="0"/>
                <w:bCs w:val="0"/>
                <w:sz w:val="24"/>
                <w:szCs w:val="22"/>
                <w:vertAlign w:val="baseline"/>
                <w:lang w:val="en-US" w:eastAsia="zh-CN"/>
              </w:rPr>
              <w:t>吴起县</w:t>
            </w:r>
            <w:r>
              <w:rPr>
                <w:rFonts w:hint="default" w:ascii="Times New Roman" w:hAnsi="Times New Roman" w:cs="Times New Roman"/>
                <w:b w:val="0"/>
                <w:bCs w:val="0"/>
                <w:sz w:val="24"/>
                <w:szCs w:val="22"/>
                <w:vertAlign w:val="baseline"/>
                <w:lang w:val="en-US" w:eastAsia="zh-CN"/>
              </w:rPr>
              <w:t>指定的建筑垃圾填埋场，严禁随意丢弃。</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7.4.2 生活垃圾</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本工程不设置施工营地，输电线路施工人员租住于周边城镇、村庄，生活垃圾依托周边村庄现有生活设施收集，统一纳入当地垃圾清运系统，不会对周围环境造成明显的影响。</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通过上述措施后，本工程施工期产生固体废弃物均得到合理妥善处置，处置</w:t>
            </w:r>
            <w:r>
              <w:rPr>
                <w:rFonts w:hint="eastAsia" w:ascii="Times New Roman" w:hAnsi="Times New Roman" w:cs="Times New Roman"/>
                <w:b w:val="0"/>
                <w:bCs w:val="0"/>
                <w:sz w:val="24"/>
                <w:szCs w:val="22"/>
                <w:vertAlign w:val="baseline"/>
                <w:lang w:val="en-US" w:eastAsia="zh-CN"/>
              </w:rPr>
              <w:t>率</w:t>
            </w:r>
            <w:r>
              <w:rPr>
                <w:rFonts w:hint="default" w:ascii="Times New Roman" w:hAnsi="Times New Roman" w:cs="Times New Roman"/>
                <w:b w:val="0"/>
                <w:bCs w:val="0"/>
                <w:sz w:val="24"/>
                <w:szCs w:val="22"/>
                <w:vertAlign w:val="baseline"/>
                <w:lang w:val="en-US" w:eastAsia="zh-CN"/>
              </w:rPr>
              <w:t>10</w:t>
            </w:r>
            <w:r>
              <w:rPr>
                <w:rFonts w:hint="eastAsia" w:ascii="Times New Roman" w:hAnsi="Times New Roman" w:cs="Times New Roman"/>
                <w:b w:val="0"/>
                <w:bCs w:val="0"/>
                <w:sz w:val="24"/>
                <w:szCs w:val="22"/>
                <w:vertAlign w:val="baseline"/>
                <w:lang w:val="en-US" w:eastAsia="zh-CN"/>
              </w:rPr>
              <w:t>0</w:t>
            </w:r>
            <w:r>
              <w:rPr>
                <w:rFonts w:hint="default" w:ascii="Times New Roman" w:hAnsi="Times New Roman" w:cs="Times New Roman"/>
                <w:b w:val="0"/>
                <w:bCs w:val="0"/>
                <w:sz w:val="24"/>
                <w:szCs w:val="22"/>
                <w:vertAlign w:val="baseline"/>
                <w:lang w:val="en-US" w:eastAsia="zh-CN"/>
              </w:rPr>
              <w:t>%，对环境影响较小</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7.5 生态环境影响分析</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7.5.1 施工对土地利用的影响</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本工程占地包括永久占地和临时占地两部分。永久占地主要为输电线路塔基占地，总占地面积为</w:t>
            </w:r>
            <w:r>
              <w:rPr>
                <w:rFonts w:hint="eastAsia" w:ascii="Times New Roman" w:hAnsi="Times New Roman" w:cs="Times New Roman"/>
                <w:b w:val="0"/>
                <w:bCs w:val="0"/>
                <w:sz w:val="24"/>
                <w:szCs w:val="22"/>
                <w:vertAlign w:val="baseline"/>
                <w:lang w:val="en-US" w:eastAsia="zh-CN"/>
              </w:rPr>
              <w:t>1260</w:t>
            </w:r>
            <w:r>
              <w:rPr>
                <w:rFonts w:hint="default" w:ascii="Times New Roman" w:hAnsi="Times New Roman" w:cs="Times New Roman"/>
                <w:b w:val="0"/>
                <w:bCs w:val="0"/>
                <w:sz w:val="24"/>
                <w:szCs w:val="22"/>
                <w:vertAlign w:val="baseline"/>
                <w:lang w:val="en-US" w:eastAsia="zh-CN"/>
              </w:rPr>
              <w:t>m</w:t>
            </w:r>
            <w:r>
              <w:rPr>
                <w:rFonts w:hint="default" w:ascii="Times New Roman" w:hAnsi="Times New Roman" w:cs="Times New Roman"/>
                <w:b w:val="0"/>
                <w:bCs w:val="0"/>
                <w:sz w:val="24"/>
                <w:szCs w:val="22"/>
                <w:vertAlign w:val="superscript"/>
                <w:lang w:val="en-US" w:eastAsia="zh-CN"/>
              </w:rPr>
              <w:t>2</w:t>
            </w:r>
            <w:r>
              <w:rPr>
                <w:rFonts w:hint="default" w:ascii="Times New Roman" w:hAnsi="Times New Roman" w:cs="Times New Roman"/>
                <w:b w:val="0"/>
                <w:bCs w:val="0"/>
                <w:sz w:val="24"/>
                <w:szCs w:val="22"/>
                <w:vertAlign w:val="baseline"/>
                <w:lang w:val="en-US" w:eastAsia="zh-CN"/>
              </w:rPr>
              <w:t>，临时占地主要为塔基临时施工场地、牵张场等占地，总占地面积</w:t>
            </w:r>
            <w:r>
              <w:rPr>
                <w:rFonts w:hint="eastAsia" w:ascii="Times New Roman" w:hAnsi="Times New Roman" w:cs="Times New Roman"/>
                <w:b w:val="0"/>
                <w:bCs w:val="0"/>
                <w:sz w:val="24"/>
                <w:szCs w:val="22"/>
                <w:vertAlign w:val="baseline"/>
                <w:lang w:val="en-US" w:eastAsia="zh-CN"/>
              </w:rPr>
              <w:t>11850</w:t>
            </w:r>
            <w:r>
              <w:rPr>
                <w:rFonts w:hint="default" w:ascii="Times New Roman" w:hAnsi="Times New Roman" w:cs="Times New Roman"/>
                <w:b w:val="0"/>
                <w:bCs w:val="0"/>
                <w:sz w:val="24"/>
                <w:szCs w:val="22"/>
                <w:vertAlign w:val="baseline"/>
                <w:lang w:val="en-US" w:eastAsia="zh-CN"/>
              </w:rPr>
              <w:t>m</w:t>
            </w:r>
            <w:r>
              <w:rPr>
                <w:rFonts w:hint="default" w:ascii="Times New Roman" w:hAnsi="Times New Roman" w:cs="Times New Roman"/>
                <w:b w:val="0"/>
                <w:bCs w:val="0"/>
                <w:sz w:val="24"/>
                <w:szCs w:val="22"/>
                <w:vertAlign w:val="superscript"/>
                <w:lang w:val="en-US" w:eastAsia="zh-CN"/>
              </w:rPr>
              <w:t>2</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拟建</w:t>
            </w:r>
            <w:r>
              <w:rPr>
                <w:rFonts w:hint="eastAsia" w:ascii="Times New Roman" w:cs="Times New Roman"/>
                <w:b w:val="0"/>
                <w:bCs w:val="0"/>
                <w:sz w:val="24"/>
                <w:szCs w:val="22"/>
                <w:vertAlign w:val="baseline"/>
                <w:lang w:val="en-US" w:eastAsia="zh-CN"/>
              </w:rPr>
              <w:t>110</w:t>
            </w:r>
            <w:r>
              <w:rPr>
                <w:rFonts w:hint="default" w:ascii="Times New Roman" w:hAnsi="Times New Roman" w:cs="Times New Roman"/>
                <w:b w:val="0"/>
                <w:bCs w:val="0"/>
                <w:sz w:val="24"/>
                <w:szCs w:val="22"/>
                <w:vertAlign w:val="baseline"/>
                <w:lang w:val="en-US" w:eastAsia="zh-CN"/>
              </w:rPr>
              <w:t>k</w:t>
            </w:r>
            <w:r>
              <w:rPr>
                <w:rFonts w:hint="eastAsia" w:ascii="Times New Roman" w:cs="Times New Roman"/>
                <w:b w:val="0"/>
                <w:bCs w:val="0"/>
                <w:sz w:val="24"/>
                <w:szCs w:val="22"/>
                <w:vertAlign w:val="baseline"/>
                <w:lang w:val="en-US" w:eastAsia="zh-CN"/>
              </w:rPr>
              <w:t>V</w:t>
            </w:r>
            <w:r>
              <w:rPr>
                <w:rFonts w:hint="default" w:ascii="Times New Roman" w:hAnsi="Times New Roman" w:cs="Times New Roman"/>
                <w:b w:val="0"/>
                <w:bCs w:val="0"/>
                <w:sz w:val="24"/>
                <w:szCs w:val="22"/>
                <w:vertAlign w:val="baseline"/>
                <w:lang w:val="en-US" w:eastAsia="zh-CN"/>
              </w:rPr>
              <w:t>输电线路中架空线路塔基占地面积较小，实际占地仅限于4个支撑脚，而施工结束后塔基中间部分仍可恢复植被，对土地利用结构不会产生明显的改变</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架空线路单塔临时施工占地面积较小，施工期尽量保存开挖处的熟土和表层土施工结束后按照土层顺序回填，并按照原土地利用类型进行绿化恢复。通过以上措施，临时占地可恢复为原土地利用类型，对土地利用结构不会产生明显的改变。</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7.5.2 施工期对植被的影响</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输电线路的建设主要包括基础施工、铁塔组立及架线等工程，对沿线的局部区域植被带来一定的影响，特别是施工期。沿线基础开挖、施工临时占地等以上建设均会破坏沿线地表植被。因此要合理进行施工组织设计，以减少施工临时占地，减少对沿线植被的破坏。在施工完成后应立即进行场地平整和植被恢复工作</w:t>
            </w:r>
            <w:r>
              <w:rPr>
                <w:rFonts w:hint="eastAsia" w:ascii="Times New Roman" w:hAnsi="Times New Roman" w:cs="Times New Roman"/>
                <w:b w:val="0"/>
                <w:bCs w:val="0"/>
                <w:sz w:val="24"/>
                <w:szCs w:val="22"/>
                <w:vertAlign w:val="baseline"/>
                <w:lang w:val="en-US" w:eastAsia="zh-CN"/>
              </w:rPr>
              <w:t>，减小施工对沿线植被带来的影响。线路经过地区</w:t>
            </w:r>
            <w:r>
              <w:rPr>
                <w:rFonts w:hint="eastAsia" w:ascii="Times New Roman" w:cs="Times New Roman"/>
                <w:b w:val="0"/>
                <w:bCs w:val="0"/>
                <w:sz w:val="24"/>
                <w:szCs w:val="22"/>
                <w:vertAlign w:val="baseline"/>
                <w:lang w:val="en-US" w:eastAsia="zh-CN"/>
              </w:rPr>
              <w:t>主要</w:t>
            </w:r>
            <w:r>
              <w:rPr>
                <w:rFonts w:hint="eastAsia" w:ascii="Times New Roman" w:hAnsi="Times New Roman" w:cs="Times New Roman"/>
                <w:b w:val="0"/>
                <w:bCs w:val="0"/>
                <w:sz w:val="24"/>
                <w:szCs w:val="22"/>
                <w:vertAlign w:val="baseline"/>
                <w:lang w:val="en-US" w:eastAsia="zh-CN"/>
              </w:rPr>
              <w:t>为</w:t>
            </w:r>
            <w:r>
              <w:rPr>
                <w:rFonts w:hint="eastAsia" w:ascii="Times New Roman" w:cs="Times New Roman"/>
                <w:b w:val="0"/>
                <w:bCs w:val="0"/>
                <w:sz w:val="24"/>
                <w:szCs w:val="22"/>
                <w:vertAlign w:val="baseline"/>
                <w:lang w:val="en-US" w:eastAsia="zh-CN"/>
              </w:rPr>
              <w:t>荒地</w:t>
            </w:r>
            <w:r>
              <w:rPr>
                <w:rFonts w:hint="eastAsia" w:ascii="Times New Roman" w:hAnsi="Times New Roman" w:cs="Times New Roman"/>
                <w:b w:val="0"/>
                <w:bCs w:val="0"/>
                <w:sz w:val="24"/>
                <w:szCs w:val="22"/>
                <w:vertAlign w:val="baseline"/>
                <w:lang w:val="en-US" w:eastAsia="zh-CN"/>
              </w:rPr>
              <w:t>、林地。评价区域内未发现受国家保护的珍稀、濒危动植物物种。</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架空线路对线下植被生长基本无影响，只是塔基基础底座的植被遭到毁坏线路下两侧限制乔木的栽植。</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7.5.3 施工期对野生动物的影响</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施工期间施工人员出入、运输车辆的来往、施工机械的运行会对施工场地周边野生动物觅食、迁徙、繁殖和发育等产生干扰，有可能限制其活动区域、觅食范围与栖息空间等，可能会导致野生动物的临时迁徙，对野生动物产生一定影响。夜间运输车辆的灯光会对一些鸟类和夜间活动的兽类产生干扰，影响其正常的活动经本次现场勘査，本工程施工区域人类活较为频繁，评价范围内未见大型野生动物，多为</w:t>
            </w:r>
            <w:r>
              <w:rPr>
                <w:rFonts w:hint="eastAsia" w:ascii="Times New Roman" w:cs="Times New Roman"/>
                <w:b w:val="0"/>
                <w:bCs w:val="0"/>
                <w:sz w:val="24"/>
                <w:szCs w:val="22"/>
                <w:vertAlign w:val="baseline"/>
                <w:lang w:val="en-US" w:eastAsia="zh-CN"/>
              </w:rPr>
              <w:t>兔鼠类、麻雀</w:t>
            </w:r>
            <w:r>
              <w:rPr>
                <w:rFonts w:hint="default" w:ascii="Times New Roman" w:hAnsi="Times New Roman" w:cs="Times New Roman"/>
                <w:b w:val="0"/>
                <w:bCs w:val="0"/>
                <w:sz w:val="24"/>
                <w:szCs w:val="22"/>
                <w:vertAlign w:val="baseline"/>
                <w:lang w:val="en-US" w:eastAsia="zh-CN"/>
              </w:rPr>
              <w:t>等常见动物，迁移能力较强。施工期这些动物可以向周边相似生境迁移，施工结束后，随着植被等恢复，动物的生境也将得到恢复。</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both"/>
              <w:textAlignment w:val="auto"/>
              <w:rPr>
                <w:rFonts w:hint="default" w:ascii="Times New Roman" w:hAnsi="Times New Roman" w:cs="Times New Roman"/>
                <w:b w:val="0"/>
                <w:bCs w:val="0"/>
                <w:sz w:val="24"/>
                <w:szCs w:val="22"/>
                <w:vertAlign w:val="baseline"/>
                <w:lang w:val="en-US" w:eastAsia="zh-CN"/>
              </w:rPr>
            </w:pPr>
            <w:r>
              <w:rPr>
                <w:rFonts w:hint="eastAsia"/>
                <w:b/>
                <w:bCs/>
                <w:sz w:val="28"/>
                <w:szCs w:val="24"/>
                <w:vertAlign w:val="baseline"/>
                <w:lang w:val="en-US" w:eastAsia="zh-CN"/>
              </w:rPr>
              <w:t>运营期环境影响分析：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根据工程分析，本工程运行期的主要环境影响为输电线路的电磁环境影响和声环境影响。</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7.6 电磁环境影响分析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根据《环境影响评价技术导则输变电工程》（HJ24-2014）的要求，本工程输电线路的电磁环境影响评价等级为三级，架空线路采用模式预测的方式进行电磁环境影响评价。</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7.6.1 架空线路理论预测电磁环境影响分析</w:t>
            </w:r>
          </w:p>
          <w:p>
            <w:pPr>
              <w:pStyle w:val="3"/>
              <w:keepNext w:val="0"/>
              <w:keepLines w:val="0"/>
              <w:pageBreakBefore w:val="0"/>
              <w:widowControl/>
              <w:tabs>
                <w:tab w:val="left" w:pos="2283"/>
              </w:tabs>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在最不利情况下1A4X-ZMC4直线塔作为本工程输电线路的预测塔型，其他塔型电磁场分布情况可以参考该塔型预测结果。</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预测参数详见表7-2。</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0"/>
                <w:vertAlign w:val="baseline"/>
                <w:lang w:val="en-US" w:eastAsia="zh-CN"/>
              </w:rPr>
            </w:pPr>
            <w:r>
              <w:rPr>
                <w:rFonts w:hint="eastAsia" w:ascii="Times New Roman" w:cs="Times New Roman"/>
                <w:b/>
                <w:bCs/>
                <w:sz w:val="21"/>
                <w:szCs w:val="20"/>
                <w:vertAlign w:val="baseline"/>
                <w:lang w:val="en-US" w:eastAsia="zh-CN"/>
              </w:rPr>
              <w:t>表7-2  110kV架空线路模式预测参数一览表</w:t>
            </w:r>
          </w:p>
          <w:tbl>
            <w:tblPr>
              <w:tblStyle w:val="15"/>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3"/>
              <w:gridCol w:w="5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预测塔型</w:t>
                  </w:r>
                </w:p>
              </w:tc>
              <w:tc>
                <w:tcPr>
                  <w:tcW w:w="519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bCs/>
                      <w:color w:val="auto"/>
                      <w:kern w:val="2"/>
                      <w:sz w:val="21"/>
                      <w:szCs w:val="21"/>
                      <w:vertAlign w:val="baseline"/>
                      <w:lang w:val="en-US" w:eastAsia="zh-CN" w:bidi="ar-SA"/>
                    </w:rPr>
                    <w:t>1A4X-ZMC4</w:t>
                  </w:r>
                  <w:r>
                    <w:rPr>
                      <w:rFonts w:hint="eastAsia" w:ascii="Times New Roman" w:cs="Times New Roman"/>
                      <w:bCs/>
                      <w:color w:val="auto"/>
                      <w:kern w:val="2"/>
                      <w:sz w:val="21"/>
                      <w:szCs w:val="21"/>
                      <w:vertAlign w:val="baseline"/>
                      <w:lang w:val="en-US" w:eastAsia="zh-CN" w:bidi="ar-SA"/>
                    </w:rPr>
                    <w:t>直线塔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导线型号</w:t>
                  </w:r>
                </w:p>
              </w:tc>
              <w:tc>
                <w:tcPr>
                  <w:tcW w:w="519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eastAsiaTheme="minorEastAsia"/>
                      <w:b w:val="0"/>
                      <w:bCs w:val="0"/>
                      <w:color w:val="auto"/>
                      <w:kern w:val="2"/>
                      <w:sz w:val="21"/>
                      <w:szCs w:val="21"/>
                      <w:vertAlign w:val="baseline"/>
                      <w:lang w:val="en-US" w:eastAsia="zh-CN" w:bidi="ar-SA"/>
                    </w:rPr>
                    <w:t>JL/G1A-300/40</w:t>
                  </w:r>
                  <w:r>
                    <w:rPr>
                      <w:rFonts w:hint="eastAsia" w:ascii="Times New Roman" w:hAnsi="Times New Roman" w:cs="Times New Roman" w:eastAsiaTheme="minorEastAsia"/>
                      <w:b w:val="0"/>
                      <w:bCs w:val="0"/>
                      <w:color w:val="auto"/>
                      <w:kern w:val="2"/>
                      <w:sz w:val="21"/>
                      <w:szCs w:val="21"/>
                      <w:vertAlign w:val="baseline"/>
                      <w:lang w:val="en-US" w:eastAsia="zh-CN" w:bidi="ar-SA"/>
                    </w:rPr>
                    <w:t>型钢芯铝绞线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计算电流（A）</w:t>
                  </w:r>
                </w:p>
              </w:tc>
              <w:tc>
                <w:tcPr>
                  <w:tcW w:w="519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cs="Times New Roman" w:eastAsiaTheme="minorEastAsia"/>
                      <w:b w:val="0"/>
                      <w:bCs w:val="0"/>
                      <w:color w:val="auto"/>
                      <w:kern w:val="2"/>
                      <w:sz w:val="21"/>
                      <w:szCs w:val="21"/>
                      <w:vertAlign w:val="baseline"/>
                      <w:lang w:val="en-US" w:eastAsia="zh-CN" w:bidi="ar-SA"/>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线路电压（kV）</w:t>
                  </w:r>
                </w:p>
              </w:tc>
              <w:tc>
                <w:tcPr>
                  <w:tcW w:w="519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11</w:t>
                  </w:r>
                  <w:r>
                    <w:rPr>
                      <w:rFonts w:hint="eastAsia" w:ascii="Times New Roman" w:cs="Times New Roman" w:eastAsiaTheme="minorEastAsia"/>
                      <w:b w:val="0"/>
                      <w:bCs w:val="0"/>
                      <w:color w:val="auto"/>
                      <w:kern w:val="2"/>
                      <w:sz w:val="21"/>
                      <w:szCs w:val="21"/>
                      <w:vertAlign w:val="baseline"/>
                      <w:lang w:val="en-US" w:eastAsia="zh-CN" w:bidi="ar-SA"/>
                    </w:rPr>
                    <w:t>5.5（取电压等级的1.05倍）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直径（mm）</w:t>
                  </w:r>
                </w:p>
              </w:tc>
              <w:tc>
                <w:tcPr>
                  <w:tcW w:w="519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线路经过地区导线弧垂对地高度</w:t>
                  </w:r>
                </w:p>
              </w:tc>
              <w:tc>
                <w:tcPr>
                  <w:tcW w:w="519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非居民区6m，居民区7m</w:t>
                  </w:r>
                </w:p>
              </w:tc>
            </w:tr>
          </w:tbl>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7.6.2 模式预测结果</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highlight w:val="none"/>
                <w:vertAlign w:val="baseline"/>
                <w:lang w:val="en-US" w:eastAsia="zh-CN"/>
              </w:rPr>
            </w:pPr>
            <w:r>
              <w:rPr>
                <w:rFonts w:hint="default" w:ascii="Times New Roman" w:hAnsi="Times New Roman" w:cs="Times New Roman"/>
                <w:b w:val="0"/>
                <w:bCs w:val="0"/>
                <w:sz w:val="24"/>
                <w:szCs w:val="22"/>
                <w:highlight w:val="none"/>
                <w:vertAlign w:val="baseline"/>
                <w:lang w:val="en-US" w:eastAsia="zh-CN"/>
              </w:rPr>
              <w:t>导线弧垂高度为6m时，1A4X-ZMC4直线塔单回段距地面1.5m处工频电场强度在中心线</w:t>
            </w:r>
            <w:r>
              <w:rPr>
                <w:rFonts w:hint="eastAsia" w:ascii="Times New Roman" w:cs="Times New Roman"/>
                <w:b w:val="0"/>
                <w:bCs w:val="0"/>
                <w:sz w:val="24"/>
                <w:szCs w:val="22"/>
                <w:highlight w:val="none"/>
                <w:vertAlign w:val="baseline"/>
                <w:lang w:val="en-US" w:eastAsia="zh-CN"/>
              </w:rPr>
              <w:t>0</w:t>
            </w:r>
            <w:r>
              <w:rPr>
                <w:rFonts w:hint="default" w:ascii="Times New Roman" w:hAnsi="Times New Roman" w:cs="Times New Roman"/>
                <w:b w:val="0"/>
                <w:bCs w:val="0"/>
                <w:sz w:val="24"/>
                <w:szCs w:val="22"/>
                <w:highlight w:val="none"/>
                <w:vertAlign w:val="baseline"/>
                <w:lang w:val="en-US" w:eastAsia="zh-CN"/>
              </w:rPr>
              <w:t>m处为</w:t>
            </w:r>
            <w:r>
              <w:rPr>
                <w:rFonts w:hint="eastAsia" w:ascii="Times New Roman" w:cs="Times New Roman"/>
                <w:b w:val="0"/>
                <w:bCs w:val="0"/>
                <w:sz w:val="24"/>
                <w:szCs w:val="22"/>
                <w:highlight w:val="none"/>
                <w:vertAlign w:val="baseline"/>
                <w:lang w:val="en-US" w:eastAsia="zh-CN"/>
              </w:rPr>
              <w:t>1289.602</w:t>
            </w:r>
            <w:r>
              <w:rPr>
                <w:rFonts w:hint="default" w:ascii="Times New Roman" w:hAnsi="Times New Roman" w:cs="Times New Roman"/>
                <w:b w:val="0"/>
                <w:bCs w:val="0"/>
                <w:sz w:val="24"/>
                <w:szCs w:val="22"/>
                <w:highlight w:val="none"/>
                <w:vertAlign w:val="baseline"/>
                <w:lang w:val="en-US" w:eastAsia="zh-CN"/>
              </w:rPr>
              <w:t>V</w:t>
            </w:r>
            <w:r>
              <w:rPr>
                <w:rFonts w:hint="eastAsia" w:ascii="Times New Roman" w:cs="Times New Roman"/>
                <w:b w:val="0"/>
                <w:bCs w:val="0"/>
                <w:sz w:val="24"/>
                <w:szCs w:val="22"/>
                <w:highlight w:val="none"/>
                <w:vertAlign w:val="baseline"/>
                <w:lang w:val="en-US" w:eastAsia="zh-CN"/>
              </w:rPr>
              <w:t>/</w:t>
            </w:r>
            <w:r>
              <w:rPr>
                <w:rFonts w:hint="default" w:ascii="Times New Roman" w:hAnsi="Times New Roman" w:cs="Times New Roman"/>
                <w:b w:val="0"/>
                <w:bCs w:val="0"/>
                <w:sz w:val="24"/>
                <w:szCs w:val="22"/>
                <w:highlight w:val="none"/>
                <w:vertAlign w:val="baseline"/>
                <w:lang w:val="en-US" w:eastAsia="zh-CN"/>
              </w:rPr>
              <w:t>m，逐渐增大，至走廊中心线</w:t>
            </w:r>
            <w:r>
              <w:rPr>
                <w:rFonts w:hint="eastAsia" w:ascii="Times New Roman" w:cs="Times New Roman"/>
                <w:b w:val="0"/>
                <w:bCs w:val="0"/>
                <w:sz w:val="24"/>
                <w:szCs w:val="22"/>
                <w:highlight w:val="none"/>
                <w:vertAlign w:val="baseline"/>
                <w:lang w:val="en-US" w:eastAsia="zh-CN"/>
              </w:rPr>
              <w:t>4</w:t>
            </w:r>
            <w:r>
              <w:rPr>
                <w:rFonts w:hint="default" w:ascii="Times New Roman" w:hAnsi="Times New Roman" w:cs="Times New Roman"/>
                <w:b w:val="0"/>
                <w:bCs w:val="0"/>
                <w:sz w:val="24"/>
                <w:szCs w:val="22"/>
                <w:highlight w:val="none"/>
                <w:vertAlign w:val="baseline"/>
                <w:lang w:val="en-US" w:eastAsia="zh-CN"/>
              </w:rPr>
              <w:t>m处出现最大值，为</w:t>
            </w:r>
            <w:r>
              <w:rPr>
                <w:rFonts w:hint="eastAsia" w:ascii="Times New Roman" w:cs="Times New Roman"/>
                <w:b w:val="0"/>
                <w:bCs w:val="0"/>
                <w:sz w:val="24"/>
                <w:szCs w:val="22"/>
                <w:highlight w:val="none"/>
                <w:vertAlign w:val="baseline"/>
                <w:lang w:val="en-US" w:eastAsia="zh-CN"/>
              </w:rPr>
              <w:t>2418.455</w:t>
            </w:r>
            <w:r>
              <w:rPr>
                <w:rFonts w:hint="default" w:ascii="Times New Roman" w:hAnsi="Times New Roman" w:cs="Times New Roman"/>
                <w:b w:val="0"/>
                <w:bCs w:val="0"/>
                <w:sz w:val="24"/>
                <w:szCs w:val="22"/>
                <w:highlight w:val="none"/>
                <w:vertAlign w:val="baseline"/>
                <w:lang w:val="en-US" w:eastAsia="zh-CN"/>
              </w:rPr>
              <w:t>V</w:t>
            </w:r>
            <w:r>
              <w:rPr>
                <w:rFonts w:hint="eastAsia" w:ascii="Times New Roman" w:cs="Times New Roman"/>
                <w:b w:val="0"/>
                <w:bCs w:val="0"/>
                <w:sz w:val="24"/>
                <w:szCs w:val="22"/>
                <w:highlight w:val="none"/>
                <w:vertAlign w:val="baseline"/>
                <w:lang w:val="en-US" w:eastAsia="zh-CN"/>
              </w:rPr>
              <w:t>/</w:t>
            </w:r>
            <w:r>
              <w:rPr>
                <w:rFonts w:hint="default" w:ascii="Times New Roman" w:hAnsi="Times New Roman" w:cs="Times New Roman"/>
                <w:b w:val="0"/>
                <w:bCs w:val="0"/>
                <w:sz w:val="24"/>
                <w:szCs w:val="22"/>
                <w:highlight w:val="none"/>
                <w:vertAlign w:val="baseline"/>
                <w:lang w:val="en-US" w:eastAsia="zh-CN"/>
              </w:rPr>
              <w:t>m，然后开始衰减，至距走廊中心线50m处工频电场强度为</w:t>
            </w:r>
            <w:r>
              <w:rPr>
                <w:rFonts w:hint="eastAsia" w:ascii="Times New Roman" w:cs="Times New Roman"/>
                <w:b w:val="0"/>
                <w:bCs w:val="0"/>
                <w:sz w:val="24"/>
                <w:szCs w:val="22"/>
                <w:highlight w:val="none"/>
                <w:vertAlign w:val="baseline"/>
                <w:lang w:val="en-US" w:eastAsia="zh-CN"/>
              </w:rPr>
              <w:t>33.029</w:t>
            </w:r>
            <w:r>
              <w:rPr>
                <w:rFonts w:hint="default" w:ascii="Times New Roman" w:hAnsi="Times New Roman" w:cs="Times New Roman"/>
                <w:b w:val="0"/>
                <w:bCs w:val="0"/>
                <w:sz w:val="24"/>
                <w:szCs w:val="22"/>
                <w:highlight w:val="none"/>
                <w:vertAlign w:val="baseline"/>
                <w:lang w:val="en-US" w:eastAsia="zh-CN"/>
              </w:rPr>
              <w:t>V/m，此处为最小值；距地面1.5m处工频磁感应强度在走廊中心线0m处为</w:t>
            </w:r>
            <w:r>
              <w:rPr>
                <w:rFonts w:hint="eastAsia" w:ascii="Times New Roman" w:cs="Times New Roman"/>
                <w:b w:val="0"/>
                <w:bCs w:val="0"/>
                <w:sz w:val="24"/>
                <w:szCs w:val="22"/>
                <w:highlight w:val="none"/>
                <w:vertAlign w:val="baseline"/>
                <w:lang w:val="en-US" w:eastAsia="zh-CN"/>
              </w:rPr>
              <w:t>6.527</w:t>
            </w:r>
            <w:r>
              <w:rPr>
                <w:rFonts w:hint="default" w:ascii="Times New Roman" w:hAnsi="Times New Roman" w:cs="Times New Roman"/>
                <w:b w:val="0"/>
                <w:bCs w:val="0"/>
                <w:sz w:val="24"/>
                <w:szCs w:val="22"/>
                <w:highlight w:val="none"/>
                <w:vertAlign w:val="baseline"/>
                <w:lang w:val="en-US" w:eastAsia="zh-CN"/>
              </w:rPr>
              <w:t>μT，</w:t>
            </w:r>
            <w:r>
              <w:rPr>
                <w:rFonts w:hint="eastAsia" w:ascii="Times New Roman" w:cs="Times New Roman"/>
                <w:b w:val="0"/>
                <w:bCs w:val="0"/>
                <w:sz w:val="24"/>
                <w:szCs w:val="22"/>
                <w:highlight w:val="none"/>
                <w:vertAlign w:val="baseline"/>
                <w:lang w:val="en-US" w:eastAsia="zh-CN"/>
              </w:rPr>
              <w:t>逐渐增大</w:t>
            </w:r>
            <w:r>
              <w:rPr>
                <w:rFonts w:hint="default" w:ascii="Times New Roman" w:hAnsi="Times New Roman" w:cs="Times New Roman"/>
                <w:b w:val="0"/>
                <w:bCs w:val="0"/>
                <w:sz w:val="24"/>
                <w:szCs w:val="22"/>
                <w:highlight w:val="none"/>
                <w:vertAlign w:val="baseline"/>
                <w:lang w:val="en-US" w:eastAsia="zh-CN"/>
              </w:rPr>
              <w:t>，随后在走廊中心线4m处出现最大值，为</w:t>
            </w:r>
            <w:r>
              <w:rPr>
                <w:rFonts w:hint="eastAsia" w:ascii="Times New Roman" w:cs="Times New Roman"/>
                <w:b w:val="0"/>
                <w:bCs w:val="0"/>
                <w:sz w:val="24"/>
                <w:szCs w:val="22"/>
                <w:highlight w:val="none"/>
                <w:vertAlign w:val="baseline"/>
                <w:lang w:val="en-US" w:eastAsia="zh-CN"/>
              </w:rPr>
              <w:t>9.914</w:t>
            </w:r>
            <w:r>
              <w:rPr>
                <w:rFonts w:hint="default" w:ascii="Times New Roman" w:hAnsi="Times New Roman" w:cs="Times New Roman"/>
                <w:b w:val="0"/>
                <w:bCs w:val="0"/>
                <w:sz w:val="24"/>
                <w:szCs w:val="22"/>
                <w:highlight w:val="none"/>
                <w:vertAlign w:val="baseline"/>
                <w:lang w:val="en-US" w:eastAsia="zh-CN"/>
              </w:rPr>
              <w:t>μT，然后开始衰减，至距走廊中心线50m处工频磁感应强度为0.</w:t>
            </w:r>
            <w:r>
              <w:rPr>
                <w:rFonts w:hint="eastAsia" w:ascii="Times New Roman" w:cs="Times New Roman"/>
                <w:b w:val="0"/>
                <w:bCs w:val="0"/>
                <w:sz w:val="24"/>
                <w:szCs w:val="22"/>
                <w:highlight w:val="none"/>
                <w:vertAlign w:val="baseline"/>
                <w:lang w:val="en-US" w:eastAsia="zh-CN"/>
              </w:rPr>
              <w:t>189</w:t>
            </w:r>
            <w:r>
              <w:rPr>
                <w:rFonts w:hint="default" w:ascii="Times New Roman" w:hAnsi="Times New Roman" w:cs="Times New Roman"/>
                <w:b w:val="0"/>
                <w:bCs w:val="0"/>
                <w:sz w:val="24"/>
                <w:szCs w:val="22"/>
                <w:highlight w:val="none"/>
                <w:vertAlign w:val="baseline"/>
                <w:lang w:val="en-US" w:eastAsia="zh-CN"/>
              </w:rPr>
              <w:t>μT，此处为最小值，均满足评价</w:t>
            </w:r>
            <w:r>
              <w:rPr>
                <w:rFonts w:hint="eastAsia" w:ascii="Times New Roman" w:cs="Times New Roman"/>
                <w:b w:val="0"/>
                <w:bCs w:val="0"/>
                <w:sz w:val="24"/>
                <w:szCs w:val="22"/>
                <w:highlight w:val="none"/>
                <w:vertAlign w:val="baseline"/>
                <w:lang w:val="en-US" w:eastAsia="zh-CN"/>
              </w:rPr>
              <w:t>标准的要求。</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highlight w:val="none"/>
                <w:vertAlign w:val="baseline"/>
                <w:lang w:val="en-US" w:eastAsia="zh-CN"/>
              </w:rPr>
            </w:pPr>
            <w:r>
              <w:rPr>
                <w:rFonts w:hint="default" w:ascii="Times New Roman" w:hAnsi="Times New Roman" w:cs="Times New Roman"/>
                <w:b w:val="0"/>
                <w:bCs w:val="0"/>
                <w:sz w:val="24"/>
                <w:szCs w:val="22"/>
                <w:highlight w:val="none"/>
                <w:vertAlign w:val="baseline"/>
                <w:lang w:val="en-US" w:eastAsia="zh-CN"/>
              </w:rPr>
              <w:t>导线弧垂高度为7m时，1A4X-ZMC4直线塔单回段距地面1.5m处工频电场强度在中心线</w:t>
            </w:r>
            <w:r>
              <w:rPr>
                <w:rFonts w:hint="eastAsia" w:ascii="Times New Roman" w:cs="Times New Roman"/>
                <w:b w:val="0"/>
                <w:bCs w:val="0"/>
                <w:sz w:val="24"/>
                <w:szCs w:val="22"/>
                <w:highlight w:val="none"/>
                <w:vertAlign w:val="baseline"/>
                <w:lang w:val="en-US" w:eastAsia="zh-CN"/>
              </w:rPr>
              <w:t>0</w:t>
            </w:r>
            <w:r>
              <w:rPr>
                <w:rFonts w:hint="default" w:ascii="Times New Roman" w:hAnsi="Times New Roman" w:cs="Times New Roman"/>
                <w:b w:val="0"/>
                <w:bCs w:val="0"/>
                <w:sz w:val="24"/>
                <w:szCs w:val="22"/>
                <w:highlight w:val="none"/>
                <w:vertAlign w:val="baseline"/>
                <w:lang w:val="en-US" w:eastAsia="zh-CN"/>
              </w:rPr>
              <w:t>m处为</w:t>
            </w:r>
            <w:r>
              <w:rPr>
                <w:rFonts w:hint="eastAsia" w:ascii="Times New Roman" w:cs="Times New Roman"/>
                <w:b w:val="0"/>
                <w:bCs w:val="0"/>
                <w:sz w:val="24"/>
                <w:szCs w:val="22"/>
                <w:highlight w:val="none"/>
                <w:vertAlign w:val="baseline"/>
                <w:lang w:val="en-US" w:eastAsia="zh-CN"/>
              </w:rPr>
              <w:t>1066.267</w:t>
            </w:r>
            <w:r>
              <w:rPr>
                <w:rFonts w:hint="default" w:ascii="Times New Roman" w:hAnsi="Times New Roman" w:cs="Times New Roman"/>
                <w:b w:val="0"/>
                <w:bCs w:val="0"/>
                <w:sz w:val="24"/>
                <w:szCs w:val="22"/>
                <w:highlight w:val="none"/>
                <w:vertAlign w:val="baseline"/>
                <w:lang w:val="en-US" w:eastAsia="zh-CN"/>
              </w:rPr>
              <w:t>V/m，逐渐增大，至走廊中心线5m处出现最大值，为</w:t>
            </w:r>
            <w:r>
              <w:rPr>
                <w:rFonts w:hint="eastAsia" w:ascii="Times New Roman" w:cs="Times New Roman"/>
                <w:b w:val="0"/>
                <w:bCs w:val="0"/>
                <w:sz w:val="24"/>
                <w:szCs w:val="22"/>
                <w:highlight w:val="none"/>
                <w:vertAlign w:val="baseline"/>
                <w:lang w:val="en-US" w:eastAsia="zh-CN"/>
              </w:rPr>
              <w:t>1833.703</w:t>
            </w:r>
            <w:r>
              <w:rPr>
                <w:rFonts w:hint="default" w:ascii="Times New Roman" w:hAnsi="Times New Roman" w:cs="Times New Roman"/>
                <w:b w:val="0"/>
                <w:bCs w:val="0"/>
                <w:sz w:val="24"/>
                <w:szCs w:val="22"/>
                <w:highlight w:val="none"/>
                <w:vertAlign w:val="baseline"/>
                <w:lang w:val="en-US" w:eastAsia="zh-CN"/>
              </w:rPr>
              <w:t>V</w:t>
            </w:r>
            <w:r>
              <w:rPr>
                <w:rFonts w:hint="eastAsia" w:ascii="Times New Roman" w:cs="Times New Roman"/>
                <w:b w:val="0"/>
                <w:bCs w:val="0"/>
                <w:sz w:val="24"/>
                <w:szCs w:val="22"/>
                <w:highlight w:val="none"/>
                <w:vertAlign w:val="baseline"/>
                <w:lang w:val="en-US" w:eastAsia="zh-CN"/>
              </w:rPr>
              <w:t>/</w:t>
            </w:r>
            <w:r>
              <w:rPr>
                <w:rFonts w:hint="default" w:ascii="Times New Roman" w:hAnsi="Times New Roman" w:cs="Times New Roman"/>
                <w:b w:val="0"/>
                <w:bCs w:val="0"/>
                <w:sz w:val="24"/>
                <w:szCs w:val="22"/>
                <w:highlight w:val="none"/>
                <w:vertAlign w:val="baseline"/>
                <w:lang w:val="en-US" w:eastAsia="zh-CN"/>
              </w:rPr>
              <w:t>m，然后开始衰减，至距走廊中心线50m处工频电场强度为32</w:t>
            </w:r>
            <w:r>
              <w:rPr>
                <w:rFonts w:hint="eastAsia" w:ascii="Times New Roman" w:cs="Times New Roman"/>
                <w:b w:val="0"/>
                <w:bCs w:val="0"/>
                <w:sz w:val="24"/>
                <w:szCs w:val="22"/>
                <w:highlight w:val="none"/>
                <w:vertAlign w:val="baseline"/>
                <w:lang w:val="en-US" w:eastAsia="zh-CN"/>
              </w:rPr>
              <w:t>.961</w:t>
            </w:r>
            <w:r>
              <w:rPr>
                <w:rFonts w:hint="default" w:ascii="Times New Roman" w:hAnsi="Times New Roman" w:cs="Times New Roman"/>
                <w:b w:val="0"/>
                <w:bCs w:val="0"/>
                <w:sz w:val="24"/>
                <w:szCs w:val="22"/>
                <w:highlight w:val="none"/>
                <w:vertAlign w:val="baseline"/>
                <w:lang w:val="en-US" w:eastAsia="zh-CN"/>
              </w:rPr>
              <w:t>V</w:t>
            </w:r>
            <w:r>
              <w:rPr>
                <w:rFonts w:hint="eastAsia" w:ascii="Times New Roman" w:cs="Times New Roman"/>
                <w:b w:val="0"/>
                <w:bCs w:val="0"/>
                <w:sz w:val="24"/>
                <w:szCs w:val="22"/>
                <w:highlight w:val="none"/>
                <w:vertAlign w:val="baseline"/>
                <w:lang w:val="en-US" w:eastAsia="zh-CN"/>
              </w:rPr>
              <w:t>/</w:t>
            </w:r>
            <w:r>
              <w:rPr>
                <w:rFonts w:hint="default" w:ascii="Times New Roman" w:hAnsi="Times New Roman" w:cs="Times New Roman"/>
                <w:b w:val="0"/>
                <w:bCs w:val="0"/>
                <w:sz w:val="24"/>
                <w:szCs w:val="22"/>
                <w:highlight w:val="none"/>
                <w:vertAlign w:val="baseline"/>
                <w:lang w:val="en-US" w:eastAsia="zh-CN"/>
              </w:rPr>
              <w:t>m，此处为最小值</w:t>
            </w:r>
            <w:r>
              <w:rPr>
                <w:rFonts w:hint="eastAsia" w:ascii="Times New Roman" w:cs="Times New Roman"/>
                <w:b w:val="0"/>
                <w:bCs w:val="0"/>
                <w:sz w:val="24"/>
                <w:szCs w:val="22"/>
                <w:highlight w:val="none"/>
                <w:vertAlign w:val="baseline"/>
                <w:lang w:val="en-US" w:eastAsia="zh-CN"/>
              </w:rPr>
              <w:t>；</w:t>
            </w:r>
            <w:r>
              <w:rPr>
                <w:rFonts w:hint="default" w:ascii="Times New Roman" w:hAnsi="Times New Roman" w:cs="Times New Roman"/>
                <w:b w:val="0"/>
                <w:bCs w:val="0"/>
                <w:sz w:val="24"/>
                <w:szCs w:val="22"/>
                <w:highlight w:val="none"/>
                <w:vertAlign w:val="baseline"/>
                <w:lang w:val="en-US" w:eastAsia="zh-CN"/>
              </w:rPr>
              <w:t>距地面1.5m处工频磁感应强度在走廊中心线</w:t>
            </w:r>
            <w:r>
              <w:rPr>
                <w:rFonts w:hint="eastAsia" w:ascii="Times New Roman" w:cs="Times New Roman"/>
                <w:b w:val="0"/>
                <w:bCs w:val="0"/>
                <w:sz w:val="24"/>
                <w:szCs w:val="22"/>
                <w:highlight w:val="none"/>
                <w:vertAlign w:val="baseline"/>
                <w:lang w:val="en-US" w:eastAsia="zh-CN"/>
              </w:rPr>
              <w:t>0</w:t>
            </w:r>
            <w:r>
              <w:rPr>
                <w:rFonts w:hint="default" w:ascii="Times New Roman" w:hAnsi="Times New Roman" w:cs="Times New Roman"/>
                <w:b w:val="0"/>
                <w:bCs w:val="0"/>
                <w:sz w:val="24"/>
                <w:szCs w:val="22"/>
                <w:highlight w:val="none"/>
                <w:vertAlign w:val="baseline"/>
                <w:lang w:val="en-US" w:eastAsia="zh-CN"/>
              </w:rPr>
              <w:t>m处为</w:t>
            </w:r>
            <w:r>
              <w:rPr>
                <w:rFonts w:hint="eastAsia" w:ascii="Times New Roman" w:cs="Times New Roman"/>
                <w:b w:val="0"/>
                <w:bCs w:val="0"/>
                <w:sz w:val="24"/>
                <w:szCs w:val="22"/>
                <w:highlight w:val="none"/>
                <w:vertAlign w:val="baseline"/>
                <w:lang w:val="en-US" w:eastAsia="zh-CN"/>
              </w:rPr>
              <w:t>5.192</w:t>
            </w:r>
            <w:r>
              <w:rPr>
                <w:rFonts w:hint="default" w:ascii="Times New Roman" w:hAnsi="Times New Roman" w:cs="Times New Roman"/>
                <w:b w:val="0"/>
                <w:bCs w:val="0"/>
                <w:sz w:val="24"/>
                <w:szCs w:val="22"/>
                <w:highlight w:val="none"/>
                <w:vertAlign w:val="baseline"/>
                <w:lang w:val="en-US" w:eastAsia="zh-CN"/>
              </w:rPr>
              <w:t>μT，</w:t>
            </w:r>
            <w:r>
              <w:rPr>
                <w:rFonts w:hint="eastAsia" w:ascii="Times New Roman" w:cs="Times New Roman"/>
                <w:b w:val="0"/>
                <w:bCs w:val="0"/>
                <w:sz w:val="24"/>
                <w:szCs w:val="22"/>
                <w:highlight w:val="none"/>
                <w:vertAlign w:val="baseline"/>
                <w:lang w:val="en-US" w:eastAsia="zh-CN"/>
              </w:rPr>
              <w:t>逐渐增大</w:t>
            </w:r>
            <w:r>
              <w:rPr>
                <w:rFonts w:hint="default" w:ascii="Times New Roman" w:hAnsi="Times New Roman" w:cs="Times New Roman"/>
                <w:b w:val="0"/>
                <w:bCs w:val="0"/>
                <w:sz w:val="24"/>
                <w:szCs w:val="22"/>
                <w:highlight w:val="none"/>
                <w:vertAlign w:val="baseline"/>
                <w:lang w:val="en-US" w:eastAsia="zh-CN"/>
              </w:rPr>
              <w:t>，随后在走廊中心线4m处出现最大值，为</w:t>
            </w:r>
            <w:r>
              <w:rPr>
                <w:rFonts w:hint="eastAsia" w:ascii="Times New Roman" w:cs="Times New Roman"/>
                <w:b w:val="0"/>
                <w:bCs w:val="0"/>
                <w:sz w:val="24"/>
                <w:szCs w:val="22"/>
                <w:highlight w:val="none"/>
                <w:vertAlign w:val="baseline"/>
                <w:lang w:val="en-US" w:eastAsia="zh-CN"/>
              </w:rPr>
              <w:t>7.663</w:t>
            </w:r>
            <w:r>
              <w:rPr>
                <w:rFonts w:hint="default" w:ascii="Times New Roman" w:hAnsi="Times New Roman" w:cs="Times New Roman"/>
                <w:b w:val="0"/>
                <w:bCs w:val="0"/>
                <w:sz w:val="24"/>
                <w:szCs w:val="22"/>
                <w:highlight w:val="none"/>
                <w:vertAlign w:val="baseline"/>
                <w:lang w:val="en-US" w:eastAsia="zh-CN"/>
              </w:rPr>
              <w:t>μT，然后开始衰减，至距走廊中心线50m处工频磁感应强度为</w:t>
            </w:r>
            <w:r>
              <w:rPr>
                <w:rFonts w:hint="eastAsia" w:ascii="Times New Roman" w:cs="Times New Roman"/>
                <w:b w:val="0"/>
                <w:bCs w:val="0"/>
                <w:sz w:val="24"/>
                <w:szCs w:val="22"/>
                <w:highlight w:val="none"/>
                <w:vertAlign w:val="baseline"/>
                <w:lang w:val="en-US" w:eastAsia="zh-CN"/>
              </w:rPr>
              <w:t>0.188</w:t>
            </w:r>
            <w:r>
              <w:rPr>
                <w:rFonts w:hint="default" w:ascii="Times New Roman" w:hAnsi="Times New Roman" w:cs="Times New Roman"/>
                <w:b w:val="0"/>
                <w:bCs w:val="0"/>
                <w:sz w:val="24"/>
                <w:szCs w:val="22"/>
                <w:highlight w:val="none"/>
                <w:vertAlign w:val="baseline"/>
                <w:lang w:val="en-US" w:eastAsia="zh-CN"/>
              </w:rPr>
              <w:t>μT，此处为最小值，均满足评价标准的要求</w:t>
            </w:r>
            <w:r>
              <w:rPr>
                <w:rFonts w:hint="eastAsia" w:ascii="Times New Roman" w:cs="Times New Roman"/>
                <w:b w:val="0"/>
                <w:bCs w:val="0"/>
                <w:sz w:val="24"/>
                <w:szCs w:val="22"/>
                <w:highlight w:val="none"/>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综上，由理论计算结果可知，本项目单回输电线路运行后，距地面</w:t>
            </w:r>
            <w:r>
              <w:rPr>
                <w:rFonts w:hint="eastAsia" w:ascii="Times New Roman" w:hAnsi="Times New Roman" w:cs="Times New Roman"/>
                <w:b w:val="0"/>
                <w:bCs w:val="0"/>
                <w:sz w:val="24"/>
                <w:szCs w:val="22"/>
                <w:highlight w:val="none"/>
                <w:vertAlign w:val="baseline"/>
                <w:lang w:val="en-US" w:eastAsia="zh-CN"/>
              </w:rPr>
              <w:t>1.5m</w:t>
            </w:r>
            <w:r>
              <w:rPr>
                <w:rFonts w:hint="eastAsia" w:ascii="Times New Roman" w:hAnsi="Times New Roman" w:cs="Times New Roman"/>
                <w:b w:val="0"/>
                <w:bCs w:val="0"/>
                <w:sz w:val="24"/>
                <w:szCs w:val="22"/>
                <w:vertAlign w:val="baseline"/>
                <w:lang w:val="en-US" w:eastAsia="zh-CN"/>
              </w:rPr>
              <w:t>处工频电磁场均满足评价标准的要求，对沿线的电磁环境影响很小。（详见专项评价）</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7.7 声环境影响分析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根据《环境影响评价技术导则输变电工程》（HJ24-2014），架空线路的噪声预测可采取类比监测的方式。</w:t>
            </w:r>
          </w:p>
          <w:p>
            <w:pPr>
              <w:pStyle w:val="3"/>
              <w:keepNext w:val="0"/>
              <w:keepLines w:val="0"/>
              <w:pageBreakBefore w:val="0"/>
              <w:widowControl/>
              <w:shd w:val="clear"/>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highlight w:val="none"/>
                <w:vertAlign w:val="baseline"/>
                <w:lang w:val="en-US" w:eastAsia="zh-CN"/>
              </w:rPr>
            </w:pPr>
            <w:r>
              <w:rPr>
                <w:rFonts w:hint="default" w:ascii="Times New Roman" w:hAnsi="Times New Roman" w:cs="Times New Roman"/>
                <w:b w:val="0"/>
                <w:bCs w:val="0"/>
                <w:sz w:val="24"/>
                <w:szCs w:val="22"/>
                <w:highlight w:val="none"/>
                <w:vertAlign w:val="baseline"/>
                <w:lang w:val="en-US" w:eastAsia="zh-CN"/>
              </w:rPr>
              <w:t>本次110kV单回架空线路类比采用已运行的</w:t>
            </w:r>
            <w:r>
              <w:rPr>
                <w:rFonts w:hint="eastAsia" w:ascii="Times New Roman" w:cs="Times New Roman"/>
                <w:b w:val="0"/>
                <w:bCs w:val="0"/>
                <w:sz w:val="24"/>
                <w:szCs w:val="22"/>
                <w:highlight w:val="none"/>
                <w:vertAlign w:val="baseline"/>
                <w:lang w:val="en-US" w:eastAsia="zh-CN"/>
              </w:rPr>
              <w:t>“眉县潼关寨110kV输变电工程”</w:t>
            </w:r>
            <w:r>
              <w:rPr>
                <w:rFonts w:hint="default" w:ascii="Times New Roman" w:hAnsi="Times New Roman" w:cs="Times New Roman"/>
                <w:b w:val="0"/>
                <w:bCs w:val="0"/>
                <w:sz w:val="24"/>
                <w:szCs w:val="22"/>
                <w:highlight w:val="none"/>
                <w:vertAlign w:val="baseline"/>
                <w:lang w:val="en-US" w:eastAsia="zh-CN"/>
              </w:rPr>
              <w:t>进行类比监测。该段输电线路采用单回架空架设，导线选用JL/GIA-300</w:t>
            </w:r>
            <w:r>
              <w:rPr>
                <w:rFonts w:hint="eastAsia" w:ascii="Times New Roman" w:cs="Times New Roman"/>
                <w:b w:val="0"/>
                <w:bCs w:val="0"/>
                <w:sz w:val="24"/>
                <w:szCs w:val="22"/>
                <w:highlight w:val="none"/>
                <w:vertAlign w:val="baseline"/>
                <w:lang w:val="en-US" w:eastAsia="zh-CN"/>
              </w:rPr>
              <w:t>/</w:t>
            </w:r>
            <w:r>
              <w:rPr>
                <w:rFonts w:hint="default" w:ascii="Times New Roman" w:hAnsi="Times New Roman" w:cs="Times New Roman"/>
                <w:b w:val="0"/>
                <w:bCs w:val="0"/>
                <w:sz w:val="24"/>
                <w:szCs w:val="22"/>
                <w:highlight w:val="none"/>
                <w:vertAlign w:val="baseline"/>
                <w:lang w:val="en-US" w:eastAsia="zh-CN"/>
              </w:rPr>
              <w:t>40型</w:t>
            </w:r>
            <w:r>
              <w:rPr>
                <w:rFonts w:hint="eastAsia" w:ascii="Times New Roman" w:cs="Times New Roman"/>
                <w:b w:val="0"/>
                <w:bCs w:val="0"/>
                <w:sz w:val="24"/>
                <w:szCs w:val="22"/>
                <w:highlight w:val="none"/>
                <w:vertAlign w:val="baseline"/>
                <w:lang w:val="en-US" w:eastAsia="zh-CN"/>
              </w:rPr>
              <w:t>钢芯铝绞线</w:t>
            </w:r>
            <w:r>
              <w:rPr>
                <w:rFonts w:hint="default" w:ascii="Times New Roman" w:hAnsi="Times New Roman" w:cs="Times New Roman"/>
                <w:b w:val="0"/>
                <w:bCs w:val="0"/>
                <w:sz w:val="24"/>
                <w:szCs w:val="22"/>
                <w:highlight w:val="none"/>
                <w:vertAlign w:val="baseline"/>
                <w:lang w:val="en-US" w:eastAsia="zh-CN"/>
              </w:rPr>
              <w:t>，本工程输电线路单回架空架设，导线型号为JL/G1A-300/40型钢芯铝绞线</w:t>
            </w:r>
            <w:r>
              <w:rPr>
                <w:rFonts w:hint="eastAsia" w:ascii="Times New Roman" w:cs="Times New Roman"/>
                <w:b w:val="0"/>
                <w:bCs w:val="0"/>
                <w:sz w:val="24"/>
                <w:szCs w:val="22"/>
                <w:highlight w:val="none"/>
                <w:vertAlign w:val="baseline"/>
                <w:lang w:val="en-US" w:eastAsia="zh-CN"/>
              </w:rPr>
              <w:t>。类比项目与评价工程从电压等级、出线回数、导线型号、架线型式均相同，因此项目</w:t>
            </w:r>
            <w:r>
              <w:rPr>
                <w:rFonts w:hint="default" w:ascii="Times New Roman" w:hAnsi="Times New Roman" w:cs="Times New Roman"/>
                <w:b w:val="0"/>
                <w:bCs w:val="0"/>
                <w:sz w:val="24"/>
                <w:szCs w:val="22"/>
                <w:highlight w:val="none"/>
                <w:vertAlign w:val="baseline"/>
                <w:lang w:val="en-US" w:eastAsia="zh-CN"/>
              </w:rPr>
              <w:t>类比可行</w:t>
            </w:r>
            <w:r>
              <w:rPr>
                <w:rFonts w:hint="eastAsia" w:ascii="Times New Roman" w:cs="Times New Roman"/>
                <w:b w:val="0"/>
                <w:bCs w:val="0"/>
                <w:sz w:val="24"/>
                <w:szCs w:val="22"/>
                <w:highlight w:val="none"/>
                <w:vertAlign w:val="baseline"/>
                <w:lang w:val="en-US" w:eastAsia="zh-CN"/>
              </w:rPr>
              <w:t>。类比工程与评价工程对比表见7-3。</w:t>
            </w:r>
          </w:p>
          <w:tbl>
            <w:tblPr>
              <w:tblStyle w:val="15"/>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3630"/>
              <w:gridCol w:w="3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类别</w:t>
                  </w:r>
                </w:p>
              </w:tc>
              <w:tc>
                <w:tcPr>
                  <w:tcW w:w="363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highlight w:val="none"/>
                      <w:vertAlign w:val="baseline"/>
                      <w:lang w:val="en-US" w:eastAsia="zh-CN"/>
                    </w:rPr>
                  </w:pPr>
                  <w:r>
                    <w:rPr>
                      <w:rFonts w:hint="eastAsia" w:ascii="Times New Roman" w:cs="Times New Roman"/>
                      <w:b w:val="0"/>
                      <w:bCs w:val="0"/>
                      <w:sz w:val="21"/>
                      <w:szCs w:val="20"/>
                      <w:highlight w:val="none"/>
                      <w:vertAlign w:val="baseline"/>
                      <w:lang w:val="en-US" w:eastAsia="zh-CN"/>
                    </w:rPr>
                    <w:t>类比工程</w:t>
                  </w:r>
                </w:p>
              </w:tc>
              <w:tc>
                <w:tcPr>
                  <w:tcW w:w="363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评价工程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项目名称</w:t>
                  </w:r>
                </w:p>
              </w:tc>
              <w:tc>
                <w:tcPr>
                  <w:tcW w:w="363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highlight w:val="none"/>
                      <w:vertAlign w:val="baseline"/>
                      <w:lang w:val="en-US" w:eastAsia="zh-CN"/>
                    </w:rPr>
                  </w:pPr>
                  <w:r>
                    <w:rPr>
                      <w:rFonts w:hint="default" w:ascii="Times New Roman" w:hAnsi="Times New Roman" w:cs="Times New Roman"/>
                      <w:b w:val="0"/>
                      <w:bCs w:val="0"/>
                      <w:sz w:val="21"/>
                      <w:szCs w:val="20"/>
                      <w:highlight w:val="none"/>
                      <w:vertAlign w:val="baseline"/>
                      <w:lang w:val="en-US" w:eastAsia="zh-CN"/>
                    </w:rPr>
                    <w:t>眉县潼关寨110kV输变电工程</w:t>
                  </w:r>
                </w:p>
              </w:tc>
              <w:tc>
                <w:tcPr>
                  <w:tcW w:w="363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国家电投吴起高胜新能源50MW风电场110kV送出工程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电压等级</w:t>
                  </w:r>
                </w:p>
              </w:tc>
              <w:tc>
                <w:tcPr>
                  <w:tcW w:w="363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highlight w:val="none"/>
                      <w:vertAlign w:val="baseline"/>
                      <w:lang w:val="en-US" w:eastAsia="zh-CN"/>
                    </w:rPr>
                  </w:pPr>
                  <w:r>
                    <w:rPr>
                      <w:rFonts w:hint="eastAsia" w:ascii="Times New Roman" w:cs="Times New Roman"/>
                      <w:b w:val="0"/>
                      <w:bCs w:val="0"/>
                      <w:sz w:val="21"/>
                      <w:szCs w:val="20"/>
                      <w:highlight w:val="none"/>
                      <w:vertAlign w:val="baseline"/>
                      <w:lang w:val="en-US" w:eastAsia="zh-CN"/>
                    </w:rPr>
                    <w:t>110</w:t>
                  </w:r>
                  <w:r>
                    <w:rPr>
                      <w:rFonts w:hint="default" w:ascii="Times New Roman" w:hAnsi="Times New Roman" w:cs="Times New Roman"/>
                      <w:b w:val="0"/>
                      <w:bCs w:val="0"/>
                      <w:sz w:val="21"/>
                      <w:szCs w:val="20"/>
                      <w:highlight w:val="none"/>
                      <w:vertAlign w:val="baseline"/>
                      <w:lang w:val="en-US" w:eastAsia="zh-CN"/>
                    </w:rPr>
                    <w:t>kV</w:t>
                  </w:r>
                </w:p>
              </w:tc>
              <w:tc>
                <w:tcPr>
                  <w:tcW w:w="363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110</w:t>
                  </w:r>
                  <w:r>
                    <w:rPr>
                      <w:rFonts w:hint="default" w:ascii="Times New Roman" w:hAnsi="Times New Roman" w:cs="Times New Roman"/>
                      <w:b w:val="0"/>
                      <w:bCs w:val="0"/>
                      <w:sz w:val="21"/>
                      <w:szCs w:val="20"/>
                      <w:vertAlign w:val="baseline"/>
                      <w:lang w:val="en-US" w:eastAsia="zh-CN"/>
                    </w:rPr>
                    <w:t>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出线回数</w:t>
                  </w:r>
                </w:p>
              </w:tc>
              <w:tc>
                <w:tcPr>
                  <w:tcW w:w="363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highlight w:val="none"/>
                      <w:vertAlign w:val="baseline"/>
                      <w:lang w:val="en-US" w:eastAsia="zh-CN"/>
                    </w:rPr>
                  </w:pPr>
                  <w:r>
                    <w:rPr>
                      <w:rFonts w:hint="eastAsia" w:ascii="Times New Roman" w:cs="Times New Roman"/>
                      <w:b w:val="0"/>
                      <w:bCs w:val="0"/>
                      <w:sz w:val="21"/>
                      <w:szCs w:val="20"/>
                      <w:highlight w:val="none"/>
                      <w:vertAlign w:val="baseline"/>
                      <w:lang w:val="en-US" w:eastAsia="zh-CN"/>
                    </w:rPr>
                    <w:t>1回</w:t>
                  </w:r>
                </w:p>
              </w:tc>
              <w:tc>
                <w:tcPr>
                  <w:tcW w:w="363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导线型号</w:t>
                  </w:r>
                </w:p>
              </w:tc>
              <w:tc>
                <w:tcPr>
                  <w:tcW w:w="363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highlight w:val="none"/>
                      <w:vertAlign w:val="baseline"/>
                      <w:lang w:val="en-US" w:eastAsia="zh-CN"/>
                    </w:rPr>
                  </w:pPr>
                  <w:r>
                    <w:rPr>
                      <w:rFonts w:hint="default" w:ascii="Times New Roman" w:hAnsi="Times New Roman" w:cs="Times New Roman"/>
                      <w:b w:val="0"/>
                      <w:bCs w:val="0"/>
                      <w:sz w:val="21"/>
                      <w:szCs w:val="20"/>
                      <w:highlight w:val="none"/>
                      <w:vertAlign w:val="baseline"/>
                      <w:lang w:val="en-US" w:eastAsia="zh-CN"/>
                    </w:rPr>
                    <w:t>JL/G1A-300/40型钢芯铝绞线</w:t>
                  </w:r>
                </w:p>
              </w:tc>
              <w:tc>
                <w:tcPr>
                  <w:tcW w:w="363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JL/G1A-300/40型钢芯铝绞线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架线型式</w:t>
                  </w:r>
                </w:p>
              </w:tc>
              <w:tc>
                <w:tcPr>
                  <w:tcW w:w="363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highlight w:val="none"/>
                      <w:vertAlign w:val="baseline"/>
                      <w:lang w:val="en-US" w:eastAsia="zh-CN"/>
                    </w:rPr>
                  </w:pPr>
                  <w:r>
                    <w:rPr>
                      <w:rFonts w:hint="eastAsia" w:ascii="Times New Roman" w:cs="Times New Roman"/>
                      <w:b w:val="0"/>
                      <w:bCs w:val="0"/>
                      <w:sz w:val="21"/>
                      <w:szCs w:val="20"/>
                      <w:highlight w:val="none"/>
                      <w:vertAlign w:val="baseline"/>
                      <w:lang w:val="en-US" w:eastAsia="zh-CN"/>
                    </w:rPr>
                    <w:t>架空</w:t>
                  </w:r>
                </w:p>
              </w:tc>
              <w:tc>
                <w:tcPr>
                  <w:tcW w:w="363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架空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备注</w:t>
                  </w:r>
                </w:p>
              </w:tc>
              <w:tc>
                <w:tcPr>
                  <w:tcW w:w="363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b w:val="0"/>
                      <w:bCs w:val="0"/>
                      <w:sz w:val="21"/>
                      <w:szCs w:val="20"/>
                      <w:highlight w:val="none"/>
                      <w:vertAlign w:val="baseline"/>
                      <w:lang w:val="en-US" w:eastAsia="zh-CN"/>
                    </w:rPr>
                  </w:pPr>
                  <w:r>
                    <w:rPr>
                      <w:rFonts w:hint="eastAsia" w:ascii="Times New Roman" w:cs="Times New Roman"/>
                      <w:b w:val="0"/>
                      <w:bCs w:val="0"/>
                      <w:sz w:val="21"/>
                      <w:szCs w:val="20"/>
                      <w:highlight w:val="none"/>
                      <w:vertAlign w:val="baseline"/>
                      <w:lang w:val="en-US" w:eastAsia="zh-CN"/>
                    </w:rPr>
                    <w:t>以中央弧垂投影点为起点，南侧向南延伸</w:t>
                  </w:r>
                </w:p>
              </w:tc>
              <w:tc>
                <w:tcPr>
                  <w:tcW w:w="363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w:t>
                  </w:r>
                </w:p>
              </w:tc>
            </w:tr>
          </w:tbl>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110</w:t>
            </w:r>
            <w:r>
              <w:rPr>
                <w:rFonts w:hint="default" w:ascii="Times New Roman" w:hAnsi="Times New Roman" w:cs="Times New Roman"/>
                <w:b w:val="0"/>
                <w:bCs w:val="0"/>
                <w:sz w:val="24"/>
                <w:szCs w:val="22"/>
                <w:vertAlign w:val="baseline"/>
                <w:lang w:val="en-US" w:eastAsia="zh-CN"/>
              </w:rPr>
              <w:t>kV单回架空线路数据引用自《</w:t>
            </w:r>
            <w:r>
              <w:rPr>
                <w:rFonts w:hint="eastAsia" w:ascii="Times New Roman" w:cs="Times New Roman"/>
                <w:b w:val="0"/>
                <w:bCs w:val="0"/>
                <w:sz w:val="24"/>
                <w:szCs w:val="22"/>
                <w:highlight w:val="none"/>
                <w:vertAlign w:val="baseline"/>
                <w:lang w:val="en-US" w:eastAsia="zh-CN"/>
              </w:rPr>
              <w:t>眉县潼关寨110kV输变电工程竣工环境验收保护验收调查表</w:t>
            </w:r>
            <w:r>
              <w:rPr>
                <w:rFonts w:hint="default" w:ascii="Times New Roman" w:hAnsi="Times New Roman" w:cs="Times New Roman"/>
                <w:b w:val="0"/>
                <w:bCs w:val="0"/>
                <w:sz w:val="24"/>
                <w:szCs w:val="22"/>
                <w:vertAlign w:val="baseline"/>
                <w:lang w:val="en-US" w:eastAsia="zh-CN"/>
              </w:rPr>
              <w:t>》，具体监测参数及点位见</w:t>
            </w:r>
            <w:r>
              <w:rPr>
                <w:rFonts w:hint="eastAsia" w:ascii="Times New Roman" w:cs="Times New Roman"/>
                <w:b w:val="0"/>
                <w:bCs w:val="0"/>
                <w:sz w:val="24"/>
                <w:szCs w:val="22"/>
                <w:vertAlign w:val="baseline"/>
                <w:lang w:val="en-US" w:eastAsia="zh-CN"/>
              </w:rPr>
              <w:t>表</w:t>
            </w:r>
            <w:r>
              <w:rPr>
                <w:rFonts w:hint="eastAsia" w:ascii="Times New Roman" w:cs="Times New Roman"/>
                <w:b w:val="0"/>
                <w:bCs w:val="0"/>
                <w:sz w:val="24"/>
                <w:szCs w:val="22"/>
                <w:highlight w:val="none"/>
                <w:vertAlign w:val="baseline"/>
                <w:lang w:val="en-US" w:eastAsia="zh-CN"/>
              </w:rPr>
              <w:t>7-4和</w:t>
            </w:r>
            <w:r>
              <w:rPr>
                <w:rFonts w:hint="default" w:ascii="Times New Roman" w:hAnsi="Times New Roman" w:cs="Times New Roman"/>
                <w:b w:val="0"/>
                <w:bCs w:val="0"/>
                <w:sz w:val="24"/>
                <w:szCs w:val="22"/>
                <w:highlight w:val="none"/>
                <w:vertAlign w:val="baseline"/>
                <w:lang w:val="en-US" w:eastAsia="zh-CN"/>
              </w:rPr>
              <w:t>附件</w:t>
            </w:r>
            <w:r>
              <w:rPr>
                <w:rFonts w:hint="eastAsia" w:ascii="Times New Roman" w:cs="Times New Roman"/>
                <w:b w:val="0"/>
                <w:bCs w:val="0"/>
                <w:sz w:val="24"/>
                <w:szCs w:val="22"/>
                <w:highlight w:val="none"/>
                <w:vertAlign w:val="baseline"/>
                <w:lang w:val="en-US" w:eastAsia="zh-CN"/>
              </w:rPr>
              <w:t>9</w:t>
            </w:r>
            <w:r>
              <w:rPr>
                <w:rFonts w:hint="default"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0"/>
                <w:vertAlign w:val="baseline"/>
                <w:lang w:val="en-US" w:eastAsia="zh-CN"/>
              </w:rPr>
            </w:pPr>
            <w:r>
              <w:rPr>
                <w:rFonts w:hint="default" w:ascii="Times New Roman" w:hAnsi="Times New Roman" w:cs="Times New Roman"/>
                <w:b/>
                <w:bCs/>
                <w:sz w:val="21"/>
                <w:szCs w:val="20"/>
                <w:vertAlign w:val="baseline"/>
                <w:lang w:val="en-US" w:eastAsia="zh-CN"/>
              </w:rPr>
              <w:t>表7-4  类比线路噪声断面展开监测结果       单位：dB（A）</w:t>
            </w:r>
          </w:p>
          <w:tbl>
            <w:tblPr>
              <w:tblStyle w:val="15"/>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4187"/>
              <w:gridCol w:w="1906"/>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序号</w:t>
                  </w:r>
                </w:p>
              </w:tc>
              <w:tc>
                <w:tcPr>
                  <w:tcW w:w="41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距走廊中心线距离</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昼间（Leq）</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夜间（Leq）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w:t>
                  </w:r>
                </w:p>
              </w:tc>
              <w:tc>
                <w:tcPr>
                  <w:tcW w:w="4187" w:type="dxa"/>
                  <w:vAlign w:val="center"/>
                </w:tcPr>
                <w:p>
                  <w:pPr>
                    <w:pStyle w:val="3"/>
                    <w:keepNext w:val="0"/>
                    <w:keepLines w:val="0"/>
                    <w:pageBreakBefore w:val="0"/>
                    <w:widowControl/>
                    <w:tabs>
                      <w:tab w:val="center" w:pos="1733"/>
                      <w:tab w:val="right" w:pos="3346"/>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距离输电线路中间导线投影0m处</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42.1</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2</w:t>
                  </w:r>
                </w:p>
              </w:tc>
              <w:tc>
                <w:tcPr>
                  <w:tcW w:w="41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距离输电线路中间导线投影1m处</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41.7</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w:t>
                  </w:r>
                </w:p>
              </w:tc>
              <w:tc>
                <w:tcPr>
                  <w:tcW w:w="41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距离输电线路中间导线投影2m处</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43.5</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w:t>
                  </w:r>
                </w:p>
              </w:tc>
              <w:tc>
                <w:tcPr>
                  <w:tcW w:w="41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距离输电线路中间导线投影3m处</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42.1</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5</w:t>
                  </w:r>
                </w:p>
              </w:tc>
              <w:tc>
                <w:tcPr>
                  <w:tcW w:w="41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距离输电线路中间导线投影4m处</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42.9</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6</w:t>
                  </w:r>
                </w:p>
              </w:tc>
              <w:tc>
                <w:tcPr>
                  <w:tcW w:w="41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距离输电线路中间导线投影5m处</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43.0</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7</w:t>
                  </w:r>
                </w:p>
              </w:tc>
              <w:tc>
                <w:tcPr>
                  <w:tcW w:w="41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距离输电线路中间导线投影6m处</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42.6</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8</w:t>
                  </w:r>
                </w:p>
              </w:tc>
              <w:tc>
                <w:tcPr>
                  <w:tcW w:w="41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距离输电线路中间导线投影7m处</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41.9</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9</w:t>
                  </w:r>
                </w:p>
              </w:tc>
              <w:tc>
                <w:tcPr>
                  <w:tcW w:w="41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距离输电线路中间导线投影8m处</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41.6</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10</w:t>
                  </w:r>
                </w:p>
              </w:tc>
              <w:tc>
                <w:tcPr>
                  <w:tcW w:w="41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距离输电线路中间导线投影9m处</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41.9</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11</w:t>
                  </w:r>
                </w:p>
              </w:tc>
              <w:tc>
                <w:tcPr>
                  <w:tcW w:w="41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距离输电线路中间导线投影10m处</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41.6</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12</w:t>
                  </w:r>
                </w:p>
              </w:tc>
              <w:tc>
                <w:tcPr>
                  <w:tcW w:w="41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距离输电线路中间导线投影15m（西梁）</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43.5</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13</w:t>
                  </w:r>
                </w:p>
              </w:tc>
              <w:tc>
                <w:tcPr>
                  <w:tcW w:w="41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距离输电线路中间导线投影20m（石涧梁）</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43.6</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14</w:t>
                  </w:r>
                </w:p>
              </w:tc>
              <w:tc>
                <w:tcPr>
                  <w:tcW w:w="4187" w:type="dxa"/>
                  <w:vAlign w:val="center"/>
                </w:tcPr>
                <w:p>
                  <w:pPr>
                    <w:pStyle w:val="3"/>
                    <w:keepNext w:val="0"/>
                    <w:keepLines w:val="0"/>
                    <w:pageBreakBefore w:val="0"/>
                    <w:widowControl/>
                    <w:tabs>
                      <w:tab w:val="center" w:pos="2045"/>
                      <w:tab w:val="right" w:pos="3971"/>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距离输电线路中间导线投影25m（下涧）</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42.4</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15</w:t>
                  </w:r>
                </w:p>
              </w:tc>
              <w:tc>
                <w:tcPr>
                  <w:tcW w:w="41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距离输电线路中间导线投影30m（刘新庄）</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41.3</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16</w:t>
                  </w:r>
                </w:p>
              </w:tc>
              <w:tc>
                <w:tcPr>
                  <w:tcW w:w="41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距离输电线路中间导线投影35m处</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41.5</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17</w:t>
                  </w:r>
                </w:p>
              </w:tc>
              <w:tc>
                <w:tcPr>
                  <w:tcW w:w="41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距离输电线路中间导线投影40m</w:t>
                  </w:r>
                </w:p>
              </w:tc>
              <w:tc>
                <w:tcPr>
                  <w:tcW w:w="190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42.8</w:t>
                  </w:r>
                </w:p>
              </w:tc>
              <w:tc>
                <w:tcPr>
                  <w:tcW w:w="190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36.3</w:t>
                  </w:r>
                </w:p>
              </w:tc>
            </w:tr>
          </w:tbl>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类比监测结果表明，线路沿线昼间噪声值为41.3~43.6dB（A），夜间噪声值为35.6~39.2dB（A），满足《声环境质量标准》（GB3096-2008）中1类标准。</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类比线路与本期线路电压等级、架线方式相同，可以推测拟建线路运营后，沿线噪声值也可满足《声境质量标准》（GB3096-2008）中1类标准，对周围声环境影响较小。</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7.8 水环境影响分析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110kV输电线路在运行期无生产废水产生</w:t>
            </w:r>
            <w:r>
              <w:rPr>
                <w:rFonts w:hint="eastAsia" w:ascii="Times New Roman" w:cs="Times New Roman"/>
                <w:b w:val="0"/>
                <w:bCs w:val="0"/>
                <w:sz w:val="24"/>
                <w:szCs w:val="22"/>
                <w:vertAlign w:val="baseline"/>
                <w:lang w:val="en-US" w:eastAsia="zh-CN"/>
              </w:rPr>
              <w:t>，因此线路运行期对水环境无影响。</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7.9 固体废物环境影响分析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本项目输电线路在运营期间只定期进行巡回检査和维修。巡检人员所产生的垃圾很少，且严格要求其随身携带到环卫部门指定的垃圾处置点，不在当地遗留，因此本项目投入运营后基本不会产生固体废物影响。</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7.10 生态环境影响</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本项目建成运行后，建设施工对周围生态环境造成的影响基本得到消除。项目运行期可能造成的生态影响主要有以下两个方面：</w:t>
            </w:r>
          </w:p>
          <w:p>
            <w:pPr>
              <w:pStyle w:val="3"/>
              <w:keepNext w:val="0"/>
              <w:keepLines w:val="0"/>
              <w:pageBreakBefore w:val="0"/>
              <w:widowControl/>
              <w:numPr>
                <w:ilvl w:val="0"/>
                <w:numId w:val="0"/>
              </w:numPr>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bCs/>
                <w:sz w:val="28"/>
                <w:szCs w:val="24"/>
                <w:vertAlign w:val="baseline"/>
                <w:lang w:val="en-US" w:eastAsia="zh-CN"/>
              </w:rPr>
            </w:pPr>
            <w:r>
              <w:rPr>
                <w:rFonts w:hint="eastAsia" w:ascii="Times New Roman" w:cs="Times New Roman"/>
                <w:b/>
                <w:bCs/>
                <w:sz w:val="28"/>
                <w:szCs w:val="24"/>
                <w:vertAlign w:val="baseline"/>
                <w:lang w:val="en-US" w:eastAsia="zh-CN"/>
              </w:rPr>
              <w:t xml:space="preserve">7.10.1 </w:t>
            </w:r>
            <w:r>
              <w:rPr>
                <w:rFonts w:hint="default" w:ascii="Times New Roman" w:hAnsi="Times New Roman" w:cs="Times New Roman"/>
                <w:b/>
                <w:bCs/>
                <w:sz w:val="28"/>
                <w:szCs w:val="24"/>
                <w:vertAlign w:val="baseline"/>
                <w:lang w:val="en-US" w:eastAsia="zh-CN"/>
              </w:rPr>
              <w:t>对植被的影响分析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本项目运行后，架空输电线路塔基下方和临时占地采取播撒草籽措施进行生态恢复。随着时间的推移，生态恢复效果逐渐显现。本项目运行期对植被产生的负面影响很小。</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both"/>
              <w:textAlignment w:val="auto"/>
              <w:rPr>
                <w:rFonts w:hint="default" w:ascii="Times New Roman" w:hAnsi="Times New Roman" w:cs="Times New Roman"/>
                <w:b/>
                <w:bCs/>
                <w:sz w:val="28"/>
                <w:szCs w:val="24"/>
                <w:vertAlign w:val="baseline"/>
                <w:lang w:val="en-US" w:eastAsia="zh-CN"/>
              </w:rPr>
            </w:pPr>
            <w:r>
              <w:rPr>
                <w:rFonts w:hint="eastAsia" w:ascii="Times New Roman" w:cs="Times New Roman"/>
                <w:b/>
                <w:bCs/>
                <w:sz w:val="28"/>
                <w:szCs w:val="24"/>
                <w:vertAlign w:val="baseline"/>
                <w:lang w:val="en-US" w:eastAsia="zh-CN"/>
              </w:rPr>
              <w:t xml:space="preserve">7.10.2 </w:t>
            </w:r>
            <w:r>
              <w:rPr>
                <w:rFonts w:hint="default" w:ascii="Times New Roman" w:hAnsi="Times New Roman" w:cs="Times New Roman"/>
                <w:b/>
                <w:bCs/>
                <w:sz w:val="28"/>
                <w:szCs w:val="24"/>
                <w:vertAlign w:val="baseline"/>
                <w:lang w:val="en-US" w:eastAsia="zh-CN"/>
              </w:rPr>
              <w:t>对野生动物的影响分析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架空输电线路建成后，会成为新的可疑目标而对项目区沿线栖息的野生动物产生微弱的影响，但经过一定时间的逐步适应后，这种影响就会自行消除。可以认为，除维修期间，输电线路在运行期将不会对野生动物产生不利影响。输电线路并未对地面形成彻底分割，对野生动物的迁徙影响很小。因此，本项目运行期对野生动物的影响很小</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eastAsia"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7.11 环境风险影响分析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highlight w:val="none"/>
                <w:vertAlign w:val="baseline"/>
                <w:lang w:val="en-US" w:eastAsia="zh-CN"/>
              </w:rPr>
            </w:pPr>
            <w:r>
              <w:rPr>
                <w:rFonts w:hint="default" w:ascii="Times New Roman" w:hAnsi="Times New Roman" w:cs="Times New Roman"/>
                <w:b w:val="0"/>
                <w:bCs w:val="0"/>
                <w:sz w:val="24"/>
                <w:szCs w:val="22"/>
                <w:vertAlign w:val="baseline"/>
                <w:lang w:val="en-US" w:eastAsia="zh-CN"/>
              </w:rPr>
              <w:t>输电线路基本</w:t>
            </w:r>
            <w:r>
              <w:rPr>
                <w:rFonts w:hint="default" w:ascii="Times New Roman" w:hAnsi="Times New Roman" w:cs="Times New Roman"/>
                <w:b w:val="0"/>
                <w:bCs w:val="0"/>
                <w:sz w:val="24"/>
                <w:szCs w:val="22"/>
                <w:highlight w:val="none"/>
                <w:vertAlign w:val="baseline"/>
                <w:lang w:val="en-US" w:eastAsia="zh-CN"/>
              </w:rPr>
              <w:t>沿</w:t>
            </w:r>
            <w:r>
              <w:rPr>
                <w:rFonts w:hint="eastAsia" w:ascii="Times New Roman" w:cs="Times New Roman"/>
                <w:b w:val="0"/>
                <w:bCs w:val="0"/>
                <w:sz w:val="24"/>
                <w:szCs w:val="22"/>
                <w:highlight w:val="none"/>
                <w:vertAlign w:val="baseline"/>
                <w:lang w:val="en-US" w:eastAsia="zh-CN"/>
              </w:rPr>
              <w:t>荒地</w:t>
            </w:r>
            <w:r>
              <w:rPr>
                <w:rFonts w:hint="default" w:ascii="Times New Roman" w:hAnsi="Times New Roman" w:cs="Times New Roman"/>
                <w:b w:val="0"/>
                <w:bCs w:val="0"/>
                <w:sz w:val="24"/>
                <w:szCs w:val="22"/>
                <w:highlight w:val="none"/>
                <w:vertAlign w:val="baseline"/>
                <w:lang w:val="en-US" w:eastAsia="zh-CN"/>
              </w:rPr>
              <w:t>、</w:t>
            </w:r>
            <w:r>
              <w:rPr>
                <w:rFonts w:hint="eastAsia" w:ascii="Times New Roman" w:cs="Times New Roman"/>
                <w:b w:val="0"/>
                <w:bCs w:val="0"/>
                <w:sz w:val="24"/>
                <w:szCs w:val="22"/>
                <w:highlight w:val="none"/>
                <w:vertAlign w:val="baseline"/>
                <w:lang w:val="en-US" w:eastAsia="zh-CN"/>
              </w:rPr>
              <w:t>林地</w:t>
            </w:r>
            <w:r>
              <w:rPr>
                <w:rFonts w:hint="default" w:ascii="Times New Roman" w:hAnsi="Times New Roman" w:cs="Times New Roman"/>
                <w:b w:val="0"/>
                <w:bCs w:val="0"/>
                <w:sz w:val="24"/>
                <w:szCs w:val="22"/>
                <w:highlight w:val="none"/>
                <w:vertAlign w:val="baseline"/>
                <w:lang w:val="en-US" w:eastAsia="zh-CN"/>
              </w:rPr>
              <w:t>区域走线，评价范围内</w:t>
            </w:r>
            <w:r>
              <w:rPr>
                <w:rFonts w:hint="eastAsia" w:ascii="Times New Roman" w:cs="Times New Roman"/>
                <w:b w:val="0"/>
                <w:bCs w:val="0"/>
                <w:sz w:val="24"/>
                <w:szCs w:val="22"/>
                <w:highlight w:val="none"/>
                <w:vertAlign w:val="baseline"/>
                <w:lang w:val="en-US" w:eastAsia="zh-CN"/>
              </w:rPr>
              <w:t>无</w:t>
            </w:r>
            <w:r>
              <w:rPr>
                <w:rFonts w:hint="default" w:ascii="Times New Roman" w:hAnsi="Times New Roman" w:cs="Times New Roman"/>
                <w:b w:val="0"/>
                <w:bCs w:val="0"/>
                <w:sz w:val="24"/>
                <w:szCs w:val="22"/>
                <w:highlight w:val="none"/>
                <w:vertAlign w:val="baseline"/>
                <w:lang w:val="en-US" w:eastAsia="zh-CN"/>
              </w:rPr>
              <w:t>环境保护目标。</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输电线路沿线无易燃易爆等仓库，线路设计阶段考虑了覆冰，保证输电线路运行过程稳定。杆塔基础均依据当地地质情况进行了设计建设，最大程度上降低杆塔倒塌的可能，工程建设满足环境风险要求。</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7.1</w:t>
            </w:r>
            <w:r>
              <w:rPr>
                <w:rFonts w:hint="eastAsia" w:ascii="Times New Roman" w:cs="Times New Roman"/>
                <w:b/>
                <w:bCs/>
                <w:sz w:val="28"/>
                <w:szCs w:val="24"/>
                <w:vertAlign w:val="baseline"/>
                <w:lang w:val="en-US" w:eastAsia="zh-CN"/>
              </w:rPr>
              <w:t>2</w:t>
            </w:r>
            <w:r>
              <w:rPr>
                <w:rFonts w:hint="eastAsia" w:ascii="Times New Roman" w:hAnsi="Times New Roman" w:eastAsia="宋体" w:cs="Times New Roman"/>
                <w:b/>
                <w:bCs/>
                <w:sz w:val="28"/>
                <w:szCs w:val="24"/>
                <w:vertAlign w:val="baseline"/>
                <w:lang w:val="en-US" w:eastAsia="zh-CN"/>
              </w:rPr>
              <w:t xml:space="preserve"> 环境管理</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为有效控制工程对环境的影响，根据《中华人民共和国环境保护法》和《电力工业环境保护管理办法》及相关规定，制定本工程环境管理和环境监测计划。</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7.1</w:t>
            </w:r>
            <w:r>
              <w:rPr>
                <w:rFonts w:hint="eastAsia" w:ascii="Times New Roman" w:cs="Times New Roman"/>
                <w:b/>
                <w:bCs/>
                <w:sz w:val="28"/>
                <w:szCs w:val="24"/>
                <w:vertAlign w:val="baseline"/>
                <w:lang w:val="en-US" w:eastAsia="zh-CN"/>
              </w:rPr>
              <w:t>2</w:t>
            </w:r>
            <w:r>
              <w:rPr>
                <w:rFonts w:hint="eastAsia" w:ascii="Times New Roman" w:hAnsi="Times New Roman" w:eastAsia="宋体" w:cs="Times New Roman"/>
                <w:b/>
                <w:bCs/>
                <w:sz w:val="28"/>
                <w:szCs w:val="24"/>
                <w:vertAlign w:val="baseline"/>
                <w:lang w:val="en-US" w:eastAsia="zh-CN"/>
              </w:rPr>
              <w:t xml:space="preserve">.1 </w:t>
            </w:r>
            <w:r>
              <w:rPr>
                <w:rFonts w:hint="default" w:ascii="Times New Roman" w:hAnsi="Times New Roman" w:eastAsia="宋体" w:cs="Times New Roman"/>
                <w:b/>
                <w:bCs/>
                <w:sz w:val="28"/>
                <w:szCs w:val="24"/>
                <w:vertAlign w:val="baseline"/>
                <w:lang w:val="en-US" w:eastAsia="zh-CN"/>
              </w:rPr>
              <w:t>施工期环境管理和监督</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（1）本工程施工单位应按建设单位要求制定所采取的环境管理和监督措施，注意施工扬尘的防治问题</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（2）本工程工程管理部门应设置专门人员进行检查</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7.1</w:t>
            </w:r>
            <w:r>
              <w:rPr>
                <w:rFonts w:hint="eastAsia" w:ascii="Times New Roman" w:cs="Times New Roman"/>
                <w:b/>
                <w:bCs/>
                <w:sz w:val="28"/>
                <w:szCs w:val="24"/>
                <w:vertAlign w:val="baseline"/>
                <w:lang w:val="en-US" w:eastAsia="zh-CN"/>
              </w:rPr>
              <w:t>2</w:t>
            </w:r>
            <w:r>
              <w:rPr>
                <w:rFonts w:hint="eastAsia" w:ascii="Times New Roman" w:hAnsi="Times New Roman" w:eastAsia="宋体" w:cs="Times New Roman"/>
                <w:b/>
                <w:bCs/>
                <w:sz w:val="28"/>
                <w:szCs w:val="24"/>
                <w:vertAlign w:val="baseline"/>
                <w:lang w:val="en-US" w:eastAsia="zh-CN"/>
              </w:rPr>
              <w:t>.2 运行期的环境管理和监督</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根据工程所在区域的环境特点，必须在运行主管单位设环境管理部门，配备相应的专业管理人员不少于1人，该部门的职能为：</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（1）制定和实施各项环境监督管理计划</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（2）建立线路电磁环境影响监测的数据档案，并定期与当地环境保护行政主管部门进行数据沟通</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（3）经常检査环保治理设施的运行情况，及时处理出现的问题</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（4）协调配合上级环保主管部门进行的环境调查等活动。</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7.1</w:t>
            </w:r>
            <w:r>
              <w:rPr>
                <w:rFonts w:hint="eastAsia" w:ascii="Times New Roman" w:cs="Times New Roman"/>
                <w:b/>
                <w:bCs/>
                <w:sz w:val="28"/>
                <w:szCs w:val="24"/>
                <w:vertAlign w:val="baseline"/>
                <w:lang w:val="en-US" w:eastAsia="zh-CN"/>
              </w:rPr>
              <w:t>3</w:t>
            </w:r>
            <w:r>
              <w:rPr>
                <w:rFonts w:hint="eastAsia" w:ascii="Times New Roman" w:hAnsi="Times New Roman" w:eastAsia="宋体" w:cs="Times New Roman"/>
                <w:b/>
                <w:bCs/>
                <w:sz w:val="28"/>
                <w:szCs w:val="24"/>
                <w:vertAlign w:val="baseline"/>
                <w:lang w:val="en-US" w:eastAsia="zh-CN"/>
              </w:rPr>
              <w:t xml:space="preserve"> 社会公开信息内容</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根据《企业事业单位环境信息公开办法》（环保部令第31号）的相关要求，企业事业单位应当建立健全本单位环境信息公开制度，指定机构负责本单位环境信息公开日常工作</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7.1</w:t>
            </w:r>
            <w:r>
              <w:rPr>
                <w:rFonts w:hint="eastAsia" w:ascii="Times New Roman" w:cs="Times New Roman"/>
                <w:b/>
                <w:bCs/>
                <w:sz w:val="28"/>
                <w:szCs w:val="24"/>
                <w:vertAlign w:val="baseline"/>
                <w:lang w:val="en-US" w:eastAsia="zh-CN"/>
              </w:rPr>
              <w:t>3</w:t>
            </w:r>
            <w:r>
              <w:rPr>
                <w:rFonts w:hint="eastAsia" w:ascii="Times New Roman" w:hAnsi="Times New Roman" w:eastAsia="宋体" w:cs="Times New Roman"/>
                <w:b/>
                <w:bCs/>
                <w:sz w:val="28"/>
                <w:szCs w:val="24"/>
                <w:vertAlign w:val="baseline"/>
                <w:lang w:val="en-US" w:eastAsia="zh-CN"/>
              </w:rPr>
              <w:t xml:space="preserve">.1 </w:t>
            </w:r>
            <w:r>
              <w:rPr>
                <w:rFonts w:hint="default" w:ascii="Times New Roman" w:hAnsi="Times New Roman" w:eastAsia="宋体" w:cs="Times New Roman"/>
                <w:b/>
                <w:bCs/>
                <w:sz w:val="28"/>
                <w:szCs w:val="24"/>
                <w:vertAlign w:val="baseline"/>
                <w:lang w:val="en-US" w:eastAsia="zh-CN"/>
              </w:rPr>
              <w:t>环境信息公开方式</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（1）</w:t>
            </w:r>
            <w:r>
              <w:rPr>
                <w:rFonts w:hint="default" w:ascii="Times New Roman" w:hAnsi="Times New Roman" w:cs="Times New Roman"/>
                <w:b w:val="0"/>
                <w:bCs w:val="0"/>
                <w:sz w:val="24"/>
                <w:szCs w:val="22"/>
                <w:vertAlign w:val="baseline"/>
                <w:lang w:val="en-US" w:eastAsia="zh-CN"/>
              </w:rPr>
              <w:t>建设单位可通过采取以下一种或者几种方式予以公开</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（2）</w:t>
            </w:r>
            <w:r>
              <w:rPr>
                <w:rFonts w:hint="default" w:ascii="Times New Roman" w:hAnsi="Times New Roman" w:cs="Times New Roman"/>
                <w:b w:val="0"/>
                <w:bCs w:val="0"/>
                <w:sz w:val="24"/>
                <w:szCs w:val="22"/>
                <w:vertAlign w:val="baseline"/>
                <w:lang w:val="en-US" w:eastAsia="zh-CN"/>
              </w:rPr>
              <w:t>公告或者公开发行的信息专刊</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（3）</w:t>
            </w:r>
            <w:r>
              <w:rPr>
                <w:rFonts w:hint="default" w:ascii="Times New Roman" w:hAnsi="Times New Roman" w:cs="Times New Roman"/>
                <w:b w:val="0"/>
                <w:bCs w:val="0"/>
                <w:sz w:val="24"/>
                <w:szCs w:val="22"/>
                <w:vertAlign w:val="baseline"/>
                <w:lang w:val="en-US" w:eastAsia="zh-CN"/>
              </w:rPr>
              <w:t>广播、电视、网站等新闻媒体</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（4）</w:t>
            </w:r>
            <w:r>
              <w:rPr>
                <w:rFonts w:hint="default" w:ascii="Times New Roman" w:hAnsi="Times New Roman" w:cs="Times New Roman"/>
                <w:b w:val="0"/>
                <w:bCs w:val="0"/>
                <w:sz w:val="24"/>
                <w:szCs w:val="22"/>
                <w:vertAlign w:val="baseline"/>
                <w:lang w:val="en-US" w:eastAsia="zh-CN"/>
              </w:rPr>
              <w:t>信息公开服务、监督热线电话</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（5）</w:t>
            </w:r>
            <w:r>
              <w:rPr>
                <w:rFonts w:hint="default" w:ascii="Times New Roman" w:hAnsi="Times New Roman" w:cs="Times New Roman"/>
                <w:b w:val="0"/>
                <w:bCs w:val="0"/>
                <w:sz w:val="24"/>
                <w:szCs w:val="22"/>
                <w:vertAlign w:val="baseline"/>
                <w:lang w:val="en-US" w:eastAsia="zh-CN"/>
              </w:rPr>
              <w:t>单位的资料索取点、信息公开栏、信息亭、电子屏幕、电子触摸屏等场所或者设施；</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（6）</w:t>
            </w:r>
            <w:r>
              <w:rPr>
                <w:rFonts w:hint="default" w:ascii="Times New Roman" w:hAnsi="Times New Roman" w:cs="Times New Roman"/>
                <w:b w:val="0"/>
                <w:bCs w:val="0"/>
                <w:sz w:val="24"/>
                <w:szCs w:val="22"/>
                <w:vertAlign w:val="baseline"/>
                <w:lang w:val="en-US" w:eastAsia="zh-CN"/>
              </w:rPr>
              <w:t>其他便于公众及时、准确获得信息的方式</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7.1</w:t>
            </w:r>
            <w:r>
              <w:rPr>
                <w:rFonts w:hint="eastAsia" w:ascii="Times New Roman" w:cs="Times New Roman"/>
                <w:b/>
                <w:bCs/>
                <w:sz w:val="28"/>
                <w:szCs w:val="24"/>
                <w:vertAlign w:val="baseline"/>
                <w:lang w:val="en-US" w:eastAsia="zh-CN"/>
              </w:rPr>
              <w:t>3</w:t>
            </w:r>
            <w:r>
              <w:rPr>
                <w:rFonts w:hint="eastAsia" w:ascii="Times New Roman" w:hAnsi="Times New Roman" w:eastAsia="宋体" w:cs="Times New Roman"/>
                <w:b/>
                <w:bCs/>
                <w:sz w:val="28"/>
                <w:szCs w:val="24"/>
                <w:vertAlign w:val="baseline"/>
                <w:lang w:val="en-US" w:eastAsia="zh-CN"/>
              </w:rPr>
              <w:t xml:space="preserve">.2 </w:t>
            </w:r>
            <w:r>
              <w:rPr>
                <w:rFonts w:hint="default" w:ascii="Times New Roman" w:hAnsi="Times New Roman" w:eastAsia="宋体" w:cs="Times New Roman"/>
                <w:b/>
                <w:bCs/>
                <w:sz w:val="28"/>
                <w:szCs w:val="24"/>
                <w:vertAlign w:val="baseline"/>
                <w:lang w:val="en-US" w:eastAsia="zh-CN"/>
              </w:rPr>
              <w:t>环境信息公开内容</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（1）</w:t>
            </w:r>
            <w:r>
              <w:rPr>
                <w:rFonts w:hint="default" w:ascii="Times New Roman" w:hAnsi="Times New Roman" w:cs="Times New Roman"/>
                <w:b w:val="0"/>
                <w:bCs w:val="0"/>
                <w:sz w:val="24"/>
                <w:szCs w:val="22"/>
                <w:vertAlign w:val="baseline"/>
                <w:lang w:val="en-US" w:eastAsia="zh-CN"/>
              </w:rPr>
              <w:t>基础信息，包括单位名称、组织机构代码、法定代表人、生产地址、联系方式，以及生产经营和管理服务的主要内容、产品及规模</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（2）</w:t>
            </w:r>
            <w:r>
              <w:rPr>
                <w:rFonts w:hint="default" w:ascii="Times New Roman" w:hAnsi="Times New Roman" w:cs="Times New Roman"/>
                <w:b w:val="0"/>
                <w:bCs w:val="0"/>
                <w:sz w:val="24"/>
                <w:szCs w:val="22"/>
                <w:vertAlign w:val="baseline"/>
                <w:lang w:val="en-US" w:eastAsia="zh-CN"/>
              </w:rPr>
              <w:t>排污信息，包括主要污染物及特征污染物的名称，以及执行的污染物排放标</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（3）</w:t>
            </w:r>
            <w:r>
              <w:rPr>
                <w:rFonts w:hint="default" w:ascii="Times New Roman" w:hAnsi="Times New Roman" w:cs="Times New Roman"/>
                <w:b w:val="0"/>
                <w:bCs w:val="0"/>
                <w:sz w:val="24"/>
                <w:szCs w:val="22"/>
                <w:vertAlign w:val="baseline"/>
                <w:lang w:val="en-US" w:eastAsia="zh-CN"/>
              </w:rPr>
              <w:t>防治污染设施的建设和运行情况</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（4）</w:t>
            </w:r>
            <w:r>
              <w:rPr>
                <w:rFonts w:hint="default" w:ascii="Times New Roman" w:hAnsi="Times New Roman" w:cs="Times New Roman"/>
                <w:b w:val="0"/>
                <w:bCs w:val="0"/>
                <w:sz w:val="24"/>
                <w:szCs w:val="22"/>
                <w:vertAlign w:val="baseline"/>
                <w:lang w:val="en-US" w:eastAsia="zh-CN"/>
              </w:rPr>
              <w:t>建设项目环境影响评价及其他环境保护行政许可情况</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（5）</w:t>
            </w:r>
            <w:r>
              <w:rPr>
                <w:rFonts w:hint="default" w:ascii="Times New Roman" w:hAnsi="Times New Roman" w:cs="Times New Roman"/>
                <w:b w:val="0"/>
                <w:bCs w:val="0"/>
                <w:sz w:val="24"/>
                <w:szCs w:val="22"/>
                <w:vertAlign w:val="baseline"/>
                <w:lang w:val="en-US" w:eastAsia="zh-CN"/>
              </w:rPr>
              <w:t>其他应当公开的环境信息</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7.1</w:t>
            </w:r>
            <w:r>
              <w:rPr>
                <w:rFonts w:hint="eastAsia" w:ascii="Times New Roman" w:cs="Times New Roman"/>
                <w:b/>
                <w:bCs/>
                <w:sz w:val="28"/>
                <w:szCs w:val="24"/>
                <w:vertAlign w:val="baseline"/>
                <w:lang w:val="en-US" w:eastAsia="zh-CN"/>
              </w:rPr>
              <w:t>4</w:t>
            </w:r>
            <w:r>
              <w:rPr>
                <w:rFonts w:hint="eastAsia" w:ascii="Times New Roman" w:hAnsi="Times New Roman" w:eastAsia="宋体" w:cs="Times New Roman"/>
                <w:b/>
                <w:bCs/>
                <w:sz w:val="28"/>
                <w:szCs w:val="24"/>
                <w:vertAlign w:val="baseline"/>
                <w:lang w:val="en-US" w:eastAsia="zh-CN"/>
              </w:rPr>
              <w:t xml:space="preserve"> 环境监测计划</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为建立本工程对环境影响情况的档案，应对输电线路对周围环境的影响进行监测或调查。监测内容见表</w:t>
            </w:r>
            <w:r>
              <w:rPr>
                <w:rFonts w:hint="eastAsia" w:ascii="Times New Roman" w:cs="Times New Roman"/>
                <w:b w:val="0"/>
                <w:bCs w:val="0"/>
                <w:sz w:val="24"/>
                <w:szCs w:val="22"/>
                <w:vertAlign w:val="baseline"/>
                <w:lang w:val="en-US" w:eastAsia="zh-CN"/>
              </w:rPr>
              <w:t>7-5。</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0"/>
                <w:vertAlign w:val="baseline"/>
                <w:lang w:val="en-US" w:eastAsia="zh-CN"/>
              </w:rPr>
            </w:pPr>
            <w:r>
              <w:rPr>
                <w:rFonts w:hint="eastAsia" w:ascii="Times New Roman" w:cs="Times New Roman"/>
                <w:b/>
                <w:bCs/>
                <w:sz w:val="21"/>
                <w:szCs w:val="20"/>
                <w:vertAlign w:val="baseline"/>
                <w:lang w:val="en-US" w:eastAsia="zh-CN"/>
              </w:rPr>
              <w:t>表7-5  环境监测计划</w:t>
            </w:r>
          </w:p>
          <w:tbl>
            <w:tblPr>
              <w:tblStyle w:val="15"/>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010"/>
              <w:gridCol w:w="2410"/>
              <w:gridCol w:w="1490"/>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序号</w:t>
                  </w:r>
                </w:p>
              </w:tc>
              <w:tc>
                <w:tcPr>
                  <w:tcW w:w="20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监测而项目</w:t>
                  </w:r>
                </w:p>
              </w:tc>
              <w:tc>
                <w:tcPr>
                  <w:tcW w:w="24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监测点位</w:t>
                  </w:r>
                </w:p>
              </w:tc>
              <w:tc>
                <w:tcPr>
                  <w:tcW w:w="149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监测时间</w:t>
                  </w:r>
                </w:p>
              </w:tc>
              <w:tc>
                <w:tcPr>
                  <w:tcW w:w="206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控制目标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w:t>
                  </w:r>
                </w:p>
              </w:tc>
              <w:tc>
                <w:tcPr>
                  <w:tcW w:w="20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工频电场强度、工频磁感应强度</w:t>
                  </w:r>
                </w:p>
              </w:tc>
              <w:tc>
                <w:tcPr>
                  <w:tcW w:w="24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输电线路沿线及敏感点</w:t>
                  </w:r>
                </w:p>
              </w:tc>
              <w:tc>
                <w:tcPr>
                  <w:tcW w:w="149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竣工验收及有投诉时</w:t>
                  </w:r>
                </w:p>
              </w:tc>
              <w:tc>
                <w:tcPr>
                  <w:tcW w:w="206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《电磁环境控制限值》（GB8702-2014）中标准限值要求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2</w:t>
                  </w:r>
                </w:p>
              </w:tc>
              <w:tc>
                <w:tcPr>
                  <w:tcW w:w="20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等效连续A声级</w:t>
                  </w:r>
                </w:p>
              </w:tc>
              <w:tc>
                <w:tcPr>
                  <w:tcW w:w="24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输电线路沿线及敏感点</w:t>
                  </w:r>
                </w:p>
              </w:tc>
              <w:tc>
                <w:tcPr>
                  <w:tcW w:w="149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竣工验收及有投诉时</w:t>
                  </w:r>
                </w:p>
              </w:tc>
              <w:tc>
                <w:tcPr>
                  <w:tcW w:w="206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《声环境质量标准》（GB30962008）中1类标准限值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74" w:type="dxa"/>
                  <w:gridSpan w:val="5"/>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备注：监测点应选择在地势平坦、远离树木且没有其他电力线路、通信线路及广播线路的空地上。</w:t>
                  </w:r>
                </w:p>
              </w:tc>
            </w:tr>
          </w:tbl>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7.14 污染物排放清单</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0"/>
                <w:vertAlign w:val="baseline"/>
                <w:lang w:val="en-US" w:eastAsia="zh-CN"/>
              </w:rPr>
            </w:pPr>
            <w:r>
              <w:rPr>
                <w:rFonts w:hint="eastAsia" w:ascii="Times New Roman" w:cs="Times New Roman"/>
                <w:b/>
                <w:bCs/>
                <w:sz w:val="21"/>
                <w:szCs w:val="20"/>
                <w:vertAlign w:val="baseline"/>
                <w:lang w:val="en-US" w:eastAsia="zh-CN"/>
              </w:rPr>
              <w:t>表7-6  污染物排放清单及污染物排放管理要求</w:t>
            </w:r>
          </w:p>
          <w:tbl>
            <w:tblPr>
              <w:tblStyle w:val="15"/>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230"/>
              <w:gridCol w:w="2010"/>
              <w:gridCol w:w="1725"/>
              <w:gridCol w:w="3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类别</w:t>
                  </w:r>
                </w:p>
              </w:tc>
              <w:tc>
                <w:tcPr>
                  <w:tcW w:w="20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位置</w:t>
                  </w:r>
                </w:p>
              </w:tc>
              <w:tc>
                <w:tcPr>
                  <w:tcW w:w="172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防治措施</w:t>
                  </w:r>
                </w:p>
              </w:tc>
              <w:tc>
                <w:tcPr>
                  <w:tcW w:w="312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噪声</w:t>
                  </w:r>
                </w:p>
              </w:tc>
              <w:tc>
                <w:tcPr>
                  <w:tcW w:w="20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输电线路</w:t>
                  </w:r>
                  <w:r>
                    <w:rPr>
                      <w:rFonts w:hint="eastAsia" w:ascii="Times New Roman" w:cs="Times New Roman"/>
                      <w:b w:val="0"/>
                      <w:bCs w:val="0"/>
                      <w:sz w:val="21"/>
                      <w:szCs w:val="20"/>
                      <w:vertAlign w:val="baseline"/>
                      <w:lang w:val="en-US" w:eastAsia="zh-CN"/>
                    </w:rPr>
                    <w:t>沿线及环境保护目标处</w:t>
                  </w:r>
                </w:p>
              </w:tc>
              <w:tc>
                <w:tcPr>
                  <w:tcW w:w="172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提高架空输电线路架设项高度、悬挂警示标识，选用表面加工精度较高的导线</w:t>
                  </w:r>
                </w:p>
              </w:tc>
              <w:tc>
                <w:tcPr>
                  <w:tcW w:w="312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符合《声环境质量标准》</w:t>
                  </w:r>
                </w:p>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w:t>
                  </w:r>
                  <w:r>
                    <w:rPr>
                      <w:rFonts w:hint="default" w:ascii="Times New Roman" w:hAnsi="Times New Roman" w:cs="Times New Roman"/>
                      <w:b w:val="0"/>
                      <w:bCs w:val="0"/>
                      <w:sz w:val="21"/>
                      <w:szCs w:val="20"/>
                      <w:vertAlign w:val="baseline"/>
                      <w:lang w:val="en-US" w:eastAsia="zh-CN"/>
                    </w:rPr>
                    <w:t>GB3096-2008</w:t>
                  </w:r>
                  <w:r>
                    <w:rPr>
                      <w:rFonts w:hint="eastAsia" w:ascii="Times New Roman" w:cs="Times New Roman"/>
                      <w:b w:val="0"/>
                      <w:bCs w:val="0"/>
                      <w:sz w:val="21"/>
                      <w:szCs w:val="20"/>
                      <w:vertAlign w:val="baseline"/>
                      <w:lang w:val="en-US" w:eastAsia="zh-CN"/>
                    </w:rPr>
                    <w:t>）</w:t>
                  </w:r>
                  <w:r>
                    <w:rPr>
                      <w:rFonts w:hint="default" w:ascii="Times New Roman" w:hAnsi="Times New Roman" w:cs="Times New Roman"/>
                      <w:b w:val="0"/>
                      <w:bCs w:val="0"/>
                      <w:sz w:val="21"/>
                      <w:szCs w:val="20"/>
                      <w:vertAlign w:val="baseline"/>
                      <w:lang w:val="en-US" w:eastAsia="zh-CN"/>
                    </w:rPr>
                    <w:t>中1类标准限值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电磁环境</w:t>
                  </w:r>
                </w:p>
              </w:tc>
              <w:tc>
                <w:tcPr>
                  <w:tcW w:w="123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工频电场</w:t>
                  </w:r>
                </w:p>
              </w:tc>
              <w:tc>
                <w:tcPr>
                  <w:tcW w:w="2010"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输电线路</w:t>
                  </w:r>
                  <w:r>
                    <w:rPr>
                      <w:rFonts w:hint="eastAsia" w:ascii="Times New Roman" w:cs="Times New Roman"/>
                      <w:b w:val="0"/>
                      <w:bCs w:val="0"/>
                      <w:sz w:val="21"/>
                      <w:szCs w:val="20"/>
                      <w:vertAlign w:val="baseline"/>
                      <w:lang w:val="en-US" w:eastAsia="zh-CN"/>
                    </w:rPr>
                    <w:t>沿线及环境保护目标处</w:t>
                  </w:r>
                </w:p>
              </w:tc>
              <w:tc>
                <w:tcPr>
                  <w:tcW w:w="1725"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设计优化路径，远离居民点，提升架空线路架设高度</w:t>
                  </w:r>
                </w:p>
              </w:tc>
              <w:tc>
                <w:tcPr>
                  <w:tcW w:w="3125"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符合《电磁环境控制限值》</w:t>
                  </w:r>
                </w:p>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（GB8702-2014）中规定的标准限值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c>
                <w:tcPr>
                  <w:tcW w:w="123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工频磁场</w:t>
                  </w:r>
                </w:p>
              </w:tc>
              <w:tc>
                <w:tcPr>
                  <w:tcW w:w="2010"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c>
                <w:tcPr>
                  <w:tcW w:w="1725"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c>
                <w:tcPr>
                  <w:tcW w:w="3125"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固体废物</w:t>
                  </w:r>
                </w:p>
              </w:tc>
              <w:tc>
                <w:tcPr>
                  <w:tcW w:w="20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w:t>
                  </w:r>
                </w:p>
              </w:tc>
              <w:tc>
                <w:tcPr>
                  <w:tcW w:w="172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自身携带到环卫部门指定的垃圾处置点</w:t>
                  </w:r>
                </w:p>
              </w:tc>
              <w:tc>
                <w:tcPr>
                  <w:tcW w:w="312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处置率100%</w:t>
                  </w:r>
                </w:p>
              </w:tc>
            </w:tr>
          </w:tbl>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7.15 环保设施竣工验收内容及要求</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本工程竣工后，建设单位当按照国务院环境保护行政主管部门规定的标准和程</w:t>
            </w:r>
            <w:r>
              <w:rPr>
                <w:rFonts w:hint="eastAsia" w:ascii="Times New Roman" w:cs="Times New Roman"/>
                <w:b w:val="0"/>
                <w:bCs w:val="0"/>
                <w:sz w:val="24"/>
                <w:szCs w:val="22"/>
                <w:vertAlign w:val="baseline"/>
                <w:lang w:val="en-US" w:eastAsia="zh-CN"/>
              </w:rPr>
              <w:t>序</w:t>
            </w:r>
            <w:r>
              <w:rPr>
                <w:rFonts w:hint="default" w:ascii="Times New Roman" w:hAnsi="Times New Roman" w:cs="Times New Roman"/>
                <w:b w:val="0"/>
                <w:bCs w:val="0"/>
                <w:sz w:val="24"/>
                <w:szCs w:val="22"/>
                <w:vertAlign w:val="baseline"/>
                <w:lang w:val="en-US" w:eastAsia="zh-CN"/>
              </w:rPr>
              <w:t>，对配套建设的环境保护设施进行验收，编制验收报告。严格按环境影响报告表的要求认真落实</w:t>
            </w:r>
            <w:r>
              <w:rPr>
                <w:rFonts w:hint="eastAsia" w:asci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val="en-US" w:eastAsia="zh-CN"/>
              </w:rPr>
              <w:t>三同时</w:t>
            </w:r>
            <w:r>
              <w:rPr>
                <w:rFonts w:hint="eastAsia" w:asci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val="en-US" w:eastAsia="zh-CN"/>
              </w:rPr>
              <w:t>，明确职责，专人管理，切实搞好环境管理和监测工作，保证环保设施的正常运行，项目竣工环境保护验收清单见表</w:t>
            </w:r>
            <w:r>
              <w:rPr>
                <w:rFonts w:hint="eastAsia" w:ascii="Times New Roman" w:cs="Times New Roman"/>
                <w:b w:val="0"/>
                <w:bCs w:val="0"/>
                <w:sz w:val="24"/>
                <w:szCs w:val="22"/>
                <w:vertAlign w:val="baseline"/>
                <w:lang w:val="en-US" w:eastAsia="zh-CN"/>
              </w:rPr>
              <w:t>7-7。</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eastAsia="宋体" w:cs="Times New Roman"/>
                <w:b/>
                <w:bCs/>
                <w:sz w:val="21"/>
                <w:szCs w:val="20"/>
                <w:vertAlign w:val="baseline"/>
                <w:lang w:val="en-US" w:eastAsia="zh-CN"/>
              </w:rPr>
            </w:pPr>
            <w:r>
              <w:rPr>
                <w:rFonts w:hint="eastAsia" w:ascii="Times New Roman" w:hAnsi="Times New Roman" w:eastAsia="宋体" w:cs="Times New Roman"/>
                <w:b/>
                <w:bCs/>
                <w:sz w:val="21"/>
                <w:szCs w:val="20"/>
                <w:vertAlign w:val="baseline"/>
                <w:lang w:val="en-US" w:eastAsia="zh-CN"/>
              </w:rPr>
              <w:t>表7-7  环保设施竣工验收清单</w:t>
            </w:r>
          </w:p>
          <w:tbl>
            <w:tblPr>
              <w:tblStyle w:val="15"/>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705"/>
              <w:gridCol w:w="1125"/>
              <w:gridCol w:w="2175"/>
              <w:gridCol w:w="1110"/>
              <w:gridCol w:w="3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序号</w:t>
                  </w:r>
                </w:p>
              </w:tc>
              <w:tc>
                <w:tcPr>
                  <w:tcW w:w="1830"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污染源</w:t>
                  </w:r>
                </w:p>
              </w:tc>
              <w:tc>
                <w:tcPr>
                  <w:tcW w:w="217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防治措施</w:t>
                  </w:r>
                </w:p>
              </w:tc>
              <w:tc>
                <w:tcPr>
                  <w:tcW w:w="11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数量</w:t>
                  </w:r>
                </w:p>
              </w:tc>
              <w:tc>
                <w:tcPr>
                  <w:tcW w:w="31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w:t>
                  </w:r>
                </w:p>
              </w:tc>
              <w:tc>
                <w:tcPr>
                  <w:tcW w:w="705"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电磁环境</w:t>
                  </w:r>
                </w:p>
              </w:tc>
              <w:tc>
                <w:tcPr>
                  <w:tcW w:w="112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工频电场</w:t>
                  </w:r>
                </w:p>
              </w:tc>
              <w:tc>
                <w:tcPr>
                  <w:tcW w:w="2175"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在满足经济和技术的条件下选用低电磁设备</w:t>
                  </w:r>
                </w:p>
              </w:tc>
              <w:tc>
                <w:tcPr>
                  <w:tcW w:w="11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w:t>
                  </w:r>
                </w:p>
              </w:tc>
              <w:tc>
                <w:tcPr>
                  <w:tcW w:w="3110"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符合《电磁环境控制限值》（GB87022014）中规定的标准限值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c>
                <w:tcPr>
                  <w:tcW w:w="705"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c>
                <w:tcPr>
                  <w:tcW w:w="112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工频磁感应强度</w:t>
                  </w:r>
                </w:p>
              </w:tc>
              <w:tc>
                <w:tcPr>
                  <w:tcW w:w="2175"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c>
                <w:tcPr>
                  <w:tcW w:w="11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w:t>
                  </w:r>
                </w:p>
              </w:tc>
              <w:tc>
                <w:tcPr>
                  <w:tcW w:w="3110"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2</w:t>
                  </w:r>
                </w:p>
              </w:tc>
              <w:tc>
                <w:tcPr>
                  <w:tcW w:w="70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声环境</w:t>
                  </w:r>
                </w:p>
              </w:tc>
              <w:tc>
                <w:tcPr>
                  <w:tcW w:w="112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噪声</w:t>
                  </w:r>
                </w:p>
              </w:tc>
              <w:tc>
                <w:tcPr>
                  <w:tcW w:w="217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w:t>
                  </w:r>
                </w:p>
              </w:tc>
              <w:tc>
                <w:tcPr>
                  <w:tcW w:w="11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w:t>
                  </w:r>
                </w:p>
              </w:tc>
              <w:tc>
                <w:tcPr>
                  <w:tcW w:w="31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符合《声环境质量标准》（GB30962008）中1类标准限值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w:t>
                  </w:r>
                </w:p>
              </w:tc>
              <w:tc>
                <w:tcPr>
                  <w:tcW w:w="1830"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生态环境</w:t>
                  </w:r>
                </w:p>
              </w:tc>
              <w:tc>
                <w:tcPr>
                  <w:tcW w:w="217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default" w:ascii="Times New Roman" w:hAnsi="Times New Roman" w:cs="Times New Roman"/>
                      <w:b w:val="0"/>
                      <w:bCs w:val="0"/>
                      <w:sz w:val="21"/>
                      <w:szCs w:val="20"/>
                      <w:vertAlign w:val="baseline"/>
                      <w:lang w:val="en-US" w:eastAsia="zh-CN"/>
                    </w:rPr>
                    <w:t>塔基、牵张场等临时占地植被恢复</w:t>
                  </w:r>
                </w:p>
              </w:tc>
              <w:tc>
                <w:tcPr>
                  <w:tcW w:w="11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临时占地18500m</w:t>
                  </w:r>
                  <w:r>
                    <w:rPr>
                      <w:rFonts w:hint="eastAsia" w:ascii="Times New Roman" w:cs="Times New Roman"/>
                      <w:b w:val="0"/>
                      <w:bCs w:val="0"/>
                      <w:sz w:val="21"/>
                      <w:szCs w:val="20"/>
                      <w:vertAlign w:val="superscript"/>
                      <w:lang w:val="en-US" w:eastAsia="zh-CN"/>
                    </w:rPr>
                    <w:t>2</w:t>
                  </w:r>
                </w:p>
              </w:tc>
              <w:tc>
                <w:tcPr>
                  <w:tcW w:w="311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所有临时用地全部恢复，永久占地内裸露地表能够全部绿化</w:t>
                  </w:r>
                </w:p>
              </w:tc>
            </w:tr>
          </w:tbl>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7.16 环保投资</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本项目总投资</w:t>
            </w:r>
            <w:r>
              <w:rPr>
                <w:rFonts w:hint="eastAsia" w:ascii="Times New Roman" w:cs="Times New Roman"/>
                <w:b w:val="0"/>
                <w:bCs w:val="0"/>
                <w:sz w:val="24"/>
                <w:szCs w:val="22"/>
                <w:vertAlign w:val="baseline"/>
                <w:lang w:val="en-US" w:eastAsia="zh-CN"/>
              </w:rPr>
              <w:t>1049.99</w:t>
            </w:r>
            <w:r>
              <w:rPr>
                <w:rFonts w:hint="default" w:ascii="Times New Roman" w:hAnsi="Times New Roman" w:cs="Times New Roman"/>
                <w:b w:val="0"/>
                <w:bCs w:val="0"/>
                <w:sz w:val="24"/>
                <w:szCs w:val="22"/>
                <w:vertAlign w:val="baseline"/>
                <w:lang w:val="en-US" w:eastAsia="zh-CN"/>
              </w:rPr>
              <w:t>万元，项目环保</w:t>
            </w:r>
            <w:r>
              <w:rPr>
                <w:rFonts w:hint="eastAsia" w:ascii="Times New Roman" w:cs="Times New Roman"/>
                <w:b w:val="0"/>
                <w:bCs w:val="0"/>
                <w:sz w:val="24"/>
                <w:szCs w:val="22"/>
                <w:vertAlign w:val="baseline"/>
                <w:lang w:val="en-US" w:eastAsia="zh-CN"/>
              </w:rPr>
              <w:t>投资32</w:t>
            </w:r>
            <w:r>
              <w:rPr>
                <w:rFonts w:hint="default" w:ascii="Times New Roman" w:hAnsi="Times New Roman" w:cs="Times New Roman"/>
                <w:b w:val="0"/>
                <w:bCs w:val="0"/>
                <w:sz w:val="24"/>
                <w:szCs w:val="22"/>
                <w:vertAlign w:val="baseline"/>
                <w:lang w:val="en-US" w:eastAsia="zh-CN"/>
              </w:rPr>
              <w:t>万元，占总投资的</w:t>
            </w:r>
            <w:r>
              <w:rPr>
                <w:rFonts w:hint="eastAsia" w:ascii="Times New Roman" w:cs="Times New Roman"/>
                <w:b w:val="0"/>
                <w:bCs w:val="0"/>
                <w:sz w:val="24"/>
                <w:szCs w:val="22"/>
                <w:vertAlign w:val="baseline"/>
                <w:lang w:val="en-US" w:eastAsia="zh-CN"/>
              </w:rPr>
              <w:t>3.05</w:t>
            </w:r>
            <w:r>
              <w:rPr>
                <w:rFonts w:hint="default" w:ascii="Times New Roman" w:hAnsi="Times New Roman" w:cs="Times New Roman"/>
                <w:b w:val="0"/>
                <w:bCs w:val="0"/>
                <w:sz w:val="24"/>
                <w:szCs w:val="22"/>
                <w:vertAlign w:val="baseline"/>
                <w:lang w:val="en-US" w:eastAsia="zh-CN"/>
              </w:rPr>
              <w:t>%</w:t>
            </w:r>
            <w:r>
              <w:rPr>
                <w:rFonts w:hint="eastAsia" w:asci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val="en-US" w:eastAsia="zh-CN"/>
              </w:rPr>
              <w:t>环保投资一览表见表</w:t>
            </w:r>
            <w:r>
              <w:rPr>
                <w:rFonts w:hint="eastAsia" w:ascii="Times New Roman" w:cs="Times New Roman"/>
                <w:b w:val="0"/>
                <w:bCs w:val="0"/>
                <w:sz w:val="24"/>
                <w:szCs w:val="22"/>
                <w:vertAlign w:val="baseline"/>
                <w:lang w:val="en-US" w:eastAsia="zh-CN"/>
              </w:rPr>
              <w:t>7-8</w:t>
            </w:r>
            <w:r>
              <w:rPr>
                <w:rFonts w:hint="default" w:ascii="Times New Roman" w:hAnsi="Times New Roman" w:cs="Times New Roman"/>
                <w:b w:val="0"/>
                <w:bCs w:val="0"/>
                <w:sz w:val="24"/>
                <w:szCs w:val="22"/>
                <w:vertAlign w:val="baseline"/>
                <w:lang w:val="en-US" w:eastAsia="zh-CN"/>
              </w:rPr>
              <w:t>（最终环境保护投入情况以工程实际核算为主）</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0"/>
                <w:vertAlign w:val="baseline"/>
                <w:lang w:val="en-US" w:eastAsia="zh-CN"/>
              </w:rPr>
            </w:pPr>
            <w:r>
              <w:rPr>
                <w:rFonts w:hint="eastAsia" w:ascii="Times New Roman" w:cs="Times New Roman"/>
                <w:b/>
                <w:bCs/>
                <w:sz w:val="21"/>
                <w:szCs w:val="20"/>
                <w:vertAlign w:val="baseline"/>
                <w:lang w:val="en-US" w:eastAsia="zh-CN"/>
              </w:rPr>
              <w:t>表7-8  环保投资估算一览表         单位：万元</w:t>
            </w:r>
          </w:p>
          <w:tbl>
            <w:tblPr>
              <w:tblStyle w:val="15"/>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815"/>
              <w:gridCol w:w="3681"/>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时段</w:t>
                  </w:r>
                </w:p>
              </w:tc>
              <w:tc>
                <w:tcPr>
                  <w:tcW w:w="181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类别</w:t>
                  </w:r>
                </w:p>
              </w:tc>
              <w:tc>
                <w:tcPr>
                  <w:tcW w:w="368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环保设施</w:t>
                  </w:r>
                </w:p>
              </w:tc>
              <w:tc>
                <w:tcPr>
                  <w:tcW w:w="221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投资额（万元）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准备阶段</w:t>
                  </w:r>
                </w:p>
              </w:tc>
              <w:tc>
                <w:tcPr>
                  <w:tcW w:w="181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环境咨询</w:t>
                  </w:r>
                </w:p>
              </w:tc>
              <w:tc>
                <w:tcPr>
                  <w:tcW w:w="368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w:t>
                  </w:r>
                </w:p>
              </w:tc>
              <w:tc>
                <w:tcPr>
                  <w:tcW w:w="221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施工期</w:t>
                  </w:r>
                </w:p>
              </w:tc>
              <w:tc>
                <w:tcPr>
                  <w:tcW w:w="181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废气</w:t>
                  </w:r>
                </w:p>
              </w:tc>
              <w:tc>
                <w:tcPr>
                  <w:tcW w:w="368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洒水降尘等</w:t>
                  </w:r>
                </w:p>
              </w:tc>
              <w:tc>
                <w:tcPr>
                  <w:tcW w:w="221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p>
              </w:tc>
              <w:tc>
                <w:tcPr>
                  <w:tcW w:w="181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固体废物</w:t>
                  </w:r>
                </w:p>
              </w:tc>
              <w:tc>
                <w:tcPr>
                  <w:tcW w:w="368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边角料、包装材料及生活垃圾清理</w:t>
                  </w:r>
                </w:p>
              </w:tc>
              <w:tc>
                <w:tcPr>
                  <w:tcW w:w="221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运营期</w:t>
                  </w:r>
                </w:p>
              </w:tc>
              <w:tc>
                <w:tcPr>
                  <w:tcW w:w="181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生态</w:t>
                  </w:r>
                </w:p>
              </w:tc>
              <w:tc>
                <w:tcPr>
                  <w:tcW w:w="368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水土保持、绿化恢复措施</w:t>
                  </w:r>
                </w:p>
              </w:tc>
              <w:tc>
                <w:tcPr>
                  <w:tcW w:w="221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15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验收阶段</w:t>
                  </w:r>
                </w:p>
              </w:tc>
              <w:tc>
                <w:tcPr>
                  <w:tcW w:w="181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w:t>
                  </w:r>
                </w:p>
              </w:tc>
              <w:tc>
                <w:tcPr>
                  <w:tcW w:w="368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w:t>
                  </w:r>
                </w:p>
              </w:tc>
              <w:tc>
                <w:tcPr>
                  <w:tcW w:w="221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其他</w:t>
                  </w:r>
                </w:p>
              </w:tc>
              <w:tc>
                <w:tcPr>
                  <w:tcW w:w="5496"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监测费用纳入环境咨询、验收主题</w:t>
                  </w:r>
                </w:p>
              </w:tc>
              <w:tc>
                <w:tcPr>
                  <w:tcW w:w="221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5" w:type="dxa"/>
                  <w:gridSpan w:val="3"/>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总投资</w:t>
                  </w:r>
                </w:p>
              </w:tc>
              <w:tc>
                <w:tcPr>
                  <w:tcW w:w="221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0"/>
                      <w:vertAlign w:val="baseline"/>
                      <w:lang w:val="en-US" w:eastAsia="zh-CN"/>
                    </w:rPr>
                  </w:pPr>
                  <w:r>
                    <w:rPr>
                      <w:rFonts w:hint="eastAsia" w:ascii="Times New Roman" w:cs="Times New Roman"/>
                      <w:b w:val="0"/>
                      <w:bCs w:val="0"/>
                      <w:sz w:val="21"/>
                      <w:szCs w:val="20"/>
                      <w:vertAlign w:val="baseline"/>
                      <w:lang w:val="en-US" w:eastAsia="zh-CN"/>
                    </w:rPr>
                    <w:t>32</w:t>
                  </w:r>
                </w:p>
              </w:tc>
            </w:tr>
          </w:tbl>
          <w:p>
            <w:pPr>
              <w:pStyle w:val="3"/>
              <w:widowControl w:val="0"/>
              <w:rPr>
                <w:rFonts w:hint="default"/>
                <w:b/>
                <w:bCs/>
                <w:sz w:val="32"/>
                <w:szCs w:val="28"/>
                <w:vertAlign w:val="baseline"/>
                <w:lang w:val="en-US" w:eastAsia="zh-CN"/>
              </w:rPr>
            </w:pPr>
          </w:p>
        </w:tc>
      </w:tr>
    </w:tbl>
    <w:p>
      <w:pPr>
        <w:rPr>
          <w:rFonts w:hint="eastAsia"/>
          <w:b/>
          <w:bCs/>
          <w:sz w:val="32"/>
          <w:szCs w:val="28"/>
          <w:lang w:val="en-US" w:eastAsia="zh-CN"/>
        </w:rPr>
      </w:pPr>
      <w:bookmarkStart w:id="9" w:name="_Toc22909"/>
      <w:r>
        <w:rPr>
          <w:rFonts w:hint="eastAsia"/>
          <w:b/>
          <w:bCs/>
          <w:sz w:val="32"/>
          <w:szCs w:val="28"/>
          <w:lang w:val="en-US" w:eastAsia="zh-CN"/>
        </w:rPr>
        <w:br w:type="page"/>
      </w:r>
    </w:p>
    <w:p>
      <w:pPr>
        <w:pStyle w:val="3"/>
        <w:ind w:left="0" w:leftChars="0" w:firstLine="0" w:firstLineChars="0"/>
        <w:outlineLvl w:val="0"/>
        <w:rPr>
          <w:rFonts w:hint="eastAsia"/>
          <w:b/>
          <w:bCs/>
          <w:sz w:val="32"/>
          <w:szCs w:val="28"/>
          <w:lang w:val="en-US" w:eastAsia="zh-CN"/>
        </w:rPr>
      </w:pPr>
      <w:r>
        <w:rPr>
          <w:rFonts w:hint="eastAsia"/>
          <w:b/>
          <w:bCs/>
          <w:sz w:val="32"/>
          <w:szCs w:val="28"/>
          <w:lang w:val="en-US" w:eastAsia="zh-CN"/>
        </w:rPr>
        <w:t>8 建设项目拟采取的防治措施及治理效果</w:t>
      </w:r>
      <w:bookmarkEnd w:id="9"/>
    </w:p>
    <w:tbl>
      <w:tblPr>
        <w:tblStyle w:val="15"/>
        <w:tblW w:w="9090"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039"/>
        <w:gridCol w:w="1410"/>
        <w:gridCol w:w="1425"/>
        <w:gridCol w:w="2190"/>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sz w:val="32"/>
              </w:rPr>
              <mc:AlternateContent>
                <mc:Choice Requires="wps">
                  <w:drawing>
                    <wp:anchor distT="0" distB="0" distL="114300" distR="114300" simplePos="0" relativeHeight="251672576" behindDoc="0" locked="0" layoutInCell="1" allowOverlap="1">
                      <wp:simplePos x="0" y="0"/>
                      <wp:positionH relativeFrom="column">
                        <wp:posOffset>-78105</wp:posOffset>
                      </wp:positionH>
                      <wp:positionV relativeFrom="paragraph">
                        <wp:posOffset>3810</wp:posOffset>
                      </wp:positionV>
                      <wp:extent cx="628650" cy="400050"/>
                      <wp:effectExtent l="2540" t="3810" r="16510" b="15240"/>
                      <wp:wrapNone/>
                      <wp:docPr id="4" name="直接连接符 4"/>
                      <wp:cNvGraphicFramePr/>
                      <a:graphic xmlns:a="http://schemas.openxmlformats.org/drawingml/2006/main">
                        <a:graphicData uri="http://schemas.microsoft.com/office/word/2010/wordprocessingShape">
                          <wps:wsp>
                            <wps:cNvCnPr/>
                            <wps:spPr>
                              <a:xfrm>
                                <a:off x="876935" y="1287145"/>
                                <a:ext cx="628650" cy="400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15pt;margin-top:0.3pt;height:31.5pt;width:49.5pt;z-index:251672576;mso-width-relative:page;mso-height-relative:page;" filled="f" stroked="t" coordsize="21600,21600" o:gfxdata="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xyzWbUAAAABgEAAA8AAAAAAAAAAQAgAAAA&#10;IgAAAGRycy9kb3ducmV2LnhtbFBLAQIUABQAAAAIAIdO4kAUcxze1gEAAHIDAAAOAAAAAAAAAAEA&#10;IAAAACMBAABkcnMvZTJvRG9jLnhtbFBLBQYAAAAABgAGAFkBAABrBQAAAAA=&#10;">
                      <v:fill on="f" focussize="0,0"/>
                      <v:stroke weight="0.5pt" color="#000000 [3200]" miterlimit="8" joinstyle="miter"/>
                      <v:imagedata o:title=""/>
                      <o:lock v:ext="edit" aspectratio="f"/>
                    </v:line>
                  </w:pict>
                </mc:Fallback>
              </mc:AlternateContent>
            </w:r>
            <w:r>
              <w:rPr>
                <w:rFonts w:hint="default" w:ascii="Times New Roman" w:hAnsi="Times New Roman" w:cs="Times New Roman"/>
                <w:b w:val="0"/>
                <w:bCs w:val="0"/>
                <w:sz w:val="24"/>
                <w:szCs w:val="22"/>
                <w:vertAlign w:val="baseline"/>
                <w:lang w:val="en-US" w:eastAsia="zh-CN"/>
              </w:rPr>
              <w:t xml:space="preserve">  内容</w:t>
            </w:r>
          </w:p>
          <w:p>
            <w:pPr>
              <w:pStyle w:val="3"/>
              <w:keepNext w:val="0"/>
              <w:keepLines w:val="0"/>
              <w:pageBreakBefore w:val="0"/>
              <w:widowControl/>
              <w:kinsoku/>
              <w:wordWrap/>
              <w:overflowPunct/>
              <w:topLinePunct w:val="0"/>
              <w:autoSpaceDE w:val="0"/>
              <w:autoSpaceDN w:val="0"/>
              <w:bidi w:val="0"/>
              <w:adjustRightInd/>
              <w:snapToGrid/>
              <w:ind w:firstLine="0" w:firstLineChars="0"/>
              <w:jc w:val="both"/>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类型</w:t>
            </w:r>
          </w:p>
        </w:tc>
        <w:tc>
          <w:tcPr>
            <w:tcW w:w="2449" w:type="dxa"/>
            <w:gridSpan w:val="2"/>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排放源（编号）</w:t>
            </w:r>
          </w:p>
        </w:tc>
        <w:tc>
          <w:tcPr>
            <w:tcW w:w="1425"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污染物名称</w:t>
            </w:r>
          </w:p>
        </w:tc>
        <w:tc>
          <w:tcPr>
            <w:tcW w:w="219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防治措施</w:t>
            </w:r>
          </w:p>
        </w:tc>
        <w:tc>
          <w:tcPr>
            <w:tcW w:w="2066"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大气污染物</w:t>
            </w:r>
          </w:p>
        </w:tc>
        <w:tc>
          <w:tcPr>
            <w:tcW w:w="1039"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施工期</w:t>
            </w:r>
          </w:p>
        </w:tc>
        <w:tc>
          <w:tcPr>
            <w:tcW w:w="141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施工扬尘</w:t>
            </w:r>
          </w:p>
        </w:tc>
        <w:tc>
          <w:tcPr>
            <w:tcW w:w="1425"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TSP</w:t>
            </w:r>
          </w:p>
        </w:tc>
        <w:tc>
          <w:tcPr>
            <w:tcW w:w="219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采取洒水、遮盖、及时清运、避开大风天气等措施</w:t>
            </w:r>
          </w:p>
        </w:tc>
        <w:tc>
          <w:tcPr>
            <w:tcW w:w="2066"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《施工场界扬尘排放限值》（DB6l/0782017）周界外浓度限值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p>
        </w:tc>
        <w:tc>
          <w:tcPr>
            <w:tcW w:w="1039"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p>
        </w:tc>
        <w:tc>
          <w:tcPr>
            <w:tcW w:w="141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机械废气</w:t>
            </w:r>
          </w:p>
        </w:tc>
        <w:tc>
          <w:tcPr>
            <w:tcW w:w="1425"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NOx、CO</w:t>
            </w:r>
            <w:r>
              <w:rPr>
                <w:rFonts w:hint="eastAsia" w:ascii="Times New Roman" w:hAnsi="Times New Roman" w:cs="Times New Roman"/>
                <w:b w:val="0"/>
                <w:bCs w:val="0"/>
                <w:sz w:val="24"/>
                <w:szCs w:val="22"/>
                <w:vertAlign w:val="baseline"/>
                <w:lang w:val="en-US" w:eastAsia="zh-CN"/>
              </w:rPr>
              <w:t>、</w:t>
            </w:r>
            <w:r>
              <w:rPr>
                <w:rFonts w:hint="default" w:ascii="Times New Roman" w:hAnsi="Times New Roman" w:cs="Times New Roman"/>
                <w:b w:val="0"/>
                <w:bCs w:val="0"/>
                <w:sz w:val="24"/>
                <w:szCs w:val="22"/>
                <w:vertAlign w:val="baseline"/>
                <w:lang w:val="en-US" w:eastAsia="zh-CN"/>
              </w:rPr>
              <w:t>THC</w:t>
            </w:r>
          </w:p>
        </w:tc>
        <w:tc>
          <w:tcPr>
            <w:tcW w:w="219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无组织排放</w:t>
            </w:r>
          </w:p>
        </w:tc>
        <w:tc>
          <w:tcPr>
            <w:tcW w:w="2066"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水污</w:t>
            </w:r>
          </w:p>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染物</w:t>
            </w:r>
          </w:p>
        </w:tc>
        <w:tc>
          <w:tcPr>
            <w:tcW w:w="1039"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施工期</w:t>
            </w:r>
          </w:p>
        </w:tc>
        <w:tc>
          <w:tcPr>
            <w:tcW w:w="141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施工废水</w:t>
            </w:r>
          </w:p>
        </w:tc>
        <w:tc>
          <w:tcPr>
            <w:tcW w:w="1425"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SS</w:t>
            </w:r>
          </w:p>
        </w:tc>
        <w:tc>
          <w:tcPr>
            <w:tcW w:w="219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经沉淀池处理后全部回用</w:t>
            </w:r>
          </w:p>
        </w:tc>
        <w:tc>
          <w:tcPr>
            <w:tcW w:w="2066"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废水不外排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p>
        </w:tc>
        <w:tc>
          <w:tcPr>
            <w:tcW w:w="1039"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p>
        </w:tc>
        <w:tc>
          <w:tcPr>
            <w:tcW w:w="141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生活污水</w:t>
            </w:r>
          </w:p>
        </w:tc>
        <w:tc>
          <w:tcPr>
            <w:tcW w:w="1425"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COD、BOD</w:t>
            </w:r>
            <w:r>
              <w:rPr>
                <w:rFonts w:hint="default" w:ascii="Times New Roman" w:hAnsi="Times New Roman" w:cs="Times New Roman"/>
                <w:b w:val="0"/>
                <w:bCs w:val="0"/>
                <w:sz w:val="24"/>
                <w:szCs w:val="22"/>
                <w:vertAlign w:val="subscript"/>
                <w:lang w:val="en-US" w:eastAsia="zh-CN"/>
              </w:rPr>
              <w:t>5</w:t>
            </w:r>
            <w:r>
              <w:rPr>
                <w:rFonts w:hint="default" w:ascii="Times New Roman" w:hAnsi="Times New Roman" w:cs="Times New Roman"/>
                <w:b w:val="0"/>
                <w:bCs w:val="0"/>
                <w:sz w:val="24"/>
                <w:szCs w:val="22"/>
                <w:vertAlign w:val="baseline"/>
                <w:lang w:val="en-US" w:eastAsia="zh-CN"/>
              </w:rPr>
              <w:t>、SS、氨氮</w:t>
            </w:r>
          </w:p>
        </w:tc>
        <w:tc>
          <w:tcPr>
            <w:tcW w:w="219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利用附近村庄生活污水处理设施</w:t>
            </w:r>
          </w:p>
        </w:tc>
        <w:tc>
          <w:tcPr>
            <w:tcW w:w="2066"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噪声</w:t>
            </w:r>
          </w:p>
        </w:tc>
        <w:tc>
          <w:tcPr>
            <w:tcW w:w="1039"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施工期</w:t>
            </w:r>
          </w:p>
        </w:tc>
        <w:tc>
          <w:tcPr>
            <w:tcW w:w="141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施工机械及运输车辆</w:t>
            </w:r>
          </w:p>
        </w:tc>
        <w:tc>
          <w:tcPr>
            <w:tcW w:w="1425"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噪声</w:t>
            </w:r>
          </w:p>
        </w:tc>
        <w:tc>
          <w:tcPr>
            <w:tcW w:w="219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采用低噪声设备合理安排施工时间，禁止夜间施工</w:t>
            </w:r>
          </w:p>
        </w:tc>
        <w:tc>
          <w:tcPr>
            <w:tcW w:w="2066"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满足《建筑施工场界环境噪声排放标准》（GBl2523-2011）</w:t>
            </w:r>
          </w:p>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p>
        </w:tc>
        <w:tc>
          <w:tcPr>
            <w:tcW w:w="1039"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运行期</w:t>
            </w:r>
          </w:p>
        </w:tc>
        <w:tc>
          <w:tcPr>
            <w:tcW w:w="141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输电线路</w:t>
            </w:r>
          </w:p>
        </w:tc>
        <w:tc>
          <w:tcPr>
            <w:tcW w:w="1425"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噪声</w:t>
            </w:r>
          </w:p>
        </w:tc>
        <w:tc>
          <w:tcPr>
            <w:tcW w:w="219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设计优化路径，远离居民点，提升架空线路架设高度</w:t>
            </w:r>
          </w:p>
        </w:tc>
        <w:tc>
          <w:tcPr>
            <w:tcW w:w="2066"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满足《声环境质量标准》</w:t>
            </w:r>
          </w:p>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（GB3096-2008）</w:t>
            </w:r>
          </w:p>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中1类标准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固体</w:t>
            </w:r>
          </w:p>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废物</w:t>
            </w:r>
          </w:p>
        </w:tc>
        <w:tc>
          <w:tcPr>
            <w:tcW w:w="1039"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施工期</w:t>
            </w:r>
          </w:p>
        </w:tc>
        <w:tc>
          <w:tcPr>
            <w:tcW w:w="141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施工期活动</w:t>
            </w:r>
          </w:p>
        </w:tc>
        <w:tc>
          <w:tcPr>
            <w:tcW w:w="1425"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建筑垃圾</w:t>
            </w:r>
          </w:p>
        </w:tc>
        <w:tc>
          <w:tcPr>
            <w:tcW w:w="219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可再生部分回收出售给废品站，不可再生利用部分清运至指定地点填埋</w:t>
            </w:r>
          </w:p>
        </w:tc>
        <w:tc>
          <w:tcPr>
            <w:tcW w:w="2066"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p>
        </w:tc>
        <w:tc>
          <w:tcPr>
            <w:tcW w:w="1039"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p>
        </w:tc>
        <w:tc>
          <w:tcPr>
            <w:tcW w:w="141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施工人员</w:t>
            </w:r>
          </w:p>
        </w:tc>
        <w:tc>
          <w:tcPr>
            <w:tcW w:w="1425"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生活垃圾</w:t>
            </w:r>
          </w:p>
        </w:tc>
        <w:tc>
          <w:tcPr>
            <w:tcW w:w="219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集中收集</w:t>
            </w:r>
          </w:p>
        </w:tc>
        <w:tc>
          <w:tcPr>
            <w:tcW w:w="2066"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p>
        </w:tc>
        <w:tc>
          <w:tcPr>
            <w:tcW w:w="1039"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运行期</w:t>
            </w:r>
          </w:p>
        </w:tc>
        <w:tc>
          <w:tcPr>
            <w:tcW w:w="141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巡回检查和维修人员</w:t>
            </w:r>
          </w:p>
        </w:tc>
        <w:tc>
          <w:tcPr>
            <w:tcW w:w="1425"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生活垃圾</w:t>
            </w:r>
          </w:p>
        </w:tc>
        <w:tc>
          <w:tcPr>
            <w:tcW w:w="219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自身携带到环卫部门指定的垃圾处置点</w:t>
            </w:r>
          </w:p>
        </w:tc>
        <w:tc>
          <w:tcPr>
            <w:tcW w:w="2066"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电磁</w:t>
            </w:r>
          </w:p>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影响</w:t>
            </w:r>
          </w:p>
        </w:tc>
        <w:tc>
          <w:tcPr>
            <w:tcW w:w="1039"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运行期</w:t>
            </w:r>
          </w:p>
        </w:tc>
        <w:tc>
          <w:tcPr>
            <w:tcW w:w="141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输电线路</w:t>
            </w:r>
          </w:p>
        </w:tc>
        <w:tc>
          <w:tcPr>
            <w:tcW w:w="1425"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工频电场、工频磁感应强度</w:t>
            </w:r>
          </w:p>
        </w:tc>
        <w:tc>
          <w:tcPr>
            <w:tcW w:w="2190"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提高架空输电线路架设高度、悬挂警示标识，选用表面加工精度较高的导线</w:t>
            </w:r>
          </w:p>
        </w:tc>
        <w:tc>
          <w:tcPr>
            <w:tcW w:w="2066" w:type="dxa"/>
            <w:vAlign w:val="center"/>
          </w:tcPr>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工频电场强度：&lt;</w:t>
            </w:r>
          </w:p>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4000V/m：工频磁感应强度：&lt;100</w:t>
            </w:r>
          </w:p>
          <w:p>
            <w:pPr>
              <w:pStyle w:val="3"/>
              <w:keepNext w:val="0"/>
              <w:keepLines w:val="0"/>
              <w:pageBreakBefore w:val="0"/>
              <w:widowControl/>
              <w:kinsoku/>
              <w:wordWrap/>
              <w:overflowPunct/>
              <w:topLinePunct w:val="0"/>
              <w:autoSpaceDE w:val="0"/>
              <w:autoSpaceDN w:val="0"/>
              <w:bidi w:val="0"/>
              <w:adjustRightInd/>
              <w:snapToGrid/>
              <w:ind w:firstLine="0" w:firstLineChars="0"/>
              <w:jc w:val="center"/>
              <w:textAlignment w:val="auto"/>
              <w:rPr>
                <w:rFonts w:hint="eastAsia"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μ</w:t>
            </w:r>
            <w:r>
              <w:rPr>
                <w:rFonts w:hint="eastAsia" w:ascii="Times New Roman" w:hAnsi="Times New Roman" w:cs="Times New Roman"/>
                <w:b w:val="0"/>
                <w:bCs w:val="0"/>
                <w:sz w:val="24"/>
                <w:szCs w:val="22"/>
                <w:vertAlign w:val="baseline"/>
                <w:lang w:val="en-US" w:eastAsia="zh-C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90" w:type="dxa"/>
            <w:gridSpan w:val="6"/>
            <w:vAlign w:val="center"/>
          </w:tcPr>
          <w:p>
            <w:pPr>
              <w:pStyle w:val="3"/>
              <w:keepNext w:val="0"/>
              <w:keepLines w:val="0"/>
              <w:pageBreakBefore w:val="0"/>
              <w:widowControl/>
              <w:kinsoku/>
              <w:wordWrap/>
              <w:overflowPunct/>
              <w:topLinePunct w:val="0"/>
              <w:autoSpaceDE w:val="0"/>
              <w:autoSpaceDN w:val="0"/>
              <w:bidi w:val="0"/>
              <w:adjustRightInd/>
              <w:snapToGrid/>
              <w:spacing w:line="360" w:lineRule="auto"/>
              <w:ind w:firstLine="0" w:firstLineChars="0"/>
              <w:jc w:val="left"/>
              <w:textAlignment w:val="auto"/>
              <w:rPr>
                <w:rFonts w:hint="eastAsia"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生态保护措施及预期效果：</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0" w:firstLineChars="0"/>
              <w:jc w:val="left"/>
              <w:textAlignment w:val="auto"/>
              <w:rPr>
                <w:rFonts w:hint="eastAsia" w:ascii="Times New Roman" w:hAnsi="Times New Roman" w:cs="Times New Roman"/>
                <w:b/>
                <w:bCs/>
                <w:sz w:val="28"/>
                <w:szCs w:val="24"/>
                <w:vertAlign w:val="baseline"/>
                <w:lang w:val="en-US" w:eastAsia="zh-CN"/>
              </w:rPr>
            </w:pPr>
            <w:r>
              <w:rPr>
                <w:rFonts w:hint="eastAsia" w:ascii="Times New Roman" w:hAnsi="Times New Roman" w:cs="Times New Roman"/>
                <w:b/>
                <w:bCs/>
                <w:sz w:val="28"/>
                <w:szCs w:val="24"/>
                <w:vertAlign w:val="baseline"/>
                <w:lang w:val="en-US" w:eastAsia="zh-CN"/>
              </w:rPr>
              <w:t>8.1 线路路径选择、设计阶段</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b w:val="0"/>
                <w:bCs w:val="0"/>
                <w:sz w:val="24"/>
                <w:szCs w:val="22"/>
                <w:highlight w:val="none"/>
                <w:vertAlign w:val="baseline"/>
                <w:lang w:val="en-US" w:eastAsia="zh-CN"/>
              </w:rPr>
            </w:pPr>
            <w:r>
              <w:rPr>
                <w:rFonts w:hint="default" w:ascii="Times New Roman" w:hAnsi="Times New Roman" w:cs="Times New Roman"/>
                <w:b w:val="0"/>
                <w:bCs w:val="0"/>
                <w:sz w:val="24"/>
                <w:szCs w:val="22"/>
                <w:vertAlign w:val="baseline"/>
                <w:lang w:val="en-US" w:eastAsia="zh-CN"/>
              </w:rPr>
              <w:t>（1）严格遵守当地发展规划要求，</w:t>
            </w:r>
            <w:r>
              <w:rPr>
                <w:rFonts w:hint="default" w:ascii="Times New Roman" w:hAnsi="Times New Roman" w:cs="Times New Roman"/>
                <w:b w:val="0"/>
                <w:bCs w:val="0"/>
                <w:sz w:val="24"/>
                <w:szCs w:val="22"/>
                <w:highlight w:val="none"/>
                <w:vertAlign w:val="baseline"/>
                <w:lang w:val="en-US" w:eastAsia="zh-CN"/>
              </w:rPr>
              <w:t>输电线路路径的确定按照规划部门的要求执行。</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b w:val="0"/>
                <w:bCs w:val="0"/>
                <w:sz w:val="24"/>
                <w:szCs w:val="22"/>
                <w:vertAlign w:val="baseline"/>
                <w:lang w:val="en-US" w:eastAsia="zh-CN"/>
              </w:rPr>
            </w:pPr>
            <w:r>
              <w:rPr>
                <w:rFonts w:hint="eastAsia" w:ascii="Times New Roman" w:hAnsi="Times New Roman" w:cs="Times New Roman"/>
                <w:b w:val="0"/>
                <w:bCs w:val="0"/>
                <w:sz w:val="24"/>
                <w:szCs w:val="22"/>
                <w:vertAlign w:val="baseline"/>
                <w:lang w:val="en-US" w:eastAsia="zh-CN"/>
              </w:rPr>
              <w:t>（2）</w:t>
            </w:r>
            <w:r>
              <w:rPr>
                <w:rFonts w:hint="default" w:ascii="Times New Roman" w:hAnsi="Times New Roman" w:cs="Times New Roman"/>
                <w:b w:val="0"/>
                <w:bCs w:val="0"/>
                <w:sz w:val="24"/>
                <w:szCs w:val="22"/>
                <w:vertAlign w:val="baseline"/>
                <w:lang w:val="en-US" w:eastAsia="zh-CN"/>
              </w:rPr>
              <w:t>充分听取当地规划部门交通城建部门和当地受影响群众的意见，优化设计，尽可能减少工程的环境影响</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（3）架空线路与公路、通讯线、电力线交叉跨越时，严格按规范要求留有足够净空距离。</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8.2 施工期生态预防与减缓保护措施</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（1）工程施工过程中，应严格控制施工作业范围，严格按设计的塔基基础占地面积、基础型式等要求开挖</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2）施工时应避让环境敏感区，同时尽量选择较为平坦的场地作为牵张场及临时施工场地，避免大量的土石方开挖。开挖土方集中堆放，以减少对附近植被的覆盖基础开挖后，尽快浇注混凝土，并及时回填，对其表层进行碾压，缩短裸露时间。土方施工避开雨天，遇有大风天气时暂停土石方的施工，对临时堆放的土石方采取苫盖拦挡等临时性防护措施，以免造成更大面积的植被破坏和土壤表层的破坏。</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（3）工程施工时应充分利用已有道路进行运输，以少布设、拉大间距为原则，减少对地表植被的破坏</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（4）根据地形合理选择铁塔，采用增高铁塔、缩小送电走廊宽度等措施，减少林木砍伐。在选择塔位时，应根据现场实际情况，合理布置铁塔位置，将铁塔布置在林木较少地区，以避免造成生物量的损失。</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5）施工过程中减少施工噪声，避免对野生动物活动的影响。野生鸟类和兽类大多是晨昏外出觅食，正午休息。为了减少工程施工噪声对野生动物的惊扰，应做好施工方式和时间的计划，并力求避免在晨昏和正午进行噪声较大的施工活动。</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（6）制定严格的施工操作规范，建立施工期生态环境管理制度，严禁施工车辆随意开辟施工便道，严禁随意砍伐植被。提高施工人员的保护意识，发放宣传手册，并在设立的标牌上注明严禁捕猎野生动物</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0" w:firstLineChars="0"/>
              <w:jc w:val="left"/>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8.3 运营期生态环境保护措施</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1）施工期对土壤采取分层剥离，分层堆放措施，应将剥离的土壤用于临时占地区的生态恢复。在单个杆塔施工完成后，及时进行土地平整恢复。施工用地和施工便道在施工结束后应进行平整，对硬化地面进行翻松，以便原有植被的恢复。</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（2）架空线路沿线临时占地主要为牵张场、临时施工场地等，</w:t>
            </w:r>
            <w:r>
              <w:rPr>
                <w:rFonts w:hint="default" w:ascii="Times New Roman" w:hAnsi="Times New Roman" w:cs="Times New Roman"/>
                <w:b w:val="0"/>
                <w:bCs w:val="0"/>
                <w:sz w:val="24"/>
                <w:szCs w:val="22"/>
                <w:highlight w:val="none"/>
                <w:shd w:val="clear"/>
                <w:vertAlign w:val="baseline"/>
                <w:lang w:val="en-US" w:eastAsia="zh-CN"/>
              </w:rPr>
              <w:t>占用植被类型主要为刺槐</w:t>
            </w:r>
            <w:r>
              <w:rPr>
                <w:rFonts w:hint="eastAsia" w:ascii="Times New Roman" w:cs="Times New Roman"/>
                <w:b w:val="0"/>
                <w:bCs w:val="0"/>
                <w:sz w:val="24"/>
                <w:szCs w:val="22"/>
                <w:highlight w:val="none"/>
                <w:shd w:val="clear"/>
                <w:vertAlign w:val="baseline"/>
                <w:lang w:val="en-US" w:eastAsia="zh-CN"/>
              </w:rPr>
              <w:t>、沙棘</w:t>
            </w:r>
            <w:r>
              <w:rPr>
                <w:rFonts w:hint="default" w:ascii="Times New Roman" w:hAnsi="Times New Roman" w:cs="Times New Roman"/>
                <w:b w:val="0"/>
                <w:bCs w:val="0"/>
                <w:sz w:val="24"/>
                <w:szCs w:val="22"/>
                <w:highlight w:val="none"/>
                <w:shd w:val="clear"/>
                <w:vertAlign w:val="baseline"/>
                <w:lang w:val="en-US" w:eastAsia="zh-CN"/>
              </w:rPr>
              <w:t>、长芒草</w:t>
            </w:r>
            <w:r>
              <w:rPr>
                <w:rFonts w:hint="eastAsia" w:ascii="Times New Roman" w:cs="Times New Roman"/>
                <w:b w:val="0"/>
                <w:bCs w:val="0"/>
                <w:sz w:val="24"/>
                <w:szCs w:val="22"/>
                <w:highlight w:val="none"/>
                <w:shd w:val="clear"/>
                <w:vertAlign w:val="baseline"/>
                <w:lang w:val="en-US" w:eastAsia="zh-CN"/>
              </w:rPr>
              <w:t>等</w:t>
            </w:r>
            <w:r>
              <w:rPr>
                <w:rFonts w:hint="default" w:ascii="Times New Roman" w:hAnsi="Times New Roman" w:cs="Times New Roman"/>
                <w:b w:val="0"/>
                <w:bCs w:val="0"/>
                <w:sz w:val="24"/>
                <w:szCs w:val="22"/>
                <w:highlight w:val="none"/>
                <w:shd w:val="clear"/>
                <w:vertAlign w:val="baseline"/>
                <w:lang w:val="en-US" w:eastAsia="zh-CN"/>
              </w:rPr>
              <w:t>。</w:t>
            </w:r>
            <w:r>
              <w:rPr>
                <w:rFonts w:hint="default" w:ascii="Times New Roman" w:hAnsi="Times New Roman" w:cs="Times New Roman"/>
                <w:b w:val="0"/>
                <w:bCs w:val="0"/>
                <w:sz w:val="24"/>
                <w:szCs w:val="22"/>
                <w:vertAlign w:val="baseline"/>
                <w:lang w:val="en-US" w:eastAsia="zh-CN"/>
              </w:rPr>
              <w:t>牵张场一般是在地势较平坦的区域铺设钢板，施工结束后应及时拆除钢板，重新疏松土地，恢复原土地利用类型。临时施工场地占地</w:t>
            </w:r>
            <w:r>
              <w:rPr>
                <w:rFonts w:hint="default" w:ascii="Times New Roman" w:hAnsi="Times New Roman" w:cs="Times New Roman"/>
                <w:b w:val="0"/>
                <w:bCs w:val="0"/>
                <w:sz w:val="24"/>
                <w:szCs w:val="22"/>
                <w:highlight w:val="none"/>
                <w:vertAlign w:val="baseline"/>
                <w:lang w:val="en-US" w:eastAsia="zh-CN"/>
              </w:rPr>
              <w:t>类型为</w:t>
            </w:r>
            <w:r>
              <w:rPr>
                <w:rFonts w:hint="eastAsia" w:ascii="Times New Roman" w:cs="Times New Roman"/>
                <w:b w:val="0"/>
                <w:bCs w:val="0"/>
                <w:sz w:val="24"/>
                <w:szCs w:val="22"/>
                <w:highlight w:val="none"/>
                <w:vertAlign w:val="baseline"/>
                <w:lang w:val="en-US" w:eastAsia="zh-CN"/>
              </w:rPr>
              <w:t>荒地</w:t>
            </w:r>
            <w:r>
              <w:rPr>
                <w:rFonts w:hint="default" w:ascii="Times New Roman" w:hAnsi="Times New Roman" w:cs="Times New Roman"/>
                <w:b w:val="0"/>
                <w:bCs w:val="0"/>
                <w:sz w:val="24"/>
                <w:szCs w:val="22"/>
                <w:highlight w:val="none"/>
                <w:vertAlign w:val="baseline"/>
                <w:lang w:val="en-US" w:eastAsia="zh-CN"/>
              </w:rPr>
              <w:t>的，</w:t>
            </w:r>
            <w:r>
              <w:rPr>
                <w:rFonts w:hint="eastAsia" w:ascii="Times New Roman" w:cs="Times New Roman"/>
                <w:b w:val="0"/>
                <w:bCs w:val="0"/>
                <w:sz w:val="24"/>
                <w:szCs w:val="22"/>
                <w:highlight w:val="none"/>
                <w:vertAlign w:val="baseline"/>
                <w:lang w:val="en-US" w:eastAsia="zh-CN"/>
              </w:rPr>
              <w:t>占地为荒地的选取</w:t>
            </w:r>
            <w:r>
              <w:rPr>
                <w:rFonts w:hint="default" w:ascii="Times New Roman" w:hAnsi="Times New Roman" w:cs="Times New Roman"/>
                <w:b w:val="0"/>
                <w:bCs w:val="0"/>
                <w:sz w:val="24"/>
                <w:szCs w:val="22"/>
                <w:highlight w:val="none"/>
                <w:vertAlign w:val="baseline"/>
                <w:lang w:val="en-US" w:eastAsia="zh-CN"/>
              </w:rPr>
              <w:t>刺槐、沙棘</w:t>
            </w:r>
            <w:r>
              <w:rPr>
                <w:rFonts w:hint="eastAsia" w:ascii="Times New Roman" w:cs="Times New Roman"/>
                <w:b w:val="0"/>
                <w:bCs w:val="0"/>
                <w:sz w:val="24"/>
                <w:szCs w:val="22"/>
                <w:highlight w:val="none"/>
                <w:vertAlign w:val="baseline"/>
                <w:lang w:val="en-US" w:eastAsia="zh-CN"/>
              </w:rPr>
              <w:t>、</w:t>
            </w:r>
            <w:r>
              <w:rPr>
                <w:rFonts w:hint="default" w:ascii="Times New Roman" w:hAnsi="Times New Roman" w:cs="Times New Roman"/>
                <w:b w:val="0"/>
                <w:bCs w:val="0"/>
                <w:sz w:val="24"/>
                <w:szCs w:val="22"/>
                <w:highlight w:val="none"/>
                <w:vertAlign w:val="baseline"/>
                <w:lang w:val="en-US" w:eastAsia="zh-CN"/>
              </w:rPr>
              <w:t>长芒草等当地较常见的草本，采取移栽、播撒草</w:t>
            </w:r>
            <w:r>
              <w:rPr>
                <w:rFonts w:hint="default" w:ascii="Times New Roman" w:hAnsi="Times New Roman" w:cs="Times New Roman"/>
                <w:b w:val="0"/>
                <w:bCs w:val="0"/>
                <w:sz w:val="24"/>
                <w:szCs w:val="22"/>
                <w:vertAlign w:val="baseline"/>
                <w:lang w:val="en-US" w:eastAsia="zh-CN"/>
              </w:rPr>
              <w:t>籽与自然恢复相结合的方式进行恢复，同时应定期浇水养护，保证成活率。</w:t>
            </w:r>
            <w:r>
              <w:rPr>
                <w:rFonts w:hint="default" w:ascii="Times New Roman" w:hAnsi="Times New Roman" w:cs="Times New Roman"/>
                <w:b w:val="0"/>
                <w:bCs w:val="0"/>
                <w:sz w:val="24"/>
                <w:szCs w:val="22"/>
                <w:highlight w:val="none"/>
                <w:vertAlign w:val="baseline"/>
                <w:lang w:val="en-US" w:eastAsia="zh-CN"/>
              </w:rPr>
              <w:t>占地为林地的选取</w:t>
            </w:r>
            <w:r>
              <w:rPr>
                <w:rFonts w:hint="eastAsia" w:ascii="Times New Roman" w:cs="Times New Roman"/>
                <w:b w:val="0"/>
                <w:bCs w:val="0"/>
                <w:sz w:val="24"/>
                <w:szCs w:val="22"/>
                <w:highlight w:val="none"/>
                <w:vertAlign w:val="baseline"/>
                <w:lang w:val="en-US" w:eastAsia="zh-CN"/>
              </w:rPr>
              <w:t>松树、柏树、榆树、槐树等当地常见的树木进行恢复。</w:t>
            </w:r>
            <w:r>
              <w:rPr>
                <w:rFonts w:hint="default" w:ascii="Times New Roman" w:hAnsi="Times New Roman" w:cs="Times New Roman"/>
                <w:b w:val="0"/>
                <w:bCs w:val="0"/>
                <w:sz w:val="24"/>
                <w:szCs w:val="22"/>
                <w:vertAlign w:val="baseline"/>
                <w:lang w:val="en-US" w:eastAsia="zh-CN"/>
              </w:rPr>
              <w:t>对于少量不能进行植被恢复的区域，进行平整压实，减轻水土流失</w:t>
            </w:r>
            <w:r>
              <w:rPr>
                <w:rFonts w:hint="eastAsia" w:ascii="Times New Roman" w:hAns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3）营运期应坚持利用与管护相结合的原则，经常检査，保证环保措施发挥应有效益。完善施工期未实施到位的植被保护措施，确保植被覆盖率和存活率。工程运营期可能存在主体工程的维修，维修过程中，存在周边植被被占压等破坏，因此，需对破坏后植被进行修复，防止水土流失</w:t>
            </w:r>
            <w:r>
              <w:rPr>
                <w:rFonts w:hint="eastAsia" w:ascii="Times New Roman"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（4）为保护生态环境，应加强施工期、运行期环境管理制度及任务，应固定巡检和检修道路。</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b w:val="0"/>
                <w:bCs w:val="0"/>
                <w:sz w:val="24"/>
                <w:szCs w:val="22"/>
                <w:vertAlign w:val="baseline"/>
                <w:lang w:val="en-US" w:eastAsia="zh-CN"/>
              </w:rPr>
            </w:pPr>
          </w:p>
          <w:p>
            <w:pPr>
              <w:pStyle w:val="3"/>
              <w:keepNext w:val="0"/>
              <w:keepLines w:val="0"/>
              <w:pageBreakBefore w:val="0"/>
              <w:widowControl/>
              <w:kinsoku/>
              <w:wordWrap/>
              <w:overflowPunct/>
              <w:topLinePunct w:val="0"/>
              <w:autoSpaceDE w:val="0"/>
              <w:autoSpaceDN w:val="0"/>
              <w:bidi w:val="0"/>
              <w:adjustRightInd/>
              <w:snapToGrid/>
              <w:ind w:firstLine="0" w:firstLineChars="0"/>
              <w:jc w:val="left"/>
              <w:textAlignment w:val="auto"/>
              <w:rPr>
                <w:rFonts w:hint="eastAsia" w:ascii="Times New Roman" w:hAnsi="Times New Roman" w:cs="Times New Roman"/>
                <w:b w:val="0"/>
                <w:bCs w:val="0"/>
                <w:sz w:val="24"/>
                <w:szCs w:val="22"/>
                <w:vertAlign w:val="baseline"/>
                <w:lang w:val="en-US" w:eastAsia="zh-CN"/>
              </w:rPr>
            </w:pPr>
          </w:p>
        </w:tc>
      </w:tr>
    </w:tbl>
    <w:p>
      <w:pPr>
        <w:rPr>
          <w:rFonts w:hint="default"/>
          <w:b/>
          <w:bCs/>
          <w:sz w:val="32"/>
          <w:szCs w:val="28"/>
          <w:lang w:val="en-US" w:eastAsia="zh-CN"/>
        </w:rPr>
      </w:pPr>
      <w:r>
        <w:rPr>
          <w:rFonts w:hint="default"/>
          <w:b/>
          <w:bCs/>
          <w:sz w:val="32"/>
          <w:szCs w:val="28"/>
          <w:lang w:val="en-US" w:eastAsia="zh-CN"/>
        </w:rPr>
        <w:br w:type="page"/>
      </w:r>
    </w:p>
    <w:p>
      <w:pPr>
        <w:pStyle w:val="3"/>
        <w:ind w:left="0" w:leftChars="0" w:firstLine="0" w:firstLineChars="0"/>
        <w:outlineLvl w:val="0"/>
        <w:rPr>
          <w:rFonts w:hint="default"/>
          <w:b/>
          <w:bCs/>
          <w:sz w:val="32"/>
          <w:szCs w:val="28"/>
          <w:vertAlign w:val="baseline"/>
          <w:lang w:val="en-US" w:eastAsia="zh-CN"/>
        </w:rPr>
      </w:pPr>
      <w:bookmarkStart w:id="10" w:name="_Toc16262"/>
      <w:r>
        <w:rPr>
          <w:rFonts w:hint="eastAsia"/>
          <w:b/>
          <w:bCs/>
          <w:sz w:val="32"/>
          <w:szCs w:val="28"/>
          <w:lang w:val="en-US" w:eastAsia="zh-CN"/>
        </w:rPr>
        <w:t>9 结论与建议</w:t>
      </w:r>
      <w:bookmarkEnd w:id="10"/>
    </w:p>
    <w:tbl>
      <w:tblPr>
        <w:tblStyle w:val="15"/>
        <w:tblW w:w="9075" w:type="dxa"/>
        <w:tblInd w:w="1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5" w:type="dxa"/>
            <w:shd w:val="clear" w:color="auto" w:fill="auto"/>
          </w:tcPr>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9.1 结论</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9.1.1 项目概况</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default" w:ascii="Times New Roman" w:hAnsi="Times New Roman" w:eastAsia="宋体" w:cs="Times New Roman"/>
                <w:b w:val="0"/>
                <w:bCs w:val="0"/>
                <w:sz w:val="24"/>
                <w:szCs w:val="22"/>
                <w:highlight w:val="none"/>
                <w:vertAlign w:val="baseline"/>
                <w:lang w:val="en-US" w:eastAsia="zh-CN"/>
              </w:rPr>
            </w:pPr>
            <w:r>
              <w:rPr>
                <w:rFonts w:hint="default" w:ascii="Times New Roman" w:hAnsi="Times New Roman" w:cs="Times New Roman" w:eastAsiaTheme="minorEastAsia"/>
                <w:b w:val="0"/>
                <w:bCs w:val="0"/>
                <w:color w:val="auto"/>
                <w:kern w:val="2"/>
                <w:sz w:val="24"/>
                <w:szCs w:val="24"/>
                <w:vertAlign w:val="baseline"/>
                <w:lang w:val="en-US" w:eastAsia="zh-CN" w:bidi="ar-SA"/>
              </w:rPr>
              <w:t>国家电投集团吴起高胜新能源发电有限公司</w:t>
            </w:r>
            <w:r>
              <w:rPr>
                <w:rFonts w:hint="eastAsia" w:ascii="Times New Roman" w:hAnsi="Times New Roman" w:cs="Times New Roman" w:eastAsiaTheme="minorEastAsia"/>
                <w:b w:val="0"/>
                <w:bCs w:val="0"/>
                <w:color w:val="auto"/>
                <w:kern w:val="2"/>
                <w:sz w:val="24"/>
                <w:szCs w:val="24"/>
                <w:vertAlign w:val="baseline"/>
                <w:lang w:val="en-US" w:eastAsia="zh-CN" w:bidi="ar-SA"/>
              </w:rPr>
              <w:t>拟建</w:t>
            </w:r>
            <w:r>
              <w:rPr>
                <w:rFonts w:hint="eastAsia" w:ascii="Times New Roman" w:hAnsi="Times New Roman" w:eastAsia="宋体" w:cs="Times New Roman"/>
                <w:b w:val="0"/>
                <w:bCs w:val="0"/>
                <w:sz w:val="24"/>
                <w:szCs w:val="22"/>
                <w:vertAlign w:val="baseline"/>
                <w:lang w:val="en-US" w:eastAsia="zh-CN"/>
              </w:rPr>
              <w:t>国家电投吴起高胜新能源50MW风电场110kV送出工程</w:t>
            </w:r>
            <w:r>
              <w:rPr>
                <w:rFonts w:hint="default" w:ascii="Times New Roman" w:hAnsi="Times New Roman" w:cs="Times New Roman" w:eastAsiaTheme="minorEastAsia"/>
                <w:b w:val="0"/>
                <w:bCs w:val="0"/>
                <w:color w:val="auto"/>
                <w:kern w:val="2"/>
                <w:sz w:val="24"/>
                <w:szCs w:val="24"/>
                <w:vertAlign w:val="baseline"/>
                <w:lang w:val="en-US" w:eastAsia="zh-CN" w:bidi="ar-SA"/>
              </w:rPr>
              <w:t>，</w:t>
            </w:r>
            <w:r>
              <w:rPr>
                <w:rFonts w:hint="eastAsia" w:ascii="Times New Roman" w:hAnsi="Times New Roman" w:eastAsia="宋体" w:cs="Times New Roman"/>
                <w:b w:val="0"/>
                <w:bCs/>
                <w:color w:val="auto"/>
                <w:kern w:val="2"/>
                <w:sz w:val="24"/>
                <w:szCs w:val="24"/>
                <w:highlight w:val="none"/>
                <w:vertAlign w:val="baseline"/>
                <w:lang w:val="en-US" w:eastAsia="zh-CN" w:bidi="ar-SA"/>
              </w:rPr>
              <w:t>线路起点位于延安市吴起县周湾高胜50MW风电项目110kV升压站，终点位于吴起县周湾镇石宝湾村西南侧已建110kV树周线28#塔小号侧“T”接点</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，新建架空线路长度约7.105km。</w:t>
            </w: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项目总投资1049.99万元。</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9.1.2 分析判定相关情况</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2" w:firstLineChars="200"/>
              <w:textAlignment w:val="auto"/>
              <w:rPr>
                <w:rFonts w:hint="default" w:ascii="Times New Roman" w:hAnsi="Times New Roman" w:eastAsia="宋体" w:cs="Times New Roman"/>
                <w:b/>
                <w:bCs/>
                <w:sz w:val="24"/>
                <w:szCs w:val="22"/>
                <w:vertAlign w:val="baseline"/>
                <w:lang w:val="en-US" w:eastAsia="zh-CN"/>
              </w:rPr>
            </w:pPr>
            <w:r>
              <w:rPr>
                <w:rFonts w:hint="eastAsia" w:ascii="Times New Roman" w:hAnsi="Times New Roman" w:eastAsia="宋体" w:cs="Times New Roman"/>
                <w:b/>
                <w:bCs/>
                <w:sz w:val="24"/>
                <w:szCs w:val="22"/>
                <w:vertAlign w:val="baseline"/>
                <w:lang w:val="en-US" w:eastAsia="zh-CN"/>
              </w:rPr>
              <w:t>9.1.2.1 与产业政策符合性分析</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vertAlign w:val="baseline"/>
                <w:lang w:val="en-US" w:eastAsia="zh-CN"/>
              </w:rPr>
            </w:pPr>
            <w:r>
              <w:rPr>
                <w:rFonts w:hint="default" w:ascii="Times New Roman" w:hAnsi="Times New Roman" w:cs="Times New Roman" w:eastAsiaTheme="minorEastAsia"/>
                <w:b w:val="0"/>
                <w:bCs w:val="0"/>
                <w:color w:val="auto"/>
                <w:kern w:val="2"/>
                <w:sz w:val="24"/>
                <w:szCs w:val="24"/>
                <w:vertAlign w:val="baseline"/>
                <w:lang w:val="en-US" w:eastAsia="zh-CN" w:bidi="ar-SA"/>
              </w:rPr>
              <w:t>对照国家发展和改革委员会《产业结构调整指导目录（2019年本）》（2019年10月30日国家发展和改革委员会第29号令），该工程属于</w:t>
            </w: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vertAlign w:val="baseline"/>
                <w:lang w:val="en-US" w:eastAsia="zh-CN" w:bidi="ar-SA"/>
              </w:rPr>
              <w:t>四、电力10、电网改造与建设，增量配电网建设</w:t>
            </w:r>
            <w:r>
              <w:rPr>
                <w:rFonts w:hint="eastAsia" w:ascii="Times New Roman" w:hAnsi="Times New Roman" w:cs="Times New Roman" w:eastAsiaTheme="minorEastAsia"/>
                <w:b w:val="0"/>
                <w:bCs w:val="0"/>
                <w:color w:val="auto"/>
                <w:kern w:val="2"/>
                <w:sz w:val="24"/>
                <w:szCs w:val="24"/>
                <w:vertAlign w:val="baseline"/>
                <w:lang w:val="en-US" w:eastAsia="zh-CN" w:bidi="ar-SA"/>
              </w:rPr>
              <w:t>”</w:t>
            </w:r>
            <w:r>
              <w:rPr>
                <w:rFonts w:hint="default" w:ascii="Times New Roman" w:hAnsi="Times New Roman" w:cs="Times New Roman" w:eastAsiaTheme="minorEastAsia"/>
                <w:b w:val="0"/>
                <w:bCs w:val="0"/>
                <w:color w:val="auto"/>
                <w:kern w:val="2"/>
                <w:sz w:val="24"/>
                <w:szCs w:val="24"/>
                <w:vertAlign w:val="baseline"/>
                <w:lang w:val="en-US" w:eastAsia="zh-CN" w:bidi="ar-SA"/>
              </w:rPr>
              <w:t>，为鼓励类项目</w:t>
            </w:r>
            <w:r>
              <w:rPr>
                <w:rFonts w:hint="eastAsia" w:ascii="Times New Roman" w:hAnsi="Times New Roman" w:cs="Times New Roman" w:eastAsiaTheme="minorEastAsia"/>
                <w:b w:val="0"/>
                <w:bCs w:val="0"/>
                <w:color w:val="auto"/>
                <w:kern w:val="2"/>
                <w:sz w:val="24"/>
                <w:szCs w:val="24"/>
                <w:vertAlign w:val="baseline"/>
                <w:lang w:val="en-US" w:eastAsia="zh-CN" w:bidi="ar-SA"/>
              </w:rPr>
              <w:t>。同时，项目已取得延安市行政审批服务局《关于国家电投吴起高胜新能源50MW风电项目110kV送出工程核准的批复》（延行审投资发【2020】129号）。因此，本项目建设</w:t>
            </w:r>
            <w:r>
              <w:rPr>
                <w:rFonts w:hint="default" w:ascii="Times New Roman" w:hAnsi="Times New Roman" w:cs="Times New Roman" w:eastAsiaTheme="minorEastAsia"/>
                <w:b w:val="0"/>
                <w:bCs w:val="0"/>
                <w:color w:val="auto"/>
                <w:kern w:val="2"/>
                <w:sz w:val="24"/>
                <w:szCs w:val="24"/>
                <w:vertAlign w:val="baseline"/>
                <w:lang w:val="en-US" w:eastAsia="zh-CN" w:bidi="ar-SA"/>
              </w:rPr>
              <w:t>符合国家产业政策</w:t>
            </w:r>
            <w:r>
              <w:rPr>
                <w:rFonts w:hint="eastAsia" w:ascii="Times New Roman" w:hAnsi="Times New Roman" w:cs="Times New Roman" w:eastAsiaTheme="minorEastAsia"/>
                <w:b w:val="0"/>
                <w:bCs w:val="0"/>
                <w:color w:val="auto"/>
                <w:kern w:val="2"/>
                <w:sz w:val="24"/>
                <w:szCs w:val="24"/>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2" w:firstLineChars="200"/>
              <w:textAlignment w:val="auto"/>
              <w:rPr>
                <w:rFonts w:hint="default" w:ascii="Times New Roman" w:hAnsi="Times New Roman" w:eastAsia="宋体" w:cs="Times New Roman"/>
                <w:b/>
                <w:bCs/>
                <w:sz w:val="24"/>
                <w:szCs w:val="22"/>
                <w:vertAlign w:val="baseline"/>
                <w:lang w:val="en-US" w:eastAsia="zh-CN"/>
              </w:rPr>
            </w:pPr>
            <w:r>
              <w:rPr>
                <w:rFonts w:hint="eastAsia" w:ascii="Times New Roman" w:hAnsi="Times New Roman" w:eastAsia="宋体" w:cs="Times New Roman"/>
                <w:b/>
                <w:bCs/>
                <w:sz w:val="24"/>
                <w:szCs w:val="22"/>
                <w:vertAlign w:val="baseline"/>
                <w:lang w:val="en-US" w:eastAsia="zh-CN"/>
              </w:rPr>
              <w:t>9.1.2.2 规划符合性分析</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vertAlign w:val="baseline"/>
                <w:lang w:val="en-US" w:eastAsia="zh-CN"/>
              </w:rPr>
            </w:pPr>
            <w:r>
              <w:rPr>
                <w:rFonts w:hint="eastAsia" w:ascii="Times New Roman" w:hAnsi="Times New Roman" w:eastAsia="宋体" w:cs="Times New Roman"/>
                <w:b w:val="0"/>
                <w:bCs w:val="0"/>
                <w:sz w:val="24"/>
                <w:szCs w:val="22"/>
                <w:vertAlign w:val="baseline"/>
                <w:lang w:val="en-US" w:eastAsia="zh-CN"/>
              </w:rPr>
              <w:t>本工程已列入永康变供电区电网规划：本工程的建设提高了周边地区供电能力，同时提高了该区域供电可靠性和110kV互供能力，符合电网规划。</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2" w:firstLineChars="200"/>
              <w:textAlignment w:val="auto"/>
              <w:rPr>
                <w:rFonts w:hint="default" w:ascii="Times New Roman" w:hAnsi="Times New Roman" w:eastAsia="宋体" w:cs="Times New Roman"/>
                <w:b/>
                <w:bCs/>
                <w:sz w:val="24"/>
                <w:szCs w:val="22"/>
                <w:vertAlign w:val="baseline"/>
                <w:lang w:val="en-US" w:eastAsia="zh-CN"/>
              </w:rPr>
            </w:pPr>
            <w:r>
              <w:rPr>
                <w:rFonts w:hint="eastAsia" w:ascii="Times New Roman" w:hAnsi="Times New Roman" w:eastAsia="宋体" w:cs="Times New Roman"/>
                <w:b/>
                <w:bCs/>
                <w:sz w:val="24"/>
                <w:szCs w:val="22"/>
                <w:vertAlign w:val="baseline"/>
                <w:lang w:val="en-US" w:eastAsia="zh-CN"/>
              </w:rPr>
              <w:t>9.1.2.3 选址选线可行性分析</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vertAlign w:val="baseline"/>
                <w:lang w:val="en-US" w:eastAsia="zh-CN"/>
              </w:rPr>
            </w:pPr>
            <w:r>
              <w:rPr>
                <w:rFonts w:hint="eastAsia" w:ascii="Times New Roman" w:hAnsi="Times New Roman" w:eastAsia="宋体" w:cs="Times New Roman"/>
                <w:b w:val="0"/>
                <w:bCs w:val="0"/>
                <w:sz w:val="24"/>
                <w:szCs w:val="22"/>
                <w:vertAlign w:val="baseline"/>
                <w:lang w:val="en-US" w:eastAsia="zh-CN"/>
              </w:rPr>
              <w:t>经现场调査，本工程占地范围及线路边导线地面投影外两侧各300m范围内无自然保护区、风景名胜区、饮用水水源保护区、陕西省重要湿地等生态环境敏感区；沿线地貌以黄土梁、峁地貌为主；线路选线避让了密集居民区、工业区及重要通讯设施等。本工程输电线路无眀显环境制约因素、场地条件较好、对外环境影响较小，环境保护角度看，送出线路选线基本可行。</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vertAlign w:val="baseline"/>
                <w:lang w:val="en-US" w:eastAsia="zh-CN"/>
              </w:rPr>
            </w:pPr>
            <w:r>
              <w:rPr>
                <w:rFonts w:hint="eastAsia" w:ascii="Times New Roman" w:hAnsi="Times New Roman" w:eastAsia="宋体" w:cs="Times New Roman"/>
                <w:b w:val="0"/>
                <w:bCs w:val="0"/>
                <w:sz w:val="24"/>
                <w:szCs w:val="22"/>
                <w:vertAlign w:val="baseline"/>
                <w:lang w:val="en-US" w:eastAsia="zh-CN"/>
              </w:rPr>
              <w:t>本工程已取得了延安市行政审批服务局、吴起县行政审批服务局、吴起县自然资源局局、吴起县长城镇人民政府、吴起县周湾镇人民政府同意路径方案的意见。</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9.1.3 环境质量现状</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2" w:firstLineChars="200"/>
              <w:textAlignment w:val="auto"/>
              <w:rPr>
                <w:rFonts w:hint="eastAsia" w:ascii="Times New Roman" w:hAnsi="Times New Roman" w:eastAsia="宋体" w:cs="Times New Roman"/>
                <w:b/>
                <w:bCs/>
                <w:sz w:val="24"/>
                <w:szCs w:val="22"/>
                <w:vertAlign w:val="baseline"/>
                <w:lang w:val="en-US" w:eastAsia="zh-CN"/>
              </w:rPr>
            </w:pPr>
            <w:r>
              <w:rPr>
                <w:rFonts w:hint="eastAsia" w:ascii="Times New Roman" w:hAnsi="Times New Roman" w:eastAsia="宋体" w:cs="Times New Roman"/>
                <w:b/>
                <w:bCs/>
                <w:sz w:val="24"/>
                <w:szCs w:val="22"/>
                <w:vertAlign w:val="baseline"/>
                <w:lang w:val="en-US" w:eastAsia="zh-CN"/>
              </w:rPr>
              <w:t>9.1.3.1 电磁环境质量现状</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vertAlign w:val="baseline"/>
                <w:lang w:val="en-US" w:eastAsia="zh-CN"/>
              </w:rPr>
            </w:pPr>
            <w:r>
              <w:rPr>
                <w:rFonts w:hint="default" w:ascii="Times New Roman" w:hAnsi="Times New Roman" w:cs="Times New Roman"/>
                <w:b w:val="0"/>
                <w:bCs w:val="0"/>
                <w:sz w:val="24"/>
                <w:szCs w:val="22"/>
                <w:highlight w:val="none"/>
                <w:vertAlign w:val="baseline"/>
                <w:lang w:eastAsia="zh-CN"/>
              </w:rPr>
              <w:t>监测结果表明：本</w:t>
            </w:r>
            <w:r>
              <w:rPr>
                <w:rFonts w:hint="eastAsia" w:ascii="Times New Roman" w:hAnsi="Times New Roman" w:cs="Times New Roman"/>
                <w:b w:val="0"/>
                <w:bCs w:val="0"/>
                <w:sz w:val="24"/>
                <w:szCs w:val="22"/>
                <w:highlight w:val="none"/>
                <w:vertAlign w:val="baseline"/>
                <w:lang w:eastAsia="zh-CN"/>
              </w:rPr>
              <w:t>项目</w:t>
            </w:r>
            <w:r>
              <w:rPr>
                <w:rFonts w:hint="default" w:ascii="Times New Roman" w:hAnsi="Times New Roman" w:cs="Times New Roman"/>
                <w:b w:val="0"/>
                <w:bCs w:val="0"/>
                <w:sz w:val="24"/>
                <w:szCs w:val="22"/>
                <w:highlight w:val="none"/>
                <w:vertAlign w:val="baseline"/>
                <w:lang w:eastAsia="zh-CN"/>
              </w:rPr>
              <w:t>输电线路沿线工频电场强度范围为0.2</w:t>
            </w:r>
            <w:r>
              <w:rPr>
                <w:rFonts w:hint="eastAsia" w:ascii="Times New Roman" w:cs="Times New Roman"/>
                <w:b w:val="0"/>
                <w:bCs w:val="0"/>
                <w:sz w:val="24"/>
                <w:szCs w:val="22"/>
                <w:highlight w:val="none"/>
                <w:vertAlign w:val="baseline"/>
                <w:lang w:val="en-US" w:eastAsia="zh-CN"/>
              </w:rPr>
              <w:t>6</w:t>
            </w:r>
            <w:r>
              <w:rPr>
                <w:rFonts w:hint="default" w:ascii="Times New Roman" w:hAnsi="Times New Roman" w:cs="Times New Roman"/>
                <w:b w:val="0"/>
                <w:bCs w:val="0"/>
                <w:sz w:val="24"/>
                <w:szCs w:val="22"/>
                <w:highlight w:val="none"/>
                <w:vertAlign w:val="baseline"/>
                <w:lang w:eastAsia="zh-CN"/>
              </w:rPr>
              <w:t>~0.</w:t>
            </w:r>
            <w:r>
              <w:rPr>
                <w:rFonts w:hint="eastAsia" w:ascii="Times New Roman" w:cs="Times New Roman"/>
                <w:b w:val="0"/>
                <w:bCs w:val="0"/>
                <w:sz w:val="24"/>
                <w:szCs w:val="22"/>
                <w:highlight w:val="none"/>
                <w:vertAlign w:val="baseline"/>
                <w:lang w:val="en-US" w:eastAsia="zh-CN"/>
              </w:rPr>
              <w:t>96</w:t>
            </w:r>
            <w:r>
              <w:rPr>
                <w:rFonts w:hint="default" w:ascii="Times New Roman" w:hAnsi="Times New Roman" w:cs="Times New Roman"/>
                <w:b w:val="0"/>
                <w:bCs w:val="0"/>
                <w:sz w:val="24"/>
                <w:szCs w:val="22"/>
                <w:highlight w:val="none"/>
                <w:vertAlign w:val="baseline"/>
                <w:lang w:eastAsia="zh-CN"/>
              </w:rPr>
              <w:t>V</w:t>
            </w:r>
            <w:r>
              <w:rPr>
                <w:rFonts w:hint="eastAsia" w:ascii="Times New Roman" w:hAnsi="Times New Roman" w:cs="Times New Roman"/>
                <w:b w:val="0"/>
                <w:bCs w:val="0"/>
                <w:sz w:val="24"/>
                <w:szCs w:val="22"/>
                <w:highlight w:val="none"/>
                <w:vertAlign w:val="baseline"/>
                <w:lang w:val="en-US" w:eastAsia="zh-CN"/>
              </w:rPr>
              <w:t>/</w:t>
            </w:r>
            <w:r>
              <w:rPr>
                <w:rFonts w:hint="default" w:ascii="Times New Roman" w:hAnsi="Times New Roman" w:cs="Times New Roman"/>
                <w:b w:val="0"/>
                <w:bCs w:val="0"/>
                <w:sz w:val="24"/>
                <w:szCs w:val="22"/>
                <w:highlight w:val="none"/>
                <w:vertAlign w:val="baseline"/>
                <w:lang w:eastAsia="zh-CN"/>
              </w:rPr>
              <w:t>m，工频磁感应强度范围为0.006</w:t>
            </w:r>
            <w:r>
              <w:rPr>
                <w:rFonts w:hint="eastAsia" w:ascii="Times New Roman" w:cs="Times New Roman"/>
                <w:b w:val="0"/>
                <w:bCs w:val="0"/>
                <w:sz w:val="24"/>
                <w:szCs w:val="22"/>
                <w:highlight w:val="none"/>
                <w:vertAlign w:val="baseline"/>
                <w:lang w:val="en-US" w:eastAsia="zh-CN"/>
              </w:rPr>
              <w:t>4</w:t>
            </w:r>
            <w:r>
              <w:rPr>
                <w:rFonts w:hint="default" w:ascii="Times New Roman" w:hAnsi="Times New Roman" w:cs="Times New Roman"/>
                <w:b w:val="0"/>
                <w:bCs w:val="0"/>
                <w:sz w:val="24"/>
                <w:szCs w:val="22"/>
                <w:highlight w:val="none"/>
                <w:vertAlign w:val="baseline"/>
                <w:lang w:eastAsia="zh-CN"/>
              </w:rPr>
              <w:t>~0.0</w:t>
            </w:r>
            <w:r>
              <w:rPr>
                <w:rFonts w:hint="eastAsia" w:ascii="Times New Roman" w:cs="Times New Roman"/>
                <w:b w:val="0"/>
                <w:bCs w:val="0"/>
                <w:sz w:val="24"/>
                <w:szCs w:val="22"/>
                <w:highlight w:val="none"/>
                <w:vertAlign w:val="baseline"/>
                <w:lang w:val="en-US" w:eastAsia="zh-CN"/>
              </w:rPr>
              <w:t>211</w:t>
            </w:r>
            <w:r>
              <w:rPr>
                <w:rFonts w:hint="default" w:ascii="Times New Roman" w:hAnsi="Times New Roman" w:cs="Times New Roman"/>
                <w:b w:val="0"/>
                <w:bCs w:val="0"/>
                <w:sz w:val="24"/>
                <w:szCs w:val="22"/>
                <w:highlight w:val="none"/>
                <w:vertAlign w:val="baseline"/>
                <w:lang w:eastAsia="zh-CN"/>
              </w:rPr>
              <w:t>μT；各监测点监测值均满足《电磁环境控制限值》（GB8702-2014）中规定的标准限值要求（工频电场强度4000V/m，工频磁感应强度l00μT）。</w:t>
            </w:r>
            <w:r>
              <w:rPr>
                <w:rFonts w:hint="eastAsia" w:ascii="Times New Roman" w:cs="Times New Roman"/>
                <w:b w:val="0"/>
                <w:bCs w:val="0"/>
                <w:sz w:val="24"/>
                <w:szCs w:val="22"/>
                <w:highlight w:val="none"/>
                <w:vertAlign w:val="baseline"/>
                <w:lang w:eastAsia="zh-CN"/>
              </w:rPr>
              <w:t>拟建项目所在</w:t>
            </w:r>
            <w:r>
              <w:rPr>
                <w:rFonts w:hint="default" w:ascii="Times New Roman" w:hAnsi="Times New Roman" w:cs="Times New Roman"/>
                <w:b w:val="0"/>
                <w:bCs w:val="0"/>
                <w:sz w:val="24"/>
                <w:szCs w:val="22"/>
                <w:highlight w:val="none"/>
                <w:vertAlign w:val="baseline"/>
                <w:lang w:eastAsia="zh-CN"/>
              </w:rPr>
              <w:t>区域的电磁环境状况良好。</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2" w:firstLineChars="200"/>
              <w:textAlignment w:val="auto"/>
              <w:rPr>
                <w:rFonts w:hint="eastAsia" w:ascii="Times New Roman" w:hAnsi="Times New Roman" w:eastAsia="宋体" w:cs="Times New Roman"/>
                <w:b/>
                <w:bCs/>
                <w:sz w:val="24"/>
                <w:szCs w:val="22"/>
                <w:vertAlign w:val="baseline"/>
                <w:lang w:val="en-US" w:eastAsia="zh-CN"/>
              </w:rPr>
            </w:pPr>
            <w:r>
              <w:rPr>
                <w:rFonts w:hint="eastAsia" w:ascii="Times New Roman" w:hAnsi="Times New Roman" w:eastAsia="宋体" w:cs="Times New Roman"/>
                <w:b/>
                <w:bCs/>
                <w:sz w:val="24"/>
                <w:szCs w:val="22"/>
                <w:vertAlign w:val="baseline"/>
                <w:lang w:val="en-US" w:eastAsia="zh-CN"/>
              </w:rPr>
              <w:t>9.1.3.2 声环境质量现状</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eastAsia="zh-CN"/>
              </w:rPr>
              <w:t>监测结果表明：拟建线路沿线环境噪声</w:t>
            </w:r>
            <w:r>
              <w:rPr>
                <w:rFonts w:hint="eastAsia" w:ascii="Times New Roman" w:hAnsi="Times New Roman" w:cs="Times New Roman"/>
                <w:b w:val="0"/>
                <w:bCs w:val="0"/>
                <w:sz w:val="24"/>
                <w:szCs w:val="22"/>
                <w:vertAlign w:val="baseline"/>
                <w:lang w:eastAsia="zh-CN"/>
              </w:rPr>
              <w:t>及敏感点</w:t>
            </w:r>
            <w:r>
              <w:rPr>
                <w:rFonts w:hint="default" w:ascii="Times New Roman" w:hAnsi="Times New Roman" w:cs="Times New Roman"/>
                <w:b w:val="0"/>
                <w:bCs w:val="0"/>
                <w:sz w:val="24"/>
                <w:szCs w:val="22"/>
                <w:vertAlign w:val="baseline"/>
                <w:lang w:eastAsia="zh-CN"/>
              </w:rPr>
              <w:t>昼间测量值范围为</w:t>
            </w:r>
            <w:r>
              <w:rPr>
                <w:rFonts w:hint="eastAsia" w:ascii="Times New Roman" w:cs="Times New Roman"/>
                <w:b w:val="0"/>
                <w:bCs w:val="0"/>
                <w:sz w:val="24"/>
                <w:szCs w:val="22"/>
                <w:highlight w:val="none"/>
                <w:vertAlign w:val="baseline"/>
                <w:lang w:val="en-US" w:eastAsia="zh-CN"/>
              </w:rPr>
              <w:t>45</w:t>
            </w:r>
            <w:r>
              <w:rPr>
                <w:rFonts w:hint="default" w:ascii="Times New Roman" w:hAnsi="Times New Roman" w:cs="Times New Roman"/>
                <w:b w:val="0"/>
                <w:bCs w:val="0"/>
                <w:sz w:val="24"/>
                <w:szCs w:val="22"/>
                <w:highlight w:val="none"/>
                <w:vertAlign w:val="baseline"/>
                <w:lang w:eastAsia="zh-CN"/>
              </w:rPr>
              <w:t>~4</w:t>
            </w:r>
            <w:r>
              <w:rPr>
                <w:rFonts w:hint="eastAsia" w:ascii="Times New Roman" w:cs="Times New Roman"/>
                <w:b w:val="0"/>
                <w:bCs w:val="0"/>
                <w:sz w:val="24"/>
                <w:szCs w:val="22"/>
                <w:highlight w:val="none"/>
                <w:vertAlign w:val="baseline"/>
                <w:lang w:val="en-US" w:eastAsia="zh-CN"/>
              </w:rPr>
              <w:t>6</w:t>
            </w:r>
            <w:r>
              <w:rPr>
                <w:rFonts w:hint="default" w:ascii="Times New Roman" w:hAnsi="Times New Roman" w:cs="Times New Roman"/>
                <w:b w:val="0"/>
                <w:bCs w:val="0"/>
                <w:sz w:val="24"/>
                <w:szCs w:val="22"/>
                <w:highlight w:val="none"/>
                <w:vertAlign w:val="baseline"/>
                <w:lang w:eastAsia="zh-CN"/>
              </w:rPr>
              <w:t>dB（A），夜间测量值范围为</w:t>
            </w:r>
            <w:r>
              <w:rPr>
                <w:rFonts w:hint="eastAsia" w:ascii="Times New Roman" w:cs="Times New Roman"/>
                <w:b w:val="0"/>
                <w:bCs w:val="0"/>
                <w:sz w:val="24"/>
                <w:szCs w:val="22"/>
                <w:highlight w:val="none"/>
                <w:vertAlign w:val="baseline"/>
                <w:lang w:val="en-US" w:eastAsia="zh-CN"/>
              </w:rPr>
              <w:t>39</w:t>
            </w:r>
            <w:r>
              <w:rPr>
                <w:rFonts w:hint="default" w:ascii="Times New Roman" w:hAnsi="Times New Roman" w:cs="Times New Roman"/>
                <w:b w:val="0"/>
                <w:bCs w:val="0"/>
                <w:sz w:val="24"/>
                <w:szCs w:val="22"/>
                <w:highlight w:val="none"/>
                <w:vertAlign w:val="baseline"/>
                <w:lang w:eastAsia="zh-CN"/>
              </w:rPr>
              <w:t>~</w:t>
            </w:r>
            <w:r>
              <w:rPr>
                <w:rFonts w:hint="eastAsia" w:ascii="Times New Roman" w:cs="Times New Roman"/>
                <w:b w:val="0"/>
                <w:bCs w:val="0"/>
                <w:sz w:val="24"/>
                <w:szCs w:val="22"/>
                <w:highlight w:val="none"/>
                <w:vertAlign w:val="baseline"/>
                <w:lang w:val="en-US" w:eastAsia="zh-CN"/>
              </w:rPr>
              <w:t>4</w:t>
            </w:r>
            <w:r>
              <w:rPr>
                <w:rFonts w:hint="default" w:ascii="Times New Roman" w:hAnsi="Times New Roman" w:cs="Times New Roman"/>
                <w:b w:val="0"/>
                <w:bCs w:val="0"/>
                <w:sz w:val="24"/>
                <w:szCs w:val="22"/>
                <w:highlight w:val="none"/>
                <w:vertAlign w:val="baseline"/>
                <w:lang w:eastAsia="zh-CN"/>
              </w:rPr>
              <w:t>0dB（A），满足《声环境质量标准》（GB3096-2008）中</w:t>
            </w:r>
            <w:r>
              <w:rPr>
                <w:rFonts w:hint="eastAsia" w:ascii="Times New Roman" w:cs="Times New Roman"/>
                <w:b w:val="0"/>
                <w:bCs w:val="0"/>
                <w:sz w:val="24"/>
                <w:szCs w:val="22"/>
                <w:highlight w:val="none"/>
                <w:vertAlign w:val="baseline"/>
                <w:lang w:val="en-US" w:eastAsia="zh-CN"/>
              </w:rPr>
              <w:t>1</w:t>
            </w:r>
            <w:r>
              <w:rPr>
                <w:rFonts w:hint="default" w:ascii="Times New Roman" w:hAnsi="Times New Roman" w:cs="Times New Roman"/>
                <w:b w:val="0"/>
                <w:bCs w:val="0"/>
                <w:sz w:val="24"/>
                <w:szCs w:val="22"/>
                <w:highlight w:val="none"/>
                <w:vertAlign w:val="baseline"/>
                <w:lang w:eastAsia="zh-CN"/>
              </w:rPr>
              <w:t>类标准限值要求。工程所处区域的声环境质量现状良好。</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2" w:firstLineChars="200"/>
              <w:textAlignment w:val="auto"/>
              <w:rPr>
                <w:rFonts w:hint="eastAsia" w:ascii="Times New Roman" w:hAnsi="Times New Roman" w:eastAsia="宋体" w:cs="Times New Roman"/>
                <w:b/>
                <w:bCs/>
                <w:sz w:val="24"/>
                <w:szCs w:val="22"/>
                <w:vertAlign w:val="baseline"/>
                <w:lang w:val="en-US" w:eastAsia="zh-CN"/>
              </w:rPr>
            </w:pPr>
            <w:r>
              <w:rPr>
                <w:rFonts w:hint="eastAsia" w:ascii="Times New Roman" w:hAnsi="Times New Roman" w:eastAsia="宋体" w:cs="Times New Roman"/>
                <w:b/>
                <w:bCs/>
                <w:sz w:val="24"/>
                <w:szCs w:val="22"/>
                <w:vertAlign w:val="baseline"/>
                <w:lang w:val="en-US" w:eastAsia="zh-CN"/>
              </w:rPr>
              <w:t>9.1.3.3 生态环境现状</w:t>
            </w:r>
          </w:p>
          <w:p>
            <w:pPr>
              <w:pStyle w:val="3"/>
              <w:keepNext w:val="0"/>
              <w:keepLines w:val="0"/>
              <w:pageBreakBefore w:val="0"/>
              <w:widowControl/>
              <w:kinsoku/>
              <w:wordWrap/>
              <w:overflowPunct/>
              <w:topLinePunct w:val="0"/>
              <w:autoSpaceDE w:val="0"/>
              <w:autoSpaceDN w:val="0"/>
              <w:bidi w:val="0"/>
              <w:adjustRightInd/>
              <w:snapToGrid/>
              <w:spacing w:line="360" w:lineRule="auto"/>
              <w:textAlignment w:val="auto"/>
              <w:rPr>
                <w:rFonts w:hint="eastAsia" w:ascii="Times New Roman" w:hAnsi="Times New Roman" w:eastAsia="宋体" w:cs="Times New Roman"/>
                <w:b w:val="0"/>
                <w:bCs w:val="0"/>
                <w:sz w:val="24"/>
                <w:szCs w:val="22"/>
                <w:highlight w:val="none"/>
                <w:vertAlign w:val="baseline"/>
                <w:lang w:val="en-US" w:eastAsia="zh-CN"/>
              </w:rPr>
            </w:pPr>
            <w:r>
              <w:rPr>
                <w:rFonts w:hint="eastAsia" w:ascii="Times New Roman" w:hAnsi="Times New Roman" w:eastAsia="宋体" w:cs="Times New Roman"/>
                <w:b w:val="0"/>
                <w:bCs w:val="0"/>
                <w:sz w:val="24"/>
                <w:szCs w:val="22"/>
                <w:highlight w:val="none"/>
                <w:vertAlign w:val="baseline"/>
                <w:lang w:val="en-US" w:eastAsia="zh-CN"/>
              </w:rPr>
              <w:t>经现场踏勘，110kV送出线路沿线主要是荒地、林地，其中荒地植被主要为刺槐、少棘、长芒草等，林地主要有松树、柏、榆树、槐树等。动物多为兔鼠类、麻雀等。</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highlight w:val="yellow"/>
                <w:vertAlign w:val="baseline"/>
                <w:lang w:val="en-US" w:eastAsia="zh-CN"/>
              </w:rPr>
            </w:pPr>
            <w:r>
              <w:rPr>
                <w:rFonts w:hint="eastAsia" w:ascii="Times New Roman" w:hAnsi="Times New Roman" w:eastAsia="宋体" w:cs="Times New Roman"/>
                <w:b w:val="0"/>
                <w:bCs w:val="0"/>
                <w:sz w:val="24"/>
                <w:szCs w:val="22"/>
                <w:highlight w:val="none"/>
                <w:vertAlign w:val="baseline"/>
                <w:lang w:val="en-US" w:eastAsia="zh-CN"/>
              </w:rPr>
              <w:t>本项目不涉及自然保护区、风景名胜区等生态敏感区，评价区内没有国家和地方保护动植物。</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9.1.4 环境影响分析</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2" w:firstLineChars="200"/>
              <w:textAlignment w:val="auto"/>
              <w:rPr>
                <w:rFonts w:hint="default" w:ascii="Times New Roman" w:hAnsi="Times New Roman" w:eastAsia="宋体" w:cs="Times New Roman"/>
                <w:b/>
                <w:bCs/>
                <w:sz w:val="24"/>
                <w:szCs w:val="22"/>
                <w:highlight w:val="none"/>
                <w:vertAlign w:val="baseline"/>
                <w:lang w:val="en-US" w:eastAsia="zh-CN"/>
              </w:rPr>
            </w:pPr>
            <w:r>
              <w:rPr>
                <w:rFonts w:hint="eastAsia" w:ascii="Times New Roman" w:hAnsi="Times New Roman" w:eastAsia="宋体" w:cs="Times New Roman"/>
                <w:b/>
                <w:bCs/>
                <w:sz w:val="24"/>
                <w:szCs w:val="22"/>
                <w:highlight w:val="none"/>
                <w:vertAlign w:val="baseline"/>
                <w:lang w:val="en-US" w:eastAsia="zh-CN"/>
              </w:rPr>
              <w:t>9.1.4.1 施工期</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highlight w:val="none"/>
                <w:vertAlign w:val="baseline"/>
                <w:lang w:val="en-US" w:eastAsia="zh-CN"/>
              </w:rPr>
            </w:pPr>
            <w:r>
              <w:rPr>
                <w:rFonts w:hint="eastAsia" w:ascii="Times New Roman" w:hAnsi="Times New Roman" w:eastAsia="宋体" w:cs="Times New Roman"/>
                <w:b w:val="0"/>
                <w:bCs w:val="0"/>
                <w:sz w:val="24"/>
                <w:szCs w:val="22"/>
                <w:highlight w:val="none"/>
                <w:vertAlign w:val="baseline"/>
                <w:lang w:val="en-US" w:eastAsia="zh-CN"/>
              </w:rPr>
              <w:t>（1）大气环境影响分析</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highlight w:val="none"/>
                <w:vertAlign w:val="baseline"/>
                <w:lang w:val="en-US" w:eastAsia="zh-CN"/>
              </w:rPr>
            </w:pPr>
            <w:r>
              <w:rPr>
                <w:rFonts w:hint="eastAsia" w:ascii="Times New Roman" w:hAnsi="Times New Roman" w:eastAsia="宋体" w:cs="Times New Roman"/>
                <w:b w:val="0"/>
                <w:bCs w:val="0"/>
                <w:sz w:val="24"/>
                <w:szCs w:val="22"/>
                <w:highlight w:val="none"/>
                <w:vertAlign w:val="baseline"/>
                <w:lang w:val="en-US" w:eastAsia="zh-CN"/>
              </w:rPr>
              <w:t>本项目在施工过程中电缆沟道、顶管施工、杆塔基础开挖等过程中造成土壤裸露，容易产生扬尘。采取基础开挖建设阶段易产生扬尘，施工现场进行洒水降尘，土方堆积处进行防尘覆盖，减少扬尘的产生；风力较大时（大于4级），停止挖方等作业，避免引起扬尘；严格按照设计方案进行施工建设，减少挖方量，减小临时占地；文明施工，尽量选用已有道路进行材料运输等作业，减少施工过程中对地表植被的破坏；施工结束后及时对地表进行绿化恢复等措施，施工场地扬尘对环境的影响将会大大降低。同时，施工期对周围环境空气的影响是局部的、暂时的，施工期较短，随着施工结束对环境影响将消失。</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highlight w:val="none"/>
                <w:vertAlign w:val="baseline"/>
                <w:lang w:val="en-US" w:eastAsia="zh-CN"/>
              </w:rPr>
            </w:pPr>
            <w:r>
              <w:rPr>
                <w:rFonts w:hint="eastAsia" w:ascii="Times New Roman" w:hAnsi="Times New Roman" w:eastAsia="宋体" w:cs="Times New Roman"/>
                <w:b w:val="0"/>
                <w:bCs w:val="0"/>
                <w:sz w:val="24"/>
                <w:szCs w:val="22"/>
                <w:highlight w:val="none"/>
                <w:vertAlign w:val="baseline"/>
                <w:lang w:val="en-US" w:eastAsia="zh-CN"/>
              </w:rPr>
              <w:t>施工建设期间，施工机械排放废气、各种物料运输车辆排放汽车尾气的主要污染物为NO</w:t>
            </w:r>
            <w:r>
              <w:rPr>
                <w:rFonts w:hint="eastAsia" w:ascii="Times New Roman" w:hAnsi="Times New Roman" w:eastAsia="宋体" w:cs="Times New Roman"/>
                <w:b w:val="0"/>
                <w:bCs w:val="0"/>
                <w:sz w:val="24"/>
                <w:szCs w:val="22"/>
                <w:highlight w:val="none"/>
                <w:vertAlign w:val="subscript"/>
                <w:lang w:val="en-US" w:eastAsia="zh-CN"/>
              </w:rPr>
              <w:t>x</w:t>
            </w:r>
            <w:r>
              <w:rPr>
                <w:rFonts w:hint="eastAsia" w:ascii="Times New Roman" w:hAnsi="Times New Roman" w:eastAsia="宋体" w:cs="Times New Roman"/>
                <w:b w:val="0"/>
                <w:bCs w:val="0"/>
                <w:sz w:val="24"/>
                <w:szCs w:val="22"/>
                <w:highlight w:val="none"/>
                <w:vertAlign w:val="baseline"/>
                <w:lang w:val="en-US" w:eastAsia="zh-CN"/>
              </w:rPr>
              <w:t>、CO及HC等，污染物排放属无组织排放，施工期在加强施工车辆运行管理与维护保养情况下可减少尾气排放对环境的污染，对项目附近空气环境质量影响较小。</w:t>
            </w:r>
          </w:p>
          <w:p>
            <w:pPr>
              <w:pStyle w:val="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200"/>
              <w:textAlignment w:val="auto"/>
              <w:rPr>
                <w:rFonts w:hint="eastAsia" w:ascii="Times New Roman" w:hAnsi="Times New Roman" w:eastAsia="宋体" w:cs="Times New Roman"/>
                <w:b w:val="0"/>
                <w:bCs w:val="0"/>
                <w:sz w:val="24"/>
                <w:szCs w:val="22"/>
                <w:highlight w:val="none"/>
                <w:vertAlign w:val="baseline"/>
                <w:lang w:val="en-US" w:eastAsia="zh-CN"/>
              </w:rPr>
            </w:pPr>
            <w:r>
              <w:rPr>
                <w:rFonts w:hint="eastAsia" w:ascii="Times New Roman" w:hAnsi="Times New Roman" w:eastAsia="宋体" w:cs="Times New Roman"/>
                <w:b w:val="0"/>
                <w:bCs w:val="0"/>
                <w:sz w:val="24"/>
                <w:szCs w:val="22"/>
                <w:highlight w:val="none"/>
                <w:vertAlign w:val="baseline"/>
                <w:lang w:val="en-US" w:eastAsia="zh-CN"/>
              </w:rPr>
              <w:t>（2）水环境影响分析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b w:val="0"/>
                <w:bCs w:val="0"/>
                <w:sz w:val="24"/>
                <w:szCs w:val="22"/>
                <w:vertAlign w:val="baseline"/>
                <w:lang w:val="en-US" w:eastAsia="zh-CN"/>
              </w:rPr>
            </w:pPr>
            <w:r>
              <w:rPr>
                <w:rFonts w:hint="default" w:ascii="Times New Roman" w:hAnsi="Times New Roman" w:cs="Times New Roman"/>
                <w:b w:val="0"/>
                <w:bCs w:val="0"/>
                <w:sz w:val="24"/>
                <w:szCs w:val="22"/>
                <w:vertAlign w:val="baseline"/>
                <w:lang w:val="en-US" w:eastAsia="zh-CN"/>
              </w:rPr>
              <w:t>施工期废水由施工人员的生活污水和少量的施工废水组成。</w:t>
            </w:r>
            <w:r>
              <w:rPr>
                <w:rFonts w:hint="eastAsia" w:ascii="Times New Roman" w:cs="Times New Roman"/>
                <w:b w:val="0"/>
                <w:bCs w:val="0"/>
                <w:sz w:val="24"/>
                <w:szCs w:val="22"/>
                <w:vertAlign w:val="baseline"/>
                <w:lang w:val="en-US" w:eastAsia="zh-CN"/>
              </w:rPr>
              <w:t>施工废水经沉淀池处理后全部回用，</w:t>
            </w:r>
            <w:r>
              <w:rPr>
                <w:rFonts w:hint="default" w:ascii="Times New Roman" w:hAnsi="Times New Roman" w:cs="Times New Roman"/>
                <w:b w:val="0"/>
                <w:bCs w:val="0"/>
                <w:sz w:val="24"/>
                <w:szCs w:val="22"/>
                <w:vertAlign w:val="baseline"/>
                <w:lang w:val="en-US" w:eastAsia="zh-CN"/>
              </w:rPr>
              <w:t>施工人员生活污水施工人员租住于沿线村庄民房，利用已有设施解决如厕问题，定期清掏外运用作农肥不外排。</w:t>
            </w:r>
          </w:p>
          <w:p>
            <w:pPr>
              <w:pStyle w:val="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200"/>
              <w:textAlignment w:val="auto"/>
              <w:rPr>
                <w:rFonts w:hint="eastAsia" w:ascii="Times New Roman" w:hAnsi="Times New Roman" w:eastAsia="宋体" w:cs="Times New Roman"/>
                <w:b w:val="0"/>
                <w:bCs w:val="0"/>
                <w:sz w:val="24"/>
                <w:szCs w:val="22"/>
                <w:highlight w:val="none"/>
                <w:vertAlign w:val="baseline"/>
                <w:lang w:val="en-US" w:eastAsia="zh-CN"/>
              </w:rPr>
            </w:pPr>
            <w:r>
              <w:rPr>
                <w:rFonts w:hint="eastAsia" w:ascii="Times New Roman" w:cs="Times New Roman"/>
                <w:b w:val="0"/>
                <w:bCs w:val="0"/>
                <w:sz w:val="24"/>
                <w:szCs w:val="22"/>
                <w:highlight w:val="none"/>
                <w:vertAlign w:val="baseline"/>
                <w:lang w:val="en-US" w:eastAsia="zh-CN"/>
              </w:rPr>
              <w:t>（3）</w:t>
            </w:r>
            <w:r>
              <w:rPr>
                <w:rFonts w:hint="eastAsia" w:ascii="Times New Roman" w:hAnsi="Times New Roman" w:eastAsia="宋体" w:cs="Times New Roman"/>
                <w:b w:val="0"/>
                <w:bCs w:val="0"/>
                <w:sz w:val="24"/>
                <w:szCs w:val="22"/>
                <w:highlight w:val="none"/>
                <w:vertAlign w:val="baseline"/>
                <w:lang w:val="en-US" w:eastAsia="zh-CN"/>
              </w:rPr>
              <w:t>声环境影响分析</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highlight w:val="none"/>
                <w:vertAlign w:val="baseline"/>
                <w:lang w:val="en-US" w:eastAsia="zh-CN"/>
              </w:rPr>
            </w:pPr>
            <w:r>
              <w:rPr>
                <w:rFonts w:hint="eastAsia" w:ascii="Times New Roman" w:hAnsi="Times New Roman" w:eastAsia="宋体" w:cs="Times New Roman"/>
                <w:b w:val="0"/>
                <w:bCs w:val="0"/>
                <w:sz w:val="24"/>
                <w:szCs w:val="22"/>
                <w:highlight w:val="none"/>
                <w:vertAlign w:val="baseline"/>
                <w:lang w:val="en-US" w:eastAsia="zh-CN"/>
              </w:rPr>
              <w:t>根据噪声源预测结果，项目施工期施工机械产生的噪声，昼间于60m以外、夜间于270m以外可达到《建筑施工场界环境噪声排放标准》（GB12523-2011）规定的场界排放标准限值。</w:t>
            </w:r>
            <w:r>
              <w:rPr>
                <w:rFonts w:hint="default" w:ascii="Times New Roman" w:hAnsi="Times New Roman" w:cs="Times New Roman"/>
                <w:color w:val="auto"/>
                <w:kern w:val="0"/>
                <w:sz w:val="24"/>
                <w:highlight w:val="none"/>
                <w:u w:val="none"/>
              </w:rPr>
              <w:t>项目拟通过选择低噪声施工设备；合理布置施工作业点位置；加强施工车辆管理，尽可能减少鸣号等措施进一步降低施工噪声。</w:t>
            </w:r>
            <w:r>
              <w:rPr>
                <w:rFonts w:hint="default" w:ascii="Times New Roman" w:hAnsi="Times New Roman" w:cs="Times New Roman"/>
                <w:color w:val="auto"/>
                <w:sz w:val="24"/>
                <w:highlight w:val="none"/>
                <w:u w:val="none"/>
              </w:rPr>
              <w:t>因此，施工期不会对声环境产生明显影响。</w:t>
            </w:r>
          </w:p>
          <w:p>
            <w:pPr>
              <w:pStyle w:val="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200"/>
              <w:textAlignment w:val="auto"/>
              <w:rPr>
                <w:rFonts w:hint="eastAsia" w:ascii="Times New Roman" w:hAnsi="Times New Roman" w:eastAsia="宋体" w:cs="Times New Roman"/>
                <w:b w:val="0"/>
                <w:bCs w:val="0"/>
                <w:sz w:val="24"/>
                <w:szCs w:val="22"/>
                <w:highlight w:val="none"/>
                <w:vertAlign w:val="baseline"/>
                <w:lang w:val="en-US" w:eastAsia="zh-CN"/>
              </w:rPr>
            </w:pPr>
            <w:r>
              <w:rPr>
                <w:rFonts w:hint="eastAsia" w:ascii="Times New Roman" w:cs="Times New Roman"/>
                <w:b w:val="0"/>
                <w:bCs w:val="0"/>
                <w:sz w:val="24"/>
                <w:szCs w:val="22"/>
                <w:highlight w:val="none"/>
                <w:vertAlign w:val="baseline"/>
                <w:lang w:val="en-US" w:eastAsia="zh-CN"/>
              </w:rPr>
              <w:t>（4）</w:t>
            </w:r>
            <w:r>
              <w:rPr>
                <w:rFonts w:hint="eastAsia" w:ascii="Times New Roman" w:hAnsi="Times New Roman" w:eastAsia="宋体" w:cs="Times New Roman"/>
                <w:b w:val="0"/>
                <w:bCs w:val="0"/>
                <w:sz w:val="24"/>
                <w:szCs w:val="22"/>
                <w:highlight w:val="none"/>
                <w:vertAlign w:val="baseline"/>
                <w:lang w:val="en-US" w:eastAsia="zh-CN"/>
              </w:rPr>
              <w:t>固体废弃物影响分析</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highlight w:val="none"/>
                <w:vertAlign w:val="baseline"/>
                <w:lang w:val="en-US" w:eastAsia="zh-CN"/>
              </w:rPr>
            </w:pPr>
            <w:r>
              <w:rPr>
                <w:rFonts w:hint="eastAsia" w:ascii="Times New Roman" w:hAnsi="Times New Roman" w:eastAsia="宋体" w:cs="Times New Roman"/>
                <w:b w:val="0"/>
                <w:bCs w:val="0"/>
                <w:sz w:val="24"/>
                <w:szCs w:val="22"/>
                <w:highlight w:val="none"/>
                <w:vertAlign w:val="baseline"/>
                <w:lang w:val="en-US" w:eastAsia="zh-CN"/>
              </w:rPr>
              <w:t>施工期产生的固体废物主要有建筑垃圾和施工人员产生的生活垃圾。工程产生的建筑垃圾收集后堆放于指定地点，其中可再生部分回收出售给废品站，不可再生利用部分清运至吴起县指定的建筑垃圾填埋场，严禁随意丢弃。施工人员产生的垃圾分类收集，统一纳入当地垃圾清运系统。由此可见，施工期产生的固体废物全部得到妥善处置，不会对周围环境产生明显影响。</w:t>
            </w:r>
          </w:p>
          <w:p>
            <w:pPr>
              <w:pStyle w:val="3"/>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Chars="200"/>
              <w:textAlignment w:val="auto"/>
              <w:rPr>
                <w:rFonts w:hint="eastAsia" w:ascii="Times New Roman" w:hAnsi="Times New Roman" w:eastAsia="宋体" w:cs="Times New Roman"/>
                <w:b w:val="0"/>
                <w:bCs w:val="0"/>
                <w:sz w:val="24"/>
                <w:szCs w:val="22"/>
                <w:highlight w:val="none"/>
                <w:vertAlign w:val="baseline"/>
                <w:lang w:val="en-US" w:eastAsia="zh-CN"/>
              </w:rPr>
            </w:pPr>
            <w:r>
              <w:rPr>
                <w:rFonts w:hint="eastAsia" w:ascii="Times New Roman" w:cs="Times New Roman"/>
                <w:b w:val="0"/>
                <w:bCs w:val="0"/>
                <w:sz w:val="24"/>
                <w:szCs w:val="22"/>
                <w:highlight w:val="none"/>
                <w:vertAlign w:val="baseline"/>
                <w:lang w:val="en-US" w:eastAsia="zh-CN"/>
              </w:rPr>
              <w:t>（5）</w:t>
            </w:r>
            <w:r>
              <w:rPr>
                <w:rFonts w:hint="eastAsia" w:ascii="Times New Roman" w:hAnsi="Times New Roman" w:eastAsia="宋体" w:cs="Times New Roman"/>
                <w:b w:val="0"/>
                <w:bCs w:val="0"/>
                <w:sz w:val="24"/>
                <w:szCs w:val="22"/>
                <w:highlight w:val="none"/>
                <w:vertAlign w:val="baseline"/>
                <w:lang w:val="en-US" w:eastAsia="zh-CN"/>
              </w:rPr>
              <w:t>生态环境影响分析</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highlight w:val="none"/>
                <w:vertAlign w:val="baseline"/>
                <w:lang w:val="en-US" w:eastAsia="zh-CN"/>
              </w:rPr>
            </w:pPr>
            <w:r>
              <w:rPr>
                <w:rFonts w:hint="eastAsia" w:ascii="Times New Roman" w:hAnsi="Times New Roman" w:eastAsia="宋体" w:cs="Times New Roman"/>
                <w:b w:val="0"/>
                <w:bCs w:val="0"/>
                <w:sz w:val="24"/>
                <w:szCs w:val="22"/>
                <w:highlight w:val="none"/>
                <w:vertAlign w:val="baseline"/>
                <w:lang w:val="en-US" w:eastAsia="zh-CN"/>
              </w:rPr>
              <w:t>施工期对生态环境的影响主要表现在土地占用、植被破坏、水土流失等方面。本项目在线路施工时，会破坏部分地表植被。线路工程需新开挖土方，多余土方平摊至塔基周围，但随着工程施工结束后地表植被的生态恢复，影响将会逐渐减</w:t>
            </w:r>
            <w:r>
              <w:rPr>
                <w:rFonts w:hint="eastAsia" w:ascii="Times New Roman" w:cs="Times New Roman"/>
                <w:b w:val="0"/>
                <w:bCs w:val="0"/>
                <w:sz w:val="24"/>
                <w:szCs w:val="22"/>
                <w:highlight w:val="none"/>
                <w:vertAlign w:val="baseline"/>
                <w:lang w:val="en-US" w:eastAsia="zh-CN"/>
              </w:rPr>
              <w:t>小</w:t>
            </w:r>
            <w:r>
              <w:rPr>
                <w:rFonts w:hint="eastAsia" w:ascii="Times New Roman" w:hAnsi="Times New Roman" w:eastAsia="宋体" w:cs="Times New Roman"/>
                <w:b w:val="0"/>
                <w:bCs w:val="0"/>
                <w:sz w:val="24"/>
                <w:szCs w:val="22"/>
                <w:highlight w:val="none"/>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2" w:firstLineChars="200"/>
              <w:textAlignment w:val="auto"/>
              <w:rPr>
                <w:rFonts w:hint="default" w:ascii="Times New Roman" w:hAnsi="Times New Roman" w:eastAsia="宋体" w:cs="Times New Roman"/>
                <w:b/>
                <w:bCs/>
                <w:sz w:val="24"/>
                <w:szCs w:val="22"/>
                <w:highlight w:val="none"/>
                <w:vertAlign w:val="baseline"/>
                <w:lang w:val="en-US" w:eastAsia="zh-CN"/>
              </w:rPr>
            </w:pPr>
            <w:r>
              <w:rPr>
                <w:rFonts w:hint="eastAsia" w:ascii="Times New Roman" w:hAnsi="Times New Roman" w:eastAsia="宋体" w:cs="Times New Roman"/>
                <w:b/>
                <w:bCs/>
                <w:sz w:val="24"/>
                <w:szCs w:val="22"/>
                <w:highlight w:val="none"/>
                <w:vertAlign w:val="baseline"/>
                <w:lang w:val="en-US" w:eastAsia="zh-CN"/>
              </w:rPr>
              <w:t>9.1.4.2 运营期</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default" w:ascii="Times New Roman" w:hAnsi="Times New Roman" w:eastAsia="宋体" w:cs="Times New Roman"/>
                <w:b w:val="0"/>
                <w:bCs w:val="0"/>
                <w:sz w:val="24"/>
                <w:szCs w:val="22"/>
                <w:highlight w:val="none"/>
                <w:vertAlign w:val="baseline"/>
                <w:lang w:val="en-US" w:eastAsia="zh-CN"/>
              </w:rPr>
            </w:pPr>
            <w:r>
              <w:rPr>
                <w:rFonts w:hint="default" w:ascii="Times New Roman" w:hAnsi="Times New Roman" w:eastAsia="宋体" w:cs="Times New Roman"/>
                <w:b w:val="0"/>
                <w:bCs w:val="0"/>
                <w:sz w:val="24"/>
                <w:szCs w:val="22"/>
                <w:highlight w:val="none"/>
                <w:vertAlign w:val="baseline"/>
                <w:lang w:val="en-US" w:eastAsia="zh-CN"/>
              </w:rPr>
              <w:t>（1）电磁环境影响分析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根据理论计算结果可以看出：1A4</w:t>
            </w:r>
            <w:r>
              <w:rPr>
                <w:rFonts w:hint="eastAsia" w:ascii="Times New Roman" w:cs="Times New Roman" w:eastAsiaTheme="minorEastAsia"/>
                <w:b w:val="0"/>
                <w:bCs w:val="0"/>
                <w:color w:val="auto"/>
                <w:kern w:val="2"/>
                <w:sz w:val="24"/>
                <w:szCs w:val="24"/>
                <w:highlight w:val="none"/>
                <w:vertAlign w:val="baseline"/>
                <w:lang w:val="en-US" w:eastAsia="zh-CN" w:bidi="ar-SA"/>
              </w:rPr>
              <w:t>X</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-ZM</w:t>
            </w:r>
            <w:r>
              <w:rPr>
                <w:rFonts w:hint="eastAsia" w:ascii="Times New Roman" w:cs="Times New Roman" w:eastAsiaTheme="minorEastAsia"/>
                <w:b w:val="0"/>
                <w:bCs w:val="0"/>
                <w:color w:val="auto"/>
                <w:kern w:val="2"/>
                <w:sz w:val="24"/>
                <w:szCs w:val="24"/>
                <w:highlight w:val="none"/>
                <w:vertAlign w:val="baseline"/>
                <w:lang w:val="en-US" w:eastAsia="zh-CN" w:bidi="ar-SA"/>
              </w:rPr>
              <w:t>C4</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直线塔最小对地高度为6m时（</w:t>
            </w:r>
            <w:r>
              <w:rPr>
                <w:rFonts w:hint="eastAsia" w:ascii="Times New Roman" w:cs="Times New Roman" w:eastAsiaTheme="minorEastAsia"/>
                <w:b w:val="0"/>
                <w:bCs w:val="0"/>
                <w:color w:val="auto"/>
                <w:kern w:val="2"/>
                <w:sz w:val="24"/>
                <w:szCs w:val="24"/>
                <w:highlight w:val="none"/>
                <w:vertAlign w:val="baseline"/>
                <w:lang w:val="en-US" w:eastAsia="zh-CN" w:bidi="ar-SA"/>
              </w:rPr>
              <w:t>110</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kV输电线路在途经非居民区时），</w:t>
            </w:r>
            <w:r>
              <w:rPr>
                <w:rFonts w:hint="eastAsia" w:ascii="Times New Roman" w:cs="Times New Roman" w:eastAsiaTheme="minorEastAsia"/>
                <w:b w:val="0"/>
                <w:bCs w:val="0"/>
                <w:color w:val="auto"/>
                <w:kern w:val="2"/>
                <w:sz w:val="24"/>
                <w:szCs w:val="24"/>
                <w:highlight w:val="none"/>
                <w:vertAlign w:val="baseline"/>
                <w:lang w:val="en-US" w:eastAsia="zh-CN" w:bidi="ar-SA"/>
              </w:rPr>
              <w:t>工频电场强度在中心线0m处为1289.602</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V/m</w:t>
            </w:r>
            <w:r>
              <w:rPr>
                <w:rFonts w:hint="eastAsia" w:ascii="Times New Roman" w:cs="Times New Roman" w:eastAsiaTheme="minorEastAsia"/>
                <w:b w:val="0"/>
                <w:bCs w:val="0"/>
                <w:color w:val="auto"/>
                <w:kern w:val="2"/>
                <w:sz w:val="24"/>
                <w:szCs w:val="24"/>
                <w:highlight w:val="none"/>
                <w:vertAlign w:val="baseline"/>
                <w:lang w:val="en-US" w:eastAsia="zh-CN" w:bidi="ar-SA"/>
              </w:rPr>
              <w:t>，逐渐增大。</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产生的最大工频电场强度位于距走廊中心线4m处，为</w:t>
            </w:r>
            <w:r>
              <w:rPr>
                <w:rFonts w:hint="eastAsia" w:ascii="Times New Roman" w:cs="Times New Roman" w:eastAsiaTheme="minorEastAsia"/>
                <w:b w:val="0"/>
                <w:bCs w:val="0"/>
                <w:color w:val="auto"/>
                <w:kern w:val="2"/>
                <w:sz w:val="24"/>
                <w:szCs w:val="24"/>
                <w:highlight w:val="none"/>
                <w:vertAlign w:val="baseline"/>
                <w:lang w:val="en-US" w:eastAsia="zh-CN" w:bidi="ar-SA"/>
              </w:rPr>
              <w:t>2418.455</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V/m，低于4000V/m评价标准限值。</w:t>
            </w:r>
            <w:r>
              <w:rPr>
                <w:rFonts w:hint="eastAsia" w:ascii="Times New Roman" w:cs="Times New Roman" w:eastAsiaTheme="minorEastAsia"/>
                <w:b w:val="0"/>
                <w:bCs w:val="0"/>
                <w:color w:val="auto"/>
                <w:kern w:val="2"/>
                <w:sz w:val="24"/>
                <w:szCs w:val="24"/>
                <w:highlight w:val="none"/>
                <w:vertAlign w:val="baseline"/>
                <w:lang w:val="en-US" w:eastAsia="zh-CN" w:bidi="ar-SA"/>
              </w:rPr>
              <w:t>之后</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随着与走廊中心线距离的增大，工频电场强度衰减迅速</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导线对地最小距离为7m时（110kV输电线路在途经居民区时），</w:t>
            </w:r>
            <w:r>
              <w:rPr>
                <w:rFonts w:hint="eastAsia" w:ascii="Times New Roman" w:cs="Times New Roman" w:eastAsiaTheme="minorEastAsia"/>
                <w:b w:val="0"/>
                <w:bCs w:val="0"/>
                <w:color w:val="auto"/>
                <w:kern w:val="2"/>
                <w:sz w:val="24"/>
                <w:szCs w:val="24"/>
                <w:highlight w:val="none"/>
                <w:vertAlign w:val="baseline"/>
                <w:lang w:val="en-US" w:eastAsia="zh-CN" w:bidi="ar-SA"/>
              </w:rPr>
              <w:t>工频电场强度在中心线0m处为1066.267</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V/m</w:t>
            </w:r>
            <w:r>
              <w:rPr>
                <w:rFonts w:hint="eastAsia" w:ascii="Times New Roman" w:cs="Times New Roman" w:eastAsiaTheme="minorEastAsia"/>
                <w:b w:val="0"/>
                <w:bCs w:val="0"/>
                <w:color w:val="auto"/>
                <w:kern w:val="2"/>
                <w:sz w:val="24"/>
                <w:szCs w:val="24"/>
                <w:highlight w:val="none"/>
                <w:vertAlign w:val="baseline"/>
                <w:lang w:val="en-US" w:eastAsia="zh-CN" w:bidi="ar-SA"/>
              </w:rPr>
              <w:t>，逐渐增大。</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产生的最大工频电场强度位于距走廊中心线5m处，为</w:t>
            </w:r>
            <w:r>
              <w:rPr>
                <w:rFonts w:hint="eastAsia" w:ascii="Times New Roman" w:cs="Times New Roman" w:eastAsiaTheme="minorEastAsia"/>
                <w:b w:val="0"/>
                <w:bCs w:val="0"/>
                <w:color w:val="auto"/>
                <w:kern w:val="2"/>
                <w:sz w:val="24"/>
                <w:szCs w:val="24"/>
                <w:highlight w:val="none"/>
                <w:vertAlign w:val="baseline"/>
                <w:lang w:val="en-US" w:eastAsia="zh-CN" w:bidi="ar-SA"/>
              </w:rPr>
              <w:t>1833.703</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V</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m，低于4000V/m评价标准限值。随着与走廊中心线距离的增大，工频电场强度衰减迅速</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导线最小对地高度为6m时（110kV输电线路在途经非居民区时），</w:t>
            </w:r>
            <w:r>
              <w:rPr>
                <w:rFonts w:hint="eastAsia" w:ascii="Times New Roman" w:cs="Times New Roman" w:eastAsiaTheme="minorEastAsia"/>
                <w:b w:val="0"/>
                <w:bCs w:val="0"/>
                <w:color w:val="auto"/>
                <w:kern w:val="2"/>
                <w:sz w:val="24"/>
                <w:szCs w:val="24"/>
                <w:highlight w:val="none"/>
                <w:vertAlign w:val="baseline"/>
                <w:lang w:val="en-US" w:eastAsia="zh-CN" w:bidi="ar-SA"/>
              </w:rPr>
              <w:t>工频磁感应强度在中心线0m处为6.527</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μT</w:t>
            </w:r>
            <w:r>
              <w:rPr>
                <w:rFonts w:hint="eastAsia" w:ascii="Times New Roman" w:cs="Times New Roman" w:eastAsiaTheme="minorEastAsia"/>
                <w:b w:val="0"/>
                <w:bCs w:val="0"/>
                <w:color w:val="auto"/>
                <w:kern w:val="2"/>
                <w:sz w:val="24"/>
                <w:szCs w:val="24"/>
                <w:highlight w:val="none"/>
                <w:vertAlign w:val="baseline"/>
                <w:lang w:val="en-US" w:eastAsia="zh-CN" w:bidi="ar-SA"/>
              </w:rPr>
              <w:t>，逐渐增大。</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产生最大工频磁感应强度位于距走廊中心线4m处，为</w:t>
            </w:r>
            <w:r>
              <w:rPr>
                <w:rFonts w:hint="eastAsia" w:ascii="Times New Roman" w:cs="Times New Roman" w:eastAsiaTheme="minorEastAsia"/>
                <w:b w:val="0"/>
                <w:bCs w:val="0"/>
                <w:color w:val="auto"/>
                <w:kern w:val="2"/>
                <w:sz w:val="24"/>
                <w:szCs w:val="24"/>
                <w:highlight w:val="none"/>
                <w:vertAlign w:val="baseline"/>
                <w:lang w:val="en-US" w:eastAsia="zh-CN" w:bidi="ar-SA"/>
              </w:rPr>
              <w:t>9.914</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μT，远低于100μT评价标准限值。随着与走廊中心线距离的增大，工频磁感应强度衰减迅速。</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导线最小对地高度为7m时（</w:t>
            </w:r>
            <w:r>
              <w:rPr>
                <w:rFonts w:hint="eastAsia" w:ascii="Times New Roman" w:cs="Times New Roman" w:eastAsiaTheme="minorEastAsia"/>
                <w:b w:val="0"/>
                <w:bCs w:val="0"/>
                <w:color w:val="auto"/>
                <w:kern w:val="2"/>
                <w:sz w:val="24"/>
                <w:szCs w:val="24"/>
                <w:highlight w:val="none"/>
                <w:vertAlign w:val="baseline"/>
                <w:lang w:val="en-US" w:eastAsia="zh-CN" w:bidi="ar-SA"/>
              </w:rPr>
              <w:t>110</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kV输电线路在途经居民区时），</w:t>
            </w:r>
            <w:r>
              <w:rPr>
                <w:rFonts w:hint="eastAsia" w:ascii="Times New Roman" w:cs="Times New Roman" w:eastAsiaTheme="minorEastAsia"/>
                <w:b w:val="0"/>
                <w:bCs w:val="0"/>
                <w:color w:val="auto"/>
                <w:kern w:val="2"/>
                <w:sz w:val="24"/>
                <w:szCs w:val="24"/>
                <w:highlight w:val="none"/>
                <w:vertAlign w:val="baseline"/>
                <w:lang w:val="en-US" w:eastAsia="zh-CN" w:bidi="ar-SA"/>
              </w:rPr>
              <w:t>工频磁感应强度在中心线0m处为5.192</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μT</w:t>
            </w:r>
            <w:r>
              <w:rPr>
                <w:rFonts w:hint="eastAsia" w:ascii="Times New Roman" w:cs="Times New Roman" w:eastAsiaTheme="minorEastAsia"/>
                <w:b w:val="0"/>
                <w:bCs w:val="0"/>
                <w:color w:val="auto"/>
                <w:kern w:val="2"/>
                <w:sz w:val="24"/>
                <w:szCs w:val="24"/>
                <w:highlight w:val="none"/>
                <w:vertAlign w:val="baseline"/>
                <w:lang w:val="en-US" w:eastAsia="zh-CN" w:bidi="ar-SA"/>
              </w:rPr>
              <w:t>，逐渐增大。</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产生的最大工频磁感应强度位于距走廊中心4m处，为</w:t>
            </w:r>
            <w:r>
              <w:rPr>
                <w:rFonts w:hint="eastAsia" w:ascii="Times New Roman" w:cs="Times New Roman" w:eastAsiaTheme="minorEastAsia"/>
                <w:b w:val="0"/>
                <w:bCs w:val="0"/>
                <w:color w:val="auto"/>
                <w:kern w:val="2"/>
                <w:sz w:val="24"/>
                <w:szCs w:val="24"/>
                <w:highlight w:val="none"/>
                <w:vertAlign w:val="baseline"/>
                <w:lang w:val="en-US" w:eastAsia="zh-CN" w:bidi="ar-SA"/>
              </w:rPr>
              <w:t>7.663</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μT，远低于100μT评价标准限值。随着与走廊中心线距离的增大，工频磁感应强度衰减迅速</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shd w:val="clear"/>
              <w:kinsoku/>
              <w:wordWrap/>
              <w:overflowPunct/>
              <w:topLinePunct w:val="0"/>
              <w:autoSpaceDE w:val="0"/>
              <w:autoSpaceDN w:val="0"/>
              <w:bidi w:val="0"/>
              <w:adjustRightInd w:val="0"/>
              <w:snapToGrid/>
              <w:spacing w:line="360" w:lineRule="auto"/>
              <w:ind w:left="0" w:leftChars="0" w:firstLine="480" w:firstLineChars="200"/>
              <w:textAlignment w:val="auto"/>
              <w:rPr>
                <w:rFonts w:hint="default" w:ascii="Times New Roman" w:hAnsi="Times New Roman" w:eastAsia="宋体" w:cs="Times New Roman"/>
                <w:b w:val="0"/>
                <w:bCs w:val="0"/>
                <w:sz w:val="24"/>
                <w:szCs w:val="22"/>
                <w:highlight w:val="yellow"/>
                <w:vertAlign w:val="baseline"/>
                <w:lang w:val="en-US" w:eastAsia="zh-CN"/>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综上，由理论计算结果可知，本项目单回输电线路运行后，距地面1.5m处工频电磁场均满足评价标准的要求，对沿线和环保目标处的电磁环境影响很小</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highlight w:val="none"/>
                <w:vertAlign w:val="baseline"/>
                <w:lang w:val="en-US" w:eastAsia="zh-CN"/>
              </w:rPr>
            </w:pPr>
            <w:r>
              <w:rPr>
                <w:rFonts w:hint="eastAsia" w:ascii="Times New Roman" w:hAnsi="Times New Roman" w:eastAsia="宋体" w:cs="Times New Roman"/>
                <w:b w:val="0"/>
                <w:bCs w:val="0"/>
                <w:sz w:val="24"/>
                <w:szCs w:val="22"/>
                <w:highlight w:val="none"/>
                <w:vertAlign w:val="baseline"/>
                <w:lang w:val="en-US" w:eastAsia="zh-CN"/>
              </w:rPr>
              <w:t>（2）声环境影响分析</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cs="Times New Roman"/>
                <w:b w:val="0"/>
                <w:bCs w:val="0"/>
                <w:sz w:val="24"/>
                <w:szCs w:val="22"/>
                <w:vertAlign w:val="baseline"/>
                <w:lang w:val="en-US" w:eastAsia="zh-CN"/>
              </w:rPr>
            </w:pPr>
            <w:r>
              <w:rPr>
                <w:rFonts w:hint="eastAsia" w:ascii="Times New Roman" w:cs="Times New Roman"/>
                <w:b w:val="0"/>
                <w:bCs w:val="0"/>
                <w:sz w:val="24"/>
                <w:szCs w:val="22"/>
                <w:vertAlign w:val="baseline"/>
                <w:lang w:val="en-US" w:eastAsia="zh-CN"/>
              </w:rPr>
              <w:t>类比监测结果表明，线路沿线昼间噪声值为41.3~43.6dB（A），类比线路与本期线路电压等级、架线方式相同，可以推测拟建线路运营后，沿线噪声值也可满足《声境质量标准》（GB3096-2008）中1类标准，对周围声环境影响较小。</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highlight w:val="none"/>
                <w:vertAlign w:val="baseline"/>
                <w:lang w:val="en-US" w:eastAsia="zh-CN"/>
              </w:rPr>
            </w:pPr>
            <w:r>
              <w:rPr>
                <w:rFonts w:hint="eastAsia" w:ascii="Times New Roman" w:cs="Times New Roman"/>
                <w:b w:val="0"/>
                <w:bCs w:val="0"/>
                <w:sz w:val="24"/>
                <w:szCs w:val="22"/>
                <w:vertAlign w:val="baseline"/>
                <w:lang w:val="en-US" w:eastAsia="zh-CN"/>
              </w:rPr>
              <w:t>类比线路与本线路电压等级、架线方式相同，可以推测拟建线路运营后，沿线噪声值也可满足评价标准要求，对周围声环境影响较小。</w:t>
            </w:r>
          </w:p>
          <w:p>
            <w:pPr>
              <w:pStyle w:val="3"/>
              <w:keepNext w:val="0"/>
              <w:keepLines w:val="0"/>
              <w:pageBreakBefore w:val="0"/>
              <w:widowControl/>
              <w:numPr>
                <w:ilvl w:val="0"/>
                <w:numId w:val="3"/>
              </w:numPr>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highlight w:val="none"/>
                <w:vertAlign w:val="baseline"/>
                <w:lang w:val="en-US" w:eastAsia="zh-CN"/>
              </w:rPr>
            </w:pPr>
            <w:r>
              <w:rPr>
                <w:rFonts w:hint="eastAsia" w:ascii="Times New Roman" w:hAnsi="Times New Roman" w:eastAsia="宋体" w:cs="Times New Roman"/>
                <w:b w:val="0"/>
                <w:bCs w:val="0"/>
                <w:sz w:val="24"/>
                <w:szCs w:val="22"/>
                <w:highlight w:val="none"/>
                <w:vertAlign w:val="baseline"/>
                <w:lang w:val="en-US" w:eastAsia="zh-CN"/>
              </w:rPr>
              <w:t>水环境影响分析</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vertAlign w:val="baseline"/>
                <w:lang w:val="en-US" w:eastAsia="zh-CN"/>
              </w:rPr>
            </w:pPr>
            <w:r>
              <w:rPr>
                <w:rFonts w:hint="eastAsia" w:ascii="Times New Roman" w:hAnsi="Times New Roman" w:eastAsia="宋体" w:cs="Times New Roman"/>
                <w:b w:val="0"/>
                <w:bCs w:val="0"/>
                <w:sz w:val="24"/>
                <w:szCs w:val="22"/>
                <w:vertAlign w:val="baseline"/>
                <w:lang w:val="en-US" w:eastAsia="zh-CN"/>
              </w:rPr>
              <w:t>本项目输电线路运行期间无废水产生，因此线路运行期对水环境无影响。</w:t>
            </w:r>
          </w:p>
          <w:p>
            <w:pPr>
              <w:pStyle w:val="3"/>
              <w:keepNext w:val="0"/>
              <w:keepLines w:val="0"/>
              <w:pageBreakBefore w:val="0"/>
              <w:widowControl/>
              <w:numPr>
                <w:ilvl w:val="0"/>
                <w:numId w:val="3"/>
              </w:numPr>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highlight w:val="none"/>
                <w:vertAlign w:val="baseline"/>
                <w:lang w:val="en-US" w:eastAsia="zh-CN"/>
              </w:rPr>
            </w:pPr>
            <w:r>
              <w:rPr>
                <w:rFonts w:hint="eastAsia" w:ascii="Times New Roman" w:hAnsi="Times New Roman" w:eastAsia="宋体" w:cs="Times New Roman"/>
                <w:b w:val="0"/>
                <w:bCs w:val="0"/>
                <w:sz w:val="24"/>
                <w:szCs w:val="22"/>
                <w:highlight w:val="none"/>
                <w:vertAlign w:val="baseline"/>
                <w:lang w:val="en-US" w:eastAsia="zh-CN"/>
              </w:rPr>
              <w:t>固体废物影响分析</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vertAlign w:val="baseline"/>
                <w:lang w:val="en-US" w:eastAsia="zh-CN"/>
              </w:rPr>
            </w:pPr>
            <w:r>
              <w:rPr>
                <w:rFonts w:hint="eastAsia" w:ascii="Times New Roman" w:hAnsi="Times New Roman" w:eastAsia="宋体" w:cs="Times New Roman"/>
                <w:b w:val="0"/>
                <w:bCs w:val="0"/>
                <w:sz w:val="24"/>
                <w:szCs w:val="22"/>
                <w:vertAlign w:val="baseline"/>
                <w:lang w:val="en-US" w:eastAsia="zh-CN"/>
              </w:rPr>
              <w:t>本项目输电线路在运营期间只定期进行巡回检査和维修。巡检人员所产生的垃圾很少，且严格要求其随身携带到环卫部门指定的垃圾处置点，不在当地遗留</w:t>
            </w:r>
            <w:r>
              <w:rPr>
                <w:rFonts w:hint="eastAsia" w:ascii="Times New Roman" w:cs="Times New Roman"/>
                <w:b w:val="0"/>
                <w:bCs w:val="0"/>
                <w:sz w:val="24"/>
                <w:szCs w:val="22"/>
                <w:vertAlign w:val="baseline"/>
                <w:lang w:val="en-US" w:eastAsia="zh-CN"/>
              </w:rPr>
              <w:t>。</w:t>
            </w:r>
            <w:r>
              <w:rPr>
                <w:rFonts w:hint="eastAsia" w:ascii="Times New Roman" w:hAnsi="Times New Roman" w:eastAsia="宋体" w:cs="Times New Roman"/>
                <w:b w:val="0"/>
                <w:bCs w:val="0"/>
                <w:sz w:val="24"/>
                <w:szCs w:val="22"/>
                <w:vertAlign w:val="baseline"/>
                <w:lang w:val="en-US" w:eastAsia="zh-CN"/>
              </w:rPr>
              <w:t>因此</w:t>
            </w:r>
            <w:r>
              <w:rPr>
                <w:rFonts w:hint="eastAsia" w:ascii="Times New Roman" w:cs="Times New Roman"/>
                <w:b w:val="0"/>
                <w:bCs w:val="0"/>
                <w:sz w:val="24"/>
                <w:szCs w:val="22"/>
                <w:vertAlign w:val="baseline"/>
                <w:lang w:val="en-US" w:eastAsia="zh-CN"/>
              </w:rPr>
              <w:t>，</w:t>
            </w:r>
            <w:r>
              <w:rPr>
                <w:rFonts w:hint="eastAsia" w:ascii="Times New Roman" w:hAnsi="Times New Roman" w:eastAsia="宋体" w:cs="Times New Roman"/>
                <w:b w:val="0"/>
                <w:bCs w:val="0"/>
                <w:sz w:val="24"/>
                <w:szCs w:val="22"/>
                <w:vertAlign w:val="baseline"/>
                <w:lang w:val="en-US" w:eastAsia="zh-CN"/>
              </w:rPr>
              <w:t>本项目投入运营后基本不会产生固体废物影响。</w:t>
            </w:r>
          </w:p>
          <w:p>
            <w:pPr>
              <w:pStyle w:val="3"/>
              <w:keepNext w:val="0"/>
              <w:keepLines w:val="0"/>
              <w:pageBreakBefore w:val="0"/>
              <w:widowControl/>
              <w:numPr>
                <w:ilvl w:val="0"/>
                <w:numId w:val="3"/>
              </w:numPr>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vertAlign w:val="baseline"/>
                <w:lang w:val="en-US" w:eastAsia="zh-CN"/>
              </w:rPr>
            </w:pPr>
            <w:r>
              <w:rPr>
                <w:rFonts w:hint="eastAsia" w:ascii="Times New Roman" w:hAnsi="Times New Roman" w:eastAsia="宋体" w:cs="Times New Roman"/>
                <w:b w:val="0"/>
                <w:bCs w:val="0"/>
                <w:sz w:val="24"/>
                <w:szCs w:val="22"/>
                <w:vertAlign w:val="baseline"/>
                <w:lang w:val="en-US" w:eastAsia="zh-CN"/>
              </w:rPr>
              <w:t>生态</w:t>
            </w:r>
            <w:r>
              <w:rPr>
                <w:rFonts w:hint="eastAsia" w:ascii="Times New Roman" w:cs="Times New Roman"/>
                <w:b w:val="0"/>
                <w:bCs w:val="0"/>
                <w:sz w:val="24"/>
                <w:szCs w:val="22"/>
                <w:vertAlign w:val="baseline"/>
                <w:lang w:val="en-US" w:eastAsia="zh-CN"/>
              </w:rPr>
              <w:t>环境</w:t>
            </w:r>
            <w:r>
              <w:rPr>
                <w:rFonts w:hint="eastAsia" w:ascii="Times New Roman" w:hAnsi="Times New Roman" w:eastAsia="宋体" w:cs="Times New Roman"/>
                <w:b w:val="0"/>
                <w:bCs w:val="0"/>
                <w:sz w:val="24"/>
                <w:szCs w:val="22"/>
                <w:vertAlign w:val="baseline"/>
                <w:lang w:val="en-US" w:eastAsia="zh-CN"/>
              </w:rPr>
              <w:t>影响分析</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vertAlign w:val="baseline"/>
                <w:lang w:val="en-US" w:eastAsia="zh-CN"/>
              </w:rPr>
            </w:pPr>
            <w:r>
              <w:rPr>
                <w:rFonts w:hint="eastAsia" w:ascii="Times New Roman" w:hAnsi="Times New Roman" w:eastAsia="宋体" w:cs="Times New Roman"/>
                <w:b w:val="0"/>
                <w:bCs w:val="0"/>
                <w:sz w:val="24"/>
                <w:szCs w:val="22"/>
                <w:vertAlign w:val="baseline"/>
                <w:lang w:val="en-US" w:eastAsia="zh-CN"/>
              </w:rPr>
              <w:t>本项目运行后，架空输电线路塔基下方和临时占地采取播撒草籽措施进行生态恢复。随着时间的推移，生态恢复效果逐渐显现。本项目运行期对植被产生的负面影响很小。</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vertAlign w:val="baseline"/>
                <w:lang w:val="en-US" w:eastAsia="zh-CN"/>
              </w:rPr>
            </w:pPr>
            <w:r>
              <w:rPr>
                <w:rFonts w:hint="eastAsia" w:ascii="Times New Roman" w:hAnsi="Times New Roman" w:eastAsia="宋体" w:cs="Times New Roman"/>
                <w:b w:val="0"/>
                <w:bCs w:val="0"/>
                <w:sz w:val="24"/>
                <w:szCs w:val="22"/>
                <w:vertAlign w:val="baseline"/>
                <w:lang w:val="en-US" w:eastAsia="zh-CN"/>
              </w:rPr>
              <w:t>另外，架空输电线路建成后，会成为新的可疑目标而对项目区沿线栖息的野生动物产生微弱的影响，但经过一定时间的逐步适应后，这种影响就会自行消除。可以认为，除维修期间，输电线路在运行期将不会对野生动物产生不利影响。输电线路并未对地面形成彻底分割，对野生动物的迁徙影响很小。因此，本项目运行期对野生动物的影响很小。</w:t>
            </w:r>
          </w:p>
          <w:p>
            <w:pPr>
              <w:pStyle w:val="3"/>
              <w:keepNext w:val="0"/>
              <w:keepLines w:val="0"/>
              <w:pageBreakBefore w:val="0"/>
              <w:widowControl/>
              <w:numPr>
                <w:ilvl w:val="0"/>
                <w:numId w:val="3"/>
              </w:numPr>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vertAlign w:val="baseline"/>
                <w:lang w:val="en-US" w:eastAsia="zh-CN"/>
              </w:rPr>
            </w:pPr>
            <w:r>
              <w:rPr>
                <w:rFonts w:hint="eastAsia" w:ascii="Times New Roman" w:hAnsi="Times New Roman" w:eastAsia="宋体" w:cs="Times New Roman"/>
                <w:b w:val="0"/>
                <w:bCs w:val="0"/>
                <w:sz w:val="24"/>
                <w:szCs w:val="22"/>
                <w:vertAlign w:val="baseline"/>
                <w:lang w:val="en-US" w:eastAsia="zh-CN"/>
              </w:rPr>
              <w:t>环境风险影响分析</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vertAlign w:val="baseline"/>
                <w:lang w:val="en-US" w:eastAsia="zh-CN"/>
              </w:rPr>
            </w:pPr>
            <w:r>
              <w:rPr>
                <w:rFonts w:hint="eastAsia" w:ascii="Times New Roman" w:hAnsi="Times New Roman" w:eastAsia="宋体" w:cs="Times New Roman"/>
                <w:b w:val="0"/>
                <w:bCs w:val="0"/>
                <w:sz w:val="24"/>
                <w:szCs w:val="22"/>
                <w:vertAlign w:val="baseline"/>
                <w:lang w:val="en-US" w:eastAsia="zh-CN"/>
              </w:rPr>
              <w:t>输电线路基本沿林地、果园区域走线，根据环境影响预测可知，保护目标处环境影响满足国家相关标准限值要求。</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vertAlign w:val="baseline"/>
                <w:lang w:val="en-US" w:eastAsia="zh-CN"/>
              </w:rPr>
            </w:pPr>
            <w:r>
              <w:rPr>
                <w:rFonts w:hint="eastAsia" w:ascii="Times New Roman" w:hAnsi="Times New Roman" w:eastAsia="宋体" w:cs="Times New Roman"/>
                <w:b w:val="0"/>
                <w:bCs w:val="0"/>
                <w:sz w:val="24"/>
                <w:szCs w:val="22"/>
                <w:vertAlign w:val="baseline"/>
                <w:lang w:val="en-US" w:eastAsia="zh-CN"/>
              </w:rPr>
              <w:t>输电线路沿线无易燃易爆等仓库，线路设计阶段考虑了覆冰，保证输电线路运行过程稳定。杆塔基础均依据当地地质情况进行了设计建设，最大程度上降低杆塔倒塌的可能，工程建设满足环境风险要求。</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9.1.5 总结论</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eastAsia" w:ascii="Times New Roman" w:hAnsi="Times New Roman" w:eastAsia="宋体" w:cs="Times New Roman"/>
                <w:b w:val="0"/>
                <w:bCs w:val="0"/>
                <w:sz w:val="24"/>
                <w:szCs w:val="22"/>
                <w:vertAlign w:val="baseline"/>
                <w:lang w:val="en-US" w:eastAsia="zh-CN"/>
              </w:rPr>
            </w:pPr>
            <w:r>
              <w:rPr>
                <w:rFonts w:hint="eastAsia" w:ascii="Times New Roman" w:hAnsi="Times New Roman" w:eastAsia="宋体" w:cs="Times New Roman"/>
                <w:b w:val="0"/>
                <w:bCs w:val="0"/>
                <w:sz w:val="24"/>
                <w:szCs w:val="22"/>
                <w:vertAlign w:val="baseline"/>
                <w:lang w:val="en-US" w:eastAsia="zh-CN"/>
              </w:rPr>
              <w:t>国家电投集团吴起高胜新能源发电有限公司拟建国家电投吴起高胜新能源50MW风电场110kV送出工程符合国家及地方产业政策。在采取主体设计和环评提出的各项污染防治措施后，污染物排放可以满足相应的排放标准，对周围环境造成的影响较小。从满足环境质量目标要求分析，项目建设可行。</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9.2 要求与建议</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eastAsia"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9.2.1 要求</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default" w:ascii="Times New Roman" w:hAnsi="Times New Roman" w:eastAsia="宋体" w:cs="Times New Roman"/>
                <w:b w:val="0"/>
                <w:bCs w:val="0"/>
                <w:sz w:val="24"/>
                <w:szCs w:val="22"/>
                <w:vertAlign w:val="baseline"/>
                <w:lang w:val="en-US" w:eastAsia="zh-CN"/>
              </w:rPr>
            </w:pPr>
            <w:r>
              <w:rPr>
                <w:rFonts w:hint="default" w:ascii="Times New Roman" w:hAnsi="Times New Roman" w:eastAsia="宋体" w:cs="Times New Roman"/>
                <w:b w:val="0"/>
                <w:bCs w:val="0"/>
                <w:sz w:val="24"/>
                <w:szCs w:val="22"/>
                <w:vertAlign w:val="baseline"/>
                <w:lang w:val="en-US" w:eastAsia="zh-CN"/>
              </w:rPr>
              <w:t>（1）项目在运行过程中要逐一落实报告表中提出的环境保护措施</w:t>
            </w:r>
            <w:r>
              <w:rPr>
                <w:rFonts w:hint="eastAsia" w:ascii="Times New Roman" w:hAnsi="Times New Roman" w:eastAsia="宋体"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default" w:ascii="Times New Roman" w:hAnsi="Times New Roman" w:eastAsia="宋体" w:cs="Times New Roman"/>
                <w:b w:val="0"/>
                <w:bCs w:val="0"/>
                <w:sz w:val="24"/>
                <w:szCs w:val="22"/>
                <w:vertAlign w:val="baseline"/>
                <w:lang w:val="en-US" w:eastAsia="zh-CN"/>
              </w:rPr>
            </w:pPr>
            <w:r>
              <w:rPr>
                <w:rFonts w:hint="default" w:ascii="Times New Roman" w:hAnsi="Times New Roman" w:eastAsia="宋体" w:cs="Times New Roman"/>
                <w:b w:val="0"/>
                <w:bCs w:val="0"/>
                <w:sz w:val="24"/>
                <w:szCs w:val="22"/>
                <w:vertAlign w:val="baseline"/>
                <w:lang w:val="en-US" w:eastAsia="zh-CN"/>
              </w:rPr>
              <w:t>（2）工程建成后应及时组织竣工环境保护验收，对施工和运行中出现的环保问题及时妥善处理</w:t>
            </w:r>
            <w:r>
              <w:rPr>
                <w:rFonts w:hint="eastAsia" w:ascii="Times New Roman" w:hAnsi="Times New Roman" w:eastAsia="宋体"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default" w:ascii="Times New Roman" w:hAnsi="Times New Roman" w:eastAsia="宋体" w:cs="Times New Roman"/>
                <w:b w:val="0"/>
                <w:bCs w:val="0"/>
                <w:sz w:val="24"/>
                <w:szCs w:val="22"/>
                <w:vertAlign w:val="baseline"/>
                <w:lang w:val="en-US" w:eastAsia="zh-CN"/>
              </w:rPr>
            </w:pPr>
            <w:r>
              <w:rPr>
                <w:rFonts w:hint="default" w:ascii="Times New Roman" w:hAnsi="Times New Roman" w:eastAsia="宋体" w:cs="Times New Roman"/>
                <w:b w:val="0"/>
                <w:bCs w:val="0"/>
                <w:sz w:val="24"/>
                <w:szCs w:val="22"/>
                <w:vertAlign w:val="baseline"/>
                <w:lang w:val="en-US" w:eastAsia="zh-CN"/>
              </w:rPr>
              <w:t>（3）制定严格的规章制度，保持设备良好运行，定期维护，尽量减小电磁环境影响和噪声对周围环境的影响</w:t>
            </w:r>
            <w:r>
              <w:rPr>
                <w:rFonts w:hint="eastAsia" w:ascii="Times New Roman" w:hAnsi="Times New Roman" w:eastAsia="宋体" w:cs="Times New Roman"/>
                <w:b w:val="0"/>
                <w:bCs w:val="0"/>
                <w:sz w:val="24"/>
                <w:szCs w:val="22"/>
                <w:vertAlign w:val="baseline"/>
                <w:lang w:val="en-US" w:eastAsia="zh-CN"/>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eastAsia="宋体" w:cs="Times New Roman"/>
                <w:b/>
                <w:bCs/>
                <w:sz w:val="28"/>
                <w:szCs w:val="24"/>
                <w:vertAlign w:val="baseline"/>
                <w:lang w:val="en-US" w:eastAsia="zh-CN"/>
              </w:rPr>
            </w:pPr>
            <w:r>
              <w:rPr>
                <w:rFonts w:hint="eastAsia" w:ascii="Times New Roman" w:hAnsi="Times New Roman" w:eastAsia="宋体" w:cs="Times New Roman"/>
                <w:b/>
                <w:bCs/>
                <w:sz w:val="28"/>
                <w:szCs w:val="24"/>
                <w:vertAlign w:val="baseline"/>
                <w:lang w:val="en-US" w:eastAsia="zh-CN"/>
              </w:rPr>
              <w:t>9.2.2 建议</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default" w:ascii="Times New Roman" w:hAnsi="Times New Roman" w:eastAsia="宋体" w:cs="Times New Roman"/>
                <w:b w:val="0"/>
                <w:bCs w:val="0"/>
                <w:sz w:val="24"/>
                <w:szCs w:val="22"/>
                <w:vertAlign w:val="baseline"/>
                <w:lang w:val="en-US" w:eastAsia="zh-CN"/>
              </w:rPr>
            </w:pPr>
            <w:r>
              <w:rPr>
                <w:rFonts w:hint="default" w:ascii="Times New Roman" w:hAnsi="Times New Roman" w:eastAsia="宋体" w:cs="Times New Roman"/>
                <w:b w:val="0"/>
                <w:bCs w:val="0"/>
                <w:sz w:val="24"/>
                <w:szCs w:val="22"/>
                <w:vertAlign w:val="baseline"/>
                <w:lang w:val="en-US" w:eastAsia="zh-CN"/>
              </w:rPr>
              <w:t>在塔基处及高压走廊设置警示标志。在人口稠密区及人群活动频繁区域设置高压标志，标明有关注意事项。</w:t>
            </w:r>
          </w:p>
          <w:p>
            <w:pPr>
              <w:pStyle w:val="3"/>
              <w:keepNext w:val="0"/>
              <w:keepLines w:val="0"/>
              <w:pageBreakBefore w:val="0"/>
              <w:widowControl/>
              <w:kinsoku/>
              <w:wordWrap/>
              <w:overflowPunct/>
              <w:topLinePunct w:val="0"/>
              <w:autoSpaceDE w:val="0"/>
              <w:autoSpaceDN w:val="0"/>
              <w:bidi w:val="0"/>
              <w:adjustRightInd w:val="0"/>
              <w:snapToGrid/>
              <w:spacing w:line="360" w:lineRule="auto"/>
              <w:ind w:left="0" w:leftChars="0" w:firstLine="480" w:firstLineChars="200"/>
              <w:textAlignment w:val="auto"/>
              <w:rPr>
                <w:rFonts w:hint="default" w:ascii="Times New Roman" w:hAnsi="Times New Roman" w:eastAsia="宋体" w:cs="Times New Roman"/>
                <w:b w:val="0"/>
                <w:bCs w:val="0"/>
                <w:sz w:val="24"/>
                <w:szCs w:val="22"/>
                <w:vertAlign w:val="baseline"/>
                <w:lang w:val="en-US" w:eastAsia="zh-CN"/>
              </w:rPr>
            </w:pPr>
          </w:p>
        </w:tc>
      </w:tr>
    </w:tbl>
    <w:p>
      <w:pPr>
        <w:rPr>
          <w:rFonts w:hint="default"/>
          <w:b/>
          <w:bCs/>
          <w:sz w:val="32"/>
          <w:szCs w:val="28"/>
          <w:lang w:val="en-US" w:eastAsia="zh-CN"/>
        </w:rPr>
      </w:pPr>
      <w:r>
        <w:rPr>
          <w:rFonts w:hint="default"/>
          <w:b/>
          <w:bCs/>
          <w:sz w:val="32"/>
          <w:szCs w:val="28"/>
          <w:lang w:val="en-US" w:eastAsia="zh-CN"/>
        </w:rPr>
        <w:br w:type="page"/>
      </w:r>
    </w:p>
    <w:tbl>
      <w:tblPr>
        <w:tblStyle w:val="1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tcPr>
          <w:p>
            <w:pPr>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bCs/>
                <w:color w:val="auto"/>
                <w:kern w:val="2"/>
                <w:sz w:val="30"/>
                <w:szCs w:val="30"/>
                <w:lang w:val="en-US" w:eastAsia="zh-CN" w:bidi="ar-SA"/>
              </w:rPr>
              <w:br w:type="page"/>
            </w:r>
            <w:r>
              <w:rPr>
                <w:rFonts w:hint="default" w:ascii="Times New Roman" w:hAnsi="Times New Roman" w:eastAsia="宋体" w:cs="Times New Roman"/>
                <w:b w:val="0"/>
                <w:bCs w:val="0"/>
                <w:color w:val="auto"/>
                <w:kern w:val="2"/>
                <w:sz w:val="24"/>
                <w:szCs w:val="24"/>
                <w:vertAlign w:val="baseline"/>
                <w:lang w:val="en-US" w:eastAsia="zh-CN" w:bidi="ar-SA"/>
              </w:rPr>
              <w:t>预审意见：</w:t>
            </w: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center"/>
              <w:textAlignment w:val="auto"/>
              <w:outlineLvl w:val="0"/>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 xml:space="preserve">                  </w:t>
            </w:r>
            <w:bookmarkStart w:id="11" w:name="_Toc21035"/>
            <w:r>
              <w:rPr>
                <w:rFonts w:hint="default" w:ascii="Times New Roman" w:hAnsi="Times New Roman" w:eastAsia="宋体" w:cs="Times New Roman"/>
                <w:b w:val="0"/>
                <w:bCs w:val="0"/>
                <w:color w:val="auto"/>
                <w:kern w:val="2"/>
                <w:sz w:val="24"/>
                <w:szCs w:val="24"/>
                <w:vertAlign w:val="baseline"/>
                <w:lang w:val="en-US" w:eastAsia="zh-CN" w:bidi="ar-SA"/>
              </w:rPr>
              <w:t>公章：</w:t>
            </w:r>
            <w:bookmarkEnd w:id="11"/>
            <w:r>
              <w:rPr>
                <w:rFonts w:hint="default" w:ascii="Times New Roman" w:hAnsi="Times New Roman" w:eastAsia="宋体" w:cs="Times New Roman"/>
                <w:b w:val="0"/>
                <w:bCs w:val="0"/>
                <w:color w:val="auto"/>
                <w:kern w:val="2"/>
                <w:sz w:val="24"/>
                <w:szCs w:val="24"/>
                <w:vertAlign w:val="baseline"/>
                <w:lang w:val="en-US" w:eastAsia="zh-CN" w:bidi="ar-SA"/>
              </w:rPr>
              <w:t xml:space="preserve">                   </w:t>
            </w: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righ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widowControl w:val="0"/>
              <w:jc w:val="right"/>
              <w:outlineLvl w:val="0"/>
              <w:rPr>
                <w:rFonts w:hint="default" w:ascii="Times New Roman" w:hAnsi="Times New Roman" w:cs="Times New Roman"/>
                <w:b/>
                <w:bCs/>
                <w:color w:val="auto"/>
                <w:kern w:val="2"/>
                <w:sz w:val="30"/>
                <w:szCs w:val="30"/>
                <w:vertAlign w:val="baseline"/>
                <w:lang w:val="en-US" w:eastAsia="zh-CN" w:bidi="ar-SA"/>
              </w:rPr>
            </w:pPr>
            <w:bookmarkStart w:id="12" w:name="_Toc8050"/>
            <w:r>
              <w:rPr>
                <w:rFonts w:hint="default" w:ascii="Times New Roman" w:hAnsi="Times New Roman" w:eastAsia="宋体" w:cs="Times New Roman"/>
                <w:b w:val="0"/>
                <w:bCs w:val="0"/>
                <w:color w:val="auto"/>
                <w:kern w:val="2"/>
                <w:sz w:val="24"/>
                <w:szCs w:val="24"/>
                <w:vertAlign w:val="baseline"/>
                <w:lang w:val="en-US" w:eastAsia="zh-CN" w:bidi="ar-SA"/>
              </w:rPr>
              <w:t>经办人：          年    月    日</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8" w:hRule="atLeast"/>
        </w:trPr>
        <w:tc>
          <w:tcPr>
            <w:tcW w:w="9288" w:type="dxa"/>
          </w:tcPr>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0"/>
              <w:rPr>
                <w:rFonts w:hint="default" w:ascii="Times New Roman" w:hAnsi="Times New Roman" w:eastAsia="宋体" w:cs="Times New Roman"/>
                <w:b w:val="0"/>
                <w:bCs w:val="0"/>
                <w:color w:val="auto"/>
                <w:kern w:val="2"/>
                <w:sz w:val="24"/>
                <w:szCs w:val="24"/>
                <w:vertAlign w:val="baseline"/>
                <w:lang w:val="en-US" w:eastAsia="zh-CN" w:bidi="ar-SA"/>
              </w:rPr>
            </w:pPr>
            <w:bookmarkStart w:id="13" w:name="_Toc28074"/>
            <w:r>
              <w:rPr>
                <w:rFonts w:hint="default" w:ascii="Times New Roman" w:hAnsi="Times New Roman" w:eastAsia="宋体" w:cs="Times New Roman"/>
                <w:b w:val="0"/>
                <w:bCs w:val="0"/>
                <w:color w:val="auto"/>
                <w:kern w:val="2"/>
                <w:sz w:val="24"/>
                <w:szCs w:val="24"/>
                <w:vertAlign w:val="baseline"/>
                <w:lang w:val="en-US" w:eastAsia="zh-CN" w:bidi="ar-SA"/>
              </w:rPr>
              <w:t>下一级环境保护行政主管部门审查意见：</w:t>
            </w:r>
            <w:bookmarkEnd w:id="13"/>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center"/>
              <w:textAlignment w:val="auto"/>
              <w:outlineLvl w:val="0"/>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 xml:space="preserve">                  </w:t>
            </w:r>
            <w:bookmarkStart w:id="14" w:name="_Toc20423"/>
            <w:r>
              <w:rPr>
                <w:rFonts w:hint="default" w:ascii="Times New Roman" w:hAnsi="Times New Roman" w:eastAsia="宋体" w:cs="Times New Roman"/>
                <w:b w:val="0"/>
                <w:bCs w:val="0"/>
                <w:color w:val="auto"/>
                <w:kern w:val="2"/>
                <w:sz w:val="24"/>
                <w:szCs w:val="24"/>
                <w:vertAlign w:val="baseline"/>
                <w:lang w:val="en-US" w:eastAsia="zh-CN" w:bidi="ar-SA"/>
              </w:rPr>
              <w:t>公章：</w:t>
            </w:r>
            <w:bookmarkEnd w:id="14"/>
            <w:r>
              <w:rPr>
                <w:rFonts w:hint="default" w:ascii="Times New Roman" w:hAnsi="Times New Roman" w:eastAsia="宋体" w:cs="Times New Roman"/>
                <w:b w:val="0"/>
                <w:bCs w:val="0"/>
                <w:color w:val="auto"/>
                <w:kern w:val="2"/>
                <w:sz w:val="24"/>
                <w:szCs w:val="24"/>
                <w:vertAlign w:val="baseline"/>
                <w:lang w:val="en-US" w:eastAsia="zh-CN" w:bidi="ar-SA"/>
              </w:rPr>
              <w:t xml:space="preserve">                   </w:t>
            </w: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righ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right"/>
              <w:textAlignment w:val="auto"/>
              <w:outlineLvl w:val="0"/>
              <w:rPr>
                <w:rFonts w:hint="default" w:ascii="Times New Roman" w:hAnsi="Times New Roman" w:cs="Times New Roman"/>
                <w:b/>
                <w:bCs/>
                <w:color w:val="auto"/>
                <w:kern w:val="2"/>
                <w:sz w:val="30"/>
                <w:szCs w:val="30"/>
                <w:vertAlign w:val="baseline"/>
                <w:lang w:val="en-US" w:eastAsia="zh-CN" w:bidi="ar-SA"/>
              </w:rPr>
            </w:pPr>
            <w:bookmarkStart w:id="15" w:name="_Toc13911"/>
            <w:r>
              <w:rPr>
                <w:rFonts w:hint="default" w:ascii="Times New Roman" w:hAnsi="Times New Roman" w:eastAsia="宋体" w:cs="Times New Roman"/>
                <w:b w:val="0"/>
                <w:bCs w:val="0"/>
                <w:color w:val="auto"/>
                <w:kern w:val="2"/>
                <w:sz w:val="24"/>
                <w:szCs w:val="24"/>
                <w:vertAlign w:val="baseline"/>
                <w:lang w:val="en-US" w:eastAsia="zh-CN" w:bidi="ar-SA"/>
              </w:rPr>
              <w:t>经办人：          年    月    日</w:t>
            </w:r>
            <w:bookmarkEnd w:id="1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6" w:hRule="atLeast"/>
        </w:trPr>
        <w:tc>
          <w:tcPr>
            <w:tcW w:w="9288" w:type="dxa"/>
          </w:tcPr>
          <w:p>
            <w:pPr>
              <w:pStyle w:val="18"/>
              <w:keepNext w:val="0"/>
              <w:keepLines w:val="0"/>
              <w:pageBreakBefore w:val="0"/>
              <w:widowControl/>
              <w:kinsoku/>
              <w:wordWrap/>
              <w:overflowPunct/>
              <w:topLinePunct w:val="0"/>
              <w:autoSpaceDE w:val="0"/>
              <w:autoSpaceDN w:val="0"/>
              <w:bidi w:val="0"/>
              <w:adjustRightInd w:val="0"/>
              <w:snapToGrid/>
              <w:spacing w:before="313" w:beforeLines="100"/>
              <w:jc w:val="left"/>
              <w:textAlignment w:val="auto"/>
              <w:outlineLvl w:val="0"/>
              <w:rPr>
                <w:rFonts w:hint="default" w:ascii="Times New Roman" w:hAnsi="Times New Roman" w:eastAsia="宋体" w:cs="Times New Roman"/>
                <w:b w:val="0"/>
                <w:bCs w:val="0"/>
                <w:color w:val="auto"/>
                <w:kern w:val="2"/>
                <w:sz w:val="24"/>
                <w:szCs w:val="24"/>
                <w:vertAlign w:val="baseline"/>
                <w:lang w:val="en-US" w:eastAsia="zh-CN" w:bidi="ar-SA"/>
              </w:rPr>
            </w:pPr>
            <w:bookmarkStart w:id="16" w:name="_Toc16994"/>
            <w:r>
              <w:rPr>
                <w:rFonts w:hint="default" w:ascii="Times New Roman" w:hAnsi="Times New Roman" w:eastAsia="宋体" w:cs="Times New Roman"/>
                <w:b w:val="0"/>
                <w:bCs w:val="0"/>
                <w:color w:val="auto"/>
                <w:kern w:val="2"/>
                <w:sz w:val="24"/>
                <w:szCs w:val="24"/>
                <w:vertAlign w:val="baseline"/>
                <w:lang w:val="en-US" w:eastAsia="zh-CN" w:bidi="ar-SA"/>
              </w:rPr>
              <w:t>审批意见：</w:t>
            </w:r>
            <w:bookmarkEnd w:id="16"/>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lef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center"/>
              <w:textAlignment w:val="auto"/>
              <w:outlineLvl w:val="0"/>
              <w:rPr>
                <w:rFonts w:hint="default" w:ascii="Times New Roman" w:hAnsi="Times New Roman" w:eastAsia="宋体" w:cs="Times New Roman"/>
                <w:b w:val="0"/>
                <w:bCs w:val="0"/>
                <w:color w:val="auto"/>
                <w:kern w:val="2"/>
                <w:sz w:val="24"/>
                <w:szCs w:val="24"/>
                <w:vertAlign w:val="baseline"/>
                <w:lang w:val="en-US" w:eastAsia="zh-CN" w:bidi="ar-SA"/>
              </w:rPr>
            </w:pPr>
            <w:r>
              <w:rPr>
                <w:rFonts w:hint="default" w:ascii="Times New Roman" w:hAnsi="Times New Roman" w:eastAsia="宋体" w:cs="Times New Roman"/>
                <w:b w:val="0"/>
                <w:bCs w:val="0"/>
                <w:color w:val="auto"/>
                <w:kern w:val="2"/>
                <w:sz w:val="24"/>
                <w:szCs w:val="24"/>
                <w:vertAlign w:val="baseline"/>
                <w:lang w:val="en-US" w:eastAsia="zh-CN" w:bidi="ar-SA"/>
              </w:rPr>
              <w:t xml:space="preserve">                  </w:t>
            </w:r>
            <w:bookmarkStart w:id="17" w:name="_Toc27582"/>
            <w:r>
              <w:rPr>
                <w:rFonts w:hint="default" w:ascii="Times New Roman" w:hAnsi="Times New Roman" w:eastAsia="宋体" w:cs="Times New Roman"/>
                <w:b w:val="0"/>
                <w:bCs w:val="0"/>
                <w:color w:val="auto"/>
                <w:kern w:val="2"/>
                <w:sz w:val="24"/>
                <w:szCs w:val="24"/>
                <w:vertAlign w:val="baseline"/>
                <w:lang w:val="en-US" w:eastAsia="zh-CN" w:bidi="ar-SA"/>
              </w:rPr>
              <w:t>公章：</w:t>
            </w:r>
            <w:bookmarkEnd w:id="17"/>
            <w:r>
              <w:rPr>
                <w:rFonts w:hint="default" w:ascii="Times New Roman" w:hAnsi="Times New Roman" w:eastAsia="宋体" w:cs="Times New Roman"/>
                <w:b w:val="0"/>
                <w:bCs w:val="0"/>
                <w:color w:val="auto"/>
                <w:kern w:val="2"/>
                <w:sz w:val="24"/>
                <w:szCs w:val="24"/>
                <w:vertAlign w:val="baseline"/>
                <w:lang w:val="en-US" w:eastAsia="zh-CN" w:bidi="ar-SA"/>
              </w:rPr>
              <w:t xml:space="preserve">                   </w:t>
            </w: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0" w:firstLineChars="0"/>
              <w:jc w:val="right"/>
              <w:textAlignment w:val="auto"/>
              <w:outlineLvl w:val="9"/>
              <w:rPr>
                <w:rFonts w:hint="default" w:ascii="Times New Roman" w:hAnsi="Times New Roman" w:eastAsia="宋体" w:cs="Times New Roman"/>
                <w:b w:val="0"/>
                <w:bCs w:val="0"/>
                <w:color w:val="auto"/>
                <w:kern w:val="2"/>
                <w:sz w:val="24"/>
                <w:szCs w:val="24"/>
                <w:vertAlign w:val="baseline"/>
                <w:lang w:val="en-US" w:eastAsia="zh-CN" w:bidi="ar-SA"/>
              </w:rPr>
            </w:pPr>
          </w:p>
          <w:p>
            <w:pPr>
              <w:pStyle w:val="18"/>
              <w:keepNext w:val="0"/>
              <w:keepLines w:val="0"/>
              <w:pageBreakBefore w:val="0"/>
              <w:widowControl/>
              <w:kinsoku/>
              <w:wordWrap/>
              <w:overflowPunct/>
              <w:topLinePunct w:val="0"/>
              <w:autoSpaceDE w:val="0"/>
              <w:autoSpaceDN w:val="0"/>
              <w:bidi w:val="0"/>
              <w:adjustRightInd w:val="0"/>
              <w:snapToGrid/>
              <w:spacing w:before="313" w:beforeLines="100"/>
              <w:jc w:val="right"/>
              <w:textAlignment w:val="auto"/>
              <w:outlineLvl w:val="0"/>
              <w:rPr>
                <w:rFonts w:hint="default" w:ascii="Times New Roman" w:hAnsi="Times New Roman" w:eastAsia="宋体" w:cs="Times New Roman"/>
                <w:b w:val="0"/>
                <w:bCs w:val="0"/>
                <w:color w:val="auto"/>
                <w:kern w:val="2"/>
                <w:sz w:val="24"/>
                <w:szCs w:val="24"/>
                <w:vertAlign w:val="baseline"/>
                <w:lang w:val="en-US" w:eastAsia="zh-CN" w:bidi="ar-SA"/>
              </w:rPr>
            </w:pPr>
            <w:bookmarkStart w:id="18" w:name="_Toc8482"/>
            <w:r>
              <w:rPr>
                <w:rFonts w:hint="default" w:ascii="Times New Roman" w:hAnsi="Times New Roman" w:eastAsia="宋体" w:cs="Times New Roman"/>
                <w:b w:val="0"/>
                <w:bCs w:val="0"/>
                <w:color w:val="auto"/>
                <w:kern w:val="2"/>
                <w:sz w:val="24"/>
                <w:szCs w:val="24"/>
                <w:vertAlign w:val="baseline"/>
                <w:lang w:val="en-US" w:eastAsia="zh-CN" w:bidi="ar-SA"/>
              </w:rPr>
              <w:t>经办人：          年    月    日</w:t>
            </w:r>
            <w:bookmarkEnd w:id="18"/>
          </w:p>
        </w:tc>
      </w:tr>
    </w:tbl>
    <w:p>
      <w:pPr>
        <w:rPr>
          <w:rFonts w:hint="default"/>
          <w:b/>
          <w:bCs/>
          <w:sz w:val="32"/>
          <w:szCs w:val="28"/>
          <w:lang w:val="en-US" w:eastAsia="zh-CN"/>
        </w:rPr>
      </w:pPr>
      <w:r>
        <w:rPr>
          <w:rFonts w:hint="default"/>
          <w:b/>
          <w:bCs/>
          <w:sz w:val="32"/>
          <w:szCs w:val="28"/>
          <w:lang w:val="en-US" w:eastAsia="zh-CN"/>
        </w:rPr>
        <w:br w:type="page"/>
      </w:r>
    </w:p>
    <w:p>
      <w:pPr>
        <w:pStyle w:val="3"/>
        <w:ind w:left="0" w:leftChars="0" w:firstLine="0" w:firstLineChars="0"/>
        <w:jc w:val="center"/>
        <w:rPr>
          <w:rFonts w:hint="eastAsia" w:ascii="Times New Roman" w:hAnsi="Times New Roman" w:eastAsia="宋体" w:cs="Times New Roman"/>
          <w:b w:val="0"/>
          <w:bCs w:val="0"/>
          <w:sz w:val="24"/>
          <w:szCs w:val="22"/>
          <w:vertAlign w:val="baseline"/>
          <w:lang w:val="en-US" w:eastAsia="zh-CN"/>
        </w:rPr>
      </w:pPr>
    </w:p>
    <w:p>
      <w:pPr>
        <w:pStyle w:val="3"/>
        <w:ind w:left="0" w:leftChars="0" w:firstLine="0" w:firstLineChars="0"/>
        <w:jc w:val="center"/>
        <w:rPr>
          <w:rFonts w:hint="eastAsia" w:ascii="Times New Roman" w:hAnsi="Times New Roman" w:eastAsia="宋体" w:cs="Times New Roman"/>
          <w:b w:val="0"/>
          <w:bCs w:val="0"/>
          <w:sz w:val="24"/>
          <w:szCs w:val="22"/>
          <w:vertAlign w:val="baseline"/>
          <w:lang w:val="en-US" w:eastAsia="zh-CN"/>
        </w:rPr>
      </w:pPr>
    </w:p>
    <w:p>
      <w:pPr>
        <w:pStyle w:val="3"/>
        <w:ind w:left="0" w:leftChars="0" w:firstLine="0" w:firstLineChars="0"/>
        <w:jc w:val="center"/>
        <w:rPr>
          <w:rFonts w:hint="eastAsia" w:ascii="Times New Roman" w:hAnsi="Times New Roman" w:eastAsia="宋体" w:cs="Times New Roman"/>
          <w:b w:val="0"/>
          <w:bCs w:val="0"/>
          <w:sz w:val="24"/>
          <w:szCs w:val="22"/>
          <w:vertAlign w:val="baseline"/>
          <w:lang w:val="en-US" w:eastAsia="zh-CN"/>
        </w:rPr>
      </w:pPr>
    </w:p>
    <w:p>
      <w:pPr>
        <w:pStyle w:val="3"/>
        <w:ind w:left="0" w:leftChars="0" w:firstLine="0" w:firstLineChars="0"/>
        <w:jc w:val="center"/>
        <w:rPr>
          <w:rFonts w:hint="eastAsia" w:ascii="Times New Roman" w:hAnsi="Times New Roman" w:eastAsia="宋体" w:cs="Times New Roman"/>
          <w:b w:val="0"/>
          <w:bCs w:val="0"/>
          <w:sz w:val="24"/>
          <w:szCs w:val="22"/>
          <w:vertAlign w:val="baseline"/>
          <w:lang w:val="en-US" w:eastAsia="zh-CN"/>
        </w:rPr>
      </w:pPr>
    </w:p>
    <w:p>
      <w:pPr>
        <w:pStyle w:val="3"/>
        <w:ind w:left="0" w:leftChars="0" w:firstLine="0" w:firstLineChars="0"/>
        <w:jc w:val="center"/>
        <w:rPr>
          <w:rFonts w:hint="eastAsia" w:ascii="Times New Roman" w:hAnsi="Times New Roman" w:eastAsia="宋体" w:cs="Times New Roman"/>
          <w:b w:val="0"/>
          <w:bCs w:val="0"/>
          <w:sz w:val="24"/>
          <w:szCs w:val="22"/>
          <w:vertAlign w:val="baseline"/>
          <w:lang w:val="en-US" w:eastAsia="zh-CN"/>
        </w:rPr>
      </w:pPr>
    </w:p>
    <w:p>
      <w:pPr>
        <w:pStyle w:val="3"/>
        <w:ind w:left="0" w:leftChars="0" w:firstLine="0" w:firstLineChars="0"/>
        <w:jc w:val="center"/>
        <w:rPr>
          <w:rFonts w:hint="eastAsia" w:ascii="Times New Roman" w:hAnsi="Times New Roman" w:eastAsia="宋体" w:cs="Times New Roman"/>
          <w:b w:val="0"/>
          <w:bCs w:val="0"/>
          <w:sz w:val="24"/>
          <w:szCs w:val="22"/>
          <w:vertAlign w:val="baseline"/>
          <w:lang w:val="en-US" w:eastAsia="zh-CN"/>
        </w:rPr>
      </w:pPr>
    </w:p>
    <w:p>
      <w:pPr>
        <w:pStyle w:val="3"/>
        <w:ind w:left="0" w:leftChars="0" w:firstLine="0" w:firstLineChars="0"/>
        <w:jc w:val="center"/>
        <w:rPr>
          <w:rFonts w:hint="eastAsia" w:ascii="Times New Roman" w:hAnsi="Times New Roman" w:eastAsia="宋体" w:cs="Times New Roman"/>
          <w:b w:val="0"/>
          <w:bCs w:val="0"/>
          <w:sz w:val="24"/>
          <w:szCs w:val="22"/>
          <w:vertAlign w:val="baseline"/>
          <w:lang w:val="en-US" w:eastAsia="zh-CN"/>
        </w:rPr>
      </w:pPr>
    </w:p>
    <w:p>
      <w:pPr>
        <w:pStyle w:val="3"/>
        <w:keepNext w:val="0"/>
        <w:keepLines w:val="0"/>
        <w:pageBreakBefore w:val="0"/>
        <w:widowControl/>
        <w:kinsoku/>
        <w:wordWrap/>
        <w:overflowPunct/>
        <w:topLinePunct w:val="0"/>
        <w:autoSpaceDE w:val="0"/>
        <w:autoSpaceDN w:val="0"/>
        <w:bidi w:val="0"/>
        <w:adjustRightInd/>
        <w:snapToGrid/>
        <w:spacing w:line="480" w:lineRule="auto"/>
        <w:ind w:left="0" w:leftChars="0" w:firstLine="0" w:firstLineChars="0"/>
        <w:jc w:val="center"/>
        <w:textAlignment w:val="auto"/>
        <w:outlineLvl w:val="0"/>
        <w:rPr>
          <w:rFonts w:hint="eastAsia" w:ascii="宋体" w:hAnsi="宋体" w:eastAsia="宋体" w:cs="宋体"/>
          <w:b/>
          <w:bCs/>
          <w:sz w:val="40"/>
          <w:szCs w:val="40"/>
          <w:vertAlign w:val="baseline"/>
          <w:lang w:val="en-US" w:eastAsia="zh-CN"/>
        </w:rPr>
      </w:pPr>
      <w:bookmarkStart w:id="19" w:name="_Toc24256"/>
      <w:r>
        <w:rPr>
          <w:rFonts w:hint="eastAsia" w:ascii="宋体" w:hAnsi="宋体" w:eastAsia="宋体" w:cs="宋体"/>
          <w:b/>
          <w:bCs/>
          <w:sz w:val="40"/>
          <w:szCs w:val="40"/>
          <w:vertAlign w:val="baseline"/>
          <w:lang w:val="en-US" w:eastAsia="zh-CN"/>
        </w:rPr>
        <w:t>国家电投集团吴起高胜新能源发电有限公司</w:t>
      </w:r>
      <w:bookmarkEnd w:id="19"/>
    </w:p>
    <w:p>
      <w:pPr>
        <w:pStyle w:val="3"/>
        <w:keepNext w:val="0"/>
        <w:keepLines w:val="0"/>
        <w:pageBreakBefore w:val="0"/>
        <w:widowControl/>
        <w:kinsoku/>
        <w:wordWrap/>
        <w:overflowPunct/>
        <w:topLinePunct w:val="0"/>
        <w:autoSpaceDE w:val="0"/>
        <w:autoSpaceDN w:val="0"/>
        <w:bidi w:val="0"/>
        <w:adjustRightInd/>
        <w:snapToGrid/>
        <w:spacing w:line="480" w:lineRule="auto"/>
        <w:ind w:left="0" w:leftChars="0" w:firstLine="0" w:firstLineChars="0"/>
        <w:jc w:val="center"/>
        <w:textAlignment w:val="auto"/>
        <w:outlineLvl w:val="0"/>
        <w:rPr>
          <w:rFonts w:hint="eastAsia" w:ascii="宋体" w:hAnsi="宋体" w:eastAsia="宋体" w:cs="宋体"/>
          <w:b/>
          <w:bCs/>
          <w:sz w:val="40"/>
          <w:szCs w:val="40"/>
          <w:vertAlign w:val="baseline"/>
          <w:lang w:val="en-US" w:eastAsia="zh-CN"/>
        </w:rPr>
      </w:pPr>
      <w:bookmarkStart w:id="20" w:name="_Toc30194"/>
      <w:r>
        <w:rPr>
          <w:rFonts w:hint="eastAsia" w:ascii="宋体" w:hAnsi="宋体" w:eastAsia="宋体" w:cs="宋体"/>
          <w:b/>
          <w:bCs/>
          <w:sz w:val="40"/>
          <w:szCs w:val="40"/>
          <w:vertAlign w:val="baseline"/>
          <w:lang w:val="en-US" w:eastAsia="zh-CN"/>
        </w:rPr>
        <w:t>国家电投吴起高胜新能源50MW风电场110kV送出工程</w:t>
      </w:r>
      <w:bookmarkEnd w:id="20"/>
    </w:p>
    <w:p>
      <w:pPr>
        <w:pStyle w:val="3"/>
        <w:keepNext w:val="0"/>
        <w:keepLines w:val="0"/>
        <w:pageBreakBefore w:val="0"/>
        <w:widowControl/>
        <w:kinsoku/>
        <w:wordWrap/>
        <w:overflowPunct/>
        <w:topLinePunct w:val="0"/>
        <w:autoSpaceDE w:val="0"/>
        <w:autoSpaceDN w:val="0"/>
        <w:bidi w:val="0"/>
        <w:adjustRightInd/>
        <w:snapToGrid/>
        <w:spacing w:before="625" w:beforeLines="200" w:after="313" w:afterLines="100"/>
        <w:ind w:left="0" w:leftChars="0" w:firstLine="0" w:firstLineChars="0"/>
        <w:jc w:val="center"/>
        <w:textAlignment w:val="auto"/>
        <w:outlineLvl w:val="0"/>
        <w:rPr>
          <w:rFonts w:hint="eastAsia" w:ascii="华文新魏" w:hAnsi="华文新魏" w:eastAsia="华文新魏" w:cs="华文新魏"/>
          <w:b/>
          <w:bCs/>
          <w:sz w:val="72"/>
          <w:szCs w:val="72"/>
          <w:vertAlign w:val="baseline"/>
          <w:lang w:val="en-US" w:eastAsia="zh-CN"/>
        </w:rPr>
      </w:pPr>
      <w:bookmarkStart w:id="21" w:name="_Toc17381"/>
      <w:r>
        <w:rPr>
          <w:rFonts w:hint="eastAsia" w:ascii="华文新魏" w:hAnsi="华文新魏" w:eastAsia="华文新魏" w:cs="华文新魏"/>
          <w:b/>
          <w:bCs/>
          <w:sz w:val="72"/>
          <w:szCs w:val="72"/>
          <w:vertAlign w:val="baseline"/>
          <w:lang w:val="en-US" w:eastAsia="zh-CN"/>
        </w:rPr>
        <w:t>电磁环境影响评价专题</w:t>
      </w:r>
      <w:bookmarkEnd w:id="21"/>
    </w:p>
    <w:p>
      <w:pPr>
        <w:pStyle w:val="3"/>
        <w:keepNext w:val="0"/>
        <w:keepLines w:val="0"/>
        <w:pageBreakBefore w:val="0"/>
        <w:widowControl/>
        <w:kinsoku/>
        <w:wordWrap/>
        <w:overflowPunct/>
        <w:topLinePunct w:val="0"/>
        <w:autoSpaceDE w:val="0"/>
        <w:autoSpaceDN w:val="0"/>
        <w:bidi w:val="0"/>
        <w:adjustRightInd/>
        <w:snapToGrid/>
        <w:spacing w:line="480" w:lineRule="auto"/>
        <w:ind w:left="0" w:leftChars="0" w:firstLine="0" w:firstLineChars="0"/>
        <w:jc w:val="center"/>
        <w:textAlignment w:val="auto"/>
        <w:rPr>
          <w:rFonts w:hint="eastAsia" w:ascii="宋体" w:hAnsi="宋体" w:eastAsia="宋体" w:cs="宋体"/>
          <w:b/>
          <w:bCs/>
          <w:sz w:val="40"/>
          <w:szCs w:val="40"/>
          <w:vertAlign w:val="baseline"/>
          <w:lang w:val="en-US" w:eastAsia="zh-CN"/>
        </w:rPr>
      </w:pPr>
    </w:p>
    <w:p>
      <w:pPr>
        <w:pStyle w:val="3"/>
        <w:keepNext w:val="0"/>
        <w:keepLines w:val="0"/>
        <w:pageBreakBefore w:val="0"/>
        <w:widowControl/>
        <w:kinsoku/>
        <w:wordWrap/>
        <w:overflowPunct/>
        <w:topLinePunct w:val="0"/>
        <w:autoSpaceDE w:val="0"/>
        <w:autoSpaceDN w:val="0"/>
        <w:bidi w:val="0"/>
        <w:adjustRightInd/>
        <w:snapToGrid/>
        <w:spacing w:line="480" w:lineRule="auto"/>
        <w:ind w:left="0" w:leftChars="0" w:firstLine="0" w:firstLineChars="0"/>
        <w:jc w:val="center"/>
        <w:textAlignment w:val="auto"/>
        <w:rPr>
          <w:rFonts w:hint="eastAsia" w:ascii="宋体" w:hAnsi="宋体" w:eastAsia="宋体" w:cs="宋体"/>
          <w:b/>
          <w:bCs/>
          <w:sz w:val="40"/>
          <w:szCs w:val="40"/>
          <w:vertAlign w:val="baseline"/>
          <w:lang w:val="en-US" w:eastAsia="zh-CN"/>
        </w:rPr>
      </w:pPr>
    </w:p>
    <w:p>
      <w:pPr>
        <w:pStyle w:val="3"/>
        <w:keepNext w:val="0"/>
        <w:keepLines w:val="0"/>
        <w:pageBreakBefore w:val="0"/>
        <w:widowControl/>
        <w:kinsoku/>
        <w:wordWrap/>
        <w:overflowPunct/>
        <w:topLinePunct w:val="0"/>
        <w:autoSpaceDE w:val="0"/>
        <w:autoSpaceDN w:val="0"/>
        <w:bidi w:val="0"/>
        <w:adjustRightInd/>
        <w:snapToGrid/>
        <w:spacing w:line="480" w:lineRule="auto"/>
        <w:ind w:left="0" w:leftChars="0" w:firstLine="0" w:firstLineChars="0"/>
        <w:jc w:val="center"/>
        <w:textAlignment w:val="auto"/>
        <w:rPr>
          <w:rFonts w:hint="eastAsia" w:ascii="宋体" w:hAnsi="宋体" w:eastAsia="宋体" w:cs="宋体"/>
          <w:b/>
          <w:bCs/>
          <w:sz w:val="40"/>
          <w:szCs w:val="40"/>
          <w:vertAlign w:val="baseline"/>
          <w:lang w:val="en-US" w:eastAsia="zh-CN"/>
        </w:rPr>
      </w:pPr>
    </w:p>
    <w:p>
      <w:pPr>
        <w:pStyle w:val="3"/>
        <w:keepNext w:val="0"/>
        <w:keepLines w:val="0"/>
        <w:pageBreakBefore w:val="0"/>
        <w:widowControl/>
        <w:kinsoku/>
        <w:wordWrap/>
        <w:overflowPunct/>
        <w:topLinePunct w:val="0"/>
        <w:autoSpaceDE w:val="0"/>
        <w:autoSpaceDN w:val="0"/>
        <w:bidi w:val="0"/>
        <w:adjustRightInd/>
        <w:snapToGrid/>
        <w:spacing w:line="480" w:lineRule="auto"/>
        <w:ind w:left="0" w:leftChars="0" w:firstLine="0" w:firstLineChars="0"/>
        <w:jc w:val="center"/>
        <w:textAlignment w:val="auto"/>
        <w:rPr>
          <w:rFonts w:hint="eastAsia" w:ascii="宋体" w:hAnsi="宋体" w:eastAsia="宋体" w:cs="宋体"/>
          <w:b/>
          <w:bCs/>
          <w:sz w:val="40"/>
          <w:szCs w:val="40"/>
          <w:vertAlign w:val="baseline"/>
          <w:lang w:val="en-US" w:eastAsia="zh-CN"/>
        </w:rPr>
      </w:pPr>
    </w:p>
    <w:p>
      <w:pPr>
        <w:pStyle w:val="3"/>
        <w:keepNext w:val="0"/>
        <w:keepLines w:val="0"/>
        <w:pageBreakBefore w:val="0"/>
        <w:widowControl/>
        <w:kinsoku/>
        <w:wordWrap/>
        <w:overflowPunct/>
        <w:topLinePunct w:val="0"/>
        <w:autoSpaceDE w:val="0"/>
        <w:autoSpaceDN w:val="0"/>
        <w:bidi w:val="0"/>
        <w:adjustRightInd/>
        <w:snapToGrid/>
        <w:spacing w:line="480" w:lineRule="auto"/>
        <w:ind w:left="0" w:leftChars="0" w:firstLine="0" w:firstLineChars="0"/>
        <w:jc w:val="center"/>
        <w:textAlignment w:val="auto"/>
        <w:rPr>
          <w:rFonts w:hint="eastAsia" w:ascii="宋体" w:hAnsi="宋体" w:eastAsia="宋体" w:cs="宋体"/>
          <w:b/>
          <w:bCs/>
          <w:sz w:val="40"/>
          <w:szCs w:val="40"/>
          <w:vertAlign w:val="baseline"/>
          <w:lang w:val="en-US" w:eastAsia="zh-CN"/>
        </w:rPr>
      </w:pPr>
    </w:p>
    <w:p>
      <w:pPr>
        <w:pStyle w:val="3"/>
        <w:keepNext w:val="0"/>
        <w:keepLines w:val="0"/>
        <w:pageBreakBefore w:val="0"/>
        <w:widowControl/>
        <w:kinsoku/>
        <w:wordWrap/>
        <w:overflowPunct/>
        <w:topLinePunct w:val="0"/>
        <w:autoSpaceDE w:val="0"/>
        <w:autoSpaceDN w:val="0"/>
        <w:bidi w:val="0"/>
        <w:adjustRightInd/>
        <w:snapToGrid/>
        <w:spacing w:line="480" w:lineRule="auto"/>
        <w:ind w:left="0" w:leftChars="0" w:firstLine="0" w:firstLineChars="0"/>
        <w:jc w:val="center"/>
        <w:textAlignment w:val="auto"/>
        <w:rPr>
          <w:rFonts w:hint="eastAsia" w:ascii="宋体" w:hAnsi="宋体" w:eastAsia="宋体" w:cs="宋体"/>
          <w:b/>
          <w:bCs/>
          <w:sz w:val="40"/>
          <w:szCs w:val="40"/>
          <w:vertAlign w:val="baseline"/>
          <w:lang w:val="en-US" w:eastAsia="zh-CN"/>
        </w:rPr>
      </w:pPr>
    </w:p>
    <w:p>
      <w:pPr>
        <w:pStyle w:val="3"/>
        <w:keepNext w:val="0"/>
        <w:keepLines w:val="0"/>
        <w:pageBreakBefore w:val="0"/>
        <w:widowControl/>
        <w:kinsoku/>
        <w:wordWrap/>
        <w:overflowPunct/>
        <w:topLinePunct w:val="0"/>
        <w:autoSpaceDE w:val="0"/>
        <w:autoSpaceDN w:val="0"/>
        <w:bidi w:val="0"/>
        <w:adjustRightInd/>
        <w:snapToGrid/>
        <w:spacing w:line="480" w:lineRule="auto"/>
        <w:ind w:left="0" w:leftChars="0" w:firstLine="0" w:firstLineChars="0"/>
        <w:jc w:val="center"/>
        <w:textAlignment w:val="auto"/>
        <w:rPr>
          <w:rFonts w:hint="eastAsia" w:ascii="宋体" w:hAnsi="宋体" w:eastAsia="宋体" w:cs="宋体"/>
          <w:b/>
          <w:bCs/>
          <w:sz w:val="40"/>
          <w:szCs w:val="40"/>
          <w:vertAlign w:val="baseline"/>
          <w:lang w:val="en-US" w:eastAsia="zh-CN"/>
        </w:rPr>
      </w:pPr>
    </w:p>
    <w:p>
      <w:pPr>
        <w:pStyle w:val="3"/>
        <w:keepNext w:val="0"/>
        <w:keepLines w:val="0"/>
        <w:pageBreakBefore w:val="0"/>
        <w:widowControl/>
        <w:kinsoku/>
        <w:wordWrap/>
        <w:overflowPunct/>
        <w:topLinePunct w:val="0"/>
        <w:autoSpaceDE w:val="0"/>
        <w:autoSpaceDN w:val="0"/>
        <w:bidi w:val="0"/>
        <w:adjustRightInd/>
        <w:snapToGrid/>
        <w:spacing w:line="480" w:lineRule="auto"/>
        <w:ind w:left="0" w:leftChars="0" w:firstLine="0" w:firstLineChars="0"/>
        <w:jc w:val="center"/>
        <w:textAlignment w:val="auto"/>
        <w:rPr>
          <w:rFonts w:hint="eastAsia" w:ascii="宋体" w:hAnsi="宋体" w:eastAsia="宋体" w:cs="宋体"/>
          <w:b/>
          <w:bCs/>
          <w:sz w:val="40"/>
          <w:szCs w:val="40"/>
          <w:vertAlign w:val="baseline"/>
          <w:lang w:val="en-US" w:eastAsia="zh-CN"/>
        </w:rPr>
      </w:pPr>
    </w:p>
    <w:p>
      <w:pPr>
        <w:pStyle w:val="3"/>
        <w:keepNext w:val="0"/>
        <w:keepLines w:val="0"/>
        <w:pageBreakBefore w:val="0"/>
        <w:widowControl/>
        <w:kinsoku/>
        <w:wordWrap/>
        <w:overflowPunct/>
        <w:topLinePunct w:val="0"/>
        <w:autoSpaceDE w:val="0"/>
        <w:autoSpaceDN w:val="0"/>
        <w:bidi w:val="0"/>
        <w:adjustRightInd/>
        <w:snapToGrid/>
        <w:spacing w:line="480" w:lineRule="auto"/>
        <w:ind w:left="0" w:leftChars="0" w:firstLine="0" w:firstLineChars="0"/>
        <w:jc w:val="center"/>
        <w:textAlignment w:val="auto"/>
        <w:rPr>
          <w:rFonts w:hint="eastAsia" w:ascii="宋体" w:hAnsi="宋体" w:eastAsia="宋体" w:cs="宋体"/>
          <w:b/>
          <w:bCs/>
          <w:sz w:val="40"/>
          <w:szCs w:val="40"/>
          <w:vertAlign w:val="baseline"/>
          <w:lang w:val="en-US" w:eastAsia="zh-CN"/>
        </w:rPr>
      </w:pPr>
    </w:p>
    <w:tbl>
      <w:tblPr>
        <w:tblStyle w:val="15"/>
        <w:tblW w:w="88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0"/>
        <w:gridCol w:w="65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8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b/>
                <w:bCs/>
                <w:sz w:val="40"/>
                <w:szCs w:val="40"/>
                <w:vertAlign w:val="baseline"/>
                <w:lang w:val="en-US" w:eastAsia="zh-CN"/>
              </w:rPr>
            </w:pPr>
            <w:r>
              <w:rPr>
                <w:rFonts w:hint="eastAsia" w:ascii="宋体" w:hAnsi="宋体" w:eastAsia="宋体" w:cs="宋体"/>
                <w:b/>
                <w:bCs/>
                <w:sz w:val="32"/>
                <w:szCs w:val="32"/>
                <w:vertAlign w:val="baseline"/>
                <w:lang w:val="en-US" w:eastAsia="zh-CN"/>
              </w:rPr>
              <w:t>建设单位：</w:t>
            </w:r>
          </w:p>
        </w:tc>
        <w:tc>
          <w:tcPr>
            <w:tcW w:w="6556" w:type="dxa"/>
            <w:vAlign w:val="center"/>
          </w:tcPr>
          <w:p>
            <w:pPr>
              <w:pStyle w:val="3"/>
              <w:keepNext w:val="0"/>
              <w:keepLines w:val="0"/>
              <w:pageBreakBefore w:val="0"/>
              <w:widowControl/>
              <w:kinsoku/>
              <w:wordWrap/>
              <w:overflowPunct/>
              <w:topLinePunct w:val="0"/>
              <w:autoSpaceDE w:val="0"/>
              <w:autoSpaceDN w:val="0"/>
              <w:bidi w:val="0"/>
              <w:adjustRightInd/>
              <w:snapToGrid/>
              <w:spacing w:line="480" w:lineRule="auto"/>
              <w:ind w:left="0" w:leftChars="0" w:firstLine="0" w:firstLineChars="0"/>
              <w:jc w:val="center"/>
              <w:textAlignment w:val="auto"/>
              <w:rPr>
                <w:rFonts w:hint="eastAsia" w:ascii="宋体" w:hAnsi="宋体" w:eastAsia="宋体" w:cs="宋体"/>
                <w:b/>
                <w:bCs/>
                <w:sz w:val="40"/>
                <w:szCs w:val="40"/>
                <w:vertAlign w:val="baseline"/>
                <w:lang w:val="en-US" w:eastAsia="zh-CN"/>
              </w:rPr>
            </w:pPr>
            <w:r>
              <w:rPr>
                <w:rFonts w:hint="eastAsia" w:ascii="宋体" w:hAnsi="宋体" w:eastAsia="宋体" w:cs="宋体"/>
                <w:b/>
                <w:bCs/>
                <w:sz w:val="32"/>
                <w:szCs w:val="32"/>
                <w:vertAlign w:val="baseline"/>
                <w:lang w:val="en-US" w:eastAsia="zh-CN"/>
              </w:rPr>
              <w:t>国家电投集团吴起高胜新能源发电有限公司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28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b/>
                <w:bCs/>
                <w:sz w:val="40"/>
                <w:szCs w:val="40"/>
                <w:vertAlign w:val="baseline"/>
                <w:lang w:val="en-US" w:eastAsia="zh-CN"/>
              </w:rPr>
            </w:pPr>
            <w:r>
              <w:rPr>
                <w:rFonts w:hint="eastAsia" w:ascii="宋体" w:hAnsi="宋体" w:eastAsia="宋体" w:cs="宋体"/>
                <w:b/>
                <w:bCs/>
                <w:sz w:val="32"/>
                <w:szCs w:val="32"/>
                <w:vertAlign w:val="baseline"/>
                <w:lang w:val="en-US" w:eastAsia="zh-CN"/>
              </w:rPr>
              <w:t>评价单位：</w:t>
            </w:r>
          </w:p>
        </w:tc>
        <w:tc>
          <w:tcPr>
            <w:tcW w:w="655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宋体" w:hAnsi="宋体" w:eastAsia="宋体" w:cs="宋体"/>
                <w:b/>
                <w:bCs/>
                <w:sz w:val="40"/>
                <w:szCs w:val="40"/>
                <w:vertAlign w:val="baseline"/>
                <w:lang w:val="en-US" w:eastAsia="zh-CN"/>
              </w:rPr>
            </w:pPr>
            <w:r>
              <w:rPr>
                <w:rFonts w:hint="eastAsia" w:ascii="宋体" w:hAnsi="宋体" w:eastAsia="宋体" w:cs="宋体"/>
                <w:b/>
                <w:bCs/>
                <w:sz w:val="32"/>
                <w:szCs w:val="32"/>
                <w:vertAlign w:val="baseline"/>
                <w:lang w:val="en-US" w:eastAsia="zh-CN"/>
              </w:rPr>
              <w:t>西安海浪环保科技有限公司</w:t>
            </w:r>
          </w:p>
        </w:tc>
      </w:tr>
    </w:tbl>
    <w:p>
      <w:pPr>
        <w:pStyle w:val="3"/>
        <w:keepNext w:val="0"/>
        <w:keepLines w:val="0"/>
        <w:pageBreakBefore w:val="0"/>
        <w:widowControl/>
        <w:kinsoku/>
        <w:wordWrap/>
        <w:overflowPunct/>
        <w:topLinePunct w:val="0"/>
        <w:autoSpaceDE w:val="0"/>
        <w:autoSpaceDN w:val="0"/>
        <w:bidi w:val="0"/>
        <w:adjustRightInd/>
        <w:snapToGrid/>
        <w:spacing w:line="480" w:lineRule="auto"/>
        <w:ind w:left="0" w:leftChars="0" w:firstLine="0" w:firstLineChars="0"/>
        <w:jc w:val="center"/>
        <w:textAlignment w:val="auto"/>
        <w:rPr>
          <w:rFonts w:hint="eastAsia" w:ascii="宋体" w:hAnsi="宋体" w:eastAsia="宋体" w:cs="宋体"/>
          <w:b/>
          <w:bCs/>
          <w:sz w:val="40"/>
          <w:szCs w:val="40"/>
          <w:vertAlign w:val="baseline"/>
          <w:lang w:val="en-US" w:eastAsia="zh-CN"/>
        </w:rPr>
      </w:pPr>
    </w:p>
    <w:p>
      <w:pPr>
        <w:pStyle w:val="3"/>
        <w:keepNext w:val="0"/>
        <w:keepLines w:val="0"/>
        <w:pageBreakBefore w:val="0"/>
        <w:widowControl/>
        <w:kinsoku/>
        <w:wordWrap/>
        <w:overflowPunct/>
        <w:topLinePunct w:val="0"/>
        <w:autoSpaceDE w:val="0"/>
        <w:autoSpaceDN w:val="0"/>
        <w:bidi w:val="0"/>
        <w:adjustRightInd/>
        <w:snapToGrid/>
        <w:spacing w:line="480" w:lineRule="auto"/>
        <w:ind w:left="0" w:leftChars="0" w:firstLine="0" w:firstLineChars="0"/>
        <w:jc w:val="center"/>
        <w:textAlignment w:val="auto"/>
        <w:outlineLvl w:val="0"/>
        <w:rPr>
          <w:rFonts w:hint="eastAsia" w:ascii="宋体" w:hAnsi="宋体" w:eastAsia="宋体" w:cs="宋体"/>
          <w:b/>
          <w:bCs/>
          <w:sz w:val="32"/>
          <w:szCs w:val="32"/>
          <w:vertAlign w:val="baseline"/>
          <w:lang w:val="en-US" w:eastAsia="zh-CN"/>
        </w:rPr>
      </w:pPr>
      <w:bookmarkStart w:id="22" w:name="_Toc21604"/>
      <w:r>
        <w:rPr>
          <w:rFonts w:hint="eastAsia" w:ascii="宋体" w:hAnsi="宋体" w:eastAsia="宋体" w:cs="宋体"/>
          <w:b/>
          <w:bCs/>
          <w:sz w:val="32"/>
          <w:szCs w:val="32"/>
          <w:vertAlign w:val="baseline"/>
          <w:lang w:val="en-US" w:eastAsia="zh-CN"/>
        </w:rPr>
        <w:t>2020年8月</w:t>
      </w:r>
      <w:bookmarkEnd w:id="22"/>
    </w:p>
    <w:p>
      <w:pPr>
        <w:rPr>
          <w:rFonts w:hint="eastAsia" w:ascii="宋体" w:hAnsi="宋体" w:eastAsia="宋体" w:cs="宋体"/>
          <w:b/>
          <w:bCs/>
          <w:sz w:val="32"/>
          <w:szCs w:val="32"/>
          <w:vertAlign w:val="baseline"/>
          <w:lang w:val="en-US" w:eastAsia="zh-CN"/>
        </w:rPr>
      </w:pPr>
      <w:r>
        <w:rPr>
          <w:rFonts w:hint="eastAsia" w:ascii="宋体" w:hAnsi="宋体" w:eastAsia="宋体" w:cs="宋体"/>
          <w:b/>
          <w:bCs/>
          <w:sz w:val="32"/>
          <w:szCs w:val="32"/>
          <w:vertAlign w:val="baseline"/>
          <w:lang w:val="en-US" w:eastAsia="zh-CN"/>
        </w:rPr>
        <w:br w:type="page"/>
      </w:r>
    </w:p>
    <w:p>
      <w:pPr>
        <w:rPr>
          <w:rFonts w:hint="default" w:ascii="宋体" w:hAnsi="宋体" w:eastAsia="宋体" w:cs="宋体"/>
          <w:b/>
          <w:bCs/>
          <w:sz w:val="32"/>
          <w:szCs w:val="32"/>
          <w:vertAlign w:val="baseline"/>
          <w:lang w:val="en-US" w:eastAsia="zh-CN"/>
        </w:rPr>
      </w:pPr>
      <w:r>
        <w:rPr>
          <w:rFonts w:hint="default" w:ascii="宋体" w:hAnsi="宋体" w:eastAsia="宋体" w:cs="宋体"/>
          <w:b/>
          <w:bCs/>
          <w:sz w:val="32"/>
          <w:szCs w:val="32"/>
          <w:vertAlign w:val="baseline"/>
          <w:lang w:val="en-US" w:eastAsia="zh-CN"/>
        </w:rPr>
        <w:br w:type="page"/>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outlineLvl w:val="0"/>
        <w:rPr>
          <w:rFonts w:hint="eastAsia" w:ascii="宋体" w:hAnsi="宋体" w:eastAsia="宋体" w:cs="宋体"/>
          <w:b/>
          <w:bCs/>
          <w:sz w:val="32"/>
          <w:szCs w:val="32"/>
          <w:vertAlign w:val="baseline"/>
          <w:lang w:val="en-US" w:eastAsia="zh-CN"/>
        </w:rPr>
      </w:pPr>
      <w:bookmarkStart w:id="23" w:name="_Toc21780"/>
      <w:r>
        <w:rPr>
          <w:rFonts w:hint="eastAsia" w:ascii="宋体" w:hAnsi="宋体" w:eastAsia="宋体" w:cs="宋体"/>
          <w:b/>
          <w:bCs/>
          <w:sz w:val="32"/>
          <w:szCs w:val="32"/>
          <w:vertAlign w:val="baseline"/>
          <w:lang w:val="en-US" w:eastAsia="zh-CN"/>
        </w:rPr>
        <w:t>1 项目概况</w:t>
      </w:r>
      <w:bookmarkEnd w:id="23"/>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480" w:firstLineChars="200"/>
        <w:jc w:val="left"/>
        <w:textAlignment w:val="auto"/>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vertAlign w:val="baseline"/>
          <w:lang w:val="en-US" w:eastAsia="zh-CN" w:bidi="ar-SA"/>
        </w:rPr>
        <w:t>国家电投集团吴起高胜新能源发电有限公司</w:t>
      </w:r>
      <w:r>
        <w:rPr>
          <w:rFonts w:hint="eastAsia" w:ascii="Times New Roman" w:hAnsi="Times New Roman" w:cs="Times New Roman" w:eastAsiaTheme="minorEastAsia"/>
          <w:b w:val="0"/>
          <w:bCs w:val="0"/>
          <w:color w:val="auto"/>
          <w:kern w:val="2"/>
          <w:sz w:val="24"/>
          <w:szCs w:val="24"/>
          <w:vertAlign w:val="baseline"/>
          <w:lang w:val="en-US" w:eastAsia="zh-CN" w:bidi="ar-SA"/>
        </w:rPr>
        <w:t>拟建</w:t>
      </w:r>
      <w:r>
        <w:rPr>
          <w:rFonts w:hint="eastAsia" w:ascii="Times New Roman" w:hAnsi="Times New Roman" w:eastAsia="宋体" w:cs="Times New Roman"/>
          <w:b w:val="0"/>
          <w:bCs w:val="0"/>
          <w:sz w:val="24"/>
          <w:szCs w:val="22"/>
          <w:vertAlign w:val="baseline"/>
          <w:lang w:val="en-US" w:eastAsia="zh-CN"/>
        </w:rPr>
        <w:t>国家电投吴起高胜新能源50MW风电场110kV送出工程</w:t>
      </w:r>
      <w:r>
        <w:rPr>
          <w:rFonts w:hint="default" w:ascii="Times New Roman" w:hAnsi="Times New Roman" w:cs="Times New Roman" w:eastAsiaTheme="minorEastAsia"/>
          <w:b w:val="0"/>
          <w:bCs w:val="0"/>
          <w:color w:val="auto"/>
          <w:kern w:val="2"/>
          <w:sz w:val="24"/>
          <w:szCs w:val="24"/>
          <w:vertAlign w:val="baseline"/>
          <w:lang w:val="en-US" w:eastAsia="zh-CN" w:bidi="ar-SA"/>
        </w:rPr>
        <w:t>，</w:t>
      </w:r>
      <w:r>
        <w:rPr>
          <w:rFonts w:hint="eastAsia" w:ascii="Times New Roman" w:hAnsi="Times New Roman" w:eastAsia="宋体" w:cs="Times New Roman"/>
          <w:b w:val="0"/>
          <w:bCs/>
          <w:color w:val="auto"/>
          <w:kern w:val="2"/>
          <w:sz w:val="24"/>
          <w:szCs w:val="24"/>
          <w:highlight w:val="none"/>
          <w:vertAlign w:val="baseline"/>
          <w:lang w:val="en-US" w:eastAsia="zh-CN" w:bidi="ar-SA"/>
        </w:rPr>
        <w:t>线路起点位于延安市吴起县周湾高胜50MW风电项目110kV升压站，终点位于吴起县周湾镇石宝湾村西南侧已建110kV树周线28#塔小号侧“T”接点</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，新建架空线路长度约7.105km。</w:t>
      </w: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项目总投资1049.99万元。</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outlineLvl w:val="0"/>
        <w:rPr>
          <w:rFonts w:hint="default" w:ascii="宋体" w:hAnsi="宋体" w:eastAsia="宋体" w:cs="宋体"/>
          <w:b/>
          <w:bCs/>
          <w:sz w:val="32"/>
          <w:szCs w:val="32"/>
          <w:vertAlign w:val="baseline"/>
          <w:lang w:val="en-US" w:eastAsia="zh-CN"/>
        </w:rPr>
      </w:pPr>
      <w:bookmarkStart w:id="24" w:name="_Toc6381"/>
      <w:r>
        <w:rPr>
          <w:rFonts w:hint="eastAsia" w:ascii="宋体" w:hAnsi="宋体" w:eastAsia="宋体" w:cs="宋体"/>
          <w:b/>
          <w:bCs/>
          <w:sz w:val="32"/>
          <w:szCs w:val="32"/>
          <w:vertAlign w:val="baseline"/>
          <w:lang w:val="en-US" w:eastAsia="zh-CN"/>
        </w:rPr>
        <w:t>2 相关法律、法规和技术规范</w:t>
      </w:r>
      <w:bookmarkEnd w:id="24"/>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480" w:firstLineChars="200"/>
        <w:jc w:val="left"/>
        <w:textAlignment w:val="auto"/>
        <w:outlineLvl w:val="0"/>
        <w:rPr>
          <w:rFonts w:hint="default" w:ascii="Times New Roman" w:hAnsi="Times New Roman" w:eastAsia="宋体" w:cs="Times New Roman"/>
          <w:bCs/>
          <w:color w:val="auto"/>
          <w:kern w:val="2"/>
          <w:sz w:val="24"/>
          <w:szCs w:val="24"/>
          <w:lang w:val="en-US" w:eastAsia="zh-CN" w:bidi="ar-SA"/>
        </w:rPr>
      </w:pPr>
      <w:bookmarkStart w:id="25" w:name="_Toc9810"/>
      <w:r>
        <w:rPr>
          <w:rFonts w:hint="default" w:ascii="Times New Roman" w:hAnsi="Times New Roman" w:eastAsia="宋体" w:cs="Times New Roman"/>
          <w:bCs/>
          <w:color w:val="auto"/>
          <w:kern w:val="2"/>
          <w:sz w:val="24"/>
          <w:szCs w:val="24"/>
          <w:lang w:val="en-US" w:eastAsia="zh-CN" w:bidi="ar-SA"/>
        </w:rPr>
        <w:t>（1）《环境影响评价技术导则 输变电工程》（HJ24-2014）；</w:t>
      </w:r>
      <w:bookmarkEnd w:id="25"/>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eastAsia="宋体" w:cs="Times New Roman"/>
          <w:bCs/>
          <w:color w:val="auto"/>
          <w:kern w:val="2"/>
          <w:sz w:val="24"/>
          <w:szCs w:val="24"/>
          <w:lang w:val="en-US" w:eastAsia="zh-CN" w:bidi="ar-SA"/>
        </w:rPr>
      </w:pPr>
      <w:r>
        <w:rPr>
          <w:rFonts w:hint="default" w:ascii="Times New Roman" w:hAnsi="Times New Roman" w:eastAsia="宋体" w:cs="Times New Roman"/>
          <w:bCs/>
          <w:color w:val="auto"/>
          <w:kern w:val="2"/>
          <w:sz w:val="24"/>
          <w:szCs w:val="24"/>
          <w:lang w:val="en-US" w:eastAsia="zh-CN" w:bidi="ar-SA"/>
        </w:rPr>
        <w:t>（2）《电磁环境控制限值》（GB8702-2014）；</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cs="Times New Roman"/>
          <w:bCs/>
          <w:color w:val="auto"/>
          <w:kern w:val="2"/>
          <w:sz w:val="24"/>
          <w:szCs w:val="24"/>
          <w:lang w:val="en-US" w:eastAsia="zh-CN" w:bidi="ar-SA"/>
        </w:rPr>
        <w:t>（3）《110kV~750kV架空输电线路设计规范》（GB50545-2010）；</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（4）</w:t>
      </w:r>
      <w:r>
        <w:rPr>
          <w:rFonts w:hint="default" w:ascii="Times New Roman" w:hAnsi="Times New Roman" w:eastAsia="宋体" w:cs="Times New Roman"/>
          <w:bCs/>
          <w:color w:val="auto"/>
          <w:kern w:val="2"/>
          <w:sz w:val="24"/>
          <w:szCs w:val="24"/>
          <w:lang w:val="en-US" w:eastAsia="zh-CN" w:bidi="ar-SA"/>
        </w:rPr>
        <w:t>《交流输变电工程电磁环境监测方法（试行）》（HJ681-2013）；</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（5）《国家电投集团吴起高胜新能源发电有限公司吴起高胜50MW风电项目110kV送出工程可行性研究报告》（2020.4）；</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（6）《吴起高胜T接长城一期风电～周湾风电升压站110kV线路工程初步设计阶段》（2020.6）；</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（7）建设单位提供的其他资料。</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outlineLvl w:val="0"/>
        <w:rPr>
          <w:rFonts w:hint="default" w:ascii="宋体" w:hAnsi="宋体" w:eastAsia="宋体" w:cs="宋体"/>
          <w:b/>
          <w:bCs/>
          <w:sz w:val="32"/>
          <w:szCs w:val="32"/>
          <w:vertAlign w:val="baseline"/>
          <w:lang w:val="en-US" w:eastAsia="zh-CN"/>
        </w:rPr>
      </w:pPr>
      <w:bookmarkStart w:id="26" w:name="_Toc13124"/>
      <w:r>
        <w:rPr>
          <w:rFonts w:hint="eastAsia" w:ascii="宋体" w:hAnsi="宋体" w:eastAsia="宋体" w:cs="宋体"/>
          <w:b/>
          <w:bCs/>
          <w:sz w:val="32"/>
          <w:szCs w:val="32"/>
          <w:vertAlign w:val="baseline"/>
          <w:lang w:val="en-US" w:eastAsia="zh-CN"/>
        </w:rPr>
        <w:t>3 评价范围、评价因子及评价标准</w:t>
      </w:r>
      <w:bookmarkEnd w:id="26"/>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28"/>
          <w:highlight w:val="none"/>
          <w:vertAlign w:val="baseline"/>
          <w:lang w:val="en-US" w:eastAsia="zh-CN" w:bidi="ar-SA"/>
        </w:rPr>
      </w:pPr>
      <w:r>
        <w:rPr>
          <w:rFonts w:hint="eastAsia" w:ascii="Times New Roman" w:hAnsi="Times New Roman" w:cs="Times New Roman" w:eastAsiaTheme="minorEastAsia"/>
          <w:b/>
          <w:bCs/>
          <w:color w:val="auto"/>
          <w:kern w:val="2"/>
          <w:sz w:val="28"/>
          <w:szCs w:val="28"/>
          <w:highlight w:val="none"/>
          <w:vertAlign w:val="baseline"/>
          <w:lang w:val="en-US" w:eastAsia="zh-CN" w:bidi="ar-SA"/>
        </w:rPr>
        <w:t>3.1 评价等级</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根据《环境影响评价技术导则输变电工程》（HJ24-2014），110kV输变电</w:t>
      </w: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线路</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工程电磁环境影响评价工作等级的划分见表</w:t>
      </w: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3</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-1。</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b/>
          <w:bCs/>
          <w:color w:val="auto"/>
          <w:kern w:val="2"/>
          <w:sz w:val="21"/>
          <w:szCs w:val="21"/>
          <w:lang w:val="en-US" w:eastAsia="zh-CN" w:bidi="ar-SA"/>
        </w:rPr>
        <w:t>表3-1  110kV输变电工程电磁环境影响评价工作等级</w:t>
      </w:r>
    </w:p>
    <w:tbl>
      <w:tblPr>
        <w:tblStyle w:val="1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305"/>
        <w:gridCol w:w="915"/>
        <w:gridCol w:w="4590"/>
        <w:gridCol w:w="1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分类</w:t>
            </w:r>
          </w:p>
        </w:tc>
        <w:tc>
          <w:tcPr>
            <w:tcW w:w="130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电压等级</w:t>
            </w:r>
          </w:p>
        </w:tc>
        <w:tc>
          <w:tcPr>
            <w:tcW w:w="915"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工程</w:t>
            </w:r>
          </w:p>
        </w:tc>
        <w:tc>
          <w:tcPr>
            <w:tcW w:w="459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条件</w:t>
            </w:r>
          </w:p>
        </w:tc>
        <w:tc>
          <w:tcPr>
            <w:tcW w:w="175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评价工作等级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交流</w:t>
            </w:r>
          </w:p>
        </w:tc>
        <w:tc>
          <w:tcPr>
            <w:tcW w:w="1305"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110kV</w:t>
            </w:r>
          </w:p>
        </w:tc>
        <w:tc>
          <w:tcPr>
            <w:tcW w:w="915"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输电线路</w:t>
            </w:r>
          </w:p>
        </w:tc>
        <w:tc>
          <w:tcPr>
            <w:tcW w:w="459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1.</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地下电缆</w:t>
            </w:r>
          </w:p>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2</w:t>
            </w: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边导线地面投影外两侧各10m范围内无电磁环境敏感目标的架空线</w:t>
            </w:r>
          </w:p>
        </w:tc>
        <w:tc>
          <w:tcPr>
            <w:tcW w:w="175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p>
        </w:tc>
        <w:tc>
          <w:tcPr>
            <w:tcW w:w="1305"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p>
        </w:tc>
        <w:tc>
          <w:tcPr>
            <w:tcW w:w="915"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p>
        </w:tc>
        <w:tc>
          <w:tcPr>
            <w:tcW w:w="459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边导线地面投影外两侧各10m范围内有电磁环境敏感目标的架空线</w:t>
            </w:r>
          </w:p>
        </w:tc>
        <w:tc>
          <w:tcPr>
            <w:tcW w:w="1754"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5"/>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注：根据同电压等级的变电站确定开关站、串补站的电磁环境影响评价工作等级，根据直流侧电压等级确定换流站的电磁环境影响评价工作等</w:t>
            </w:r>
          </w:p>
        </w:tc>
      </w:tr>
    </w:tbl>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本工程拟建</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7.105km</w:t>
      </w: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架空输电线路，输电线路电压等级为110kV；边导线地面投影外两侧10m范围内无电磁环境敏感目标。本工程电磁环境影响工作等级为三级。</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28"/>
          <w:highlight w:val="none"/>
          <w:vertAlign w:val="baseline"/>
          <w:lang w:val="en-US" w:eastAsia="zh-CN" w:bidi="ar-SA"/>
        </w:rPr>
      </w:pPr>
      <w:r>
        <w:rPr>
          <w:rFonts w:hint="eastAsia" w:ascii="Times New Roman" w:hAnsi="Times New Roman" w:cs="Times New Roman" w:eastAsiaTheme="minorEastAsia"/>
          <w:b/>
          <w:bCs/>
          <w:color w:val="auto"/>
          <w:kern w:val="2"/>
          <w:sz w:val="28"/>
          <w:szCs w:val="28"/>
          <w:highlight w:val="none"/>
          <w:vertAlign w:val="baseline"/>
          <w:lang w:val="en-US" w:eastAsia="zh-CN" w:bidi="ar-SA"/>
        </w:rPr>
        <w:t>3.2 评价范围</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110kV架空输电线路评价范围为边导线地面投影外两侧各30m</w:t>
      </w: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w:t>
      </w:r>
    </w:p>
    <w:p>
      <w:pPr>
        <w:pStyle w:val="18"/>
        <w:keepNext w:val="0"/>
        <w:keepLines w:val="0"/>
        <w:pageBreakBefore w:val="0"/>
        <w:widowControl/>
        <w:kinsoku/>
        <w:wordWrap/>
        <w:overflowPunct/>
        <w:topLinePunct w:val="0"/>
        <w:autoSpaceDE w:val="0"/>
        <w:autoSpaceDN w:val="0"/>
        <w:bidi w:val="0"/>
        <w:adjustRightInd w:val="0"/>
        <w:snapToGrid/>
        <w:spacing w:line="360" w:lineRule="auto"/>
        <w:jc w:val="left"/>
        <w:textAlignment w:val="auto"/>
        <w:outlineLvl w:val="0"/>
        <w:rPr>
          <w:rFonts w:hint="default" w:ascii="Times New Roman" w:hAnsi="Times New Roman" w:cs="Times New Roman" w:eastAsiaTheme="minorEastAsia"/>
          <w:b/>
          <w:bCs/>
          <w:color w:val="auto"/>
          <w:kern w:val="2"/>
          <w:sz w:val="28"/>
          <w:szCs w:val="36"/>
          <w:lang w:val="en-US" w:eastAsia="zh-CN" w:bidi="ar-SA"/>
        </w:rPr>
      </w:pPr>
      <w:bookmarkStart w:id="27" w:name="_Toc27959"/>
      <w:r>
        <w:rPr>
          <w:rFonts w:hint="default" w:ascii="Times New Roman" w:hAnsi="Times New Roman" w:cs="Times New Roman" w:eastAsiaTheme="minorEastAsia"/>
          <w:b/>
          <w:bCs/>
          <w:color w:val="auto"/>
          <w:kern w:val="2"/>
          <w:sz w:val="28"/>
          <w:szCs w:val="36"/>
          <w:lang w:val="en-US" w:eastAsia="zh-CN" w:bidi="ar-SA"/>
        </w:rPr>
        <w:t>3.3 评价因子</w:t>
      </w:r>
      <w:bookmarkEnd w:id="27"/>
    </w:p>
    <w:p>
      <w:pPr>
        <w:pStyle w:val="18"/>
        <w:keepNext w:val="0"/>
        <w:keepLines w:val="0"/>
        <w:pageBreakBefore w:val="0"/>
        <w:widowControl/>
        <w:kinsoku/>
        <w:wordWrap/>
        <w:overflowPunct/>
        <w:topLinePunct w:val="0"/>
        <w:autoSpaceDE w:val="0"/>
        <w:autoSpaceDN w:val="0"/>
        <w:bidi w:val="0"/>
        <w:adjustRightInd w:val="0"/>
        <w:snapToGrid/>
        <w:spacing w:line="360" w:lineRule="auto"/>
        <w:jc w:val="left"/>
        <w:textAlignment w:val="auto"/>
        <w:outlineLvl w:val="0"/>
        <w:rPr>
          <w:rFonts w:hint="default" w:ascii="Times New Roman" w:hAnsi="Times New Roman" w:cs="Times New Roman" w:eastAsiaTheme="minorEastAsia"/>
          <w:b/>
          <w:bCs/>
          <w:color w:val="auto"/>
          <w:kern w:val="2"/>
          <w:sz w:val="28"/>
          <w:szCs w:val="36"/>
          <w:lang w:val="en-US" w:eastAsia="zh-CN" w:bidi="ar-SA"/>
        </w:rPr>
      </w:pPr>
      <w:bookmarkStart w:id="28" w:name="_Toc23667"/>
      <w:r>
        <w:rPr>
          <w:rFonts w:hint="default" w:ascii="Times New Roman" w:hAnsi="Times New Roman" w:cs="Times New Roman" w:eastAsiaTheme="minorEastAsia"/>
          <w:b/>
          <w:bCs/>
          <w:color w:val="auto"/>
          <w:kern w:val="2"/>
          <w:sz w:val="28"/>
          <w:szCs w:val="36"/>
          <w:lang w:val="en-US" w:eastAsia="zh-CN" w:bidi="ar-SA"/>
        </w:rPr>
        <w:t>3.3.1 工频电场</w:t>
      </w:r>
      <w:bookmarkEnd w:id="28"/>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480" w:firstLineChars="200"/>
        <w:jc w:val="left"/>
        <w:textAlignment w:val="auto"/>
        <w:outlineLvl w:val="0"/>
        <w:rPr>
          <w:rFonts w:hint="default" w:ascii="Times New Roman" w:hAnsi="Times New Roman" w:eastAsia="宋体" w:cs="Times New Roman"/>
          <w:b w:val="0"/>
          <w:bCs w:val="0"/>
          <w:color w:val="auto"/>
          <w:kern w:val="2"/>
          <w:sz w:val="24"/>
          <w:szCs w:val="24"/>
          <w:lang w:val="en-US" w:eastAsia="zh-CN" w:bidi="ar-SA"/>
        </w:rPr>
      </w:pPr>
      <w:bookmarkStart w:id="29" w:name="_Toc14642"/>
      <w:r>
        <w:rPr>
          <w:rFonts w:hint="default" w:ascii="Times New Roman" w:hAnsi="Times New Roman" w:eastAsia="宋体" w:cs="Times New Roman"/>
          <w:b w:val="0"/>
          <w:bCs w:val="0"/>
          <w:color w:val="auto"/>
          <w:kern w:val="2"/>
          <w:sz w:val="24"/>
          <w:szCs w:val="24"/>
          <w:lang w:val="en-US" w:eastAsia="zh-CN" w:bidi="ar-SA"/>
        </w:rPr>
        <w:t>工频电场</w:t>
      </w:r>
      <w:r>
        <w:rPr>
          <w:rFonts w:hint="eastAsia" w:ascii="Times New Roman" w:hAnsi="Times New Roman" w:cs="Times New Roman"/>
          <w:b w:val="0"/>
          <w:bCs w:val="0"/>
          <w:color w:val="auto"/>
          <w:kern w:val="2"/>
          <w:sz w:val="24"/>
          <w:szCs w:val="24"/>
          <w:lang w:val="en-US" w:eastAsia="zh-CN" w:bidi="ar-SA"/>
        </w:rPr>
        <w:t>强度</w:t>
      </w:r>
      <w:r>
        <w:rPr>
          <w:rFonts w:hint="default" w:ascii="Times New Roman" w:hAnsi="Times New Roman" w:eastAsia="宋体" w:cs="Times New Roman"/>
          <w:b w:val="0"/>
          <w:bCs w:val="0"/>
          <w:color w:val="auto"/>
          <w:kern w:val="2"/>
          <w:sz w:val="24"/>
          <w:szCs w:val="24"/>
          <w:lang w:val="en-US" w:eastAsia="zh-CN" w:bidi="ar-SA"/>
        </w:rPr>
        <w:t>，单位（kV/m或V/m）。</w:t>
      </w:r>
      <w:bookmarkEnd w:id="29"/>
    </w:p>
    <w:p>
      <w:pPr>
        <w:pStyle w:val="18"/>
        <w:keepNext w:val="0"/>
        <w:keepLines w:val="0"/>
        <w:pageBreakBefore w:val="0"/>
        <w:widowControl/>
        <w:kinsoku/>
        <w:wordWrap/>
        <w:overflowPunct/>
        <w:topLinePunct w:val="0"/>
        <w:autoSpaceDE w:val="0"/>
        <w:autoSpaceDN w:val="0"/>
        <w:bidi w:val="0"/>
        <w:adjustRightInd w:val="0"/>
        <w:snapToGrid/>
        <w:spacing w:line="360" w:lineRule="auto"/>
        <w:jc w:val="left"/>
        <w:textAlignment w:val="auto"/>
        <w:outlineLvl w:val="0"/>
        <w:rPr>
          <w:rFonts w:hint="default" w:ascii="Times New Roman" w:hAnsi="Times New Roman" w:cs="Times New Roman" w:eastAsiaTheme="minorEastAsia"/>
          <w:b/>
          <w:bCs/>
          <w:color w:val="auto"/>
          <w:kern w:val="2"/>
          <w:sz w:val="28"/>
          <w:szCs w:val="36"/>
          <w:lang w:val="en-US" w:eastAsia="zh-CN" w:bidi="ar-SA"/>
        </w:rPr>
      </w:pPr>
      <w:bookmarkStart w:id="30" w:name="_Toc24207"/>
      <w:r>
        <w:rPr>
          <w:rFonts w:hint="default" w:ascii="Times New Roman" w:hAnsi="Times New Roman" w:cs="Times New Roman" w:eastAsiaTheme="minorEastAsia"/>
          <w:b/>
          <w:bCs/>
          <w:color w:val="auto"/>
          <w:kern w:val="2"/>
          <w:sz w:val="28"/>
          <w:szCs w:val="36"/>
          <w:lang w:val="en-US" w:eastAsia="zh-CN" w:bidi="ar-SA"/>
        </w:rPr>
        <w:t>3.3.2 工频</w:t>
      </w:r>
      <w:r>
        <w:rPr>
          <w:rFonts w:hint="eastAsia" w:ascii="Times New Roman" w:hAnsi="Times New Roman" w:cs="Times New Roman" w:eastAsiaTheme="minorEastAsia"/>
          <w:b/>
          <w:bCs/>
          <w:color w:val="auto"/>
          <w:kern w:val="2"/>
          <w:sz w:val="28"/>
          <w:szCs w:val="36"/>
          <w:lang w:val="en-US" w:eastAsia="zh-CN" w:bidi="ar-SA"/>
        </w:rPr>
        <w:t>磁场</w:t>
      </w:r>
      <w:bookmarkEnd w:id="30"/>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480" w:firstLineChars="200"/>
        <w:jc w:val="left"/>
        <w:textAlignment w:val="auto"/>
        <w:outlineLvl w:val="0"/>
        <w:rPr>
          <w:rFonts w:hint="default" w:ascii="Times New Roman" w:hAnsi="Times New Roman" w:eastAsia="宋体" w:cs="Times New Roman"/>
          <w:b w:val="0"/>
          <w:bCs w:val="0"/>
          <w:color w:val="auto"/>
          <w:kern w:val="2"/>
          <w:sz w:val="24"/>
          <w:szCs w:val="24"/>
          <w:lang w:val="en-US" w:eastAsia="zh-CN" w:bidi="ar-SA"/>
        </w:rPr>
      </w:pPr>
      <w:bookmarkStart w:id="31" w:name="_Toc19163"/>
      <w:r>
        <w:rPr>
          <w:rFonts w:hint="default" w:ascii="Times New Roman" w:hAnsi="Times New Roman" w:eastAsia="宋体" w:cs="Times New Roman"/>
          <w:b w:val="0"/>
          <w:bCs w:val="0"/>
          <w:color w:val="auto"/>
          <w:kern w:val="2"/>
          <w:sz w:val="24"/>
          <w:szCs w:val="24"/>
          <w:lang w:val="en-US" w:eastAsia="zh-CN" w:bidi="ar-SA"/>
        </w:rPr>
        <w:t>工频</w:t>
      </w:r>
      <w:r>
        <w:rPr>
          <w:rFonts w:hint="eastAsia" w:ascii="Times New Roman" w:hAnsi="Times New Roman" w:cs="Times New Roman"/>
          <w:b w:val="0"/>
          <w:bCs w:val="0"/>
          <w:color w:val="auto"/>
          <w:kern w:val="2"/>
          <w:sz w:val="24"/>
          <w:szCs w:val="24"/>
          <w:lang w:val="en-US" w:eastAsia="zh-CN" w:bidi="ar-SA"/>
        </w:rPr>
        <w:t>磁感应强度</w:t>
      </w:r>
      <w:r>
        <w:rPr>
          <w:rFonts w:hint="default" w:ascii="Times New Roman" w:hAnsi="Times New Roman" w:eastAsia="宋体" w:cs="Times New Roman"/>
          <w:b w:val="0"/>
          <w:bCs w:val="0"/>
          <w:color w:val="auto"/>
          <w:kern w:val="2"/>
          <w:sz w:val="24"/>
          <w:szCs w:val="24"/>
          <w:lang w:val="en-US" w:eastAsia="zh-CN" w:bidi="ar-SA"/>
        </w:rPr>
        <w:t>，单位（mT或μT）。</w:t>
      </w:r>
      <w:bookmarkEnd w:id="31"/>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36"/>
          <w:lang w:val="en-US" w:eastAsia="zh-CN" w:bidi="ar-SA"/>
        </w:rPr>
      </w:pPr>
      <w:r>
        <w:rPr>
          <w:rFonts w:hint="eastAsia" w:ascii="Times New Roman" w:hAnsi="Times New Roman" w:cs="Times New Roman" w:eastAsiaTheme="minorEastAsia"/>
          <w:b/>
          <w:bCs/>
          <w:color w:val="auto"/>
          <w:kern w:val="2"/>
          <w:sz w:val="28"/>
          <w:szCs w:val="36"/>
          <w:lang w:val="en-US" w:eastAsia="zh-CN" w:bidi="ar-SA"/>
        </w:rPr>
        <w:t>3.4 评价标准</w:t>
      </w:r>
    </w:p>
    <w:p>
      <w:pPr>
        <w:pStyle w:val="18"/>
        <w:keepNext w:val="0"/>
        <w:keepLines w:val="0"/>
        <w:pageBreakBefore w:val="0"/>
        <w:widowControl/>
        <w:kinsoku/>
        <w:wordWrap/>
        <w:overflowPunct/>
        <w:topLinePunct w:val="0"/>
        <w:autoSpaceDE w:val="0"/>
        <w:autoSpaceDN w:val="0"/>
        <w:bidi w:val="0"/>
        <w:adjustRightInd w:val="0"/>
        <w:snapToGrid/>
        <w:spacing w:line="360" w:lineRule="auto"/>
        <w:ind w:firstLine="480" w:firstLineChars="200"/>
        <w:jc w:val="left"/>
        <w:textAlignment w:val="auto"/>
        <w:outlineLvl w:val="0"/>
        <w:rPr>
          <w:rFonts w:hint="default" w:ascii="Times New Roman" w:hAnsi="Times New Roman" w:eastAsia="宋体" w:cs="Times New Roman"/>
          <w:b w:val="0"/>
          <w:bCs w:val="0"/>
          <w:color w:val="auto"/>
          <w:kern w:val="2"/>
          <w:sz w:val="24"/>
          <w:szCs w:val="24"/>
          <w:lang w:val="en-US" w:eastAsia="zh-CN" w:bidi="ar-SA"/>
        </w:rPr>
      </w:pPr>
      <w:bookmarkStart w:id="32" w:name="_Toc833"/>
      <w:r>
        <w:rPr>
          <w:rFonts w:hint="default" w:ascii="Times New Roman" w:hAnsi="Times New Roman" w:eastAsia="宋体" w:cs="Times New Roman"/>
          <w:b w:val="0"/>
          <w:bCs w:val="0"/>
          <w:color w:val="auto"/>
          <w:kern w:val="2"/>
          <w:sz w:val="24"/>
          <w:szCs w:val="24"/>
          <w:lang w:val="en-US" w:eastAsia="zh-CN" w:bidi="ar-SA"/>
        </w:rPr>
        <w:t>依据项目特点及所处区域环境特征，电磁环境执行《电磁环境控制限值》（GB</w:t>
      </w:r>
      <w:r>
        <w:rPr>
          <w:rFonts w:hint="default" w:ascii="Times New Roman" w:hAnsi="Times New Roman" w:cs="Times New Roman"/>
          <w:b w:val="0"/>
          <w:bCs w:val="0"/>
          <w:color w:val="auto"/>
          <w:kern w:val="2"/>
          <w:sz w:val="24"/>
          <w:szCs w:val="24"/>
          <w:lang w:val="en-US" w:eastAsia="zh-CN" w:bidi="ar-SA"/>
        </w:rPr>
        <w:t>870</w:t>
      </w:r>
      <w:r>
        <w:rPr>
          <w:rFonts w:hint="default" w:ascii="Times New Roman" w:hAnsi="Times New Roman" w:eastAsia="宋体" w:cs="Times New Roman"/>
          <w:b w:val="0"/>
          <w:bCs w:val="0"/>
          <w:color w:val="auto"/>
          <w:kern w:val="2"/>
          <w:sz w:val="24"/>
          <w:szCs w:val="24"/>
          <w:lang w:val="en-US" w:eastAsia="zh-CN" w:bidi="ar-SA"/>
        </w:rPr>
        <w:t>2</w:t>
      </w:r>
      <w:r>
        <w:rPr>
          <w:rFonts w:hint="default" w:ascii="Times New Roman" w:hAnsi="Times New Roman"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2014）中的规定，具体标准限值见表3</w:t>
      </w:r>
      <w:r>
        <w:rPr>
          <w:rFonts w:hint="default" w:ascii="Times New Roman" w:hAnsi="Times New Roman" w:cs="Times New Roman"/>
          <w:b w:val="0"/>
          <w:bCs w:val="0"/>
          <w:color w:val="auto"/>
          <w:kern w:val="2"/>
          <w:sz w:val="24"/>
          <w:szCs w:val="24"/>
          <w:lang w:val="en-US" w:eastAsia="zh-CN" w:bidi="ar-SA"/>
        </w:rPr>
        <w:t>-</w:t>
      </w:r>
      <w:r>
        <w:rPr>
          <w:rFonts w:hint="eastAsia" w:ascii="Times New Roman" w:hAnsi="Times New Roman" w:cs="Times New Roman"/>
          <w:b w:val="0"/>
          <w:bCs w:val="0"/>
          <w:color w:val="auto"/>
          <w:kern w:val="2"/>
          <w:sz w:val="24"/>
          <w:szCs w:val="24"/>
          <w:lang w:val="en-US" w:eastAsia="zh-CN" w:bidi="ar-SA"/>
        </w:rPr>
        <w:t>2</w:t>
      </w:r>
      <w:r>
        <w:rPr>
          <w:rFonts w:hint="default" w:ascii="Times New Roman" w:hAnsi="Times New Roman" w:cs="Times New Roman"/>
          <w:b w:val="0"/>
          <w:bCs w:val="0"/>
          <w:color w:val="auto"/>
          <w:kern w:val="2"/>
          <w:sz w:val="24"/>
          <w:szCs w:val="24"/>
          <w:lang w:val="en-US" w:eastAsia="zh-CN" w:bidi="ar-SA"/>
        </w:rPr>
        <w:t>。</w:t>
      </w:r>
      <w:bookmarkEnd w:id="32"/>
    </w:p>
    <w:p>
      <w:pPr>
        <w:pStyle w:val="18"/>
        <w:keepNext w:val="0"/>
        <w:keepLines w:val="0"/>
        <w:pageBreakBefore w:val="0"/>
        <w:widowControl/>
        <w:kinsoku/>
        <w:wordWrap/>
        <w:overflowPunct/>
        <w:topLinePunct w:val="0"/>
        <w:autoSpaceDE w:val="0"/>
        <w:autoSpaceDN w:val="0"/>
        <w:bidi w:val="0"/>
        <w:adjustRightInd w:val="0"/>
        <w:snapToGrid/>
        <w:spacing w:line="360" w:lineRule="auto"/>
        <w:jc w:val="center"/>
        <w:textAlignment w:val="auto"/>
        <w:outlineLvl w:val="0"/>
        <w:rPr>
          <w:rFonts w:hint="default" w:ascii="Times New Roman" w:hAnsi="Times New Roman" w:eastAsia="宋体" w:cs="Times New Roman"/>
          <w:b w:val="0"/>
          <w:bCs w:val="0"/>
          <w:color w:val="auto"/>
          <w:kern w:val="2"/>
          <w:sz w:val="24"/>
          <w:szCs w:val="24"/>
          <w:lang w:val="en-US" w:eastAsia="zh-CN" w:bidi="ar-SA"/>
        </w:rPr>
      </w:pPr>
      <w:bookmarkStart w:id="33" w:name="_Toc27359"/>
      <w:r>
        <w:rPr>
          <w:rFonts w:hint="default" w:ascii="Times New Roman" w:hAnsi="Times New Roman" w:eastAsia="宋体" w:cs="Times New Roman"/>
          <w:b/>
          <w:bCs/>
          <w:color w:val="auto"/>
          <w:kern w:val="2"/>
          <w:sz w:val="21"/>
          <w:szCs w:val="21"/>
          <w:lang w:val="en-US" w:eastAsia="zh-CN" w:bidi="ar-SA"/>
        </w:rPr>
        <w:t>表3-</w:t>
      </w:r>
      <w:r>
        <w:rPr>
          <w:rFonts w:hint="eastAsia" w:ascii="Times New Roman" w:hAnsi="Times New Roman" w:cs="Times New Roman"/>
          <w:b/>
          <w:bCs/>
          <w:color w:val="auto"/>
          <w:kern w:val="2"/>
          <w:sz w:val="21"/>
          <w:szCs w:val="21"/>
          <w:lang w:val="en-US" w:eastAsia="zh-CN" w:bidi="ar-SA"/>
        </w:rPr>
        <w:t>2</w:t>
      </w:r>
      <w:r>
        <w:rPr>
          <w:rFonts w:hint="default" w:ascii="Times New Roman" w:hAnsi="Times New Roman" w:eastAsia="宋体" w:cs="Times New Roman"/>
          <w:b/>
          <w:bCs/>
          <w:color w:val="auto"/>
          <w:kern w:val="2"/>
          <w:sz w:val="21"/>
          <w:szCs w:val="21"/>
          <w:lang w:val="en-US" w:eastAsia="zh-CN" w:bidi="ar-SA"/>
        </w:rPr>
        <w:t xml:space="preserve">  电磁环境公众暴露控制限值</w:t>
      </w:r>
      <w:bookmarkEnd w:id="33"/>
    </w:p>
    <w:tbl>
      <w:tblPr>
        <w:tblStyle w:val="1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980"/>
        <w:gridCol w:w="2916"/>
        <w:gridCol w:w="774"/>
        <w:gridCol w:w="2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outlineLvl w:val="0"/>
              <w:rPr>
                <w:rFonts w:hint="default" w:ascii="Times New Roman" w:hAnsi="Times New Roman" w:eastAsia="宋体" w:cs="Times New Roman"/>
                <w:b w:val="0"/>
                <w:bCs w:val="0"/>
                <w:color w:val="auto"/>
                <w:kern w:val="2"/>
                <w:sz w:val="21"/>
                <w:szCs w:val="21"/>
                <w:vertAlign w:val="baseline"/>
                <w:lang w:val="en-US" w:eastAsia="zh-CN" w:bidi="ar-SA"/>
              </w:rPr>
            </w:pPr>
            <w:bookmarkStart w:id="34" w:name="_Toc10114"/>
            <w:r>
              <w:rPr>
                <w:rFonts w:hint="default" w:ascii="Times New Roman" w:hAnsi="Times New Roman" w:cs="Times New Roman"/>
                <w:b w:val="0"/>
                <w:bCs w:val="0"/>
                <w:color w:val="auto"/>
                <w:kern w:val="2"/>
                <w:sz w:val="21"/>
                <w:szCs w:val="21"/>
                <w:vertAlign w:val="baseline"/>
                <w:lang w:val="en-US" w:eastAsia="zh-CN" w:bidi="ar-SA"/>
              </w:rPr>
              <w:t>序号</w:t>
            </w:r>
            <w:bookmarkEnd w:id="34"/>
          </w:p>
        </w:tc>
        <w:tc>
          <w:tcPr>
            <w:tcW w:w="1980"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outlineLvl w:val="0"/>
              <w:rPr>
                <w:rFonts w:hint="default" w:ascii="Times New Roman" w:hAnsi="Times New Roman" w:eastAsia="宋体" w:cs="Times New Roman"/>
                <w:b w:val="0"/>
                <w:bCs w:val="0"/>
                <w:color w:val="auto"/>
                <w:kern w:val="2"/>
                <w:sz w:val="21"/>
                <w:szCs w:val="21"/>
                <w:vertAlign w:val="baseline"/>
                <w:lang w:val="en-US" w:eastAsia="zh-CN" w:bidi="ar-SA"/>
              </w:rPr>
            </w:pPr>
            <w:bookmarkStart w:id="35" w:name="_Toc25936"/>
            <w:r>
              <w:rPr>
                <w:rFonts w:hint="default" w:ascii="Times New Roman" w:hAnsi="Times New Roman" w:cs="Times New Roman"/>
                <w:b w:val="0"/>
                <w:bCs w:val="0"/>
                <w:color w:val="auto"/>
                <w:kern w:val="2"/>
                <w:sz w:val="21"/>
                <w:szCs w:val="21"/>
                <w:vertAlign w:val="baseline"/>
                <w:lang w:val="en-US" w:eastAsia="zh-CN" w:bidi="ar-SA"/>
              </w:rPr>
              <w:t>项目</w:t>
            </w:r>
            <w:bookmarkEnd w:id="35"/>
          </w:p>
        </w:tc>
        <w:tc>
          <w:tcPr>
            <w:tcW w:w="2916"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outlineLvl w:val="0"/>
              <w:rPr>
                <w:rFonts w:hint="default" w:ascii="Times New Roman" w:hAnsi="Times New Roman" w:cs="Times New Roman"/>
                <w:b w:val="0"/>
                <w:bCs w:val="0"/>
                <w:color w:val="auto"/>
                <w:kern w:val="2"/>
                <w:sz w:val="21"/>
                <w:szCs w:val="21"/>
                <w:vertAlign w:val="baseline"/>
                <w:lang w:val="en-US" w:eastAsia="zh-CN" w:bidi="ar-SA"/>
              </w:rPr>
            </w:pPr>
            <w:bookmarkStart w:id="36" w:name="_Toc9779"/>
            <w:r>
              <w:rPr>
                <w:rFonts w:hint="default" w:ascii="Times New Roman" w:hAnsi="Times New Roman" w:cs="Times New Roman"/>
                <w:b w:val="0"/>
                <w:bCs w:val="0"/>
                <w:color w:val="auto"/>
                <w:kern w:val="2"/>
                <w:sz w:val="21"/>
                <w:szCs w:val="21"/>
                <w:vertAlign w:val="baseline"/>
                <w:lang w:val="en-US" w:eastAsia="zh-CN" w:bidi="ar-SA"/>
              </w:rPr>
              <w:t>标准限值</w:t>
            </w:r>
            <w:bookmarkEnd w:id="36"/>
          </w:p>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outlineLvl w:val="0"/>
              <w:rPr>
                <w:rFonts w:hint="default" w:ascii="Times New Roman" w:hAnsi="Times New Roman" w:cs="Times New Roman"/>
                <w:b w:val="0"/>
                <w:bCs w:val="0"/>
                <w:color w:val="auto"/>
                <w:kern w:val="2"/>
                <w:sz w:val="21"/>
                <w:szCs w:val="21"/>
                <w:vertAlign w:val="baseline"/>
                <w:lang w:val="en-US" w:eastAsia="zh-CN" w:bidi="ar-SA"/>
              </w:rPr>
            </w:pPr>
            <w:bookmarkStart w:id="37" w:name="_Toc13399"/>
            <w:r>
              <w:rPr>
                <w:rFonts w:hint="default" w:ascii="Times New Roman" w:hAnsi="Times New Roman" w:cs="Times New Roman"/>
                <w:b w:val="0"/>
                <w:bCs w:val="0"/>
                <w:color w:val="auto"/>
                <w:kern w:val="2"/>
                <w:sz w:val="21"/>
                <w:szCs w:val="21"/>
                <w:vertAlign w:val="baseline"/>
                <w:lang w:val="en-US" w:eastAsia="zh-CN" w:bidi="ar-SA"/>
              </w:rPr>
              <w:t>（输变电工程f为50Hz）</w:t>
            </w:r>
            <w:bookmarkEnd w:id="37"/>
          </w:p>
        </w:tc>
        <w:tc>
          <w:tcPr>
            <w:tcW w:w="774"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outlineLvl w:val="0"/>
              <w:rPr>
                <w:rFonts w:hint="default" w:ascii="Times New Roman" w:hAnsi="Times New Roman" w:eastAsia="宋体" w:cs="Times New Roman"/>
                <w:b w:val="0"/>
                <w:bCs w:val="0"/>
                <w:color w:val="auto"/>
                <w:kern w:val="2"/>
                <w:sz w:val="21"/>
                <w:szCs w:val="21"/>
                <w:vertAlign w:val="baseline"/>
                <w:lang w:val="en-US" w:eastAsia="zh-CN" w:bidi="ar-SA"/>
              </w:rPr>
            </w:pPr>
            <w:bookmarkStart w:id="38" w:name="_Toc6263"/>
            <w:r>
              <w:rPr>
                <w:rFonts w:hint="default" w:ascii="Times New Roman" w:hAnsi="Times New Roman" w:cs="Times New Roman"/>
                <w:b w:val="0"/>
                <w:bCs w:val="0"/>
                <w:color w:val="auto"/>
                <w:kern w:val="2"/>
                <w:sz w:val="21"/>
                <w:szCs w:val="21"/>
                <w:vertAlign w:val="baseline"/>
                <w:lang w:val="en-US" w:eastAsia="zh-CN" w:bidi="ar-SA"/>
              </w:rPr>
              <w:t>单位</w:t>
            </w:r>
            <w:bookmarkEnd w:id="38"/>
          </w:p>
        </w:tc>
        <w:tc>
          <w:tcPr>
            <w:tcW w:w="2942"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outlineLvl w:val="0"/>
              <w:rPr>
                <w:rFonts w:hint="default" w:ascii="Times New Roman" w:hAnsi="Times New Roman" w:eastAsia="宋体" w:cs="Times New Roman"/>
                <w:b w:val="0"/>
                <w:bCs w:val="0"/>
                <w:color w:val="auto"/>
                <w:kern w:val="2"/>
                <w:sz w:val="21"/>
                <w:szCs w:val="21"/>
                <w:vertAlign w:val="baseline"/>
                <w:lang w:val="en-US" w:eastAsia="zh-CN" w:bidi="ar-SA"/>
              </w:rPr>
            </w:pPr>
            <w:bookmarkStart w:id="39" w:name="_Toc32157"/>
            <w:r>
              <w:rPr>
                <w:rFonts w:hint="default" w:ascii="Times New Roman" w:hAnsi="Times New Roman" w:cs="Times New Roman"/>
                <w:b w:val="0"/>
                <w:bCs w:val="0"/>
                <w:color w:val="auto"/>
                <w:kern w:val="2"/>
                <w:sz w:val="21"/>
                <w:szCs w:val="21"/>
                <w:vertAlign w:val="baseline"/>
                <w:lang w:val="en-US" w:eastAsia="zh-CN" w:bidi="ar-SA"/>
              </w:rPr>
              <w:t>标准名称及级（类）别</w:t>
            </w:r>
            <w:bookmarkEnd w:id="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outlineLvl w:val="0"/>
              <w:rPr>
                <w:rFonts w:hint="default" w:ascii="Times New Roman" w:hAnsi="Times New Roman" w:eastAsia="宋体" w:cs="Times New Roman"/>
                <w:b w:val="0"/>
                <w:bCs w:val="0"/>
                <w:color w:val="auto"/>
                <w:kern w:val="2"/>
                <w:sz w:val="21"/>
                <w:szCs w:val="21"/>
                <w:vertAlign w:val="baseline"/>
                <w:lang w:val="en-US" w:eastAsia="zh-CN" w:bidi="ar-SA"/>
              </w:rPr>
            </w:pPr>
            <w:bookmarkStart w:id="40" w:name="_Toc8710"/>
            <w:r>
              <w:rPr>
                <w:rFonts w:hint="default" w:ascii="Times New Roman" w:hAnsi="Times New Roman" w:cs="Times New Roman"/>
                <w:b w:val="0"/>
                <w:bCs w:val="0"/>
                <w:color w:val="auto"/>
                <w:kern w:val="2"/>
                <w:sz w:val="21"/>
                <w:szCs w:val="21"/>
                <w:vertAlign w:val="baseline"/>
                <w:lang w:val="en-US" w:eastAsia="zh-CN" w:bidi="ar-SA"/>
              </w:rPr>
              <w:t>1</w:t>
            </w:r>
            <w:bookmarkEnd w:id="40"/>
          </w:p>
        </w:tc>
        <w:tc>
          <w:tcPr>
            <w:tcW w:w="1980"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outlineLvl w:val="0"/>
              <w:rPr>
                <w:rFonts w:hint="default" w:ascii="Times New Roman" w:hAnsi="Times New Roman" w:eastAsia="宋体" w:cs="Times New Roman"/>
                <w:b w:val="0"/>
                <w:bCs w:val="0"/>
                <w:color w:val="auto"/>
                <w:kern w:val="2"/>
                <w:sz w:val="21"/>
                <w:szCs w:val="21"/>
                <w:vertAlign w:val="baseline"/>
                <w:lang w:val="en-US" w:eastAsia="zh-CN" w:bidi="ar-SA"/>
              </w:rPr>
            </w:pPr>
            <w:bookmarkStart w:id="41" w:name="_Toc24556"/>
            <w:r>
              <w:rPr>
                <w:rFonts w:hint="default" w:ascii="Times New Roman" w:hAnsi="Times New Roman" w:cs="Times New Roman"/>
                <w:b w:val="0"/>
                <w:bCs w:val="0"/>
                <w:color w:val="auto"/>
                <w:kern w:val="2"/>
                <w:sz w:val="21"/>
                <w:szCs w:val="21"/>
                <w:vertAlign w:val="baseline"/>
                <w:lang w:val="en-US" w:eastAsia="zh-CN" w:bidi="ar-SA"/>
              </w:rPr>
              <w:t>电场强度E</w:t>
            </w:r>
            <w:bookmarkEnd w:id="41"/>
          </w:p>
        </w:tc>
        <w:tc>
          <w:tcPr>
            <w:tcW w:w="2916"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outlineLvl w:val="0"/>
              <w:rPr>
                <w:rFonts w:hint="default" w:ascii="Times New Roman" w:hAnsi="Times New Roman" w:eastAsia="宋体" w:cs="Times New Roman"/>
                <w:b w:val="0"/>
                <w:bCs w:val="0"/>
                <w:color w:val="auto"/>
                <w:kern w:val="2"/>
                <w:sz w:val="21"/>
                <w:szCs w:val="21"/>
                <w:vertAlign w:val="baseline"/>
                <w:lang w:val="en-US" w:eastAsia="zh-CN" w:bidi="ar-SA"/>
              </w:rPr>
            </w:pPr>
            <w:bookmarkStart w:id="42" w:name="_Toc28869"/>
            <w:r>
              <w:rPr>
                <w:rFonts w:hint="default" w:ascii="Times New Roman" w:hAnsi="Times New Roman" w:cs="Times New Roman"/>
                <w:b w:val="0"/>
                <w:bCs w:val="0"/>
                <w:color w:val="auto"/>
                <w:kern w:val="2"/>
                <w:sz w:val="21"/>
                <w:szCs w:val="21"/>
                <w:vertAlign w:val="baseline"/>
                <w:lang w:val="en-US" w:eastAsia="zh-CN" w:bidi="ar-SA"/>
              </w:rPr>
              <w:t>200/f，即：4000</w:t>
            </w:r>
            <w:bookmarkEnd w:id="42"/>
          </w:p>
        </w:tc>
        <w:tc>
          <w:tcPr>
            <w:tcW w:w="774"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outlineLvl w:val="0"/>
              <w:rPr>
                <w:rFonts w:hint="default" w:ascii="Times New Roman" w:hAnsi="Times New Roman" w:eastAsia="宋体" w:cs="Times New Roman"/>
                <w:b w:val="0"/>
                <w:bCs w:val="0"/>
                <w:color w:val="auto"/>
                <w:kern w:val="2"/>
                <w:sz w:val="21"/>
                <w:szCs w:val="21"/>
                <w:vertAlign w:val="baseline"/>
                <w:lang w:val="en-US" w:eastAsia="zh-CN" w:bidi="ar-SA"/>
              </w:rPr>
            </w:pPr>
            <w:bookmarkStart w:id="43" w:name="_Toc15055"/>
            <w:r>
              <w:rPr>
                <w:rFonts w:hint="default" w:ascii="Times New Roman" w:hAnsi="Times New Roman" w:cs="Times New Roman"/>
                <w:b w:val="0"/>
                <w:bCs w:val="0"/>
                <w:color w:val="auto"/>
                <w:kern w:val="2"/>
                <w:sz w:val="21"/>
                <w:szCs w:val="21"/>
                <w:vertAlign w:val="baseline"/>
                <w:lang w:val="en-US" w:eastAsia="zh-CN" w:bidi="ar-SA"/>
              </w:rPr>
              <w:t>V/m</w:t>
            </w:r>
            <w:bookmarkEnd w:id="43"/>
          </w:p>
        </w:tc>
        <w:tc>
          <w:tcPr>
            <w:tcW w:w="2942" w:type="dxa"/>
            <w:vMerge w:val="restart"/>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outlineLvl w:val="0"/>
              <w:rPr>
                <w:rFonts w:hint="default" w:ascii="Times New Roman" w:hAnsi="Times New Roman" w:eastAsia="宋体" w:cs="Times New Roman"/>
                <w:b w:val="0"/>
                <w:bCs w:val="0"/>
                <w:color w:val="auto"/>
                <w:kern w:val="2"/>
                <w:sz w:val="21"/>
                <w:szCs w:val="21"/>
                <w:vertAlign w:val="baseline"/>
                <w:lang w:val="en-US" w:eastAsia="zh-CN" w:bidi="ar-SA"/>
              </w:rPr>
            </w:pPr>
            <w:bookmarkStart w:id="44" w:name="_Toc4707"/>
            <w:r>
              <w:rPr>
                <w:rFonts w:hint="default" w:ascii="Times New Roman" w:hAnsi="Times New Roman" w:eastAsia="宋体" w:cs="Times New Roman"/>
                <w:b w:val="0"/>
                <w:bCs w:val="0"/>
                <w:color w:val="auto"/>
                <w:kern w:val="2"/>
                <w:sz w:val="21"/>
                <w:szCs w:val="21"/>
                <w:vertAlign w:val="baseline"/>
                <w:lang w:val="en-US" w:eastAsia="zh-CN" w:bidi="ar-SA"/>
              </w:rPr>
              <w:t>《电磁环境控制限值》（GB8702-2014</w:t>
            </w:r>
            <w:r>
              <w:rPr>
                <w:rFonts w:hint="default" w:ascii="Times New Roman" w:hAnsi="Times New Roman" w:cs="Times New Roman"/>
                <w:b w:val="0"/>
                <w:bCs w:val="0"/>
                <w:color w:val="auto"/>
                <w:kern w:val="2"/>
                <w:sz w:val="21"/>
                <w:szCs w:val="21"/>
                <w:vertAlign w:val="baseline"/>
                <w:lang w:val="en-US" w:eastAsia="zh-CN" w:bidi="ar-SA"/>
              </w:rPr>
              <w:t>）</w:t>
            </w:r>
            <w:r>
              <w:rPr>
                <w:rFonts w:hint="default" w:ascii="Times New Roman" w:hAnsi="Times New Roman" w:eastAsia="宋体" w:cs="Times New Roman"/>
                <w:b w:val="0"/>
                <w:bCs w:val="0"/>
                <w:color w:val="auto"/>
                <w:kern w:val="2"/>
                <w:sz w:val="21"/>
                <w:szCs w:val="21"/>
                <w:vertAlign w:val="baseline"/>
                <w:lang w:val="en-US" w:eastAsia="zh-CN" w:bidi="ar-SA"/>
              </w:rPr>
              <w:t>频率范围：0.025kHz～1</w:t>
            </w:r>
            <w:r>
              <w:rPr>
                <w:rFonts w:hint="default" w:ascii="Times New Roman" w:hAnsi="Times New Roman" w:cs="Times New Roman"/>
                <w:b w:val="0"/>
                <w:bCs w:val="0"/>
                <w:color w:val="auto"/>
                <w:kern w:val="2"/>
                <w:sz w:val="21"/>
                <w:szCs w:val="21"/>
                <w:vertAlign w:val="baseline"/>
                <w:lang w:val="en-US" w:eastAsia="zh-CN" w:bidi="ar-SA"/>
              </w:rPr>
              <w:t>.</w:t>
            </w:r>
            <w:r>
              <w:rPr>
                <w:rFonts w:hint="default" w:ascii="Times New Roman" w:hAnsi="Times New Roman" w:eastAsia="宋体" w:cs="Times New Roman"/>
                <w:b w:val="0"/>
                <w:bCs w:val="0"/>
                <w:color w:val="auto"/>
                <w:kern w:val="2"/>
                <w:sz w:val="21"/>
                <w:szCs w:val="21"/>
                <w:vertAlign w:val="baseline"/>
                <w:lang w:val="en-US" w:eastAsia="zh-CN" w:bidi="ar-SA"/>
              </w:rPr>
              <w:t>2kHz</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outlineLvl w:val="0"/>
              <w:rPr>
                <w:rFonts w:hint="default" w:ascii="Times New Roman" w:hAnsi="Times New Roman" w:eastAsia="宋体" w:cs="Times New Roman"/>
                <w:b w:val="0"/>
                <w:bCs w:val="0"/>
                <w:color w:val="auto"/>
                <w:kern w:val="2"/>
                <w:sz w:val="21"/>
                <w:szCs w:val="21"/>
                <w:vertAlign w:val="baseline"/>
                <w:lang w:val="en-US" w:eastAsia="zh-CN" w:bidi="ar-SA"/>
              </w:rPr>
            </w:pPr>
            <w:bookmarkStart w:id="45" w:name="_Toc10301"/>
            <w:r>
              <w:rPr>
                <w:rFonts w:hint="default" w:ascii="Times New Roman" w:hAnsi="Times New Roman" w:cs="Times New Roman"/>
                <w:b w:val="0"/>
                <w:bCs w:val="0"/>
                <w:color w:val="auto"/>
                <w:kern w:val="2"/>
                <w:sz w:val="21"/>
                <w:szCs w:val="21"/>
                <w:vertAlign w:val="baseline"/>
                <w:lang w:val="en-US" w:eastAsia="zh-CN" w:bidi="ar-SA"/>
              </w:rPr>
              <w:t>2</w:t>
            </w:r>
            <w:bookmarkEnd w:id="45"/>
          </w:p>
        </w:tc>
        <w:tc>
          <w:tcPr>
            <w:tcW w:w="1980"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outlineLvl w:val="0"/>
              <w:rPr>
                <w:rFonts w:hint="default" w:ascii="Times New Roman" w:hAnsi="Times New Roman" w:eastAsia="宋体" w:cs="Times New Roman"/>
                <w:b w:val="0"/>
                <w:bCs w:val="0"/>
                <w:color w:val="auto"/>
                <w:kern w:val="2"/>
                <w:sz w:val="21"/>
                <w:szCs w:val="21"/>
                <w:vertAlign w:val="baseline"/>
                <w:lang w:val="en-US" w:eastAsia="zh-CN" w:bidi="ar-SA"/>
              </w:rPr>
            </w:pPr>
            <w:bookmarkStart w:id="46" w:name="_Toc6113"/>
            <w:r>
              <w:rPr>
                <w:rFonts w:hint="default" w:ascii="Times New Roman" w:hAnsi="Times New Roman" w:cs="Times New Roman"/>
                <w:b w:val="0"/>
                <w:bCs w:val="0"/>
                <w:color w:val="auto"/>
                <w:kern w:val="2"/>
                <w:sz w:val="21"/>
                <w:szCs w:val="21"/>
                <w:vertAlign w:val="baseline"/>
                <w:lang w:val="en-US" w:eastAsia="zh-CN" w:bidi="ar-SA"/>
              </w:rPr>
              <w:t>电磁感应强度B</w:t>
            </w:r>
            <w:bookmarkEnd w:id="46"/>
          </w:p>
        </w:tc>
        <w:tc>
          <w:tcPr>
            <w:tcW w:w="2916"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outlineLvl w:val="0"/>
              <w:rPr>
                <w:rFonts w:hint="default" w:ascii="Times New Roman" w:hAnsi="Times New Roman" w:eastAsia="宋体" w:cs="Times New Roman"/>
                <w:b w:val="0"/>
                <w:bCs w:val="0"/>
                <w:color w:val="auto"/>
                <w:kern w:val="2"/>
                <w:sz w:val="21"/>
                <w:szCs w:val="21"/>
                <w:vertAlign w:val="baseline"/>
                <w:lang w:val="en-US" w:eastAsia="zh-CN" w:bidi="ar-SA"/>
              </w:rPr>
            </w:pPr>
            <w:bookmarkStart w:id="47" w:name="_Toc24721"/>
            <w:r>
              <w:rPr>
                <w:rFonts w:hint="default" w:ascii="Times New Roman" w:hAnsi="Times New Roman" w:cs="Times New Roman"/>
                <w:b w:val="0"/>
                <w:bCs w:val="0"/>
                <w:color w:val="auto"/>
                <w:kern w:val="2"/>
                <w:sz w:val="21"/>
                <w:szCs w:val="21"/>
                <w:vertAlign w:val="baseline"/>
                <w:lang w:val="en-US" w:eastAsia="zh-CN" w:bidi="ar-SA"/>
              </w:rPr>
              <w:t>5/f，即：100</w:t>
            </w:r>
            <w:bookmarkEnd w:id="47"/>
          </w:p>
        </w:tc>
        <w:tc>
          <w:tcPr>
            <w:tcW w:w="774" w:type="dxa"/>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outlineLvl w:val="0"/>
              <w:rPr>
                <w:rFonts w:hint="default" w:ascii="Times New Roman" w:hAnsi="Times New Roman" w:eastAsia="宋体" w:cs="Times New Roman"/>
                <w:b w:val="0"/>
                <w:bCs w:val="0"/>
                <w:color w:val="auto"/>
                <w:kern w:val="2"/>
                <w:sz w:val="21"/>
                <w:szCs w:val="21"/>
                <w:vertAlign w:val="baseline"/>
                <w:lang w:val="en-US" w:eastAsia="zh-CN" w:bidi="ar-SA"/>
              </w:rPr>
            </w:pPr>
            <w:bookmarkStart w:id="48" w:name="_Toc32281"/>
            <w:r>
              <w:rPr>
                <w:rFonts w:hint="default" w:ascii="Times New Roman" w:hAnsi="Times New Roman" w:eastAsia="宋体" w:cs="Times New Roman"/>
                <w:b w:val="0"/>
                <w:bCs w:val="0"/>
                <w:color w:val="auto"/>
                <w:kern w:val="2"/>
                <w:sz w:val="21"/>
                <w:szCs w:val="21"/>
                <w:vertAlign w:val="baseline"/>
                <w:lang w:val="en-US" w:eastAsia="zh-CN" w:bidi="ar-SA"/>
              </w:rPr>
              <w:t>μT</w:t>
            </w:r>
            <w:bookmarkEnd w:id="48"/>
          </w:p>
        </w:tc>
        <w:tc>
          <w:tcPr>
            <w:tcW w:w="2942" w:type="dxa"/>
            <w:vMerge w:val="continue"/>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center"/>
              <w:textAlignment w:val="auto"/>
              <w:outlineLvl w:val="9"/>
              <w:rPr>
                <w:rFonts w:hint="default" w:ascii="Times New Roman" w:hAnsi="Times New Roman" w:eastAsia="宋体" w:cs="Times New Roman"/>
                <w:b w:val="0"/>
                <w:bCs w:val="0"/>
                <w:color w:val="auto"/>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5"/>
            <w:vAlign w:val="center"/>
          </w:tcPr>
          <w:p>
            <w:pPr>
              <w:pStyle w:val="18"/>
              <w:keepNext w:val="0"/>
              <w:keepLines w:val="0"/>
              <w:pageBreakBefore w:val="0"/>
              <w:widowControl/>
              <w:kinsoku/>
              <w:wordWrap/>
              <w:overflowPunct/>
              <w:topLinePunct w:val="0"/>
              <w:autoSpaceDE w:val="0"/>
              <w:autoSpaceDN w:val="0"/>
              <w:bidi w:val="0"/>
              <w:adjustRightInd w:val="0"/>
              <w:snapToGrid/>
              <w:spacing w:line="240" w:lineRule="auto"/>
              <w:jc w:val="left"/>
              <w:textAlignment w:val="auto"/>
              <w:outlineLvl w:val="0"/>
              <w:rPr>
                <w:rFonts w:hint="default" w:ascii="Times New Roman" w:hAnsi="Times New Roman" w:eastAsia="宋体" w:cs="Times New Roman"/>
                <w:b w:val="0"/>
                <w:bCs w:val="0"/>
                <w:color w:val="auto"/>
                <w:kern w:val="2"/>
                <w:sz w:val="21"/>
                <w:szCs w:val="21"/>
                <w:vertAlign w:val="baseline"/>
                <w:lang w:val="en-US" w:eastAsia="zh-CN" w:bidi="ar-SA"/>
              </w:rPr>
            </w:pPr>
            <w:bookmarkStart w:id="49" w:name="_Toc17252"/>
            <w:r>
              <w:rPr>
                <w:rFonts w:hint="default" w:ascii="Times New Roman" w:hAnsi="Times New Roman" w:cs="Times New Roman"/>
                <w:b w:val="0"/>
                <w:bCs w:val="0"/>
                <w:color w:val="auto"/>
                <w:kern w:val="2"/>
                <w:sz w:val="21"/>
                <w:szCs w:val="21"/>
                <w:vertAlign w:val="baseline"/>
                <w:lang w:val="en-US" w:eastAsia="zh-CN" w:bidi="ar-SA"/>
              </w:rPr>
              <w:t>注：1、频率f的单位为kHz。</w:t>
            </w:r>
            <w:bookmarkEnd w:id="49"/>
          </w:p>
        </w:tc>
      </w:tr>
    </w:tbl>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eastAsia="宋体" w:cs="Times New Roman"/>
          <w:b w:val="0"/>
          <w:bCs w:val="0"/>
          <w:color w:val="auto"/>
          <w:kern w:val="2"/>
          <w:sz w:val="24"/>
          <w:szCs w:val="24"/>
          <w:lang w:val="en-US" w:eastAsia="zh-CN" w:bidi="ar-SA"/>
        </w:rPr>
        <w:t>输变电工程的频率为50Hz，由上表可知，对公众而言，该工程电场强度的评价标准为4000V/m，磁感应强度的评价标准为100</w:t>
      </w:r>
      <w:r>
        <w:rPr>
          <w:rFonts w:hint="default" w:ascii="Times New Roman" w:hAnsi="Times New Roman" w:eastAsia="宋体" w:cs="Times New Roman"/>
          <w:b w:val="0"/>
          <w:bCs w:val="0"/>
          <w:color w:val="auto"/>
          <w:kern w:val="2"/>
          <w:sz w:val="21"/>
          <w:szCs w:val="21"/>
          <w:vertAlign w:val="baseline"/>
          <w:lang w:val="en-US" w:eastAsia="zh-CN" w:bidi="ar-SA"/>
        </w:rPr>
        <w:t>μ</w:t>
      </w:r>
      <w:r>
        <w:rPr>
          <w:rFonts w:hint="default" w:ascii="Times New Roman" w:hAnsi="Times New Roman" w:eastAsia="宋体" w:cs="Times New Roman"/>
          <w:b w:val="0"/>
          <w:bCs w:val="0"/>
          <w:color w:val="auto"/>
          <w:kern w:val="2"/>
          <w:sz w:val="24"/>
          <w:szCs w:val="24"/>
          <w:lang w:val="en-US" w:eastAsia="zh-CN" w:bidi="ar-SA"/>
        </w:rPr>
        <w:t>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outlineLvl w:val="0"/>
        <w:rPr>
          <w:rFonts w:hint="default" w:ascii="宋体" w:hAnsi="宋体" w:eastAsia="宋体" w:cs="宋体"/>
          <w:b/>
          <w:bCs/>
          <w:sz w:val="32"/>
          <w:szCs w:val="32"/>
          <w:vertAlign w:val="baseline"/>
          <w:lang w:val="en-US" w:eastAsia="zh-CN"/>
        </w:rPr>
      </w:pPr>
      <w:bookmarkStart w:id="50" w:name="_Toc19401"/>
      <w:r>
        <w:rPr>
          <w:rFonts w:hint="eastAsia" w:ascii="宋体" w:hAnsi="宋体" w:eastAsia="宋体" w:cs="宋体"/>
          <w:b/>
          <w:bCs/>
          <w:sz w:val="32"/>
          <w:szCs w:val="32"/>
          <w:vertAlign w:val="baseline"/>
          <w:lang w:val="en-US" w:eastAsia="zh-CN"/>
        </w:rPr>
        <w:t>4 环境保护目标</w:t>
      </w:r>
      <w:bookmarkEnd w:id="50"/>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eastAsia="宋体" w:cs="Times New Roman"/>
          <w:b w:val="0"/>
          <w:bCs w:val="0"/>
          <w:color w:val="auto"/>
          <w:kern w:val="2"/>
          <w:sz w:val="24"/>
          <w:szCs w:val="24"/>
          <w:lang w:val="en-US" w:eastAsia="zh-CN" w:bidi="ar-SA"/>
        </w:rPr>
        <w:t>依据《环境影响评价技术导则</w:t>
      </w:r>
      <w:r>
        <w:rPr>
          <w:rFonts w:hint="default" w:ascii="Times New Roman" w:hAnsi="Times New Roman" w:cs="Times New Roman"/>
          <w:b w:val="0"/>
          <w:bCs w:val="0"/>
          <w:color w:val="auto"/>
          <w:kern w:val="2"/>
          <w:sz w:val="24"/>
          <w:szCs w:val="24"/>
          <w:lang w:val="en-US" w:eastAsia="zh-CN" w:bidi="ar-SA"/>
        </w:rPr>
        <w:t xml:space="preserve"> </w:t>
      </w:r>
      <w:r>
        <w:rPr>
          <w:rFonts w:hint="default" w:ascii="Times New Roman" w:hAnsi="Times New Roman" w:eastAsia="宋体" w:cs="Times New Roman"/>
          <w:b w:val="0"/>
          <w:bCs w:val="0"/>
          <w:color w:val="auto"/>
          <w:kern w:val="2"/>
          <w:sz w:val="24"/>
          <w:szCs w:val="24"/>
          <w:lang w:val="en-US" w:eastAsia="zh-CN" w:bidi="ar-SA"/>
        </w:rPr>
        <w:t>输变电工程》（HJ24-2014）的相关规定，经现场踏勘，该工程评价范围</w:t>
      </w:r>
      <w:r>
        <w:rPr>
          <w:rFonts w:hint="default" w:ascii="Times New Roman" w:hAnsi="Times New Roman" w:cs="Times New Roman"/>
          <w:b w:val="0"/>
          <w:bCs w:val="0"/>
          <w:color w:val="auto"/>
          <w:kern w:val="2"/>
          <w:sz w:val="24"/>
          <w:szCs w:val="24"/>
          <w:lang w:val="en-US" w:eastAsia="zh-CN" w:bidi="ar-SA"/>
        </w:rPr>
        <w:t>30m范围</w:t>
      </w:r>
      <w:r>
        <w:rPr>
          <w:rFonts w:hint="default" w:ascii="Times New Roman" w:hAnsi="Times New Roman" w:eastAsia="宋体" w:cs="Times New Roman"/>
          <w:b w:val="0"/>
          <w:bCs w:val="0"/>
          <w:color w:val="auto"/>
          <w:kern w:val="2"/>
          <w:sz w:val="24"/>
          <w:szCs w:val="24"/>
          <w:lang w:val="en-US" w:eastAsia="zh-CN" w:bidi="ar-SA"/>
        </w:rPr>
        <w:t>内</w:t>
      </w:r>
      <w:r>
        <w:rPr>
          <w:rFonts w:hint="default" w:ascii="Times New Roman" w:hAnsi="Times New Roman" w:cs="Times New Roman"/>
          <w:b w:val="0"/>
          <w:bCs w:val="0"/>
          <w:color w:val="auto"/>
          <w:kern w:val="2"/>
          <w:sz w:val="24"/>
          <w:szCs w:val="24"/>
          <w:lang w:val="en-US" w:eastAsia="zh-CN" w:bidi="ar-SA"/>
        </w:rPr>
        <w:t>无</w:t>
      </w:r>
      <w:r>
        <w:rPr>
          <w:rFonts w:hint="default" w:ascii="Times New Roman" w:hAnsi="Times New Roman" w:eastAsia="宋体" w:cs="Times New Roman"/>
          <w:b w:val="0"/>
          <w:bCs w:val="0"/>
          <w:color w:val="auto"/>
          <w:kern w:val="2"/>
          <w:sz w:val="24"/>
          <w:szCs w:val="24"/>
          <w:lang w:val="en-US" w:eastAsia="zh-CN" w:bidi="ar-SA"/>
        </w:rPr>
        <w:t>环境保护目标。</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outlineLvl w:val="0"/>
        <w:rPr>
          <w:rFonts w:hint="default" w:ascii="宋体" w:hAnsi="宋体" w:eastAsia="宋体" w:cs="宋体"/>
          <w:b/>
          <w:bCs/>
          <w:sz w:val="32"/>
          <w:szCs w:val="32"/>
          <w:vertAlign w:val="baseline"/>
          <w:lang w:val="en-US" w:eastAsia="zh-CN"/>
        </w:rPr>
      </w:pPr>
      <w:bookmarkStart w:id="51" w:name="_Toc21501"/>
      <w:r>
        <w:rPr>
          <w:rFonts w:hint="eastAsia" w:ascii="宋体" w:hAnsi="宋体" w:eastAsia="宋体" w:cs="宋体"/>
          <w:b/>
          <w:bCs/>
          <w:sz w:val="32"/>
          <w:szCs w:val="32"/>
          <w:vertAlign w:val="baseline"/>
          <w:lang w:val="en-US" w:eastAsia="zh-CN"/>
        </w:rPr>
        <w:t>5 电磁环境现状评价</w:t>
      </w:r>
      <w:bookmarkEnd w:id="51"/>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本次电磁环境现状采用实地监测的方式进行，拟建线路沿线</w:t>
      </w:r>
      <w:r>
        <w:rPr>
          <w:rFonts w:hint="eastAsia" w:ascii="Times New Roman" w:cs="Times New Roman" w:eastAsiaTheme="minorEastAsia"/>
          <w:b w:val="0"/>
          <w:bCs w:val="0"/>
          <w:color w:val="auto"/>
          <w:kern w:val="2"/>
          <w:sz w:val="24"/>
          <w:szCs w:val="24"/>
          <w:highlight w:val="none"/>
          <w:vertAlign w:val="baseline"/>
          <w:lang w:val="en-US" w:eastAsia="zh-CN" w:bidi="ar-SA"/>
        </w:rPr>
        <w:t>监测点</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电磁环境现状由陕西盛中建环境科技有限公司于2020年</w:t>
      </w:r>
      <w:r>
        <w:rPr>
          <w:rFonts w:hint="eastAsia" w:ascii="Times New Roman" w:cs="Times New Roman" w:eastAsiaTheme="minorEastAsia"/>
          <w:b w:val="0"/>
          <w:bCs w:val="0"/>
          <w:color w:val="auto"/>
          <w:kern w:val="2"/>
          <w:sz w:val="24"/>
          <w:szCs w:val="24"/>
          <w:highlight w:val="none"/>
          <w:vertAlign w:val="baseline"/>
          <w:lang w:val="en-US" w:eastAsia="zh-CN" w:bidi="ar-SA"/>
        </w:rPr>
        <w:t>7</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月</w:t>
      </w:r>
      <w:r>
        <w:rPr>
          <w:rFonts w:hint="eastAsia" w:ascii="Times New Roman" w:cs="Times New Roman" w:eastAsiaTheme="minorEastAsia"/>
          <w:b w:val="0"/>
          <w:bCs w:val="0"/>
          <w:color w:val="auto"/>
          <w:kern w:val="2"/>
          <w:sz w:val="24"/>
          <w:szCs w:val="24"/>
          <w:highlight w:val="none"/>
          <w:vertAlign w:val="baseline"/>
          <w:lang w:val="en-US" w:eastAsia="zh-CN" w:bidi="ar-SA"/>
        </w:rPr>
        <w:t>28</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日按照《环境影响评价技术导则</w:t>
      </w:r>
      <w:r>
        <w:rPr>
          <w:rFonts w:hint="eastAsia" w:ascii="Times New Roman" w:cs="Times New Roman" w:eastAsiaTheme="minorEastAsia"/>
          <w:b w:val="0"/>
          <w:bCs w:val="0"/>
          <w:color w:val="auto"/>
          <w:kern w:val="2"/>
          <w:sz w:val="24"/>
          <w:szCs w:val="24"/>
          <w:highlight w:val="none"/>
          <w:vertAlign w:val="baseline"/>
          <w:lang w:val="en-US" w:eastAsia="zh-CN" w:bidi="ar-SA"/>
        </w:rPr>
        <w:t xml:space="preserve"> </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输变电工程》（HJ24-2014）、《交流输变电工程电磁环境监测方法（试行）》（HJ681-2013）的有关规定进行监测</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36"/>
          <w:lang w:val="en-US" w:eastAsia="zh-CN" w:bidi="ar-SA"/>
        </w:rPr>
      </w:pPr>
      <w:r>
        <w:rPr>
          <w:rFonts w:hint="eastAsia" w:ascii="Times New Roman" w:hAnsi="Times New Roman" w:cs="Times New Roman" w:eastAsiaTheme="minorEastAsia"/>
          <w:b/>
          <w:bCs/>
          <w:color w:val="auto"/>
          <w:kern w:val="2"/>
          <w:sz w:val="28"/>
          <w:szCs w:val="36"/>
          <w:lang w:val="en-US" w:eastAsia="zh-CN" w:bidi="ar-SA"/>
        </w:rPr>
        <w:t>5.1 现状评价方法</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通过对监测结果的统计、分析和对比，定量评价项目所处区域的电磁环境现状。</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36"/>
          <w:lang w:val="en-US" w:eastAsia="zh-CN" w:bidi="ar-SA"/>
        </w:rPr>
      </w:pPr>
      <w:r>
        <w:rPr>
          <w:rFonts w:hint="eastAsia" w:ascii="Times New Roman" w:hAnsi="Times New Roman" w:cs="Times New Roman" w:eastAsiaTheme="minorEastAsia"/>
          <w:b/>
          <w:bCs/>
          <w:color w:val="auto"/>
          <w:kern w:val="2"/>
          <w:sz w:val="28"/>
          <w:szCs w:val="36"/>
          <w:lang w:val="en-US" w:eastAsia="zh-CN" w:bidi="ar-SA"/>
        </w:rPr>
        <w:t>5.2 现状监测条件</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36"/>
          <w:lang w:val="en-US" w:eastAsia="zh-CN" w:bidi="ar-SA"/>
        </w:rPr>
      </w:pPr>
      <w:r>
        <w:rPr>
          <w:rFonts w:hint="eastAsia" w:ascii="Times New Roman" w:hAnsi="Times New Roman" w:cs="Times New Roman" w:eastAsiaTheme="minorEastAsia"/>
          <w:b/>
          <w:bCs/>
          <w:color w:val="auto"/>
          <w:kern w:val="2"/>
          <w:sz w:val="28"/>
          <w:szCs w:val="36"/>
          <w:lang w:val="en-US" w:eastAsia="zh-CN" w:bidi="ar-SA"/>
        </w:rPr>
        <w:t>5.2.1 监测项目</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eastAsia="宋体" w:cs="Times New Roman"/>
          <w:b w:val="0"/>
          <w:bCs w:val="0"/>
          <w:color w:val="auto"/>
          <w:kern w:val="2"/>
          <w:sz w:val="24"/>
          <w:szCs w:val="24"/>
          <w:lang w:val="en-US" w:eastAsia="zh-CN" w:bidi="ar-SA"/>
        </w:rPr>
        <w:t>根据HJ681-2013中的要求，交流输变电工程电磁环境的监测因子为工频电场和工频磁场，监测指标分别为工频电场强度和工频磁感应强度</w:t>
      </w:r>
      <w:r>
        <w:rPr>
          <w:rFonts w:hint="default" w:ascii="Times New Roman" w:hAnsi="Times New Roman" w:cs="Times New Roman"/>
          <w:b w:val="0"/>
          <w:bCs w:val="0"/>
          <w:color w:val="auto"/>
          <w:kern w:val="2"/>
          <w:sz w:val="24"/>
          <w:szCs w:val="24"/>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36"/>
          <w:lang w:val="en-US" w:eastAsia="zh-CN" w:bidi="ar-SA"/>
        </w:rPr>
      </w:pPr>
      <w:r>
        <w:rPr>
          <w:rFonts w:hint="eastAsia" w:ascii="Times New Roman" w:hAnsi="Times New Roman" w:cs="Times New Roman" w:eastAsiaTheme="minorEastAsia"/>
          <w:b/>
          <w:bCs/>
          <w:color w:val="auto"/>
          <w:kern w:val="2"/>
          <w:sz w:val="28"/>
          <w:szCs w:val="36"/>
          <w:lang w:val="en-US" w:eastAsia="zh-CN" w:bidi="ar-SA"/>
        </w:rPr>
        <w:t>5.2.2 监测仪器</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eastAsiaTheme="minorEastAsia"/>
          <w:b/>
          <w:bCs/>
          <w:color w:val="auto"/>
          <w:kern w:val="2"/>
          <w:sz w:val="21"/>
          <w:szCs w:val="21"/>
          <w:highlight w:val="none"/>
          <w:vertAlign w:val="baseline"/>
          <w:lang w:val="en-US" w:eastAsia="zh-CN" w:bidi="ar-SA"/>
        </w:rPr>
      </w:pPr>
      <w:r>
        <w:rPr>
          <w:rFonts w:hint="eastAsia" w:ascii="Times New Roman" w:cs="Times New Roman" w:eastAsiaTheme="minorEastAsia"/>
          <w:b/>
          <w:bCs/>
          <w:color w:val="auto"/>
          <w:kern w:val="2"/>
          <w:sz w:val="21"/>
          <w:szCs w:val="21"/>
          <w:highlight w:val="none"/>
          <w:vertAlign w:val="baseline"/>
          <w:lang w:val="en-US" w:eastAsia="zh-CN" w:bidi="ar-SA"/>
        </w:rPr>
        <w:t>表5-1  监测仪器</w:t>
      </w:r>
    </w:p>
    <w:tbl>
      <w:tblPr>
        <w:tblStyle w:val="1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8"/>
        <w:gridCol w:w="7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监测单位</w:t>
            </w:r>
          </w:p>
        </w:tc>
        <w:tc>
          <w:tcPr>
            <w:tcW w:w="725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陕西盛中建环境科技有限公司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仪器名称</w:t>
            </w:r>
          </w:p>
        </w:tc>
        <w:tc>
          <w:tcPr>
            <w:tcW w:w="725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电磁辐射分析仪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仪器型号</w:t>
            </w:r>
          </w:p>
        </w:tc>
        <w:tc>
          <w:tcPr>
            <w:tcW w:w="725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SEM-600/LF-01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仪器编号</w:t>
            </w:r>
          </w:p>
        </w:tc>
        <w:tc>
          <w:tcPr>
            <w:tcW w:w="725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hAnsi="Times New Roman" w:eastAsia="宋体" w:cs="Times New Roman"/>
                <w:color w:val="auto"/>
                <w:sz w:val="21"/>
                <w:szCs w:val="21"/>
                <w:highlight w:val="none"/>
                <w:lang w:eastAsia="zh-CN"/>
              </w:rPr>
              <w:t>S-0059/G-0059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测量范围</w:t>
            </w:r>
          </w:p>
        </w:tc>
        <w:tc>
          <w:tcPr>
            <w:tcW w:w="725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频率范围：电场1HZ-100KHZ、磁场1HZ-100KHZ；</w:t>
            </w:r>
          </w:p>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量程：电场0.5V/m-100KV/m</w:t>
            </w:r>
            <w:r>
              <w:rPr>
                <w:rFonts w:hint="eastAsia" w:ascii="Times New Roman" w:cs="Times New Roman" w:eastAsiaTheme="minorEastAsia"/>
                <w:b w:val="0"/>
                <w:bCs w:val="0"/>
                <w:color w:val="auto"/>
                <w:kern w:val="2"/>
                <w:sz w:val="21"/>
                <w:szCs w:val="21"/>
                <w:highlight w:val="none"/>
                <w:vertAlign w:val="baseline"/>
                <w:lang w:val="en-US" w:eastAsia="zh-CN" w:bidi="ar-SA"/>
              </w:rPr>
              <w:t>、</w:t>
            </w: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磁场10nT-3mT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校准证书号</w:t>
            </w:r>
          </w:p>
        </w:tc>
        <w:tc>
          <w:tcPr>
            <w:tcW w:w="725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2019F33-10-2125236002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校准日期</w:t>
            </w:r>
          </w:p>
        </w:tc>
        <w:tc>
          <w:tcPr>
            <w:tcW w:w="725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2019年11月1日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3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有效期</w:t>
            </w:r>
          </w:p>
        </w:tc>
        <w:tc>
          <w:tcPr>
            <w:tcW w:w="725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2020年10月31日</w:t>
            </w:r>
          </w:p>
        </w:tc>
      </w:tr>
    </w:tbl>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36"/>
          <w:lang w:val="en-US" w:eastAsia="zh-CN" w:bidi="ar-SA"/>
        </w:rPr>
      </w:pPr>
      <w:r>
        <w:rPr>
          <w:rFonts w:hint="eastAsia" w:ascii="Times New Roman" w:hAnsi="Times New Roman" w:cs="Times New Roman" w:eastAsiaTheme="minorEastAsia"/>
          <w:b/>
          <w:bCs/>
          <w:color w:val="auto"/>
          <w:kern w:val="2"/>
          <w:sz w:val="28"/>
          <w:szCs w:val="36"/>
          <w:lang w:val="en-US" w:eastAsia="zh-CN" w:bidi="ar-SA"/>
        </w:rPr>
        <w:t xml:space="preserve">5.2.3 </w:t>
      </w:r>
      <w:r>
        <w:rPr>
          <w:rFonts w:hint="eastAsia" w:ascii="Times New Roman" w:cs="Times New Roman" w:eastAsiaTheme="minorEastAsia"/>
          <w:b/>
          <w:bCs/>
          <w:color w:val="auto"/>
          <w:kern w:val="2"/>
          <w:sz w:val="28"/>
          <w:szCs w:val="36"/>
          <w:lang w:val="en-US" w:eastAsia="zh-CN" w:bidi="ar-SA"/>
        </w:rPr>
        <w:t>数据记录</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每个监测点位连续测5次，每次测量观测时间不小于15s，并读取稳定状态的最大值：测量高度为距地1.5m</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eastAsia="宋体" w:cs="Times New Roman"/>
          <w:b w:val="0"/>
          <w:bCs w:val="0"/>
          <w:color w:val="auto"/>
          <w:kern w:val="2"/>
          <w:sz w:val="24"/>
          <w:szCs w:val="24"/>
          <w:lang w:val="en-US" w:eastAsia="zh-CN" w:bidi="ar-SA"/>
        </w:rPr>
        <w:t>若仪器读数起伏较大时，应适当延长监测时间。求出每个监测位置的5次读数的算术平均值作为监测结果</w:t>
      </w:r>
      <w:r>
        <w:rPr>
          <w:rFonts w:hint="default" w:ascii="Times New Roman" w:hAnsi="Times New Roman" w:cs="Times New Roman"/>
          <w:b w:val="0"/>
          <w:bCs w:val="0"/>
          <w:color w:val="auto"/>
          <w:kern w:val="2"/>
          <w:sz w:val="24"/>
          <w:szCs w:val="24"/>
          <w:lang w:val="en-US" w:eastAsia="zh-CN" w:bidi="ar-SA"/>
        </w:rPr>
        <w:t>。</w:t>
      </w:r>
    </w:p>
    <w:p>
      <w:pPr>
        <w:pStyle w:val="18"/>
        <w:keepNext w:val="0"/>
        <w:keepLines w:val="0"/>
        <w:pageBreakBefore w:val="0"/>
        <w:widowControl/>
        <w:kinsoku/>
        <w:wordWrap/>
        <w:overflowPunct/>
        <w:topLinePunct w:val="0"/>
        <w:autoSpaceDE w:val="0"/>
        <w:autoSpaceDN w:val="0"/>
        <w:bidi w:val="0"/>
        <w:adjustRightInd w:val="0"/>
        <w:snapToGrid/>
        <w:spacing w:line="360" w:lineRule="auto"/>
        <w:jc w:val="left"/>
        <w:textAlignment w:val="auto"/>
        <w:outlineLvl w:val="0"/>
        <w:rPr>
          <w:rFonts w:hint="default" w:ascii="Times New Roman" w:hAnsi="Times New Roman" w:cs="Times New Roman" w:eastAsiaTheme="minorEastAsia"/>
          <w:b/>
          <w:bCs/>
          <w:color w:val="auto"/>
          <w:kern w:val="2"/>
          <w:sz w:val="28"/>
          <w:szCs w:val="36"/>
          <w:lang w:val="en-US" w:eastAsia="zh-CN" w:bidi="ar-SA"/>
        </w:rPr>
      </w:pPr>
      <w:bookmarkStart w:id="52" w:name="_Toc6315"/>
      <w:r>
        <w:rPr>
          <w:rFonts w:hint="eastAsia" w:ascii="Times New Roman" w:hAnsi="Times New Roman" w:cs="Times New Roman" w:eastAsiaTheme="minorEastAsia"/>
          <w:b/>
          <w:bCs/>
          <w:color w:val="auto"/>
          <w:kern w:val="2"/>
          <w:sz w:val="28"/>
          <w:szCs w:val="36"/>
          <w:lang w:val="en-US" w:eastAsia="zh-CN" w:bidi="ar-SA"/>
        </w:rPr>
        <w:t xml:space="preserve">5.2.4 </w:t>
      </w:r>
      <w:r>
        <w:rPr>
          <w:rFonts w:hint="default" w:ascii="Times New Roman" w:hAnsi="Times New Roman" w:cs="Times New Roman" w:eastAsiaTheme="minorEastAsia"/>
          <w:b/>
          <w:bCs/>
          <w:color w:val="auto"/>
          <w:kern w:val="2"/>
          <w:sz w:val="28"/>
          <w:szCs w:val="36"/>
          <w:lang w:val="en-US" w:eastAsia="zh-CN" w:bidi="ar-SA"/>
        </w:rPr>
        <w:t>监测环境条件</w:t>
      </w:r>
      <w:bookmarkEnd w:id="52"/>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b w:val="0"/>
          <w:bCs w:val="0"/>
          <w:color w:val="auto"/>
          <w:kern w:val="2"/>
          <w:sz w:val="24"/>
          <w:szCs w:val="24"/>
          <w:highlight w:val="none"/>
          <w:lang w:val="en-US" w:eastAsia="zh-CN" w:bidi="ar-SA"/>
        </w:rPr>
        <w:t>晴天，温度为2</w:t>
      </w:r>
      <w:r>
        <w:rPr>
          <w:rFonts w:hint="eastAsia" w:ascii="Times New Roman" w:hAnsi="Times New Roman" w:cs="Times New Roman"/>
          <w:b w:val="0"/>
          <w:bCs w:val="0"/>
          <w:color w:val="auto"/>
          <w:kern w:val="2"/>
          <w:sz w:val="24"/>
          <w:szCs w:val="24"/>
          <w:highlight w:val="none"/>
          <w:lang w:val="en-US" w:eastAsia="zh-CN" w:bidi="ar-SA"/>
        </w:rPr>
        <w:t>4.8</w:t>
      </w:r>
      <w:r>
        <w:rPr>
          <w:rFonts w:hint="default" w:ascii="Times New Roman" w:hAnsi="Times New Roman" w:cs="Times New Roman"/>
          <w:b w:val="0"/>
          <w:bCs w:val="0"/>
          <w:color w:val="auto"/>
          <w:kern w:val="2"/>
          <w:sz w:val="24"/>
          <w:szCs w:val="24"/>
          <w:highlight w:val="none"/>
          <w:lang w:val="en-US" w:eastAsia="zh-CN" w:bidi="ar-SA"/>
        </w:rPr>
        <w:t>℃，相对湿度为</w:t>
      </w:r>
      <w:r>
        <w:rPr>
          <w:rFonts w:hint="eastAsia" w:ascii="Times New Roman" w:hAnsi="Times New Roman" w:cs="Times New Roman"/>
          <w:b w:val="0"/>
          <w:bCs w:val="0"/>
          <w:color w:val="auto"/>
          <w:kern w:val="2"/>
          <w:sz w:val="24"/>
          <w:szCs w:val="24"/>
          <w:highlight w:val="none"/>
          <w:lang w:val="en-US" w:eastAsia="zh-CN" w:bidi="ar-SA"/>
        </w:rPr>
        <w:t>48.7</w:t>
      </w:r>
      <w:r>
        <w:rPr>
          <w:rFonts w:hint="default" w:ascii="Times New Roman" w:hAnsi="Times New Roman" w:cs="Times New Roman"/>
          <w:b w:val="0"/>
          <w:bCs w:val="0"/>
          <w:color w:val="auto"/>
          <w:kern w:val="2"/>
          <w:sz w:val="24"/>
          <w:szCs w:val="24"/>
          <w:highlight w:val="none"/>
          <w:lang w:val="en-US" w:eastAsia="zh-CN" w:bidi="ar-SA"/>
        </w:rPr>
        <w:t>%，风速为1.</w:t>
      </w:r>
      <w:r>
        <w:rPr>
          <w:rFonts w:hint="eastAsia" w:ascii="Times New Roman" w:hAnsi="Times New Roman" w:cs="Times New Roman"/>
          <w:b w:val="0"/>
          <w:bCs w:val="0"/>
          <w:color w:val="auto"/>
          <w:kern w:val="2"/>
          <w:sz w:val="24"/>
          <w:szCs w:val="24"/>
          <w:highlight w:val="none"/>
          <w:lang w:val="en-US" w:eastAsia="zh-CN" w:bidi="ar-SA"/>
        </w:rPr>
        <w:t>3</w:t>
      </w:r>
      <w:r>
        <w:rPr>
          <w:rFonts w:hint="default" w:ascii="Times New Roman" w:hAnsi="Times New Roman" w:cs="Times New Roman"/>
          <w:b w:val="0"/>
          <w:bCs w:val="0"/>
          <w:color w:val="auto"/>
          <w:kern w:val="2"/>
          <w:sz w:val="24"/>
          <w:szCs w:val="24"/>
          <w:highlight w:val="none"/>
          <w:lang w:val="en-US" w:eastAsia="zh-CN" w:bidi="ar-SA"/>
        </w:rPr>
        <w:t>m/s。</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36"/>
          <w:lang w:val="en-US" w:eastAsia="zh-CN" w:bidi="ar-SA"/>
        </w:rPr>
      </w:pPr>
      <w:r>
        <w:rPr>
          <w:rFonts w:hint="eastAsia" w:ascii="Times New Roman" w:hAnsi="Times New Roman" w:cs="Times New Roman" w:eastAsiaTheme="minorEastAsia"/>
          <w:b/>
          <w:bCs/>
          <w:color w:val="auto"/>
          <w:kern w:val="2"/>
          <w:sz w:val="28"/>
          <w:szCs w:val="36"/>
          <w:lang w:val="en-US" w:eastAsia="zh-CN" w:bidi="ar-SA"/>
        </w:rPr>
        <w:t>5.3 监测点位布置</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通过现场踏勘，本次现状监测点位布设于</w:t>
      </w:r>
      <w:r>
        <w:rPr>
          <w:rFonts w:hint="eastAsia" w:ascii="Times New Roman" w:cs="Times New Roman" w:eastAsiaTheme="minorEastAsia"/>
          <w:b w:val="0"/>
          <w:bCs w:val="0"/>
          <w:color w:val="auto"/>
          <w:kern w:val="2"/>
          <w:sz w:val="24"/>
          <w:szCs w:val="24"/>
          <w:highlight w:val="none"/>
          <w:vertAlign w:val="baseline"/>
          <w:lang w:val="en-US" w:eastAsia="zh-CN" w:bidi="ar-SA"/>
        </w:rPr>
        <w:t>第1个塔基、第11个塔基、第21个塔基处。</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36"/>
          <w:lang w:val="en-US" w:eastAsia="zh-CN" w:bidi="ar-SA"/>
        </w:rPr>
      </w:pPr>
      <w:r>
        <w:rPr>
          <w:rFonts w:hint="eastAsia" w:ascii="Times New Roman" w:hAnsi="Times New Roman" w:cs="Times New Roman" w:eastAsiaTheme="minorEastAsia"/>
          <w:b/>
          <w:bCs/>
          <w:color w:val="auto"/>
          <w:kern w:val="2"/>
          <w:sz w:val="28"/>
          <w:szCs w:val="36"/>
          <w:lang w:val="en-US" w:eastAsia="zh-CN" w:bidi="ar-SA"/>
        </w:rPr>
        <w:t>5.4 现状监测结果及分析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cs="Times New Roman" w:eastAsiaTheme="minorEastAsia"/>
          <w:b w:val="0"/>
          <w:bCs w:val="0"/>
          <w:color w:val="auto"/>
          <w:kern w:val="2"/>
          <w:sz w:val="24"/>
          <w:szCs w:val="24"/>
          <w:highlight w:val="none"/>
          <w:vertAlign w:val="baseline"/>
          <w:lang w:val="en-US" w:eastAsia="zh-CN" w:bidi="ar-SA"/>
        </w:rPr>
        <w:t>现状监测结果详见表5-2。</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0"/>
          <w:vertAlign w:val="baseline"/>
          <w:lang w:val="en-US" w:eastAsia="zh-CN"/>
        </w:rPr>
      </w:pPr>
      <w:r>
        <w:rPr>
          <w:rFonts w:hint="eastAsia" w:ascii="Times New Roman" w:hAnsi="Times New Roman" w:cs="Times New Roman"/>
          <w:b/>
          <w:bCs/>
          <w:sz w:val="21"/>
          <w:szCs w:val="20"/>
          <w:vertAlign w:val="baseline"/>
          <w:lang w:eastAsia="zh-CN"/>
        </w:rPr>
        <w:t>表</w:t>
      </w:r>
      <w:r>
        <w:rPr>
          <w:rFonts w:hint="eastAsia" w:ascii="Times New Roman" w:hAnsi="Times New Roman" w:cs="Times New Roman"/>
          <w:b/>
          <w:bCs/>
          <w:sz w:val="21"/>
          <w:szCs w:val="20"/>
          <w:vertAlign w:val="baseline"/>
          <w:lang w:val="en-US" w:eastAsia="zh-CN"/>
        </w:rPr>
        <w:t>5-2  拟建线路沿线工频电磁场监测结果</w:t>
      </w:r>
    </w:p>
    <w:tbl>
      <w:tblPr>
        <w:tblStyle w:val="15"/>
        <w:tblW w:w="8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1410"/>
        <w:gridCol w:w="901"/>
        <w:gridCol w:w="2881"/>
        <w:gridCol w:w="2872"/>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eastAsia="zh-CN"/>
              </w:rPr>
            </w:pPr>
            <w:r>
              <w:rPr>
                <w:rFonts w:hint="default" w:ascii="Times New Roman" w:hAnsi="Times New Roman" w:cs="Times New Roman"/>
                <w:b w:val="0"/>
                <w:bCs w:val="0"/>
                <w:sz w:val="21"/>
                <w:szCs w:val="21"/>
                <w:vertAlign w:val="baseline"/>
                <w:lang w:eastAsia="zh-CN"/>
              </w:rPr>
              <w:t>序号</w:t>
            </w:r>
          </w:p>
        </w:tc>
        <w:tc>
          <w:tcPr>
            <w:tcW w:w="2311"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eastAsia="zh-CN"/>
              </w:rPr>
            </w:pPr>
            <w:r>
              <w:rPr>
                <w:rFonts w:hint="default" w:ascii="Times New Roman" w:hAnsi="Times New Roman" w:cs="Times New Roman"/>
                <w:b w:val="0"/>
                <w:bCs w:val="0"/>
                <w:sz w:val="21"/>
                <w:szCs w:val="21"/>
                <w:vertAlign w:val="baseline"/>
                <w:lang w:eastAsia="zh-CN"/>
              </w:rPr>
              <w:t>点位名称</w:t>
            </w:r>
          </w:p>
        </w:tc>
        <w:tc>
          <w:tcPr>
            <w:tcW w:w="288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eastAsia="zh-CN"/>
              </w:rPr>
            </w:pPr>
            <w:r>
              <w:rPr>
                <w:rFonts w:hint="default" w:ascii="Times New Roman" w:hAnsi="Times New Roman" w:cs="Times New Roman"/>
                <w:b w:val="0"/>
                <w:bCs w:val="0"/>
                <w:sz w:val="21"/>
                <w:szCs w:val="21"/>
                <w:vertAlign w:val="baseline"/>
                <w:lang w:eastAsia="zh-CN"/>
              </w:rPr>
              <w:t>工频电场强度（V/m）</w:t>
            </w:r>
          </w:p>
        </w:tc>
        <w:tc>
          <w:tcPr>
            <w:tcW w:w="2881"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eastAsia="zh-CN"/>
              </w:rPr>
            </w:pPr>
            <w:r>
              <w:rPr>
                <w:rFonts w:hint="default" w:ascii="Times New Roman" w:hAnsi="Times New Roman" w:cs="Times New Roman"/>
                <w:b w:val="0"/>
                <w:bCs w:val="0"/>
                <w:sz w:val="21"/>
                <w:szCs w:val="21"/>
                <w:vertAlign w:val="baseline"/>
                <w:lang w:eastAsia="zh-CN"/>
              </w:rPr>
              <w:t>工频磁感应强度（μT）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86"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1</w:t>
            </w:r>
          </w:p>
        </w:tc>
        <w:tc>
          <w:tcPr>
            <w:tcW w:w="1410" w:type="dxa"/>
            <w:vMerge w:val="restart"/>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第1个塔基</w:t>
            </w: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第1次</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kern w:val="2"/>
                <w:sz w:val="21"/>
                <w:szCs w:val="21"/>
                <w:lang w:val="en-US" w:eastAsia="zh-CN" w:bidi="ar-SA"/>
              </w:rPr>
              <w:t>0.46</w:t>
            </w:r>
          </w:p>
        </w:tc>
        <w:tc>
          <w:tcPr>
            <w:tcW w:w="288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kern w:val="2"/>
                <w:sz w:val="21"/>
                <w:szCs w:val="21"/>
                <w:lang w:val="en-US" w:eastAsia="zh-CN" w:bidi="ar-SA"/>
              </w:rPr>
              <w:t>0.0073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86" w:type="dxa"/>
            <w:vMerge w:val="continue"/>
            <w:vAlign w:val="center"/>
          </w:tcPr>
          <w:p>
            <w:pPr>
              <w:ind w:left="0" w:leftChars="0" w:firstLine="0" w:firstLineChars="0"/>
              <w:jc w:val="center"/>
              <w:rPr>
                <w:rFonts w:hint="default" w:ascii="Times New Roman" w:hAnsi="Times New Roman" w:cs="Times New Roman"/>
                <w:sz w:val="21"/>
                <w:szCs w:val="21"/>
              </w:rPr>
            </w:pPr>
          </w:p>
        </w:tc>
        <w:tc>
          <w:tcPr>
            <w:tcW w:w="1410" w:type="dxa"/>
            <w:vMerge w:val="continue"/>
            <w:vAlign w:val="center"/>
          </w:tcPr>
          <w:p>
            <w:pPr>
              <w:ind w:left="0" w:leftChars="0" w:firstLine="0" w:firstLineChars="0"/>
              <w:jc w:val="center"/>
              <w:rPr>
                <w:rFonts w:hint="default" w:ascii="Times New Roman" w:hAnsi="Times New Roman" w:cs="Times New Roman"/>
                <w:sz w:val="21"/>
                <w:szCs w:val="21"/>
              </w:rPr>
            </w:pP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第2次</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0.48</w:t>
            </w:r>
          </w:p>
        </w:tc>
        <w:tc>
          <w:tcPr>
            <w:tcW w:w="288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86"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1410"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第3次</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0.42</w:t>
            </w:r>
          </w:p>
        </w:tc>
        <w:tc>
          <w:tcPr>
            <w:tcW w:w="288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86"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1410"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第4次</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0.45</w:t>
            </w:r>
          </w:p>
        </w:tc>
        <w:tc>
          <w:tcPr>
            <w:tcW w:w="288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86"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1410"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第5次</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0.41</w:t>
            </w:r>
          </w:p>
        </w:tc>
        <w:tc>
          <w:tcPr>
            <w:tcW w:w="288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86"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1410"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平均值</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 average(F9:F13) \* MERGEFORMAT </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0.44</w:t>
            </w:r>
            <w:r>
              <w:rPr>
                <w:rFonts w:hint="default" w:ascii="Times New Roman" w:hAnsi="Times New Roman" w:eastAsia="宋体" w:cs="Times New Roman"/>
                <w:kern w:val="2"/>
                <w:sz w:val="21"/>
                <w:szCs w:val="21"/>
                <w:lang w:val="en-US" w:eastAsia="zh-CN" w:bidi="ar-SA"/>
              </w:rPr>
              <w:fldChar w:fldCharType="end"/>
            </w:r>
          </w:p>
        </w:tc>
        <w:tc>
          <w:tcPr>
            <w:tcW w:w="288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 average(G9:G13) \* MERGEFORMAT </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0.007</w:t>
            </w:r>
            <w:r>
              <w:rPr>
                <w:rFonts w:hint="default" w:ascii="Times New Roman" w:hAnsi="Times New Roman" w:cs="Times New Roman"/>
                <w:kern w:val="2"/>
                <w:sz w:val="21"/>
                <w:szCs w:val="21"/>
                <w:lang w:val="en-US" w:eastAsia="zh-CN" w:bidi="ar-SA"/>
              </w:rPr>
              <w:t>9</w:t>
            </w:r>
            <w:r>
              <w:rPr>
                <w:rFonts w:hint="default" w:ascii="Times New Roman" w:hAnsi="Times New Roman" w:eastAsia="宋体" w:cs="Times New Roman"/>
                <w:kern w:val="2"/>
                <w:sz w:val="21"/>
                <w:szCs w:val="21"/>
                <w:lang w:val="en-US" w:eastAsia="zh-CN" w:bidi="ar-S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786"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2</w:t>
            </w:r>
          </w:p>
        </w:tc>
        <w:tc>
          <w:tcPr>
            <w:tcW w:w="1410" w:type="dxa"/>
            <w:vMerge w:val="restart"/>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第11个塔基</w:t>
            </w: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第1次</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kern w:val="2"/>
                <w:sz w:val="21"/>
                <w:szCs w:val="21"/>
                <w:lang w:val="en-US" w:eastAsia="zh-CN" w:bidi="ar-SA"/>
              </w:rPr>
              <w:t>0.26</w:t>
            </w:r>
          </w:p>
        </w:tc>
        <w:tc>
          <w:tcPr>
            <w:tcW w:w="288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kern w:val="2"/>
                <w:sz w:val="21"/>
                <w:szCs w:val="21"/>
                <w:lang w:val="en-US" w:eastAsia="zh-CN" w:bidi="ar-SA"/>
              </w:rPr>
              <w:t>0.0068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86" w:type="dxa"/>
            <w:vMerge w:val="continue"/>
            <w:vAlign w:val="center"/>
          </w:tcPr>
          <w:p>
            <w:pPr>
              <w:ind w:left="0" w:leftChars="0" w:firstLine="0" w:firstLineChars="0"/>
              <w:jc w:val="center"/>
              <w:rPr>
                <w:rFonts w:hint="default" w:ascii="Times New Roman" w:hAnsi="Times New Roman" w:cs="Times New Roman"/>
                <w:sz w:val="21"/>
                <w:szCs w:val="21"/>
              </w:rPr>
            </w:pPr>
          </w:p>
        </w:tc>
        <w:tc>
          <w:tcPr>
            <w:tcW w:w="1410" w:type="dxa"/>
            <w:vMerge w:val="continue"/>
            <w:vAlign w:val="center"/>
          </w:tcPr>
          <w:p>
            <w:pPr>
              <w:ind w:left="0" w:leftChars="0" w:firstLine="0" w:firstLineChars="0"/>
              <w:jc w:val="center"/>
              <w:rPr>
                <w:rFonts w:hint="default" w:ascii="Times New Roman" w:hAnsi="Times New Roman" w:cs="Times New Roman"/>
                <w:sz w:val="21"/>
                <w:szCs w:val="21"/>
              </w:rPr>
            </w:pP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第2次</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0.27</w:t>
            </w:r>
          </w:p>
        </w:tc>
        <w:tc>
          <w:tcPr>
            <w:tcW w:w="288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0.0069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86"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1410"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第3次</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0.27</w:t>
            </w:r>
          </w:p>
        </w:tc>
        <w:tc>
          <w:tcPr>
            <w:tcW w:w="288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86"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1410"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第4次</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0.26</w:t>
            </w:r>
          </w:p>
        </w:tc>
        <w:tc>
          <w:tcPr>
            <w:tcW w:w="288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0.0064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86"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1410"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第5次</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0.26</w:t>
            </w:r>
          </w:p>
        </w:tc>
        <w:tc>
          <w:tcPr>
            <w:tcW w:w="288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786"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1410"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平均值</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 average(F15:F19) \* MERGEFORMAT </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0.26</w:t>
            </w:r>
            <w:r>
              <w:rPr>
                <w:rFonts w:hint="default" w:ascii="Times New Roman" w:hAnsi="Times New Roman" w:eastAsia="宋体" w:cs="Times New Roman"/>
                <w:kern w:val="2"/>
                <w:sz w:val="21"/>
                <w:szCs w:val="21"/>
                <w:lang w:val="en-US" w:eastAsia="zh-CN" w:bidi="ar-SA"/>
              </w:rPr>
              <w:fldChar w:fldCharType="end"/>
            </w:r>
          </w:p>
        </w:tc>
        <w:tc>
          <w:tcPr>
            <w:tcW w:w="2881"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 average(G15:G19) \* MERGEFORMAT </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0.006</w:t>
            </w:r>
            <w:r>
              <w:rPr>
                <w:rFonts w:hint="default" w:ascii="Times New Roman" w:hAnsi="Times New Roman" w:cs="Times New Roman"/>
                <w:kern w:val="2"/>
                <w:sz w:val="21"/>
                <w:szCs w:val="21"/>
                <w:lang w:val="en-US" w:eastAsia="zh-CN" w:bidi="ar-SA"/>
              </w:rPr>
              <w:t>7</w:t>
            </w:r>
            <w:r>
              <w:rPr>
                <w:rFonts w:hint="default" w:ascii="Times New Roman" w:hAnsi="Times New Roman" w:eastAsia="宋体" w:cs="Times New Roman"/>
                <w:kern w:val="2"/>
                <w:sz w:val="21"/>
                <w:szCs w:val="21"/>
                <w:lang w:val="en-US" w:eastAsia="zh-CN" w:bidi="ar-S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786"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b w:val="0"/>
                <w:bCs w:val="0"/>
                <w:sz w:val="21"/>
                <w:szCs w:val="21"/>
                <w:vertAlign w:val="baseline"/>
                <w:lang w:val="en-US" w:eastAsia="zh-CN"/>
              </w:rPr>
              <w:t>3</w:t>
            </w:r>
          </w:p>
        </w:tc>
        <w:tc>
          <w:tcPr>
            <w:tcW w:w="1410" w:type="dxa"/>
            <w:vMerge w:val="restart"/>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第21个塔基</w:t>
            </w: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第1次</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kern w:val="2"/>
                <w:sz w:val="21"/>
                <w:szCs w:val="21"/>
                <w:lang w:val="en-US" w:eastAsia="zh-CN" w:bidi="ar-SA"/>
              </w:rPr>
              <w:t>0.93</w:t>
            </w:r>
          </w:p>
        </w:tc>
        <w:tc>
          <w:tcPr>
            <w:tcW w:w="2872"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kern w:val="2"/>
                <w:sz w:val="21"/>
                <w:szCs w:val="21"/>
                <w:lang w:val="en-US" w:eastAsia="zh-CN" w:bidi="ar-SA"/>
              </w:rPr>
              <w:t>0.0194</w:t>
            </w:r>
          </w:p>
        </w:tc>
        <w:tc>
          <w:tcPr>
            <w:tcW w:w="9"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786" w:type="dxa"/>
            <w:vMerge w:val="continue"/>
            <w:vAlign w:val="center"/>
          </w:tcPr>
          <w:p>
            <w:pPr>
              <w:ind w:left="0" w:leftChars="0" w:firstLine="0" w:firstLineChars="0"/>
              <w:jc w:val="center"/>
              <w:rPr>
                <w:rFonts w:hint="default" w:ascii="Times New Roman" w:hAnsi="Times New Roman" w:cs="Times New Roman"/>
                <w:sz w:val="21"/>
                <w:szCs w:val="21"/>
              </w:rPr>
            </w:pPr>
          </w:p>
        </w:tc>
        <w:tc>
          <w:tcPr>
            <w:tcW w:w="1410" w:type="dxa"/>
            <w:vMerge w:val="continue"/>
            <w:vAlign w:val="center"/>
          </w:tcPr>
          <w:p>
            <w:pPr>
              <w:ind w:left="0" w:leftChars="0" w:firstLine="0" w:firstLineChars="0"/>
              <w:jc w:val="center"/>
              <w:rPr>
                <w:rFonts w:hint="default" w:ascii="Times New Roman" w:hAnsi="Times New Roman" w:cs="Times New Roman"/>
                <w:sz w:val="21"/>
                <w:szCs w:val="21"/>
              </w:rPr>
            </w:pP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第2次</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0.95</w:t>
            </w:r>
          </w:p>
        </w:tc>
        <w:tc>
          <w:tcPr>
            <w:tcW w:w="2872"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0.0186</w:t>
            </w:r>
          </w:p>
        </w:tc>
        <w:tc>
          <w:tcPr>
            <w:tcW w:w="9" w:type="dxa"/>
            <w:vAlign w:val="center"/>
          </w:tcPr>
          <w:p>
            <w:pPr>
              <w:ind w:left="0" w:leftChars="0"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786"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1410"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第3次</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0.89</w:t>
            </w:r>
          </w:p>
        </w:tc>
        <w:tc>
          <w:tcPr>
            <w:tcW w:w="2872"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0.0203</w:t>
            </w:r>
          </w:p>
        </w:tc>
        <w:tc>
          <w:tcPr>
            <w:tcW w:w="9" w:type="dxa"/>
            <w:vAlign w:val="center"/>
          </w:tcPr>
          <w:p>
            <w:pPr>
              <w:ind w:left="0" w:leftChars="0"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786"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1410"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第4次</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0.96</w:t>
            </w:r>
          </w:p>
        </w:tc>
        <w:tc>
          <w:tcPr>
            <w:tcW w:w="2872"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0.0209</w:t>
            </w:r>
          </w:p>
        </w:tc>
        <w:tc>
          <w:tcPr>
            <w:tcW w:w="9" w:type="dxa"/>
            <w:vAlign w:val="center"/>
          </w:tcPr>
          <w:p>
            <w:pPr>
              <w:ind w:left="0" w:leftChars="0"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786"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1410"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第5次</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0.91</w:t>
            </w:r>
          </w:p>
        </w:tc>
        <w:tc>
          <w:tcPr>
            <w:tcW w:w="2872"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cs="Times New Roman"/>
                <w:kern w:val="2"/>
                <w:sz w:val="21"/>
                <w:szCs w:val="21"/>
                <w:lang w:val="en-US" w:eastAsia="zh-CN" w:bidi="ar-SA"/>
              </w:rPr>
              <w:t>0.0211</w:t>
            </w:r>
          </w:p>
        </w:tc>
        <w:tc>
          <w:tcPr>
            <w:tcW w:w="9" w:type="dxa"/>
            <w:vAlign w:val="center"/>
          </w:tcPr>
          <w:p>
            <w:pPr>
              <w:ind w:left="0" w:leftChars="0" w:firstLine="0" w:firstLineChars="0"/>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trPr>
        <w:tc>
          <w:tcPr>
            <w:tcW w:w="786"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1410" w:type="dxa"/>
            <w:vMerge w:val="continue"/>
            <w:vAlign w:val="center"/>
          </w:tcPr>
          <w:p>
            <w:p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p>
        </w:tc>
        <w:tc>
          <w:tcPr>
            <w:tcW w:w="901" w:type="dxa"/>
            <w:vAlign w:val="center"/>
          </w:tcPr>
          <w:p>
            <w:pPr>
              <w:numPr>
                <w:ilvl w:val="0"/>
                <w:numId w:val="0"/>
              </w:numPr>
              <w:ind w:left="0" w:leftChars="0" w:firstLine="0" w:firstLineChars="0"/>
              <w:jc w:val="center"/>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b w:val="0"/>
                <w:bCs w:val="0"/>
                <w:kern w:val="0"/>
                <w:sz w:val="21"/>
                <w:szCs w:val="21"/>
                <w:vertAlign w:val="baseline"/>
                <w:lang w:val="en-US" w:eastAsia="zh-CN" w:bidi="ar-SA"/>
              </w:rPr>
              <w:t>平均值</w:t>
            </w:r>
          </w:p>
        </w:tc>
        <w:tc>
          <w:tcPr>
            <w:tcW w:w="2881"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 average(F21:F25) \* MERGEFORMAT </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0.9</w:t>
            </w:r>
            <w:r>
              <w:rPr>
                <w:rFonts w:hint="default" w:ascii="Times New Roman" w:hAnsi="Times New Roman"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fldChar w:fldCharType="end"/>
            </w:r>
          </w:p>
        </w:tc>
        <w:tc>
          <w:tcPr>
            <w:tcW w:w="2872" w:type="dxa"/>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kern w:val="0"/>
                <w:sz w:val="21"/>
                <w:szCs w:val="21"/>
                <w:vertAlign w:val="baseline"/>
                <w:lang w:val="en-US" w:eastAsia="zh-CN" w:bidi="ar-SA"/>
              </w:rPr>
            </w:pPr>
            <w:r>
              <w:rPr>
                <w:rFonts w:hint="default" w:ascii="Times New Roman" w:hAnsi="Times New Roman" w:eastAsia="宋体" w:cs="Times New Roman"/>
                <w:kern w:val="2"/>
                <w:sz w:val="21"/>
                <w:szCs w:val="21"/>
                <w:lang w:val="en-US" w:eastAsia="zh-CN" w:bidi="ar-SA"/>
              </w:rPr>
              <w:fldChar w:fldCharType="begin"/>
            </w:r>
            <w:r>
              <w:rPr>
                <w:rFonts w:hint="default" w:ascii="Times New Roman" w:hAnsi="Times New Roman" w:eastAsia="宋体" w:cs="Times New Roman"/>
                <w:kern w:val="2"/>
                <w:sz w:val="21"/>
                <w:szCs w:val="21"/>
                <w:lang w:val="en-US" w:eastAsia="zh-CN" w:bidi="ar-SA"/>
              </w:rPr>
              <w:instrText xml:space="preserve"> = average(G21:G25) \* MERGEFORMAT </w:instrText>
            </w:r>
            <w:r>
              <w:rPr>
                <w:rFonts w:hint="default" w:ascii="Times New Roman" w:hAnsi="Times New Roman" w:eastAsia="宋体" w:cs="Times New Roman"/>
                <w:kern w:val="2"/>
                <w:sz w:val="21"/>
                <w:szCs w:val="21"/>
                <w:lang w:val="en-US" w:eastAsia="zh-CN" w:bidi="ar-SA"/>
              </w:rPr>
              <w:fldChar w:fldCharType="separate"/>
            </w:r>
            <w:r>
              <w:rPr>
                <w:rFonts w:hint="default" w:ascii="Times New Roman" w:hAnsi="Times New Roman" w:eastAsia="宋体" w:cs="Times New Roman"/>
                <w:kern w:val="2"/>
                <w:sz w:val="21"/>
                <w:szCs w:val="21"/>
                <w:lang w:val="en-US" w:eastAsia="zh-CN" w:bidi="ar-SA"/>
              </w:rPr>
              <w:t>0.020</w:t>
            </w:r>
            <w:r>
              <w:rPr>
                <w:rFonts w:hint="default" w:ascii="Times New Roman" w:hAnsi="Times New Roman" w:cs="Times New Roman"/>
                <w:kern w:val="2"/>
                <w:sz w:val="21"/>
                <w:szCs w:val="21"/>
                <w:lang w:val="en-US" w:eastAsia="zh-CN" w:bidi="ar-SA"/>
              </w:rPr>
              <w:t>1</w:t>
            </w:r>
            <w:r>
              <w:rPr>
                <w:rFonts w:hint="default" w:ascii="Times New Roman" w:hAnsi="Times New Roman" w:eastAsia="宋体" w:cs="Times New Roman"/>
                <w:kern w:val="2"/>
                <w:sz w:val="21"/>
                <w:szCs w:val="21"/>
                <w:lang w:val="en-US" w:eastAsia="zh-CN" w:bidi="ar-SA"/>
              </w:rPr>
              <w:fldChar w:fldCharType="end"/>
            </w:r>
          </w:p>
        </w:tc>
        <w:tc>
          <w:tcPr>
            <w:tcW w:w="9" w:type="dxa"/>
            <w:vAlign w:val="center"/>
          </w:tcPr>
          <w:p>
            <w:pPr>
              <w:ind w:left="0" w:leftChars="0" w:firstLine="0" w:firstLineChars="0"/>
              <w:jc w:val="center"/>
              <w:rPr>
                <w:rFonts w:hint="default" w:ascii="Times New Roman" w:hAnsi="Times New Roman" w:cs="Times New Roman"/>
                <w:sz w:val="21"/>
                <w:szCs w:val="21"/>
              </w:rPr>
            </w:pPr>
          </w:p>
        </w:tc>
      </w:tr>
    </w:tbl>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b w:val="0"/>
          <w:bCs w:val="0"/>
          <w:sz w:val="24"/>
          <w:szCs w:val="22"/>
          <w:highlight w:val="none"/>
          <w:vertAlign w:val="baseline"/>
          <w:lang w:eastAsia="zh-CN"/>
        </w:rPr>
        <w:t>监测结果表明：本</w:t>
      </w:r>
      <w:r>
        <w:rPr>
          <w:rFonts w:hint="eastAsia" w:ascii="Times New Roman" w:hAnsi="Times New Roman" w:cs="Times New Roman"/>
          <w:b w:val="0"/>
          <w:bCs w:val="0"/>
          <w:sz w:val="24"/>
          <w:szCs w:val="22"/>
          <w:highlight w:val="none"/>
          <w:vertAlign w:val="baseline"/>
          <w:lang w:eastAsia="zh-CN"/>
        </w:rPr>
        <w:t>项目</w:t>
      </w:r>
      <w:r>
        <w:rPr>
          <w:rFonts w:hint="default" w:ascii="Times New Roman" w:hAnsi="Times New Roman" w:cs="Times New Roman"/>
          <w:b w:val="0"/>
          <w:bCs w:val="0"/>
          <w:sz w:val="24"/>
          <w:szCs w:val="22"/>
          <w:highlight w:val="none"/>
          <w:vertAlign w:val="baseline"/>
          <w:lang w:eastAsia="zh-CN"/>
        </w:rPr>
        <w:t>输电线路沿线工频电场强度范围为0.2</w:t>
      </w:r>
      <w:r>
        <w:rPr>
          <w:rFonts w:hint="eastAsia" w:ascii="Times New Roman" w:cs="Times New Roman"/>
          <w:b w:val="0"/>
          <w:bCs w:val="0"/>
          <w:sz w:val="24"/>
          <w:szCs w:val="22"/>
          <w:highlight w:val="none"/>
          <w:vertAlign w:val="baseline"/>
          <w:lang w:val="en-US" w:eastAsia="zh-CN"/>
        </w:rPr>
        <w:t>6</w:t>
      </w:r>
      <w:r>
        <w:rPr>
          <w:rFonts w:hint="default" w:ascii="Times New Roman" w:hAnsi="Times New Roman" w:cs="Times New Roman"/>
          <w:b w:val="0"/>
          <w:bCs w:val="0"/>
          <w:sz w:val="24"/>
          <w:szCs w:val="22"/>
          <w:highlight w:val="none"/>
          <w:vertAlign w:val="baseline"/>
          <w:lang w:eastAsia="zh-CN"/>
        </w:rPr>
        <w:t>~0.</w:t>
      </w:r>
      <w:r>
        <w:rPr>
          <w:rFonts w:hint="eastAsia" w:ascii="Times New Roman" w:cs="Times New Roman"/>
          <w:b w:val="0"/>
          <w:bCs w:val="0"/>
          <w:sz w:val="24"/>
          <w:szCs w:val="22"/>
          <w:highlight w:val="none"/>
          <w:vertAlign w:val="baseline"/>
          <w:lang w:val="en-US" w:eastAsia="zh-CN"/>
        </w:rPr>
        <w:t>96</w:t>
      </w:r>
      <w:r>
        <w:rPr>
          <w:rFonts w:hint="default" w:ascii="Times New Roman" w:hAnsi="Times New Roman" w:cs="Times New Roman"/>
          <w:b w:val="0"/>
          <w:bCs w:val="0"/>
          <w:sz w:val="24"/>
          <w:szCs w:val="22"/>
          <w:highlight w:val="none"/>
          <w:vertAlign w:val="baseline"/>
          <w:lang w:eastAsia="zh-CN"/>
        </w:rPr>
        <w:t>V</w:t>
      </w:r>
      <w:r>
        <w:rPr>
          <w:rFonts w:hint="eastAsia" w:ascii="Times New Roman" w:hAnsi="Times New Roman" w:cs="Times New Roman"/>
          <w:b w:val="0"/>
          <w:bCs w:val="0"/>
          <w:sz w:val="24"/>
          <w:szCs w:val="22"/>
          <w:highlight w:val="none"/>
          <w:vertAlign w:val="baseline"/>
          <w:lang w:val="en-US" w:eastAsia="zh-CN"/>
        </w:rPr>
        <w:t>/</w:t>
      </w:r>
      <w:r>
        <w:rPr>
          <w:rFonts w:hint="default" w:ascii="Times New Roman" w:hAnsi="Times New Roman" w:cs="Times New Roman"/>
          <w:b w:val="0"/>
          <w:bCs w:val="0"/>
          <w:sz w:val="24"/>
          <w:szCs w:val="22"/>
          <w:highlight w:val="none"/>
          <w:vertAlign w:val="baseline"/>
          <w:lang w:eastAsia="zh-CN"/>
        </w:rPr>
        <w:t>m，工频磁感应强度范围为0.006</w:t>
      </w:r>
      <w:r>
        <w:rPr>
          <w:rFonts w:hint="eastAsia" w:ascii="Times New Roman" w:cs="Times New Roman"/>
          <w:b w:val="0"/>
          <w:bCs w:val="0"/>
          <w:sz w:val="24"/>
          <w:szCs w:val="22"/>
          <w:highlight w:val="none"/>
          <w:vertAlign w:val="baseline"/>
          <w:lang w:val="en-US" w:eastAsia="zh-CN"/>
        </w:rPr>
        <w:t>4</w:t>
      </w:r>
      <w:r>
        <w:rPr>
          <w:rFonts w:hint="default" w:ascii="Times New Roman" w:hAnsi="Times New Roman" w:cs="Times New Roman"/>
          <w:b w:val="0"/>
          <w:bCs w:val="0"/>
          <w:sz w:val="24"/>
          <w:szCs w:val="22"/>
          <w:highlight w:val="none"/>
          <w:vertAlign w:val="baseline"/>
          <w:lang w:eastAsia="zh-CN"/>
        </w:rPr>
        <w:t>~0.0</w:t>
      </w:r>
      <w:r>
        <w:rPr>
          <w:rFonts w:hint="eastAsia" w:ascii="Times New Roman" w:cs="Times New Roman"/>
          <w:b w:val="0"/>
          <w:bCs w:val="0"/>
          <w:sz w:val="24"/>
          <w:szCs w:val="22"/>
          <w:highlight w:val="none"/>
          <w:vertAlign w:val="baseline"/>
          <w:lang w:val="en-US" w:eastAsia="zh-CN"/>
        </w:rPr>
        <w:t>211</w:t>
      </w:r>
      <w:r>
        <w:rPr>
          <w:rFonts w:hint="default" w:ascii="Times New Roman" w:hAnsi="Times New Roman" w:cs="Times New Roman"/>
          <w:b w:val="0"/>
          <w:bCs w:val="0"/>
          <w:sz w:val="24"/>
          <w:szCs w:val="22"/>
          <w:highlight w:val="none"/>
          <w:vertAlign w:val="baseline"/>
          <w:lang w:eastAsia="zh-CN"/>
        </w:rPr>
        <w:t>μT；各监测点监测值均满足《电磁环境控制限值》（GB8702-2014）中规定的标准限值要求（工频电场强度4000V/m，工频磁感应强度l00μT）。</w:t>
      </w:r>
      <w:r>
        <w:rPr>
          <w:rFonts w:hint="eastAsia" w:ascii="Times New Roman" w:cs="Times New Roman"/>
          <w:b w:val="0"/>
          <w:bCs w:val="0"/>
          <w:sz w:val="24"/>
          <w:szCs w:val="22"/>
          <w:highlight w:val="none"/>
          <w:vertAlign w:val="baseline"/>
          <w:lang w:eastAsia="zh-CN"/>
        </w:rPr>
        <w:t>拟建项目所在</w:t>
      </w:r>
      <w:r>
        <w:rPr>
          <w:rFonts w:hint="default" w:ascii="Times New Roman" w:hAnsi="Times New Roman" w:cs="Times New Roman"/>
          <w:b w:val="0"/>
          <w:bCs w:val="0"/>
          <w:sz w:val="24"/>
          <w:szCs w:val="22"/>
          <w:highlight w:val="none"/>
          <w:vertAlign w:val="baseline"/>
          <w:lang w:eastAsia="zh-CN"/>
        </w:rPr>
        <w:t>区域的电磁环境状况良好。</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outlineLvl w:val="0"/>
        <w:rPr>
          <w:rFonts w:hint="default" w:ascii="宋体" w:hAnsi="宋体" w:eastAsia="宋体" w:cs="宋体"/>
          <w:b/>
          <w:bCs/>
          <w:sz w:val="32"/>
          <w:szCs w:val="32"/>
          <w:vertAlign w:val="baseline"/>
          <w:lang w:val="en-US" w:eastAsia="zh-CN"/>
        </w:rPr>
      </w:pPr>
      <w:bookmarkStart w:id="53" w:name="_Toc11889"/>
      <w:r>
        <w:rPr>
          <w:rFonts w:hint="eastAsia" w:ascii="宋体" w:hAnsi="宋体" w:eastAsia="宋体" w:cs="宋体"/>
          <w:b/>
          <w:bCs/>
          <w:sz w:val="32"/>
          <w:szCs w:val="32"/>
          <w:vertAlign w:val="baseline"/>
          <w:lang w:val="en-US" w:eastAsia="zh-CN"/>
        </w:rPr>
        <w:t>6 电磁环境影响分析评价</w:t>
      </w:r>
      <w:bookmarkEnd w:id="53"/>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根据《环境影响评价技术导则输变电工程》（H24-2014）的要求，本工程输电线路的电磁环境影响评价等级为三级，架空线路釆用模式预测的方式进行电磁环境影响评价</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eastAsia" w:ascii="Times New Roman" w:hAnsi="Times New Roman" w:cs="Times New Roman" w:eastAsiaTheme="minorEastAsia"/>
          <w:b/>
          <w:bCs/>
          <w:color w:val="auto"/>
          <w:kern w:val="2"/>
          <w:sz w:val="28"/>
          <w:szCs w:val="36"/>
          <w:lang w:val="en-US" w:eastAsia="zh-CN" w:bidi="ar-SA"/>
        </w:rPr>
      </w:pPr>
      <w:r>
        <w:rPr>
          <w:rFonts w:hint="eastAsia" w:ascii="Times New Roman" w:hAnsi="Times New Roman" w:cs="Times New Roman" w:eastAsiaTheme="minorEastAsia"/>
          <w:b/>
          <w:bCs/>
          <w:color w:val="auto"/>
          <w:kern w:val="2"/>
          <w:sz w:val="28"/>
          <w:szCs w:val="36"/>
          <w:lang w:val="en-US" w:eastAsia="zh-CN" w:bidi="ar-SA"/>
        </w:rPr>
        <w:t>6.1 架空线路模式预测电磁环境影响分析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本工程输电线路运行期电磁环境影响的预测工程是工频电场强度和工频磁感应强度。此次影响预测将按照《环境影响评价技术导则</w:t>
      </w:r>
      <w:r>
        <w:rPr>
          <w:rFonts w:hint="eastAsia" w:ascii="Times New Roman" w:cs="Times New Roman" w:eastAsiaTheme="minorEastAsia"/>
          <w:b w:val="0"/>
          <w:bCs w:val="0"/>
          <w:color w:val="auto"/>
          <w:kern w:val="2"/>
          <w:sz w:val="24"/>
          <w:szCs w:val="24"/>
          <w:highlight w:val="none"/>
          <w:vertAlign w:val="baseline"/>
          <w:lang w:val="en-US" w:eastAsia="zh-CN" w:bidi="ar-SA"/>
        </w:rPr>
        <w:t xml:space="preserve"> </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输变电工程》（HJ24-2014）附录C和附录D中推荐的计算模式进行</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36"/>
          <w:lang w:val="en-US" w:eastAsia="zh-CN" w:bidi="ar-SA"/>
        </w:rPr>
      </w:pPr>
      <w:r>
        <w:rPr>
          <w:rFonts w:hint="eastAsia" w:ascii="Times New Roman" w:hAnsi="Times New Roman" w:cs="Times New Roman" w:eastAsiaTheme="minorEastAsia"/>
          <w:b/>
          <w:bCs/>
          <w:color w:val="auto"/>
          <w:kern w:val="2"/>
          <w:sz w:val="28"/>
          <w:szCs w:val="36"/>
          <w:lang w:val="en-US" w:eastAsia="zh-CN" w:bidi="ar-SA"/>
        </w:rPr>
        <w:t xml:space="preserve">6.1.1 </w:t>
      </w:r>
      <w:r>
        <w:rPr>
          <w:rFonts w:hint="default" w:ascii="Times New Roman" w:hAnsi="Times New Roman" w:cs="Times New Roman" w:eastAsiaTheme="minorEastAsia"/>
          <w:b/>
          <w:bCs/>
          <w:color w:val="auto"/>
          <w:kern w:val="2"/>
          <w:sz w:val="28"/>
          <w:szCs w:val="36"/>
          <w:lang w:val="en-US" w:eastAsia="zh-CN" w:bidi="ar-SA"/>
        </w:rPr>
        <w:t>输电线路工频电场强度预测的方法</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bCs/>
          <w:color w:val="auto"/>
          <w:kern w:val="2"/>
          <w:sz w:val="24"/>
          <w:szCs w:val="24"/>
          <w:highlight w:val="none"/>
          <w:vertAlign w:val="baseline"/>
          <w:lang w:val="en-US" w:eastAsia="zh-CN" w:bidi="ar-SA"/>
        </w:rPr>
      </w:pPr>
      <w:r>
        <w:rPr>
          <w:rFonts w:hint="default" w:ascii="Times New Roman" w:hAnsi="Times New Roman" w:cs="Times New Roman" w:eastAsiaTheme="minorEastAsia"/>
          <w:b/>
          <w:bCs/>
          <w:color w:val="auto"/>
          <w:kern w:val="2"/>
          <w:sz w:val="24"/>
          <w:szCs w:val="24"/>
          <w:highlight w:val="none"/>
          <w:vertAlign w:val="baseline"/>
          <w:lang w:val="en-US" w:eastAsia="zh-CN" w:bidi="ar-SA"/>
        </w:rPr>
        <w:t>6.1.1.1 单位长度导线下等效电荷的计算</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高压送电线上的等效电荷是线电荷，由于高压送电线半径r远远小于架设高度h，因此等效电荷的位置可以认为是在送电导线的几何中心。</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设送电线路为无限长并且平行于地面，地面可视为良导体，利用镜像法计算送电线上的等效电荷。多导线线路中导线上的等效电荷由下列矩阵方程计算：</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position w:val="-70"/>
        </w:rPr>
        <w:object>
          <v:shape id="_x0000_i1025" o:spt="75" type="#_x0000_t75" style="height:102pt;width:235.05pt;" o:ole="t" fillcolor="#000011" filled="f" o:preferrelative="t" stroked="f" coordsize="21600,21600">
            <v:path/>
            <v:fill on="f" focussize="0,0"/>
            <v:stroke on="f"/>
            <v:imagedata r:id="rId20" o:title=""/>
            <o:lock v:ext="edit" aspectratio="t"/>
            <w10:wrap type="none"/>
            <w10:anchorlock/>
          </v:shape>
          <o:OLEObject Type="Embed" ProgID="Equation.3" ShapeID="_x0000_i1025" DrawAspect="Content" ObjectID="_1468075725" r:id="rId19">
            <o:LockedField>false</o:LockedField>
          </o:OLEObject>
        </w:objec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式中：U—各导线对地电压的单列</w:t>
      </w:r>
      <w:r>
        <w:rPr>
          <w:rFonts w:hint="eastAsia" w:ascii="Times New Roman" w:cs="Times New Roman" w:eastAsiaTheme="minorEastAsia"/>
          <w:b w:val="0"/>
          <w:bCs w:val="0"/>
          <w:color w:val="auto"/>
          <w:kern w:val="2"/>
          <w:sz w:val="24"/>
          <w:szCs w:val="24"/>
          <w:highlight w:val="none"/>
          <w:vertAlign w:val="baseline"/>
          <w:lang w:val="en-US" w:eastAsia="zh-CN" w:bidi="ar-SA"/>
        </w:rPr>
        <w:t>矩阵；</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1200" w:firstLineChars="500"/>
        <w:jc w:val="left"/>
        <w:textAlignment w:val="auto"/>
        <w:rPr>
          <w:rFonts w:hint="eastAsia" w:asci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Q—各导线上等效电荷的单列矩阵</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1200" w:firstLineChars="500"/>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j—各导线的电位系数组成的n阶方阵（n为导线数目）</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U</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矩阵可由送电线的电压和相位确定，从环境保护考虑以额定电压的1.05倍作为计算电压。</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λ</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矩阵由镜像原理求得</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bCs/>
          <w:color w:val="auto"/>
          <w:kern w:val="2"/>
          <w:sz w:val="24"/>
          <w:szCs w:val="24"/>
          <w:highlight w:val="none"/>
          <w:vertAlign w:val="baseline"/>
          <w:lang w:val="en-US" w:eastAsia="zh-CN" w:bidi="ar-SA"/>
        </w:rPr>
      </w:pPr>
      <w:r>
        <w:rPr>
          <w:rFonts w:hint="eastAsia" w:ascii="Times New Roman" w:cs="Times New Roman" w:eastAsiaTheme="minorEastAsia"/>
          <w:b/>
          <w:bCs/>
          <w:color w:val="auto"/>
          <w:kern w:val="2"/>
          <w:sz w:val="24"/>
          <w:szCs w:val="24"/>
          <w:highlight w:val="none"/>
          <w:vertAlign w:val="baseline"/>
          <w:lang w:val="en-US" w:eastAsia="zh-CN" w:bidi="ar-SA"/>
        </w:rPr>
        <w:t>6.1.1.2 计算由等效电荷产生的电场</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为计算地面电场强度的最大值，通常取最大弧垂时导线的最小对地高度</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当各导线单位长度的等效电荷量求出后，空间任意一点的电场强度可根据叠加原理计算得出，在（x</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y）点的电场强度分量Ex和Ey可表示为</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ascii="Cambria Math" w:hAnsi="Cambria Math" w:eastAsia="宋体"/>
          <w:i w:val="0"/>
          <w:sz w:val="28"/>
          <w:szCs w:val="28"/>
        </w:rPr>
      </w:pPr>
      <m:oMath>
        <m:sSub>
          <m:sSubPr>
            <m:ctrlPr>
              <w:rPr>
                <w:rFonts w:ascii="Cambria Math" w:hAnsi="Cambria Math" w:eastAsia="宋体"/>
                <w:sz w:val="32"/>
                <w:szCs w:val="32"/>
              </w:rPr>
            </m:ctrlPr>
          </m:sSubPr>
          <m:e>
            <m:r>
              <w:rPr>
                <w:rFonts w:ascii="Cambria Math" w:hAnsi="Cambria Math" w:eastAsia="宋体"/>
                <w:sz w:val="32"/>
                <w:szCs w:val="32"/>
              </w:rPr>
              <m:t>E</m:t>
            </m:r>
            <m:ctrlPr>
              <w:rPr>
                <w:sz w:val="32"/>
                <w:szCs w:val="32"/>
              </w:rPr>
            </m:ctrlPr>
          </m:e>
          <m:sub>
            <m:r>
              <m:rPr>
                <m:sty m:val="p"/>
              </m:rPr>
              <w:rPr>
                <w:rFonts w:ascii="Cambria Math" w:hAnsi="Cambria Math" w:eastAsia="宋体"/>
                <w:sz w:val="32"/>
                <w:szCs w:val="32"/>
              </w:rPr>
              <m:t>x</m:t>
            </m:r>
            <m:ctrlPr>
              <w:rPr>
                <w:sz w:val="32"/>
                <w:szCs w:val="32"/>
              </w:rPr>
            </m:ctrlPr>
          </m:sub>
        </m:sSub>
        <m:r>
          <w:rPr>
            <w:rFonts w:ascii="Cambria Math" w:hAnsi="Cambria Math" w:eastAsia="宋体"/>
            <w:sz w:val="32"/>
            <w:szCs w:val="32"/>
          </w:rPr>
          <m:t>=</m:t>
        </m:r>
        <m:f>
          <m:fPr>
            <m:ctrlPr>
              <w:rPr>
                <w:rFonts w:ascii="Cambria Math" w:hAnsi="Cambria Math" w:eastAsia="宋体"/>
                <w:i/>
                <w:sz w:val="32"/>
                <w:szCs w:val="32"/>
              </w:rPr>
            </m:ctrlPr>
          </m:fPr>
          <m:num>
            <m:r>
              <w:rPr>
                <w:rFonts w:ascii="Cambria Math" w:hAnsi="Cambria Math" w:eastAsia="宋体"/>
                <w:sz w:val="32"/>
                <w:szCs w:val="32"/>
              </w:rPr>
              <m:t>1</m:t>
            </m:r>
            <m:ctrlPr>
              <w:rPr>
                <w:sz w:val="32"/>
                <w:szCs w:val="32"/>
              </w:rPr>
            </m:ctrlPr>
          </m:num>
          <m:den>
            <m:r>
              <w:rPr>
                <w:rFonts w:ascii="Cambria Math" w:hAnsi="Cambria Math" w:eastAsia="宋体"/>
                <w:sz w:val="32"/>
                <w:szCs w:val="32"/>
              </w:rPr>
              <m:t>2π</m:t>
            </m:r>
            <m:sSub>
              <m:sSubPr>
                <m:ctrlPr>
                  <w:rPr>
                    <w:rFonts w:ascii="Cambria Math" w:hAnsi="Cambria Math" w:eastAsia="宋体"/>
                    <w:i/>
                    <w:sz w:val="32"/>
                    <w:szCs w:val="32"/>
                  </w:rPr>
                </m:ctrlPr>
              </m:sSubPr>
              <m:e>
                <m:r>
                  <w:rPr>
                    <w:rFonts w:ascii="Cambria Math" w:hAnsi="Cambria Math" w:eastAsia="宋体"/>
                    <w:sz w:val="32"/>
                    <w:szCs w:val="32"/>
                  </w:rPr>
                  <m:t>ε</m:t>
                </m:r>
                <m:ctrlPr>
                  <w:rPr>
                    <w:sz w:val="32"/>
                    <w:szCs w:val="32"/>
                  </w:rPr>
                </m:ctrlPr>
              </m:e>
              <m:sub>
                <m:r>
                  <w:rPr>
                    <w:rFonts w:ascii="Cambria Math" w:hAnsi="Cambria Math" w:eastAsia="宋体"/>
                    <w:sz w:val="32"/>
                    <w:szCs w:val="32"/>
                  </w:rPr>
                  <m:t>0</m:t>
                </m:r>
                <m:ctrlPr>
                  <w:rPr>
                    <w:sz w:val="32"/>
                    <w:szCs w:val="32"/>
                  </w:rPr>
                </m:ctrlPr>
              </m:sub>
            </m:sSub>
            <m:ctrlPr>
              <w:rPr>
                <w:rFonts w:ascii="Cambria Math" w:hAnsi="Cambria Math" w:eastAsia="宋体"/>
                <w:i/>
                <w:sz w:val="32"/>
                <w:szCs w:val="32"/>
              </w:rPr>
            </m:ctrlPr>
          </m:den>
        </m:f>
        <m:nary>
          <m:naryPr>
            <m:chr m:val="∑"/>
            <m:limLoc m:val="undOvr"/>
            <m:ctrlPr>
              <w:rPr>
                <w:rFonts w:ascii="Cambria Math" w:hAnsi="Cambria Math" w:eastAsia="宋体"/>
                <w:sz w:val="32"/>
                <w:szCs w:val="32"/>
              </w:rPr>
            </m:ctrlPr>
          </m:naryPr>
          <m:sub>
            <m:r>
              <w:rPr>
                <w:rFonts w:ascii="Cambria Math" w:hAnsi="Cambria Math" w:eastAsia="宋体"/>
                <w:sz w:val="32"/>
                <w:szCs w:val="32"/>
              </w:rPr>
              <m:t>i=1</m:t>
            </m:r>
            <m:ctrlPr>
              <w:rPr>
                <w:rFonts w:ascii="Cambria Math" w:hAnsi="Cambria Math" w:eastAsia="宋体"/>
                <w:i/>
                <w:sz w:val="32"/>
                <w:szCs w:val="32"/>
              </w:rPr>
            </m:ctrlPr>
          </m:sub>
          <m:sup>
            <m:r>
              <w:rPr>
                <w:rFonts w:ascii="Cambria Math" w:hAnsi="Cambria Math" w:eastAsia="宋体"/>
                <w:sz w:val="32"/>
                <w:szCs w:val="32"/>
              </w:rPr>
              <m:t>m</m:t>
            </m:r>
            <m:ctrlPr>
              <w:rPr>
                <w:rFonts w:ascii="Cambria Math" w:hAnsi="Cambria Math" w:eastAsia="宋体"/>
                <w:i/>
                <w:sz w:val="32"/>
                <w:szCs w:val="32"/>
              </w:rPr>
            </m:ctrlPr>
          </m:sup>
          <m:e>
            <m:sSub>
              <m:sSubPr>
                <m:ctrlPr>
                  <w:rPr>
                    <w:rFonts w:ascii="Cambria Math" w:hAnsi="Cambria Math" w:eastAsia="宋体"/>
                    <w:i/>
                    <w:sz w:val="32"/>
                    <w:szCs w:val="32"/>
                  </w:rPr>
                </m:ctrlPr>
              </m:sSubPr>
              <m:e>
                <m:r>
                  <w:rPr>
                    <w:rFonts w:ascii="Cambria Math" w:hAnsi="Cambria Math" w:eastAsia="宋体"/>
                    <w:sz w:val="32"/>
                    <w:szCs w:val="32"/>
                  </w:rPr>
                  <m:t>Q</m:t>
                </m:r>
                <m:ctrlPr>
                  <w:rPr>
                    <w:sz w:val="32"/>
                    <w:szCs w:val="32"/>
                  </w:rPr>
                </m:ctrlPr>
              </m:e>
              <m:sub>
                <m:r>
                  <w:rPr>
                    <w:rFonts w:ascii="Cambria Math" w:hAnsi="Cambria Math" w:eastAsia="宋体"/>
                    <w:sz w:val="32"/>
                    <w:szCs w:val="32"/>
                  </w:rPr>
                  <m:t>i</m:t>
                </m:r>
                <m:ctrlPr>
                  <w:rPr>
                    <w:sz w:val="32"/>
                    <w:szCs w:val="32"/>
                  </w:rPr>
                </m:ctrlPr>
              </m:sub>
            </m:sSub>
            <m:r>
              <w:rPr>
                <w:rFonts w:ascii="Cambria Math" w:hAnsi="Cambria Math" w:eastAsia="宋体"/>
                <w:sz w:val="32"/>
                <w:szCs w:val="32"/>
              </w:rPr>
              <m:t>(</m:t>
            </m:r>
            <m:f>
              <m:fPr>
                <m:ctrlPr>
                  <w:rPr>
                    <w:rFonts w:ascii="Cambria Math" w:hAnsi="Cambria Math" w:eastAsia="宋体"/>
                    <w:i/>
                    <w:sz w:val="32"/>
                    <w:szCs w:val="32"/>
                  </w:rPr>
                </m:ctrlPr>
              </m:fPr>
              <m:num>
                <m:r>
                  <w:rPr>
                    <w:rFonts w:ascii="Cambria Math" w:hAnsi="Cambria Math" w:eastAsia="宋体"/>
                    <w:sz w:val="32"/>
                    <w:szCs w:val="32"/>
                  </w:rPr>
                  <m:t>x-</m:t>
                </m:r>
                <m:sSub>
                  <m:sSubPr>
                    <m:ctrlPr>
                      <w:rPr>
                        <w:rFonts w:ascii="Cambria Math" w:hAnsi="Cambria Math" w:eastAsia="宋体"/>
                        <w:i/>
                        <w:sz w:val="32"/>
                        <w:szCs w:val="32"/>
                      </w:rPr>
                    </m:ctrlPr>
                  </m:sSubPr>
                  <m:e>
                    <m:r>
                      <w:rPr>
                        <w:rFonts w:ascii="Cambria Math" w:hAnsi="Cambria Math" w:eastAsia="宋体"/>
                        <w:sz w:val="32"/>
                        <w:szCs w:val="32"/>
                      </w:rPr>
                      <m:t>x</m:t>
                    </m:r>
                    <m:ctrlPr>
                      <w:rPr>
                        <w:sz w:val="32"/>
                        <w:szCs w:val="32"/>
                      </w:rPr>
                    </m:ctrlPr>
                  </m:e>
                  <m:sub>
                    <m:r>
                      <w:rPr>
                        <w:rFonts w:ascii="Cambria Math" w:hAnsi="Cambria Math" w:eastAsia="宋体"/>
                        <w:sz w:val="32"/>
                        <w:szCs w:val="32"/>
                      </w:rPr>
                      <m:t>i</m:t>
                    </m:r>
                    <m:ctrlPr>
                      <w:rPr>
                        <w:sz w:val="32"/>
                        <w:szCs w:val="32"/>
                      </w:rPr>
                    </m:ctrlPr>
                  </m:sub>
                </m:sSub>
                <m:ctrlPr>
                  <w:rPr>
                    <w:rFonts w:ascii="Cambria Math" w:hAnsi="Cambria Math" w:eastAsia="宋体"/>
                    <w:i/>
                    <w:sz w:val="32"/>
                    <w:szCs w:val="32"/>
                  </w:rPr>
                </m:ctrlPr>
              </m:num>
              <m:den>
                <m:sSubSup>
                  <m:sSubSupPr>
                    <m:ctrlPr>
                      <w:rPr>
                        <w:rFonts w:ascii="Cambria Math" w:hAnsi="Cambria Math" w:eastAsia="宋体"/>
                        <w:i/>
                        <w:sz w:val="32"/>
                        <w:szCs w:val="32"/>
                      </w:rPr>
                    </m:ctrlPr>
                  </m:sSubSupPr>
                  <m:e>
                    <m:r>
                      <w:rPr>
                        <w:rFonts w:ascii="Cambria Math" w:hAnsi="Cambria Math" w:eastAsia="宋体"/>
                        <w:sz w:val="32"/>
                        <w:szCs w:val="32"/>
                      </w:rPr>
                      <m:t>L</m:t>
                    </m:r>
                    <m:ctrlPr>
                      <w:rPr>
                        <w:sz w:val="32"/>
                        <w:szCs w:val="32"/>
                      </w:rPr>
                    </m:ctrlPr>
                  </m:e>
                  <m:sub>
                    <m:r>
                      <w:rPr>
                        <w:rFonts w:ascii="Cambria Math" w:hAnsi="Cambria Math" w:eastAsia="宋体"/>
                        <w:sz w:val="32"/>
                        <w:szCs w:val="32"/>
                      </w:rPr>
                      <m:t>i</m:t>
                    </m:r>
                    <m:ctrlPr>
                      <w:rPr>
                        <w:sz w:val="32"/>
                        <w:szCs w:val="32"/>
                      </w:rPr>
                    </m:ctrlPr>
                  </m:sub>
                  <m:sup>
                    <m:r>
                      <w:rPr>
                        <w:rFonts w:ascii="Cambria Math" w:hAnsi="Cambria Math" w:eastAsia="宋体"/>
                        <w:sz w:val="32"/>
                        <w:szCs w:val="32"/>
                      </w:rPr>
                      <m:t>2</m:t>
                    </m:r>
                    <m:ctrlPr>
                      <w:rPr>
                        <w:sz w:val="32"/>
                        <w:szCs w:val="32"/>
                      </w:rPr>
                    </m:ctrlPr>
                  </m:sup>
                </m:sSubSup>
                <m:ctrlPr>
                  <w:rPr>
                    <w:rFonts w:ascii="Cambria Math" w:hAnsi="Cambria Math" w:eastAsia="宋体"/>
                    <w:i/>
                    <w:sz w:val="32"/>
                    <w:szCs w:val="32"/>
                  </w:rPr>
                </m:ctrlPr>
              </m:den>
            </m:f>
            <m:r>
              <w:rPr>
                <w:rFonts w:ascii="Cambria Math" w:hAnsi="Cambria Math" w:eastAsia="宋体"/>
                <w:sz w:val="32"/>
                <w:szCs w:val="32"/>
              </w:rPr>
              <m:t>-</m:t>
            </m:r>
            <m:f>
              <m:fPr>
                <m:ctrlPr>
                  <w:rPr>
                    <w:rFonts w:ascii="Cambria Math" w:hAnsi="Cambria Math" w:eastAsia="宋体"/>
                    <w:i/>
                    <w:sz w:val="32"/>
                    <w:szCs w:val="32"/>
                  </w:rPr>
                </m:ctrlPr>
              </m:fPr>
              <m:num>
                <m:r>
                  <w:rPr>
                    <w:rFonts w:ascii="Cambria Math" w:hAnsi="Cambria Math" w:eastAsia="宋体"/>
                    <w:sz w:val="32"/>
                    <w:szCs w:val="32"/>
                  </w:rPr>
                  <m:t>x-</m:t>
                </m:r>
                <m:sSub>
                  <m:sSubPr>
                    <m:ctrlPr>
                      <w:rPr>
                        <w:rFonts w:ascii="Cambria Math" w:hAnsi="Cambria Math" w:eastAsia="宋体"/>
                        <w:i/>
                        <w:sz w:val="32"/>
                        <w:szCs w:val="32"/>
                      </w:rPr>
                    </m:ctrlPr>
                  </m:sSubPr>
                  <m:e>
                    <m:r>
                      <w:rPr>
                        <w:rFonts w:ascii="Cambria Math" w:hAnsi="Cambria Math" w:eastAsia="宋体"/>
                        <w:sz w:val="32"/>
                        <w:szCs w:val="32"/>
                      </w:rPr>
                      <m:t>x</m:t>
                    </m:r>
                    <m:ctrlPr>
                      <w:rPr>
                        <w:sz w:val="32"/>
                        <w:szCs w:val="32"/>
                      </w:rPr>
                    </m:ctrlPr>
                  </m:e>
                  <m:sub>
                    <m:r>
                      <w:rPr>
                        <w:rFonts w:ascii="Cambria Math" w:hAnsi="Cambria Math" w:eastAsia="宋体"/>
                        <w:sz w:val="32"/>
                        <w:szCs w:val="32"/>
                      </w:rPr>
                      <m:t>i</m:t>
                    </m:r>
                    <m:ctrlPr>
                      <w:rPr>
                        <w:sz w:val="32"/>
                        <w:szCs w:val="32"/>
                      </w:rPr>
                    </m:ctrlPr>
                  </m:sub>
                </m:sSub>
                <m:ctrlPr>
                  <w:rPr>
                    <w:rFonts w:ascii="Cambria Math" w:hAnsi="Cambria Math" w:eastAsia="宋体"/>
                    <w:i/>
                    <w:sz w:val="32"/>
                    <w:szCs w:val="32"/>
                  </w:rPr>
                </m:ctrlPr>
              </m:num>
              <m:den>
                <m:sSup>
                  <m:sSupPr>
                    <m:ctrlPr>
                      <w:rPr>
                        <w:rFonts w:ascii="Cambria Math" w:hAnsi="Cambria Math" w:eastAsia="宋体"/>
                        <w:i/>
                        <w:sz w:val="32"/>
                        <w:szCs w:val="32"/>
                      </w:rPr>
                    </m:ctrlPr>
                  </m:sSupPr>
                  <m:e>
                    <m:r>
                      <w:rPr>
                        <w:rFonts w:ascii="Cambria Math" w:hAnsi="Cambria Math" w:eastAsia="宋体"/>
                        <w:sz w:val="32"/>
                        <w:szCs w:val="32"/>
                      </w:rPr>
                      <m:t>(</m:t>
                    </m:r>
                    <m:sSubSup>
                      <m:sSubSupPr>
                        <m:ctrlPr>
                          <w:rPr>
                            <w:rFonts w:ascii="Cambria Math" w:hAnsi="Cambria Math" w:eastAsia="宋体"/>
                            <w:i/>
                            <w:sz w:val="32"/>
                            <w:szCs w:val="32"/>
                          </w:rPr>
                        </m:ctrlPr>
                      </m:sSubSupPr>
                      <m:e>
                        <m:r>
                          <w:rPr>
                            <w:rFonts w:ascii="Cambria Math" w:hAnsi="Cambria Math" w:eastAsia="宋体"/>
                            <w:sz w:val="32"/>
                            <w:szCs w:val="32"/>
                          </w:rPr>
                          <m:t>L</m:t>
                        </m:r>
                        <m:ctrlPr>
                          <w:rPr>
                            <w:sz w:val="32"/>
                            <w:szCs w:val="32"/>
                          </w:rPr>
                        </m:ctrlPr>
                      </m:e>
                      <m:sub>
                        <m:r>
                          <w:rPr>
                            <w:rFonts w:ascii="Cambria Math" w:hAnsi="Cambria Math" w:eastAsia="宋体"/>
                            <w:sz w:val="32"/>
                            <w:szCs w:val="32"/>
                          </w:rPr>
                          <m:t>i</m:t>
                        </m:r>
                        <m:ctrlPr>
                          <w:rPr>
                            <w:sz w:val="32"/>
                            <w:szCs w:val="32"/>
                          </w:rPr>
                        </m:ctrlPr>
                      </m:sub>
                      <m:sup>
                        <m:r>
                          <w:rPr>
                            <w:rFonts w:ascii="Cambria Math" w:hAnsi="Cambria Math" w:eastAsia="宋体"/>
                            <w:sz w:val="32"/>
                            <w:szCs w:val="32"/>
                          </w:rPr>
                          <m:t>'</m:t>
                        </m:r>
                        <m:ctrlPr>
                          <w:rPr>
                            <w:sz w:val="32"/>
                            <w:szCs w:val="32"/>
                          </w:rPr>
                        </m:ctrlPr>
                      </m:sup>
                    </m:sSubSup>
                    <m:r>
                      <w:rPr>
                        <w:rFonts w:ascii="Cambria Math" w:hAnsi="Cambria Math" w:eastAsia="宋体"/>
                        <w:sz w:val="32"/>
                        <w:szCs w:val="32"/>
                      </w:rPr>
                      <m:t>)</m:t>
                    </m:r>
                    <m:ctrlPr>
                      <w:rPr>
                        <w:rFonts w:ascii="Cambria Math" w:hAnsi="Cambria Math" w:eastAsia="宋体"/>
                        <w:i/>
                        <w:sz w:val="32"/>
                        <w:szCs w:val="32"/>
                      </w:rPr>
                    </m:ctrlPr>
                  </m:e>
                  <m:sup>
                    <m:r>
                      <w:rPr>
                        <w:rFonts w:ascii="Cambria Math" w:hAnsi="Cambria Math" w:eastAsia="宋体"/>
                        <w:sz w:val="32"/>
                        <w:szCs w:val="32"/>
                      </w:rPr>
                      <m:t>2</m:t>
                    </m:r>
                    <m:ctrlPr>
                      <w:rPr>
                        <w:rFonts w:ascii="Cambria Math" w:hAnsi="Cambria Math" w:eastAsia="宋体"/>
                        <w:i/>
                        <w:sz w:val="32"/>
                        <w:szCs w:val="32"/>
                      </w:rPr>
                    </m:ctrlPr>
                  </m:sup>
                </m:sSup>
                <m:ctrlPr>
                  <w:rPr>
                    <w:rFonts w:ascii="Cambria Math" w:hAnsi="Cambria Math" w:eastAsia="宋体"/>
                    <w:i/>
                    <w:sz w:val="32"/>
                    <w:szCs w:val="32"/>
                  </w:rPr>
                </m:ctrlPr>
              </m:den>
            </m:f>
            <m:r>
              <w:rPr>
                <w:rFonts w:ascii="Cambria Math" w:hAnsi="Cambria Math" w:eastAsia="宋体"/>
                <w:sz w:val="32"/>
                <w:szCs w:val="32"/>
              </w:rPr>
              <m:t>)</m:t>
            </m:r>
            <m:ctrlPr>
              <w:rPr>
                <w:rFonts w:ascii="Cambria Math" w:hAnsi="Cambria Math" w:eastAsia="宋体"/>
                <w:i/>
                <w:sz w:val="32"/>
                <w:szCs w:val="32"/>
              </w:rPr>
            </m:ctrlPr>
          </m:e>
        </m:nary>
      </m:oMath>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Cambria Math" w:hAnsi="Cambria Math" w:eastAsia="宋体"/>
          <w:i w:val="0"/>
          <w:lang w:val="en-US" w:eastAsia="zh-CN"/>
        </w:rPr>
      </w:pPr>
      <m:oMath>
        <m:sSub>
          <m:sSubPr>
            <m:ctrlPr>
              <w:rPr>
                <w:rFonts w:ascii="Cambria Math" w:hAnsi="Cambria Math" w:eastAsia="宋体"/>
                <w:sz w:val="32"/>
                <w:szCs w:val="32"/>
              </w:rPr>
            </m:ctrlPr>
          </m:sSubPr>
          <m:e>
            <m:r>
              <w:rPr>
                <w:rFonts w:ascii="Cambria Math" w:hAnsi="Cambria Math" w:eastAsia="宋体"/>
                <w:sz w:val="32"/>
                <w:szCs w:val="32"/>
              </w:rPr>
              <m:t>E</m:t>
            </m:r>
            <m:ctrlPr>
              <w:rPr>
                <w:sz w:val="32"/>
                <w:szCs w:val="32"/>
              </w:rPr>
            </m:ctrlPr>
          </m:e>
          <m:sub>
            <m:r>
              <m:rPr>
                <m:sty m:val="p"/>
              </m:rPr>
              <w:rPr>
                <w:rFonts w:ascii="Cambria Math" w:hAnsi="Cambria Math" w:eastAsia="宋体"/>
                <w:sz w:val="32"/>
                <w:szCs w:val="32"/>
              </w:rPr>
              <m:t>y</m:t>
            </m:r>
            <m:ctrlPr>
              <w:rPr>
                <w:sz w:val="32"/>
                <w:szCs w:val="32"/>
              </w:rPr>
            </m:ctrlPr>
          </m:sub>
        </m:sSub>
        <m:r>
          <w:rPr>
            <w:rFonts w:ascii="Cambria Math" w:hAnsi="Cambria Math" w:eastAsia="宋体"/>
            <w:sz w:val="32"/>
            <w:szCs w:val="32"/>
          </w:rPr>
          <m:t>=</m:t>
        </m:r>
        <m:f>
          <m:fPr>
            <m:ctrlPr>
              <w:rPr>
                <w:rFonts w:ascii="Cambria Math" w:hAnsi="Cambria Math" w:eastAsia="宋体"/>
                <w:i/>
                <w:sz w:val="32"/>
                <w:szCs w:val="32"/>
              </w:rPr>
            </m:ctrlPr>
          </m:fPr>
          <m:num>
            <m:r>
              <w:rPr>
                <w:rFonts w:ascii="Cambria Math" w:hAnsi="Cambria Math" w:eastAsia="宋体"/>
                <w:sz w:val="32"/>
                <w:szCs w:val="32"/>
              </w:rPr>
              <m:t>1</m:t>
            </m:r>
            <m:ctrlPr>
              <w:rPr>
                <w:sz w:val="32"/>
                <w:szCs w:val="32"/>
              </w:rPr>
            </m:ctrlPr>
          </m:num>
          <m:den>
            <m:r>
              <w:rPr>
                <w:rFonts w:ascii="Cambria Math" w:hAnsi="Cambria Math" w:eastAsia="宋体"/>
                <w:sz w:val="32"/>
                <w:szCs w:val="32"/>
              </w:rPr>
              <m:t>2π</m:t>
            </m:r>
            <m:sSub>
              <m:sSubPr>
                <m:ctrlPr>
                  <w:rPr>
                    <w:rFonts w:ascii="Cambria Math" w:hAnsi="Cambria Math" w:eastAsia="宋体"/>
                    <w:i/>
                    <w:sz w:val="32"/>
                    <w:szCs w:val="32"/>
                  </w:rPr>
                </m:ctrlPr>
              </m:sSubPr>
              <m:e>
                <m:r>
                  <w:rPr>
                    <w:rFonts w:ascii="Cambria Math" w:hAnsi="Cambria Math" w:eastAsia="宋体"/>
                    <w:sz w:val="32"/>
                    <w:szCs w:val="32"/>
                  </w:rPr>
                  <m:t>ε</m:t>
                </m:r>
                <m:ctrlPr>
                  <w:rPr>
                    <w:sz w:val="32"/>
                    <w:szCs w:val="32"/>
                  </w:rPr>
                </m:ctrlPr>
              </m:e>
              <m:sub>
                <m:r>
                  <w:rPr>
                    <w:rFonts w:ascii="Cambria Math" w:hAnsi="Cambria Math" w:eastAsia="宋体"/>
                    <w:sz w:val="32"/>
                    <w:szCs w:val="32"/>
                  </w:rPr>
                  <m:t>0</m:t>
                </m:r>
                <m:ctrlPr>
                  <w:rPr>
                    <w:sz w:val="32"/>
                    <w:szCs w:val="32"/>
                  </w:rPr>
                </m:ctrlPr>
              </m:sub>
            </m:sSub>
            <m:ctrlPr>
              <w:rPr>
                <w:rFonts w:ascii="Cambria Math" w:hAnsi="Cambria Math" w:eastAsia="宋体"/>
                <w:i/>
                <w:sz w:val="32"/>
                <w:szCs w:val="32"/>
              </w:rPr>
            </m:ctrlPr>
          </m:den>
        </m:f>
        <m:nary>
          <m:naryPr>
            <m:chr m:val="∑"/>
            <m:limLoc m:val="undOvr"/>
            <m:ctrlPr>
              <w:rPr>
                <w:rFonts w:ascii="Cambria Math" w:hAnsi="Cambria Math" w:eastAsia="宋体"/>
                <w:sz w:val="32"/>
                <w:szCs w:val="32"/>
              </w:rPr>
            </m:ctrlPr>
          </m:naryPr>
          <m:sub>
            <m:r>
              <w:rPr>
                <w:rFonts w:ascii="Cambria Math" w:hAnsi="Cambria Math" w:eastAsia="宋体"/>
                <w:sz w:val="32"/>
                <w:szCs w:val="32"/>
              </w:rPr>
              <m:t>i=1</m:t>
            </m:r>
            <m:ctrlPr>
              <w:rPr>
                <w:rFonts w:ascii="Cambria Math" w:hAnsi="Cambria Math" w:eastAsia="宋体"/>
                <w:i/>
                <w:sz w:val="32"/>
                <w:szCs w:val="32"/>
              </w:rPr>
            </m:ctrlPr>
          </m:sub>
          <m:sup>
            <m:r>
              <w:rPr>
                <w:rFonts w:ascii="Cambria Math" w:hAnsi="Cambria Math" w:eastAsia="宋体"/>
                <w:sz w:val="32"/>
                <w:szCs w:val="32"/>
              </w:rPr>
              <m:t>m</m:t>
            </m:r>
            <m:ctrlPr>
              <w:rPr>
                <w:rFonts w:ascii="Cambria Math" w:hAnsi="Cambria Math" w:eastAsia="宋体"/>
                <w:i/>
                <w:sz w:val="32"/>
                <w:szCs w:val="32"/>
              </w:rPr>
            </m:ctrlPr>
          </m:sup>
          <m:e>
            <m:sSub>
              <m:sSubPr>
                <m:ctrlPr>
                  <w:rPr>
                    <w:rFonts w:ascii="Cambria Math" w:hAnsi="Cambria Math" w:eastAsia="宋体"/>
                    <w:i/>
                    <w:sz w:val="32"/>
                    <w:szCs w:val="32"/>
                  </w:rPr>
                </m:ctrlPr>
              </m:sSubPr>
              <m:e>
                <m:r>
                  <w:rPr>
                    <w:rFonts w:ascii="Cambria Math" w:hAnsi="Cambria Math" w:eastAsia="宋体"/>
                    <w:sz w:val="32"/>
                    <w:szCs w:val="32"/>
                  </w:rPr>
                  <m:t>Q</m:t>
                </m:r>
                <m:ctrlPr>
                  <w:rPr>
                    <w:sz w:val="32"/>
                    <w:szCs w:val="32"/>
                  </w:rPr>
                </m:ctrlPr>
              </m:e>
              <m:sub>
                <m:r>
                  <w:rPr>
                    <w:rFonts w:ascii="Cambria Math" w:hAnsi="Cambria Math" w:eastAsia="宋体"/>
                    <w:sz w:val="32"/>
                    <w:szCs w:val="32"/>
                  </w:rPr>
                  <m:t>i</m:t>
                </m:r>
                <m:ctrlPr>
                  <w:rPr>
                    <w:sz w:val="32"/>
                    <w:szCs w:val="32"/>
                  </w:rPr>
                </m:ctrlPr>
              </m:sub>
            </m:sSub>
            <m:r>
              <w:rPr>
                <w:rFonts w:ascii="Cambria Math" w:hAnsi="Cambria Math" w:eastAsia="宋体"/>
                <w:sz w:val="32"/>
                <w:szCs w:val="32"/>
              </w:rPr>
              <m:t>(</m:t>
            </m:r>
            <m:f>
              <m:fPr>
                <m:ctrlPr>
                  <w:rPr>
                    <w:rFonts w:ascii="Cambria Math" w:hAnsi="Cambria Math" w:eastAsia="宋体"/>
                    <w:i/>
                    <w:sz w:val="32"/>
                    <w:szCs w:val="32"/>
                  </w:rPr>
                </m:ctrlPr>
              </m:fPr>
              <m:num>
                <m:r>
                  <w:rPr>
                    <w:rFonts w:ascii="Cambria Math" w:hAnsi="Cambria Math" w:eastAsia="宋体"/>
                    <w:sz w:val="32"/>
                    <w:szCs w:val="32"/>
                  </w:rPr>
                  <m:t>y-</m:t>
                </m:r>
                <m:sSub>
                  <m:sSubPr>
                    <m:ctrlPr>
                      <w:rPr>
                        <w:rFonts w:ascii="Cambria Math" w:hAnsi="Cambria Math" w:eastAsia="宋体"/>
                        <w:i/>
                        <w:sz w:val="32"/>
                        <w:szCs w:val="32"/>
                      </w:rPr>
                    </m:ctrlPr>
                  </m:sSubPr>
                  <m:e>
                    <m:r>
                      <w:rPr>
                        <w:rFonts w:ascii="Cambria Math" w:hAnsi="Cambria Math" w:eastAsia="宋体"/>
                        <w:sz w:val="32"/>
                        <w:szCs w:val="32"/>
                      </w:rPr>
                      <m:t>y</m:t>
                    </m:r>
                    <m:ctrlPr>
                      <w:rPr>
                        <w:sz w:val="32"/>
                        <w:szCs w:val="32"/>
                      </w:rPr>
                    </m:ctrlPr>
                  </m:e>
                  <m:sub>
                    <m:r>
                      <w:rPr>
                        <w:rFonts w:ascii="Cambria Math" w:hAnsi="Cambria Math" w:eastAsia="宋体"/>
                        <w:sz w:val="32"/>
                        <w:szCs w:val="32"/>
                      </w:rPr>
                      <m:t>i</m:t>
                    </m:r>
                    <m:ctrlPr>
                      <w:rPr>
                        <w:sz w:val="32"/>
                        <w:szCs w:val="32"/>
                      </w:rPr>
                    </m:ctrlPr>
                  </m:sub>
                </m:sSub>
                <m:ctrlPr>
                  <w:rPr>
                    <w:rFonts w:ascii="Cambria Math" w:hAnsi="Cambria Math" w:eastAsia="宋体"/>
                    <w:i/>
                    <w:sz w:val="32"/>
                    <w:szCs w:val="32"/>
                  </w:rPr>
                </m:ctrlPr>
              </m:num>
              <m:den>
                <m:sSubSup>
                  <m:sSubSupPr>
                    <m:ctrlPr>
                      <w:rPr>
                        <w:rFonts w:ascii="Cambria Math" w:hAnsi="Cambria Math" w:eastAsia="宋体"/>
                        <w:i/>
                        <w:sz w:val="32"/>
                        <w:szCs w:val="32"/>
                      </w:rPr>
                    </m:ctrlPr>
                  </m:sSubSupPr>
                  <m:e>
                    <m:r>
                      <w:rPr>
                        <w:rFonts w:ascii="Cambria Math" w:hAnsi="Cambria Math" w:eastAsia="宋体"/>
                        <w:sz w:val="32"/>
                        <w:szCs w:val="32"/>
                      </w:rPr>
                      <m:t>L</m:t>
                    </m:r>
                    <m:ctrlPr>
                      <w:rPr>
                        <w:sz w:val="32"/>
                        <w:szCs w:val="32"/>
                      </w:rPr>
                    </m:ctrlPr>
                  </m:e>
                  <m:sub>
                    <m:r>
                      <w:rPr>
                        <w:rFonts w:ascii="Cambria Math" w:hAnsi="Cambria Math" w:eastAsia="宋体"/>
                        <w:sz w:val="32"/>
                        <w:szCs w:val="32"/>
                      </w:rPr>
                      <m:t>i</m:t>
                    </m:r>
                    <m:ctrlPr>
                      <w:rPr>
                        <w:sz w:val="32"/>
                        <w:szCs w:val="32"/>
                      </w:rPr>
                    </m:ctrlPr>
                  </m:sub>
                  <m:sup>
                    <m:r>
                      <w:rPr>
                        <w:rFonts w:ascii="Cambria Math" w:hAnsi="Cambria Math" w:eastAsia="宋体"/>
                        <w:sz w:val="32"/>
                        <w:szCs w:val="32"/>
                      </w:rPr>
                      <m:t>2</m:t>
                    </m:r>
                    <m:ctrlPr>
                      <w:rPr>
                        <w:sz w:val="32"/>
                        <w:szCs w:val="32"/>
                      </w:rPr>
                    </m:ctrlPr>
                  </m:sup>
                </m:sSubSup>
                <m:ctrlPr>
                  <w:rPr>
                    <w:rFonts w:ascii="Cambria Math" w:hAnsi="Cambria Math" w:eastAsia="宋体"/>
                    <w:i/>
                    <w:sz w:val="32"/>
                    <w:szCs w:val="32"/>
                  </w:rPr>
                </m:ctrlPr>
              </m:den>
            </m:f>
            <m:r>
              <w:rPr>
                <w:rFonts w:ascii="Cambria Math" w:hAnsi="Cambria Math" w:eastAsia="宋体"/>
                <w:sz w:val="32"/>
                <w:szCs w:val="32"/>
              </w:rPr>
              <m:t>-</m:t>
            </m:r>
            <m:f>
              <m:fPr>
                <m:ctrlPr>
                  <w:rPr>
                    <w:rFonts w:ascii="Cambria Math" w:hAnsi="Cambria Math" w:eastAsia="宋体"/>
                    <w:i/>
                    <w:sz w:val="32"/>
                    <w:szCs w:val="32"/>
                  </w:rPr>
                </m:ctrlPr>
              </m:fPr>
              <m:num>
                <m:r>
                  <w:rPr>
                    <w:rFonts w:ascii="Cambria Math" w:hAnsi="Cambria Math" w:eastAsia="宋体"/>
                    <w:sz w:val="32"/>
                    <w:szCs w:val="32"/>
                  </w:rPr>
                  <m:t>y+</m:t>
                </m:r>
                <m:sSub>
                  <m:sSubPr>
                    <m:ctrlPr>
                      <w:rPr>
                        <w:rFonts w:ascii="Cambria Math" w:hAnsi="Cambria Math" w:eastAsia="宋体"/>
                        <w:i/>
                        <w:sz w:val="32"/>
                        <w:szCs w:val="32"/>
                      </w:rPr>
                    </m:ctrlPr>
                  </m:sSubPr>
                  <m:e>
                    <m:r>
                      <w:rPr>
                        <w:rFonts w:ascii="Cambria Math" w:hAnsi="Cambria Math" w:eastAsia="宋体"/>
                        <w:sz w:val="32"/>
                        <w:szCs w:val="32"/>
                      </w:rPr>
                      <m:t>y</m:t>
                    </m:r>
                    <m:ctrlPr>
                      <w:rPr>
                        <w:sz w:val="32"/>
                        <w:szCs w:val="32"/>
                      </w:rPr>
                    </m:ctrlPr>
                  </m:e>
                  <m:sub>
                    <m:r>
                      <w:rPr>
                        <w:rFonts w:ascii="Cambria Math" w:hAnsi="Cambria Math" w:eastAsia="宋体"/>
                        <w:sz w:val="32"/>
                        <w:szCs w:val="32"/>
                      </w:rPr>
                      <m:t>i</m:t>
                    </m:r>
                    <m:ctrlPr>
                      <w:rPr>
                        <w:sz w:val="32"/>
                        <w:szCs w:val="32"/>
                      </w:rPr>
                    </m:ctrlPr>
                  </m:sub>
                </m:sSub>
                <m:ctrlPr>
                  <w:rPr>
                    <w:rFonts w:ascii="Cambria Math" w:hAnsi="Cambria Math" w:eastAsia="宋体"/>
                    <w:i/>
                    <w:sz w:val="32"/>
                    <w:szCs w:val="32"/>
                  </w:rPr>
                </m:ctrlPr>
              </m:num>
              <m:den>
                <m:sSup>
                  <m:sSupPr>
                    <m:ctrlPr>
                      <w:rPr>
                        <w:rFonts w:ascii="Cambria Math" w:hAnsi="Cambria Math" w:eastAsia="宋体"/>
                        <w:i/>
                        <w:sz w:val="32"/>
                        <w:szCs w:val="32"/>
                      </w:rPr>
                    </m:ctrlPr>
                  </m:sSupPr>
                  <m:e>
                    <m:r>
                      <w:rPr>
                        <w:rFonts w:ascii="Cambria Math" w:hAnsi="Cambria Math" w:eastAsia="宋体"/>
                        <w:sz w:val="32"/>
                        <w:szCs w:val="32"/>
                      </w:rPr>
                      <m:t>(</m:t>
                    </m:r>
                    <m:sSubSup>
                      <m:sSubSupPr>
                        <m:ctrlPr>
                          <w:rPr>
                            <w:rFonts w:ascii="Cambria Math" w:hAnsi="Cambria Math" w:eastAsia="宋体"/>
                            <w:i/>
                            <w:sz w:val="32"/>
                            <w:szCs w:val="32"/>
                          </w:rPr>
                        </m:ctrlPr>
                      </m:sSubSupPr>
                      <m:e>
                        <m:r>
                          <w:rPr>
                            <w:rFonts w:ascii="Cambria Math" w:hAnsi="Cambria Math" w:eastAsia="宋体"/>
                            <w:sz w:val="32"/>
                            <w:szCs w:val="32"/>
                          </w:rPr>
                          <m:t>L</m:t>
                        </m:r>
                        <m:ctrlPr>
                          <w:rPr>
                            <w:sz w:val="32"/>
                            <w:szCs w:val="32"/>
                          </w:rPr>
                        </m:ctrlPr>
                      </m:e>
                      <m:sub>
                        <m:r>
                          <w:rPr>
                            <w:rFonts w:ascii="Cambria Math" w:hAnsi="Cambria Math" w:eastAsia="宋体"/>
                            <w:sz w:val="32"/>
                            <w:szCs w:val="32"/>
                          </w:rPr>
                          <m:t>i</m:t>
                        </m:r>
                        <m:ctrlPr>
                          <w:rPr>
                            <w:sz w:val="32"/>
                            <w:szCs w:val="32"/>
                          </w:rPr>
                        </m:ctrlPr>
                      </m:sub>
                      <m:sup>
                        <m:r>
                          <w:rPr>
                            <w:rFonts w:ascii="Cambria Math" w:hAnsi="Cambria Math" w:eastAsia="宋体"/>
                            <w:sz w:val="32"/>
                            <w:szCs w:val="32"/>
                          </w:rPr>
                          <m:t>'</m:t>
                        </m:r>
                        <m:ctrlPr>
                          <w:rPr>
                            <w:sz w:val="32"/>
                            <w:szCs w:val="32"/>
                          </w:rPr>
                        </m:ctrlPr>
                      </m:sup>
                    </m:sSubSup>
                    <m:r>
                      <w:rPr>
                        <w:rFonts w:ascii="Cambria Math" w:hAnsi="Cambria Math" w:eastAsia="宋体"/>
                        <w:sz w:val="32"/>
                        <w:szCs w:val="32"/>
                      </w:rPr>
                      <m:t>)</m:t>
                    </m:r>
                    <m:ctrlPr>
                      <w:rPr>
                        <w:rFonts w:ascii="Cambria Math" w:hAnsi="Cambria Math" w:eastAsia="宋体"/>
                        <w:i/>
                        <w:sz w:val="32"/>
                        <w:szCs w:val="32"/>
                      </w:rPr>
                    </m:ctrlPr>
                  </m:e>
                  <m:sup>
                    <m:r>
                      <w:rPr>
                        <w:rFonts w:ascii="Cambria Math" w:hAnsi="Cambria Math" w:eastAsia="宋体"/>
                        <w:sz w:val="32"/>
                        <w:szCs w:val="32"/>
                      </w:rPr>
                      <m:t>2</m:t>
                    </m:r>
                    <m:ctrlPr>
                      <w:rPr>
                        <w:rFonts w:ascii="Cambria Math" w:hAnsi="Cambria Math" w:eastAsia="宋体"/>
                        <w:i/>
                        <w:sz w:val="32"/>
                        <w:szCs w:val="32"/>
                      </w:rPr>
                    </m:ctrlPr>
                  </m:sup>
                </m:sSup>
                <m:ctrlPr>
                  <w:rPr>
                    <w:rFonts w:ascii="Cambria Math" w:hAnsi="Cambria Math" w:eastAsia="宋体"/>
                    <w:i/>
                    <w:sz w:val="32"/>
                    <w:szCs w:val="32"/>
                  </w:rPr>
                </m:ctrlPr>
              </m:den>
            </m:f>
            <m:r>
              <w:rPr>
                <w:rFonts w:ascii="Cambria Math" w:hAnsi="Cambria Math" w:eastAsia="宋体"/>
                <w:sz w:val="32"/>
                <w:szCs w:val="32"/>
              </w:rPr>
              <m:t>)</m:t>
            </m:r>
            <m:ctrlPr>
              <w:rPr>
                <w:rFonts w:ascii="Cambria Math" w:hAnsi="Cambria Math" w:eastAsia="宋体"/>
                <w:i/>
                <w:sz w:val="32"/>
                <w:szCs w:val="32"/>
              </w:rPr>
            </m:ctrlPr>
          </m:e>
        </m:nary>
      </m:oMath>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式中：x</w:t>
      </w:r>
      <w:r>
        <w:rPr>
          <w:rFonts w:hint="eastAsia" w:ascii="Times New Roman" w:cs="Times New Roman" w:eastAsiaTheme="minorEastAsia"/>
          <w:b w:val="0"/>
          <w:bCs w:val="0"/>
          <w:color w:val="auto"/>
          <w:kern w:val="2"/>
          <w:sz w:val="24"/>
          <w:szCs w:val="24"/>
          <w:highlight w:val="none"/>
          <w:vertAlign w:val="subscript"/>
          <w:lang w:val="en-US" w:eastAsia="zh-CN" w:bidi="ar-SA"/>
        </w:rPr>
        <w:t>i</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、y</w:t>
      </w:r>
      <w:r>
        <w:rPr>
          <w:rFonts w:hint="eastAsia" w:ascii="Times New Roman" w:cs="Times New Roman" w:eastAsiaTheme="minorEastAsia"/>
          <w:b w:val="0"/>
          <w:bCs w:val="0"/>
          <w:color w:val="auto"/>
          <w:kern w:val="2"/>
          <w:sz w:val="24"/>
          <w:szCs w:val="24"/>
          <w:highlight w:val="none"/>
          <w:vertAlign w:val="subscript"/>
          <w:lang w:val="en-US" w:eastAsia="zh-CN" w:bidi="ar-SA"/>
        </w:rPr>
        <w:t>i</w:t>
      </w: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导线i的坐标（i=1、2、…，m）；</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1200" w:firstLineChars="500"/>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M</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导线数目；</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1200" w:firstLineChars="500"/>
        <w:jc w:val="left"/>
        <w:textAlignment w:val="auto"/>
        <w:rPr>
          <w:rFonts w:hint="eastAsia" w:asci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ε</w:t>
      </w:r>
      <w:r>
        <w:rPr>
          <w:rFonts w:hint="eastAsia" w:ascii="Times New Roman" w:cs="Times New Roman" w:eastAsiaTheme="minorEastAsia"/>
          <w:b w:val="0"/>
          <w:bCs w:val="0"/>
          <w:color w:val="auto"/>
          <w:kern w:val="2"/>
          <w:sz w:val="24"/>
          <w:szCs w:val="24"/>
          <w:highlight w:val="none"/>
          <w:vertAlign w:val="subscript"/>
          <w:lang w:val="en-US" w:eastAsia="zh-CN" w:bidi="ar-SA"/>
        </w:rPr>
        <w:t>0</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介电常数</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1200" w:firstLineChars="500"/>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L</w:t>
      </w:r>
      <w:r>
        <w:rPr>
          <w:rFonts w:hint="eastAsia" w:ascii="Times New Roman" w:cs="Times New Roman" w:eastAsiaTheme="minorEastAsia"/>
          <w:b w:val="0"/>
          <w:bCs w:val="0"/>
          <w:color w:val="auto"/>
          <w:kern w:val="2"/>
          <w:sz w:val="24"/>
          <w:szCs w:val="24"/>
          <w:highlight w:val="none"/>
          <w:vertAlign w:val="subscript"/>
          <w:lang w:val="en-US" w:eastAsia="zh-CN" w:bidi="ar-SA"/>
        </w:rPr>
        <w:t>i</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、L</w:t>
      </w:r>
      <w:r>
        <w:rPr>
          <w:rFonts w:hint="eastAsia" w:ascii="Times New Roman" w:cs="Times New Roman" w:eastAsiaTheme="minorEastAsia"/>
          <w:b w:val="0"/>
          <w:bCs w:val="0"/>
          <w:color w:val="auto"/>
          <w:kern w:val="2"/>
          <w:sz w:val="24"/>
          <w:szCs w:val="24"/>
          <w:highlight w:val="none"/>
          <w:vertAlign w:val="subscript"/>
          <w:lang w:val="en-US" w:eastAsia="zh-CN" w:bidi="ar-SA"/>
        </w:rPr>
        <w:t>i</w:t>
      </w:r>
      <w:r>
        <w:rPr>
          <w:rFonts w:hint="eastAsia" w:ascii="Times New Roman" w:cs="Times New Roman" w:eastAsiaTheme="minorEastAsia"/>
          <w:b w:val="0"/>
          <w:bCs w:val="0"/>
          <w:color w:val="auto"/>
          <w:kern w:val="2"/>
          <w:sz w:val="24"/>
          <w:szCs w:val="24"/>
          <w:highlight w:val="none"/>
          <w:vertAlign w:val="superscript"/>
          <w:lang w:val="en-US" w:eastAsia="zh-CN" w:bidi="ar-SA"/>
        </w:rPr>
        <w:t>′</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分别为导线I及镜像至计算点的距离。</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36"/>
          <w:lang w:val="en-US" w:eastAsia="zh-CN" w:bidi="ar-SA"/>
        </w:rPr>
      </w:pPr>
      <w:r>
        <w:rPr>
          <w:rFonts w:hint="eastAsia" w:ascii="Times New Roman" w:hAnsi="Times New Roman" w:cs="Times New Roman" w:eastAsiaTheme="minorEastAsia"/>
          <w:b/>
          <w:bCs/>
          <w:color w:val="auto"/>
          <w:kern w:val="2"/>
          <w:sz w:val="28"/>
          <w:szCs w:val="36"/>
          <w:lang w:val="en-US" w:eastAsia="zh-CN" w:bidi="ar-SA"/>
        </w:rPr>
        <w:t>6.1.2 输电线路工频磁感应强度预测的方法</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在很多情况下，只考虑处于空间的实际导线，忽略它的镜像进行计算，其结果已足够符合实际。不考虑导线i的镜像时，可计算在A点产生的磁场强度。</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position w:val="-30"/>
        </w:rPr>
        <w:object>
          <v:shape id="_x0000_i1028" o:spt="75" type="#_x0000_t75" style="height:43pt;width:138.05pt;" o:ole="t" filled="f" o:preferrelative="t" stroked="f" coordsize="21600,21600">
            <v:path/>
            <v:fill on="f" focussize="0,0"/>
            <v:stroke on="f"/>
            <v:imagedata r:id="rId22" o:title=""/>
            <o:lock v:ext="edit" aspectratio="t"/>
            <w10:wrap type="none"/>
            <w10:anchorlock/>
          </v:shape>
          <o:OLEObject Type="Embed" ProgID="Equation.3" ShapeID="_x0000_i1028" DrawAspect="Content" ObjectID="_1468075726" r:id="rId21">
            <o:LockedField>false</o:LockedField>
          </o:OLEObject>
        </w:object>
      </w:r>
      <w:r>
        <w:rPr>
          <w:rFonts w:hint="default" w:ascii="Times New Roman" w:hAnsi="Times New Roman" w:cs="Times New Roman"/>
        </w:rPr>
        <w:t>（A/m）</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式中：I</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导线i中的电流值</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h</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导线与预测点的高差</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1200" w:firstLineChars="500"/>
        <w:jc w:val="left"/>
        <w:textAlignment w:val="auto"/>
        <w:rPr>
          <w:rFonts w:hint="eastAsia" w:asci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L—导线与预测点的水平距离</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为了与环境标准相对应，需要将磁场强度（A</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m）转换为磁感应强度（mT</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，转换公式式中：B=μ</w:t>
      </w:r>
      <w:r>
        <w:rPr>
          <w:rFonts w:hint="default" w:ascii="Times New Roman" w:hAnsi="Times New Roman" w:cs="Times New Roman" w:eastAsiaTheme="minorEastAsia"/>
          <w:b w:val="0"/>
          <w:bCs w:val="0"/>
          <w:color w:val="auto"/>
          <w:kern w:val="2"/>
          <w:sz w:val="24"/>
          <w:szCs w:val="24"/>
          <w:highlight w:val="none"/>
          <w:vertAlign w:val="subscript"/>
          <w:lang w:val="en-US" w:eastAsia="zh-CN" w:bidi="ar-SA"/>
        </w:rPr>
        <w:t>0</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H</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cs="Times New Roman" w:eastAsiaTheme="minorEastAsia"/>
          <w:b w:val="0"/>
          <w:bCs w:val="0"/>
          <w:color w:val="auto"/>
          <w:kern w:val="2"/>
          <w:sz w:val="24"/>
          <w:szCs w:val="24"/>
          <w:highlight w:val="none"/>
          <w:vertAlign w:val="baseline"/>
          <w:lang w:val="en-US" w:eastAsia="zh-CN" w:bidi="ar-SA"/>
        </w:rPr>
        <w:t>式中：</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B</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磁感应强度（T）</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1200" w:firstLineChars="500"/>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H</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磁场强度（H）</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ind w:firstLine="1200" w:firstLineChars="500"/>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μ</w:t>
      </w:r>
      <w:r>
        <w:rPr>
          <w:rFonts w:hint="default" w:ascii="Times New Roman" w:hAnsi="Times New Roman" w:cs="Times New Roman" w:eastAsiaTheme="minorEastAsia"/>
          <w:b w:val="0"/>
          <w:bCs w:val="0"/>
          <w:color w:val="auto"/>
          <w:kern w:val="2"/>
          <w:sz w:val="24"/>
          <w:szCs w:val="24"/>
          <w:highlight w:val="none"/>
          <w:vertAlign w:val="subscript"/>
          <w:lang w:val="en-US" w:eastAsia="zh-CN" w:bidi="ar-SA"/>
        </w:rPr>
        <w:t>0</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—常数，真空中相对磁导率（μ</w:t>
      </w:r>
      <w:r>
        <w:rPr>
          <w:rFonts w:hint="default" w:ascii="Times New Roman" w:hAnsi="Times New Roman" w:cs="Times New Roman" w:eastAsiaTheme="minorEastAsia"/>
          <w:b w:val="0"/>
          <w:bCs w:val="0"/>
          <w:color w:val="auto"/>
          <w:kern w:val="2"/>
          <w:sz w:val="24"/>
          <w:szCs w:val="24"/>
          <w:highlight w:val="none"/>
          <w:vertAlign w:val="subscript"/>
          <w:lang w:val="en-US" w:eastAsia="zh-CN" w:bidi="ar-SA"/>
        </w:rPr>
        <w:t>0</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=4π×10</w:t>
      </w:r>
      <w:r>
        <w:rPr>
          <w:rFonts w:hint="eastAsia" w:ascii="Times New Roman" w:hAnsi="Times New Roman" w:cs="Times New Roman" w:eastAsiaTheme="minorEastAsia"/>
          <w:b w:val="0"/>
          <w:bCs w:val="0"/>
          <w:color w:val="auto"/>
          <w:kern w:val="2"/>
          <w:sz w:val="24"/>
          <w:szCs w:val="24"/>
          <w:highlight w:val="none"/>
          <w:vertAlign w:val="superscript"/>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superscript"/>
          <w:lang w:val="en-US" w:eastAsia="zh-CN" w:bidi="ar-SA"/>
        </w:rPr>
        <w:t>7</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H</w:t>
      </w: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m）</w:t>
      </w:r>
      <w:r>
        <w:rPr>
          <w:rFonts w:hint="eastAsia" w:ascii="Times New Roman" w:hAns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tabs>
          <w:tab w:val="left" w:pos="210"/>
        </w:tabs>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36"/>
          <w:lang w:val="en-US" w:eastAsia="zh-CN" w:bidi="ar-SA"/>
        </w:rPr>
      </w:pPr>
      <w:r>
        <w:rPr>
          <w:rFonts w:hint="eastAsia" w:ascii="Times New Roman" w:hAnsi="Times New Roman" w:cs="Times New Roman" w:eastAsiaTheme="minorEastAsia"/>
          <w:b/>
          <w:bCs/>
          <w:color w:val="auto"/>
          <w:kern w:val="2"/>
          <w:sz w:val="28"/>
          <w:szCs w:val="36"/>
          <w:lang w:val="en-US" w:eastAsia="zh-CN" w:bidi="ar-SA"/>
        </w:rPr>
        <w:t>6.2 预测计算参数</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36"/>
          <w:lang w:val="en-US" w:eastAsia="zh-CN" w:bidi="ar-SA"/>
        </w:rPr>
      </w:pPr>
      <w:r>
        <w:rPr>
          <w:rFonts w:hint="eastAsia" w:ascii="Times New Roman" w:hAnsi="Times New Roman" w:cs="Times New Roman" w:eastAsiaTheme="minorEastAsia"/>
          <w:b/>
          <w:bCs/>
          <w:color w:val="auto"/>
          <w:kern w:val="2"/>
          <w:sz w:val="28"/>
          <w:szCs w:val="36"/>
          <w:lang w:val="en-US" w:eastAsia="zh-CN" w:bidi="ar-SA"/>
        </w:rPr>
        <w:t>6.2.1 导线型号</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本工程线路导线采用J</w:t>
      </w:r>
      <w:r>
        <w:rPr>
          <w:rFonts w:hint="eastAsia" w:ascii="Times New Roman" w:cs="Times New Roman" w:eastAsiaTheme="minorEastAsia"/>
          <w:b w:val="0"/>
          <w:bCs w:val="0"/>
          <w:color w:val="auto"/>
          <w:kern w:val="2"/>
          <w:sz w:val="24"/>
          <w:szCs w:val="24"/>
          <w:highlight w:val="none"/>
          <w:vertAlign w:val="baseline"/>
          <w:lang w:val="en-US" w:eastAsia="zh-CN" w:bidi="ar-SA"/>
        </w:rPr>
        <w:t>L</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/G1A-300/40型钢芯铝绞线。</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36"/>
          <w:lang w:val="en-US" w:eastAsia="zh-CN" w:bidi="ar-SA"/>
        </w:rPr>
      </w:pPr>
      <w:r>
        <w:rPr>
          <w:rFonts w:hint="eastAsia" w:ascii="Times New Roman" w:hAnsi="Times New Roman" w:cs="Times New Roman" w:eastAsiaTheme="minorEastAsia"/>
          <w:b/>
          <w:bCs/>
          <w:color w:val="auto"/>
          <w:kern w:val="2"/>
          <w:sz w:val="28"/>
          <w:szCs w:val="36"/>
          <w:lang w:val="en-US" w:eastAsia="zh-CN" w:bidi="ar-SA"/>
        </w:rPr>
        <w:t>6.2.2 塔型相关计算参数</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在最不利情况下</w:t>
      </w:r>
      <w:r>
        <w:rPr>
          <w:rFonts w:hint="eastAsia" w:ascii="Times New Roman" w:cs="Times New Roman" w:eastAsiaTheme="minorEastAsia"/>
          <w:b w:val="0"/>
          <w:bCs w:val="0"/>
          <w:color w:val="auto"/>
          <w:kern w:val="2"/>
          <w:sz w:val="24"/>
          <w:szCs w:val="24"/>
          <w:highlight w:val="none"/>
          <w:vertAlign w:val="baseline"/>
          <w:lang w:val="en-US" w:eastAsia="zh-CN" w:bidi="ar-SA"/>
        </w:rPr>
        <w:t>1A4X-ZMC4</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直线塔作为工程送出线路的预测塔型，其他塔型电磁场分布情况可以参考该塔型预测结果</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《1</w:t>
      </w:r>
      <w:r>
        <w:rPr>
          <w:rFonts w:hint="eastAsia" w:ascii="Times New Roman" w:cs="Times New Roman" w:eastAsiaTheme="minorEastAsia"/>
          <w:b w:val="0"/>
          <w:bCs w:val="0"/>
          <w:color w:val="auto"/>
          <w:kern w:val="2"/>
          <w:sz w:val="24"/>
          <w:szCs w:val="24"/>
          <w:highlight w:val="none"/>
          <w:vertAlign w:val="baseline"/>
          <w:lang w:val="en-US" w:eastAsia="zh-CN" w:bidi="ar-SA"/>
        </w:rPr>
        <w:t>1</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0~750kV架空输电线路设计规范》（GB50545-2010）中要求，110kV输电线路在途经居民区时，控制导线最小对地距离为7m，途经非居民区时，控制导线最小对地距离为6m。本工程送出线路的导线最低对地高度途经居民区时导线最小对地距离取7m，非居民时取6m</w:t>
      </w:r>
      <w:bookmarkStart w:id="55" w:name="_GoBack"/>
      <w:bookmarkEnd w:id="55"/>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预测参数见表6-1、表6-2</w:t>
      </w:r>
      <w:r>
        <w:rPr>
          <w:rFonts w:hint="eastAsia" w:ascii="Times New Roman" w:cs="Times New Roman" w:eastAsiaTheme="minorEastAsia"/>
          <w:b w:val="0"/>
          <w:bCs w:val="0"/>
          <w:color w:val="auto"/>
          <w:kern w:val="2"/>
          <w:sz w:val="24"/>
          <w:szCs w:val="24"/>
          <w:highlight w:val="none"/>
          <w:vertAlign w:val="baseline"/>
          <w:lang w:val="en-US" w:eastAsia="zh-CN" w:bidi="ar-SA"/>
        </w:rPr>
        <w:t>，单回塔导线相序相对位置图见图6-1。1A4X-ZMC3塔型图详见附图6。</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b/>
          <w:bCs/>
          <w:sz w:val="21"/>
          <w:szCs w:val="20"/>
          <w:vertAlign w:val="baseline"/>
          <w:lang w:val="en-US" w:eastAsia="zh-CN"/>
        </w:rPr>
      </w:pPr>
      <w:r>
        <w:rPr>
          <w:rFonts w:hint="eastAsia" w:ascii="Times New Roman" w:cs="Times New Roman"/>
          <w:b/>
          <w:bCs/>
          <w:sz w:val="21"/>
          <w:szCs w:val="20"/>
          <w:vertAlign w:val="baseline"/>
          <w:lang w:val="en-US" w:eastAsia="zh-CN"/>
        </w:rPr>
        <w:t>表6-1  110kV架空线路模式预测参数一览表</w:t>
      </w:r>
    </w:p>
    <w:tbl>
      <w:tblPr>
        <w:tblStyle w:val="15"/>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3"/>
        <w:gridCol w:w="5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8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预测塔型</w:t>
            </w:r>
          </w:p>
        </w:tc>
        <w:tc>
          <w:tcPr>
            <w:tcW w:w="519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eastAsia="宋体" w:cs="Times New Roman"/>
                <w:bCs/>
                <w:color w:val="auto"/>
                <w:kern w:val="2"/>
                <w:sz w:val="21"/>
                <w:szCs w:val="21"/>
                <w:vertAlign w:val="baseline"/>
                <w:lang w:val="en-US" w:eastAsia="zh-CN" w:bidi="ar-SA"/>
              </w:rPr>
              <w:t>1A4X-ZMC4</w:t>
            </w:r>
            <w:r>
              <w:rPr>
                <w:rFonts w:hint="eastAsia" w:ascii="Times New Roman" w:cs="Times New Roman"/>
                <w:bCs/>
                <w:color w:val="auto"/>
                <w:kern w:val="2"/>
                <w:sz w:val="21"/>
                <w:szCs w:val="21"/>
                <w:vertAlign w:val="baseline"/>
                <w:lang w:val="en-US" w:eastAsia="zh-CN" w:bidi="ar-SA"/>
              </w:rPr>
              <w:t>直线塔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导线型号</w:t>
            </w:r>
          </w:p>
        </w:tc>
        <w:tc>
          <w:tcPr>
            <w:tcW w:w="519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val="0"/>
                <w:bCs w:val="0"/>
                <w:sz w:val="21"/>
                <w:szCs w:val="21"/>
                <w:vertAlign w:val="baseline"/>
                <w:lang w:val="en-US" w:eastAsia="zh-CN"/>
              </w:rPr>
            </w:pPr>
            <w:r>
              <w:rPr>
                <w:rFonts w:hint="default" w:ascii="Times New Roman" w:hAnsi="Times New Roman" w:cs="Times New Roman" w:eastAsiaTheme="minorEastAsia"/>
                <w:b w:val="0"/>
                <w:bCs w:val="0"/>
                <w:color w:val="auto"/>
                <w:kern w:val="2"/>
                <w:sz w:val="21"/>
                <w:szCs w:val="21"/>
                <w:vertAlign w:val="baseline"/>
                <w:lang w:val="en-US" w:eastAsia="zh-CN" w:bidi="ar-SA"/>
              </w:rPr>
              <w:t>JL/G1A-300/40</w:t>
            </w:r>
            <w:r>
              <w:rPr>
                <w:rFonts w:hint="eastAsia" w:ascii="Times New Roman" w:hAnsi="Times New Roman" w:cs="Times New Roman" w:eastAsiaTheme="minorEastAsia"/>
                <w:b w:val="0"/>
                <w:bCs w:val="0"/>
                <w:color w:val="auto"/>
                <w:kern w:val="2"/>
                <w:sz w:val="21"/>
                <w:szCs w:val="21"/>
                <w:vertAlign w:val="baseline"/>
                <w:lang w:val="en-US" w:eastAsia="zh-CN" w:bidi="ar-SA"/>
              </w:rPr>
              <w:t>型钢芯铝绞线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cs="Times New Roman"/>
                <w:b w:val="0"/>
                <w:bCs w:val="0"/>
                <w:sz w:val="21"/>
                <w:szCs w:val="21"/>
                <w:vertAlign w:val="baseline"/>
                <w:lang w:val="en-US" w:eastAsia="zh-CN"/>
              </w:rPr>
              <w:t>分裂数</w:t>
            </w:r>
          </w:p>
        </w:tc>
        <w:tc>
          <w:tcPr>
            <w:tcW w:w="519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cs="Times New Roman"/>
                <w:b w:val="0"/>
                <w:bCs w:val="0"/>
                <w:sz w:val="21"/>
                <w:szCs w:val="21"/>
                <w:vertAlign w:val="baseline"/>
                <w:lang w:val="en-US" w:eastAsia="zh-CN"/>
              </w:rPr>
              <w:t>单分裂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cs="Times New Roman"/>
                <w:b w:val="0"/>
                <w:bCs w:val="0"/>
                <w:sz w:val="21"/>
                <w:szCs w:val="21"/>
                <w:vertAlign w:val="baseline"/>
                <w:lang w:val="en-US" w:eastAsia="zh-CN"/>
              </w:rPr>
              <w:t>架设方式</w:t>
            </w:r>
          </w:p>
        </w:tc>
        <w:tc>
          <w:tcPr>
            <w:tcW w:w="519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cs="Times New Roman"/>
                <w:b w:val="0"/>
                <w:bCs w:val="0"/>
                <w:sz w:val="21"/>
                <w:szCs w:val="21"/>
                <w:vertAlign w:val="baseline"/>
                <w:lang w:val="en-US" w:eastAsia="zh-CN"/>
              </w:rPr>
              <w:t>单回架空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cs="Times New Roman"/>
                <w:b w:val="0"/>
                <w:bCs w:val="0"/>
                <w:sz w:val="21"/>
                <w:szCs w:val="21"/>
                <w:vertAlign w:val="baseline"/>
                <w:lang w:val="en-US" w:eastAsia="zh-CN"/>
              </w:rPr>
              <w:t>导线排列方式</w:t>
            </w:r>
          </w:p>
        </w:tc>
        <w:tc>
          <w:tcPr>
            <w:tcW w:w="519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eastAsia" w:ascii="Times New Roman" w:cs="Times New Roman"/>
                <w:b w:val="0"/>
                <w:bCs w:val="0"/>
                <w:sz w:val="21"/>
                <w:szCs w:val="21"/>
                <w:vertAlign w:val="baseline"/>
                <w:lang w:val="en-US" w:eastAsia="zh-CN"/>
              </w:rPr>
              <w:t>三角形排列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vertAlign w:val="baseline"/>
                <w:lang w:val="en-US" w:eastAsia="zh-CN" w:bidi="ar-SA"/>
              </w:rPr>
            </w:pPr>
            <w:r>
              <w:rPr>
                <w:rFonts w:hint="eastAsia" w:ascii="Times New Roman" w:cs="Times New Roman"/>
                <w:b w:val="0"/>
                <w:bCs w:val="0"/>
                <w:sz w:val="21"/>
                <w:szCs w:val="21"/>
                <w:vertAlign w:val="baseline"/>
                <w:lang w:val="en-US" w:eastAsia="zh-CN"/>
              </w:rPr>
              <w:t>计算电流（A）</w:t>
            </w:r>
          </w:p>
        </w:tc>
        <w:tc>
          <w:tcPr>
            <w:tcW w:w="519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hAnsi="Times New Roman" w:cs="Times New Roman" w:eastAsiaTheme="minorEastAsia"/>
                <w:b w:val="0"/>
                <w:bCs w:val="0"/>
                <w:color w:val="auto"/>
                <w:kern w:val="2"/>
                <w:sz w:val="21"/>
                <w:szCs w:val="21"/>
                <w:vertAlign w:val="baseline"/>
                <w:lang w:val="en-US" w:eastAsia="zh-CN" w:bidi="ar-SA"/>
              </w:rPr>
              <w:t>2</w:t>
            </w:r>
            <w:r>
              <w:rPr>
                <w:rFonts w:hint="eastAsia" w:ascii="Times New Roman" w:cs="Times New Roman" w:eastAsiaTheme="minorEastAsia"/>
                <w:b w:val="0"/>
                <w:bCs w:val="0"/>
                <w:color w:val="auto"/>
                <w:kern w:val="2"/>
                <w:sz w:val="21"/>
                <w:szCs w:val="21"/>
                <w:vertAlign w:val="baseline"/>
                <w:lang w:val="en-US" w:eastAsia="zh-CN" w:bidi="ar-SA"/>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vertAlign w:val="baseline"/>
                <w:lang w:val="en-US" w:eastAsia="zh-CN" w:bidi="ar-SA"/>
              </w:rPr>
            </w:pPr>
            <w:r>
              <w:rPr>
                <w:rFonts w:hint="eastAsia" w:ascii="Times New Roman" w:cs="Times New Roman"/>
                <w:b w:val="0"/>
                <w:bCs w:val="0"/>
                <w:sz w:val="21"/>
                <w:szCs w:val="21"/>
                <w:vertAlign w:val="baseline"/>
                <w:lang w:val="en-US" w:eastAsia="zh-CN"/>
              </w:rPr>
              <w:t>线路电压（kV）</w:t>
            </w:r>
          </w:p>
        </w:tc>
        <w:tc>
          <w:tcPr>
            <w:tcW w:w="519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ascii="Times New Roman" w:cs="Times New Roman" w:eastAsiaTheme="minorEastAsia"/>
                <w:b w:val="0"/>
                <w:bCs w:val="0"/>
                <w:color w:val="auto"/>
                <w:kern w:val="2"/>
                <w:sz w:val="21"/>
                <w:szCs w:val="21"/>
                <w:vertAlign w:val="baseline"/>
                <w:lang w:val="en-US" w:eastAsia="zh-CN" w:bidi="ar-SA"/>
              </w:rPr>
              <w:t>115.5kV（取电压等级的1.05倍）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vertAlign w:val="baseline"/>
                <w:lang w:val="en-US" w:eastAsia="zh-CN" w:bidi="ar-SA"/>
              </w:rPr>
            </w:pPr>
            <w:r>
              <w:rPr>
                <w:rFonts w:hint="eastAsia" w:ascii="Times New Roman" w:cs="Times New Roman"/>
                <w:b w:val="0"/>
                <w:bCs w:val="0"/>
                <w:sz w:val="21"/>
                <w:szCs w:val="21"/>
                <w:vertAlign w:val="baseline"/>
                <w:lang w:val="en-US" w:eastAsia="zh-CN"/>
              </w:rPr>
              <w:t>直径（mm）</w:t>
            </w:r>
          </w:p>
        </w:tc>
        <w:tc>
          <w:tcPr>
            <w:tcW w:w="519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hAnsi="Times New Roman" w:eastAsia="宋体" w:cs="Times New Roman"/>
                <w:b w:val="0"/>
                <w:bCs w:val="0"/>
                <w:sz w:val="21"/>
                <w:szCs w:val="21"/>
                <w:vertAlign w:val="baseline"/>
                <w:lang w:val="en-US" w:eastAsia="zh-CN" w:bidi="ar-SA"/>
              </w:rPr>
            </w:pPr>
            <w:r>
              <w:rPr>
                <w:rFonts w:hint="eastAsia" w:ascii="Times New Roman" w:cs="Times New Roman"/>
                <w:b w:val="0"/>
                <w:bCs w:val="0"/>
                <w:sz w:val="21"/>
                <w:szCs w:val="21"/>
                <w:vertAlign w:val="baseline"/>
                <w:lang w:val="en-US" w:eastAsia="zh-CN"/>
              </w:rPr>
              <w:t>实导线23.9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8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线路经过地区导线弧垂对地高度</w:t>
            </w:r>
          </w:p>
        </w:tc>
        <w:tc>
          <w:tcPr>
            <w:tcW w:w="5191"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b w:val="0"/>
                <w:bCs w:val="0"/>
                <w:sz w:val="21"/>
                <w:szCs w:val="21"/>
                <w:vertAlign w:val="baseline"/>
                <w:lang w:val="en-US" w:eastAsia="zh-CN"/>
              </w:rPr>
            </w:pPr>
            <w:r>
              <w:rPr>
                <w:rFonts w:hint="eastAsia" w:ascii="Times New Roman" w:cs="Times New Roman"/>
                <w:b w:val="0"/>
                <w:bCs w:val="0"/>
                <w:sz w:val="21"/>
                <w:szCs w:val="21"/>
                <w:vertAlign w:val="baseline"/>
                <w:lang w:val="en-US" w:eastAsia="zh-CN"/>
              </w:rPr>
              <w:t>非居民区6m，居民区7m</w:t>
            </w:r>
          </w:p>
        </w:tc>
      </w:tr>
    </w:tbl>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cs="Times New Roman" w:eastAsiaTheme="minorEastAsia"/>
          <w:b/>
          <w:bCs/>
          <w:color w:val="auto"/>
          <w:kern w:val="2"/>
          <w:sz w:val="21"/>
          <w:szCs w:val="21"/>
          <w:highlight w:val="none"/>
          <w:vertAlign w:val="baseline"/>
          <w:lang w:val="en-US" w:eastAsia="zh-CN" w:bidi="ar-SA"/>
        </w:rPr>
      </w:pPr>
      <w:r>
        <w:rPr>
          <w:rFonts w:hint="eastAsia" w:ascii="Times New Roman" w:cs="Times New Roman" w:eastAsiaTheme="minorEastAsia"/>
          <w:b/>
          <w:bCs/>
          <w:color w:val="auto"/>
          <w:kern w:val="2"/>
          <w:sz w:val="21"/>
          <w:szCs w:val="21"/>
          <w:highlight w:val="none"/>
          <w:vertAlign w:val="baseline"/>
          <w:lang w:val="en-US" w:eastAsia="zh-CN" w:bidi="ar-SA"/>
        </w:rPr>
        <w:t>表6-2  直线塔预测参数一览表</w:t>
      </w:r>
    </w:p>
    <w:tbl>
      <w:tblPr>
        <w:tblStyle w:val="15"/>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1660"/>
        <w:gridCol w:w="1858"/>
        <w:gridCol w:w="1858"/>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4"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塔型</w:t>
            </w:r>
          </w:p>
        </w:tc>
        <w:tc>
          <w:tcPr>
            <w:tcW w:w="1660"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相序</w:t>
            </w:r>
          </w:p>
        </w:tc>
        <w:tc>
          <w:tcPr>
            <w:tcW w:w="1858"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弧垂高度</w:t>
            </w:r>
          </w:p>
        </w:tc>
        <w:tc>
          <w:tcPr>
            <w:tcW w:w="3716"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4"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p>
        </w:tc>
        <w:tc>
          <w:tcPr>
            <w:tcW w:w="1660"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p>
        </w:tc>
        <w:tc>
          <w:tcPr>
            <w:tcW w:w="1858"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p>
        </w:tc>
        <w:tc>
          <w:tcPr>
            <w:tcW w:w="18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X</w:t>
            </w:r>
          </w:p>
        </w:tc>
        <w:tc>
          <w:tcPr>
            <w:tcW w:w="18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4"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1A4X-ZMC4</w:t>
            </w:r>
            <w:r>
              <w:rPr>
                <w:rFonts w:hint="eastAsia" w:ascii="Times New Roman" w:cs="Times New Roman"/>
                <w:bCs/>
                <w:color w:val="auto"/>
                <w:kern w:val="2"/>
                <w:sz w:val="21"/>
                <w:szCs w:val="21"/>
                <w:vertAlign w:val="baseline"/>
                <w:lang w:val="en-US" w:eastAsia="zh-CN" w:bidi="ar-SA"/>
              </w:rPr>
              <w:t>直线塔</w:t>
            </w:r>
          </w:p>
        </w:tc>
        <w:tc>
          <w:tcPr>
            <w:tcW w:w="166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A相</w:t>
            </w:r>
          </w:p>
        </w:tc>
        <w:tc>
          <w:tcPr>
            <w:tcW w:w="1858"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6m</w:t>
            </w:r>
          </w:p>
        </w:tc>
        <w:tc>
          <w:tcPr>
            <w:tcW w:w="18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-3.8</w:t>
            </w:r>
          </w:p>
        </w:tc>
        <w:tc>
          <w:tcPr>
            <w:tcW w:w="18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4"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p>
        </w:tc>
        <w:tc>
          <w:tcPr>
            <w:tcW w:w="166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B相</w:t>
            </w:r>
          </w:p>
        </w:tc>
        <w:tc>
          <w:tcPr>
            <w:tcW w:w="1858"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p>
        </w:tc>
        <w:tc>
          <w:tcPr>
            <w:tcW w:w="18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0.0</w:t>
            </w:r>
          </w:p>
        </w:tc>
        <w:tc>
          <w:tcPr>
            <w:tcW w:w="18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4"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p>
        </w:tc>
        <w:tc>
          <w:tcPr>
            <w:tcW w:w="166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C相</w:t>
            </w:r>
          </w:p>
        </w:tc>
        <w:tc>
          <w:tcPr>
            <w:tcW w:w="1858"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p>
        </w:tc>
        <w:tc>
          <w:tcPr>
            <w:tcW w:w="18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3.8</w:t>
            </w:r>
          </w:p>
        </w:tc>
        <w:tc>
          <w:tcPr>
            <w:tcW w:w="18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4"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eastAsia="宋体" w:cs="Times New Roman"/>
                <w:bCs/>
                <w:color w:val="auto"/>
                <w:kern w:val="2"/>
                <w:sz w:val="21"/>
                <w:szCs w:val="21"/>
                <w:vertAlign w:val="baseline"/>
                <w:lang w:val="en-US" w:eastAsia="zh-CN" w:bidi="ar-SA"/>
              </w:rPr>
              <w:t>1A4X-ZMC4</w:t>
            </w:r>
            <w:r>
              <w:rPr>
                <w:rFonts w:hint="eastAsia" w:ascii="Times New Roman" w:cs="Times New Roman"/>
                <w:bCs/>
                <w:color w:val="auto"/>
                <w:kern w:val="2"/>
                <w:sz w:val="21"/>
                <w:szCs w:val="21"/>
                <w:vertAlign w:val="baseline"/>
                <w:lang w:val="en-US" w:eastAsia="zh-CN" w:bidi="ar-SA"/>
              </w:rPr>
              <w:t>直线塔</w:t>
            </w:r>
          </w:p>
        </w:tc>
        <w:tc>
          <w:tcPr>
            <w:tcW w:w="166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A相</w:t>
            </w:r>
          </w:p>
        </w:tc>
        <w:tc>
          <w:tcPr>
            <w:tcW w:w="1858"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7m</w:t>
            </w:r>
          </w:p>
        </w:tc>
        <w:tc>
          <w:tcPr>
            <w:tcW w:w="18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-3.8</w:t>
            </w:r>
          </w:p>
        </w:tc>
        <w:tc>
          <w:tcPr>
            <w:tcW w:w="18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054"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p>
        </w:tc>
        <w:tc>
          <w:tcPr>
            <w:tcW w:w="166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B相</w:t>
            </w:r>
          </w:p>
        </w:tc>
        <w:tc>
          <w:tcPr>
            <w:tcW w:w="1858"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p>
        </w:tc>
        <w:tc>
          <w:tcPr>
            <w:tcW w:w="18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0.0</w:t>
            </w:r>
          </w:p>
        </w:tc>
        <w:tc>
          <w:tcPr>
            <w:tcW w:w="18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4"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p>
        </w:tc>
        <w:tc>
          <w:tcPr>
            <w:tcW w:w="1660"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C相</w:t>
            </w:r>
          </w:p>
        </w:tc>
        <w:tc>
          <w:tcPr>
            <w:tcW w:w="1858"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eastAsia" w:ascii="Times New Roman" w:cs="Times New Roman" w:eastAsiaTheme="minorEastAsia"/>
                <w:b w:val="0"/>
                <w:bCs w:val="0"/>
                <w:color w:val="auto"/>
                <w:kern w:val="2"/>
                <w:sz w:val="21"/>
                <w:szCs w:val="21"/>
                <w:highlight w:val="none"/>
                <w:vertAlign w:val="baseline"/>
                <w:lang w:val="en-US" w:eastAsia="zh-CN" w:bidi="ar-SA"/>
              </w:rPr>
            </w:pPr>
          </w:p>
        </w:tc>
        <w:tc>
          <w:tcPr>
            <w:tcW w:w="18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3.8</w:t>
            </w:r>
          </w:p>
        </w:tc>
        <w:tc>
          <w:tcPr>
            <w:tcW w:w="1858"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cs="Times New Roman" w:eastAsiaTheme="minorEastAsia"/>
                <w:b w:val="0"/>
                <w:bCs w:val="0"/>
                <w:color w:val="auto"/>
                <w:kern w:val="2"/>
                <w:sz w:val="21"/>
                <w:szCs w:val="21"/>
                <w:highlight w:val="none"/>
                <w:vertAlign w:val="baseline"/>
                <w:lang w:val="en-US" w:eastAsia="zh-CN" w:bidi="ar-SA"/>
              </w:rPr>
            </w:pPr>
            <w:r>
              <w:rPr>
                <w:rFonts w:hint="eastAsia" w:ascii="Times New Roman" w:cs="Times New Roman" w:eastAsiaTheme="minorEastAsia"/>
                <w:b w:val="0"/>
                <w:bCs w:val="0"/>
                <w:color w:val="auto"/>
                <w:kern w:val="2"/>
                <w:sz w:val="21"/>
                <w:szCs w:val="21"/>
                <w:highlight w:val="none"/>
                <w:vertAlign w:val="baseline"/>
                <w:lang w:val="en-US" w:eastAsia="zh-CN" w:bidi="ar-SA"/>
              </w:rPr>
              <w:t>7.0</w:t>
            </w:r>
          </w:p>
        </w:tc>
      </w:tr>
    </w:tbl>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pPr>
      <w:r>
        <w:drawing>
          <wp:inline distT="0" distB="0" distL="114300" distR="114300">
            <wp:extent cx="2183765" cy="1953260"/>
            <wp:effectExtent l="0" t="0" r="6985" b="8890"/>
            <wp:docPr id="21" name="图片 5" descr="2020-8-23 11-1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2020-8-23 11-19-19.png"/>
                    <pic:cNvPicPr>
                      <a:picLocks noChangeAspect="1"/>
                    </pic:cNvPicPr>
                  </pic:nvPicPr>
                  <pic:blipFill>
                    <a:blip r:embed="rId23"/>
                    <a:stretch>
                      <a:fillRect/>
                    </a:stretch>
                  </pic:blipFill>
                  <pic:spPr>
                    <a:xfrm>
                      <a:off x="0" y="0"/>
                      <a:ext cx="2183765" cy="1953260"/>
                    </a:xfrm>
                    <a:prstGeom prst="rect">
                      <a:avLst/>
                    </a:prstGeom>
                    <a:noFill/>
                    <a:ln>
                      <a:noFill/>
                    </a:ln>
                  </pic:spPr>
                </pic:pic>
              </a:graphicData>
            </a:graphic>
          </wp:inline>
        </w:drawing>
      </w:r>
    </w:p>
    <w:p>
      <w:pPr>
        <w:ind w:left="-372" w:leftChars="-177" w:firstLine="310" w:firstLineChars="147"/>
        <w:jc w:val="center"/>
        <w:rPr>
          <w:b/>
          <w:sz w:val="21"/>
          <w:szCs w:val="21"/>
        </w:rPr>
      </w:pPr>
      <w:r>
        <w:rPr>
          <w:rFonts w:hint="eastAsia"/>
          <w:b/>
          <w:sz w:val="21"/>
          <w:szCs w:val="21"/>
        </w:rPr>
        <w:t>图</w:t>
      </w:r>
      <w:r>
        <w:rPr>
          <w:rFonts w:hint="eastAsia"/>
          <w:b/>
          <w:sz w:val="21"/>
          <w:szCs w:val="21"/>
          <w:lang w:val="en-US" w:eastAsia="zh-CN"/>
        </w:rPr>
        <w:t>6-</w:t>
      </w:r>
      <w:r>
        <w:rPr>
          <w:rFonts w:hint="eastAsia"/>
          <w:b/>
          <w:sz w:val="21"/>
          <w:szCs w:val="21"/>
        </w:rPr>
        <w:t>1</w:t>
      </w:r>
      <w:r>
        <w:rPr>
          <w:rFonts w:hint="eastAsia"/>
          <w:b/>
          <w:sz w:val="21"/>
          <w:szCs w:val="21"/>
          <w:lang w:val="en-US" w:eastAsia="zh-CN"/>
        </w:rPr>
        <w:t xml:space="preserve"> </w:t>
      </w:r>
      <w:r>
        <w:rPr>
          <w:rFonts w:hint="eastAsia"/>
          <w:b/>
          <w:sz w:val="21"/>
          <w:szCs w:val="21"/>
        </w:rPr>
        <w:t xml:space="preserve"> 单回塔导线相序相对位置图</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bCs/>
          <w:color w:val="auto"/>
          <w:kern w:val="2"/>
          <w:sz w:val="28"/>
          <w:szCs w:val="36"/>
          <w:lang w:val="en-US" w:eastAsia="zh-CN" w:bidi="ar-SA"/>
        </w:rPr>
      </w:pPr>
      <w:r>
        <w:rPr>
          <w:rFonts w:hint="eastAsia" w:ascii="Times New Roman" w:hAnsi="Times New Roman" w:cs="Times New Roman" w:eastAsiaTheme="minorEastAsia"/>
          <w:b/>
          <w:bCs/>
          <w:color w:val="auto"/>
          <w:kern w:val="2"/>
          <w:sz w:val="28"/>
          <w:szCs w:val="36"/>
          <w:lang w:val="en-US" w:eastAsia="zh-CN" w:bidi="ar-SA"/>
        </w:rPr>
        <w:t>6.3 理论计算结果及分析</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cs="Times New Roman" w:eastAsiaTheme="minorEastAsia"/>
          <w:b w:val="0"/>
          <w:bCs w:val="0"/>
          <w:color w:val="auto"/>
          <w:kern w:val="2"/>
          <w:sz w:val="24"/>
          <w:szCs w:val="24"/>
          <w:highlight w:val="none"/>
          <w:vertAlign w:val="baseline"/>
          <w:lang w:val="en-US" w:eastAsia="zh-CN" w:bidi="ar-SA"/>
        </w:rPr>
      </w:pPr>
      <w:r>
        <w:rPr>
          <w:rFonts w:hint="eastAsia" w:ascii="Times New Roman" w:cs="Times New Roman" w:eastAsiaTheme="minorEastAsia"/>
          <w:b w:val="0"/>
          <w:bCs w:val="0"/>
          <w:color w:val="auto"/>
          <w:kern w:val="2"/>
          <w:sz w:val="24"/>
          <w:szCs w:val="24"/>
          <w:highlight w:val="none"/>
          <w:vertAlign w:val="baseline"/>
          <w:lang w:val="en-US" w:eastAsia="zh-CN" w:bidi="ar-SA"/>
        </w:rPr>
        <w:t>6.3.1 弧垂高度为6m、7m时，1A4X-ZMC4型直线塔理论计算结果见表6-3。</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cs="Times New Roman" w:eastAsiaTheme="minorEastAsia"/>
          <w:b/>
          <w:bCs/>
          <w:color w:val="auto"/>
          <w:kern w:val="2"/>
          <w:sz w:val="21"/>
          <w:szCs w:val="21"/>
          <w:highlight w:val="none"/>
          <w:vertAlign w:val="baseline"/>
          <w:lang w:val="en-US" w:eastAsia="zh-CN" w:bidi="ar-SA"/>
        </w:rPr>
      </w:pPr>
      <w:r>
        <w:rPr>
          <w:rFonts w:hint="default" w:ascii="Times New Roman" w:cs="Times New Roman" w:eastAsiaTheme="minorEastAsia"/>
          <w:b/>
          <w:bCs/>
          <w:color w:val="auto"/>
          <w:kern w:val="2"/>
          <w:sz w:val="21"/>
          <w:szCs w:val="21"/>
          <w:highlight w:val="none"/>
          <w:vertAlign w:val="baseline"/>
          <w:lang w:val="en-US" w:eastAsia="zh-CN" w:bidi="ar-SA"/>
        </w:rPr>
        <w:t>表6</w:t>
      </w:r>
      <w:r>
        <w:rPr>
          <w:rFonts w:hint="eastAsia" w:ascii="Times New Roman" w:cs="Times New Roman" w:eastAsiaTheme="minorEastAsia"/>
          <w:b/>
          <w:bCs/>
          <w:color w:val="auto"/>
          <w:kern w:val="2"/>
          <w:sz w:val="21"/>
          <w:szCs w:val="21"/>
          <w:highlight w:val="none"/>
          <w:vertAlign w:val="baseline"/>
          <w:lang w:val="en-US" w:eastAsia="zh-CN" w:bidi="ar-SA"/>
        </w:rPr>
        <w:t>-</w:t>
      </w:r>
      <w:r>
        <w:rPr>
          <w:rFonts w:hint="default" w:ascii="Times New Roman" w:cs="Times New Roman" w:eastAsiaTheme="minorEastAsia"/>
          <w:b/>
          <w:bCs/>
          <w:color w:val="auto"/>
          <w:kern w:val="2"/>
          <w:sz w:val="21"/>
          <w:szCs w:val="21"/>
          <w:highlight w:val="none"/>
          <w:vertAlign w:val="baseline"/>
          <w:lang w:val="en-US" w:eastAsia="zh-CN" w:bidi="ar-SA"/>
        </w:rPr>
        <w:t>7</w:t>
      </w:r>
      <w:r>
        <w:rPr>
          <w:rFonts w:hint="eastAsia" w:ascii="Times New Roman" w:cs="Times New Roman" w:eastAsiaTheme="minorEastAsia"/>
          <w:b/>
          <w:bCs/>
          <w:color w:val="auto"/>
          <w:kern w:val="2"/>
          <w:sz w:val="21"/>
          <w:szCs w:val="21"/>
          <w:highlight w:val="none"/>
          <w:vertAlign w:val="baseline"/>
          <w:lang w:val="en-US" w:eastAsia="zh-CN" w:bidi="ar-SA"/>
        </w:rPr>
        <w:t xml:space="preserve">  </w:t>
      </w:r>
      <w:r>
        <w:rPr>
          <w:rFonts w:hint="default" w:ascii="Times New Roman" w:cs="Times New Roman" w:eastAsiaTheme="minorEastAsia"/>
          <w:b/>
          <w:bCs/>
          <w:color w:val="auto"/>
          <w:kern w:val="2"/>
          <w:sz w:val="21"/>
          <w:szCs w:val="21"/>
          <w:highlight w:val="none"/>
          <w:vertAlign w:val="baseline"/>
          <w:lang w:val="en-US" w:eastAsia="zh-CN" w:bidi="ar-SA"/>
        </w:rPr>
        <w:t>直线塔理论计算结果（弧垂高度为6m、7m时</w:t>
      </w:r>
      <w:r>
        <w:rPr>
          <w:rFonts w:hint="eastAsia" w:ascii="Times New Roman" w:cs="Times New Roman" w:eastAsiaTheme="minorEastAsia"/>
          <w:b/>
          <w:bCs/>
          <w:color w:val="auto"/>
          <w:kern w:val="2"/>
          <w:sz w:val="21"/>
          <w:szCs w:val="21"/>
          <w:highlight w:val="none"/>
          <w:vertAlign w:val="baseline"/>
          <w:lang w:val="en-US" w:eastAsia="zh-CN" w:bidi="ar-SA"/>
        </w:rPr>
        <w: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3"/>
        <w:gridCol w:w="1786"/>
        <w:gridCol w:w="1786"/>
        <w:gridCol w:w="1786"/>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2143" w:type="dxa"/>
            <w:vMerge w:val="restart"/>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距线路走廊中心点</w:t>
            </w:r>
          </w:p>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距离（m）</w:t>
            </w:r>
          </w:p>
        </w:tc>
        <w:tc>
          <w:tcPr>
            <w:tcW w:w="3572"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导线弧垂对地高度6m</w:t>
            </w:r>
          </w:p>
        </w:tc>
        <w:tc>
          <w:tcPr>
            <w:tcW w:w="3573" w:type="dxa"/>
            <w:gridSpan w:val="2"/>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导线弧垂对地高度7m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Merge w:val="continue"/>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p>
        </w:tc>
        <w:tc>
          <w:tcPr>
            <w:tcW w:w="178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工频电场（V/m）</w:t>
            </w:r>
          </w:p>
        </w:tc>
        <w:tc>
          <w:tcPr>
            <w:tcW w:w="178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工频磁场（μT）</w:t>
            </w:r>
          </w:p>
        </w:tc>
        <w:tc>
          <w:tcPr>
            <w:tcW w:w="1786"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工频电场（V/m）</w:t>
            </w:r>
          </w:p>
        </w:tc>
        <w:tc>
          <w:tcPr>
            <w:tcW w:w="1787"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工频磁场（μT）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0</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1289.602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6.527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1066.267</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5.192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1</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1471.476</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6.381</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1179.711</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5.054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1863.449</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7.292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1430.656</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5.702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2230.347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8.837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1675.114</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6.828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4</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2418.455</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9.914</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1820.496</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7.663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5</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2377.588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8.876</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b/>
                <w:bCs/>
                <w:i w:val="0"/>
                <w:color w:val="000000"/>
                <w:kern w:val="0"/>
                <w:sz w:val="21"/>
                <w:szCs w:val="21"/>
                <w:u w:val="none"/>
                <w:lang w:val="en-US" w:eastAsia="zh-CN" w:bidi="ar"/>
              </w:rPr>
              <w:t>1833.703</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6.984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6</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2158.051</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7.684</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1731.135</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6.213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1853.357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6.52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1555.794</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5.435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1539.998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5.493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1351.736</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9</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1258.843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4.632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1150.178</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10</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1023.752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3.928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967.912</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11</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834.328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3.357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811.265</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12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684.487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2.893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680.555</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13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566.837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2.513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573.273</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14</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474.519</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2.201</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485.935</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15</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401.803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1.941</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415.022</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1.842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16</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344.143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1.723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357.38</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17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298.026</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1.539</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310.354</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18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260.775</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1.383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271.779</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19</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230.367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1.248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239.924</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20</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205.273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1.133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213.423</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21</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184.339</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1.032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191.202</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22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166.692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0.944</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172.418</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23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151.665</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0.866</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156.41</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24</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138.748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0.798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142.662</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25</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127.548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0.737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130.764</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0.723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26</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117.758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0.683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120.393</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27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109.138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0.635</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111.291</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28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101.497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0.592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103.251</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29</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94.683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0.552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96.109</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30</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88.573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0.517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89.73</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31</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83.067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0.485</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84.002</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32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78.084</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0.456</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78.836</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33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73.555</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0.429</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74.157</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34</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69.424</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0.404</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69.902</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35</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65.643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0.382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66.019</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36</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62.171</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0.361</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62.463</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37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58.974</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0.342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59.198</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38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56.023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0.325</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56.19</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39</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53.293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0.309</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53.412</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40</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50.76</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0.294</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50.841</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41</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48.406</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48.456</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42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46.214</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0.267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46.238</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43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44.169</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0.254</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44.171</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44</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42.258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0.243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42.243</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45</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40.469</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0.233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40.439</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46</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38.791</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0.223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38.751</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47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37.217</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0.213</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37.167</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48</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35.736</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0.205</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35.679</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49</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34.342</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0.196</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34.279</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3" w:type="dxa"/>
            <w:vAlign w:val="center"/>
          </w:tcPr>
          <w:p>
            <w:pPr>
              <w:pStyle w:val="3"/>
              <w:keepNext w:val="0"/>
              <w:keepLines w:val="0"/>
              <w:pageBreakBefore w:val="0"/>
              <w:widowControl/>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highlight w:val="none"/>
                <w:vertAlign w:val="baseline"/>
                <w:lang w:val="en-US" w:eastAsia="zh-CN" w:bidi="ar-SA"/>
              </w:rPr>
            </w:pPr>
            <w:r>
              <w:rPr>
                <w:rFonts w:hint="default" w:ascii="Times New Roman" w:hAnsi="Times New Roman" w:cs="Times New Roman" w:eastAsiaTheme="minorEastAsia"/>
                <w:b w:val="0"/>
                <w:bCs w:val="0"/>
                <w:color w:val="auto"/>
                <w:kern w:val="2"/>
                <w:sz w:val="21"/>
                <w:szCs w:val="21"/>
                <w:highlight w:val="none"/>
                <w:vertAlign w:val="baseline"/>
                <w:lang w:val="en-US" w:eastAsia="zh-CN" w:bidi="ar-SA"/>
              </w:rPr>
              <w:t>50</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33.029</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0.189</w:t>
            </w:r>
          </w:p>
        </w:tc>
        <w:tc>
          <w:tcPr>
            <w:tcW w:w="17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32.961</w:t>
            </w:r>
          </w:p>
        </w:tc>
        <w:tc>
          <w:tcPr>
            <w:tcW w:w="17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0.188</w:t>
            </w:r>
          </w:p>
        </w:tc>
      </w:tr>
    </w:tbl>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val="0"/>
          <w:bCs w:val="0"/>
          <w:color w:val="auto"/>
          <w:kern w:val="2"/>
          <w:sz w:val="24"/>
          <w:szCs w:val="24"/>
          <w:highlight w:val="yellow"/>
          <w:vertAlign w:val="baseline"/>
          <w:lang w:val="en-US" w:eastAsia="zh-CN" w:bidi="ar-SA"/>
        </w:rPr>
      </w:pPr>
      <w:r>
        <w:drawing>
          <wp:inline distT="0" distB="0" distL="114300" distR="114300">
            <wp:extent cx="5685790" cy="2942590"/>
            <wp:effectExtent l="4445" t="4445" r="5715" b="5715"/>
            <wp:docPr id="2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4"/>
          <w:szCs w:val="24"/>
          <w:highlight w:val="yellow"/>
          <w:vertAlign w:val="baseline"/>
          <w:lang w:val="en-US" w:eastAsia="zh-CN" w:bidi="ar-SA"/>
        </w:rPr>
      </w:pPr>
      <w:r>
        <w:rPr>
          <w:rFonts w:hint="default" w:ascii="Times New Roman" w:hAnsi="Times New Roman" w:cs="Times New Roman" w:eastAsiaTheme="minorEastAsia"/>
          <w:b/>
          <w:bCs/>
          <w:i w:val="0"/>
          <w:iCs w:val="0"/>
          <w:color w:val="auto"/>
          <w:kern w:val="2"/>
          <w:sz w:val="21"/>
          <w:szCs w:val="21"/>
          <w:highlight w:val="none"/>
          <w:vertAlign w:val="baseline"/>
          <w:lang w:val="en-US" w:eastAsia="zh-CN" w:bidi="ar-SA"/>
        </w:rPr>
        <w:t>图6-2  1A4X-ZMC4直线塔弧垂高度6m、7m工频电场强度随距离变化趋势图</w:t>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left"/>
        <w:textAlignment w:val="auto"/>
        <w:rPr>
          <w:rFonts w:hint="default" w:ascii="Times New Roman" w:hAnsi="Times New Roman" w:cs="Times New Roman" w:eastAsiaTheme="minorEastAsia"/>
          <w:b w:val="0"/>
          <w:bCs w:val="0"/>
          <w:color w:val="auto"/>
          <w:kern w:val="2"/>
          <w:sz w:val="24"/>
          <w:szCs w:val="24"/>
          <w:highlight w:val="yellow"/>
          <w:vertAlign w:val="baseline"/>
          <w:lang w:val="en-US" w:eastAsia="zh-CN" w:bidi="ar-SA"/>
        </w:rPr>
      </w:pPr>
      <w:r>
        <w:drawing>
          <wp:inline distT="0" distB="0" distL="114300" distR="114300">
            <wp:extent cx="5638800" cy="2996565"/>
            <wp:effectExtent l="4445" t="4445" r="14605" b="8890"/>
            <wp:docPr id="2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3"/>
        <w:keepNext w:val="0"/>
        <w:keepLines w:val="0"/>
        <w:pageBreakBefore w:val="0"/>
        <w:widowControl/>
        <w:kinsoku/>
        <w:wordWrap/>
        <w:overflowPunct/>
        <w:topLinePunct w:val="0"/>
        <w:autoSpaceDE w:val="0"/>
        <w:autoSpaceDN w:val="0"/>
        <w:bidi w:val="0"/>
        <w:adjustRightInd/>
        <w:snapToGrid/>
        <w:spacing w:line="360" w:lineRule="auto"/>
        <w:ind w:left="0" w:leftChars="0" w:firstLine="0" w:firstLineChars="0"/>
        <w:jc w:val="center"/>
        <w:textAlignment w:val="auto"/>
        <w:rPr>
          <w:rFonts w:hint="default" w:ascii="Times New Roman" w:hAnsi="Times New Roman" w:cs="Times New Roman" w:eastAsiaTheme="minorEastAsia"/>
          <w:b/>
          <w:bCs/>
          <w:color w:val="auto"/>
          <w:kern w:val="2"/>
          <w:sz w:val="21"/>
          <w:szCs w:val="21"/>
          <w:highlight w:val="yellow"/>
          <w:vertAlign w:val="baseline"/>
          <w:lang w:val="en-US" w:eastAsia="zh-CN" w:bidi="ar-SA"/>
        </w:rPr>
      </w:pPr>
      <w:r>
        <w:rPr>
          <w:rFonts w:hint="default" w:ascii="Times New Roman" w:hAnsi="Times New Roman" w:cs="Times New Roman" w:eastAsiaTheme="minorEastAsia"/>
          <w:b/>
          <w:bCs/>
          <w:color w:val="auto"/>
          <w:kern w:val="2"/>
          <w:sz w:val="21"/>
          <w:szCs w:val="21"/>
          <w:highlight w:val="none"/>
          <w:vertAlign w:val="baseline"/>
          <w:lang w:val="en-US" w:eastAsia="zh-CN" w:bidi="ar-SA"/>
        </w:rPr>
        <w:t>图6-</w:t>
      </w:r>
      <w:r>
        <w:rPr>
          <w:rFonts w:hint="eastAsia" w:ascii="Times New Roman" w:cs="Times New Roman" w:eastAsiaTheme="minorEastAsia"/>
          <w:b/>
          <w:bCs/>
          <w:color w:val="auto"/>
          <w:kern w:val="2"/>
          <w:sz w:val="21"/>
          <w:szCs w:val="21"/>
          <w:highlight w:val="none"/>
          <w:vertAlign w:val="baseline"/>
          <w:lang w:val="en-US" w:eastAsia="zh-CN" w:bidi="ar-SA"/>
        </w:rPr>
        <w:t>3</w:t>
      </w:r>
      <w:r>
        <w:rPr>
          <w:rFonts w:hint="default" w:ascii="Times New Roman" w:hAnsi="Times New Roman" w:cs="Times New Roman" w:eastAsiaTheme="minorEastAsia"/>
          <w:b/>
          <w:bCs/>
          <w:color w:val="auto"/>
          <w:kern w:val="2"/>
          <w:sz w:val="21"/>
          <w:szCs w:val="21"/>
          <w:highlight w:val="none"/>
          <w:vertAlign w:val="baseline"/>
          <w:lang w:val="en-US" w:eastAsia="zh-CN" w:bidi="ar-SA"/>
        </w:rPr>
        <w:t xml:space="preserve">  </w:t>
      </w:r>
      <w:r>
        <w:rPr>
          <w:rFonts w:hint="default" w:ascii="Times New Roman" w:hAnsi="Times New Roman" w:cs="Times New Roman" w:eastAsiaTheme="minorEastAsia"/>
          <w:b/>
          <w:bCs/>
          <w:i w:val="0"/>
          <w:iCs w:val="0"/>
          <w:color w:val="auto"/>
          <w:kern w:val="2"/>
          <w:sz w:val="21"/>
          <w:szCs w:val="21"/>
          <w:highlight w:val="none"/>
          <w:vertAlign w:val="baseline"/>
          <w:lang w:val="en-US" w:eastAsia="zh-CN" w:bidi="ar-SA"/>
        </w:rPr>
        <w:t>1A4X-ZMC4</w:t>
      </w:r>
      <w:r>
        <w:rPr>
          <w:rFonts w:hint="default" w:ascii="Times New Roman" w:hAnsi="Times New Roman" w:cs="Times New Roman" w:eastAsiaTheme="minorEastAsia"/>
          <w:b/>
          <w:bCs/>
          <w:color w:val="auto"/>
          <w:kern w:val="2"/>
          <w:sz w:val="21"/>
          <w:szCs w:val="21"/>
          <w:highlight w:val="none"/>
          <w:vertAlign w:val="baseline"/>
          <w:lang w:val="en-US" w:eastAsia="zh-CN" w:bidi="ar-SA"/>
        </w:rPr>
        <w:t>直线塔弧垂高度6m、7m工频磁感应强度随距离变化趋势图</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根据理论计算结果</w:t>
      </w:r>
      <w:r>
        <w:rPr>
          <w:rFonts w:hint="eastAsia" w:ascii="Times New Roman" w:cs="Times New Roman" w:eastAsiaTheme="minorEastAsia"/>
          <w:b w:val="0"/>
          <w:bCs w:val="0"/>
          <w:color w:val="auto"/>
          <w:kern w:val="2"/>
          <w:sz w:val="24"/>
          <w:szCs w:val="24"/>
          <w:highlight w:val="none"/>
          <w:vertAlign w:val="baseline"/>
          <w:lang w:val="en-US" w:eastAsia="zh-CN" w:bidi="ar-SA"/>
        </w:rPr>
        <w:t>及图6-2、图6-3</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可以看出：1A4</w:t>
      </w:r>
      <w:r>
        <w:rPr>
          <w:rFonts w:hint="eastAsia" w:ascii="Times New Roman" w:cs="Times New Roman" w:eastAsiaTheme="minorEastAsia"/>
          <w:b w:val="0"/>
          <w:bCs w:val="0"/>
          <w:color w:val="auto"/>
          <w:kern w:val="2"/>
          <w:sz w:val="24"/>
          <w:szCs w:val="24"/>
          <w:highlight w:val="none"/>
          <w:vertAlign w:val="baseline"/>
          <w:lang w:val="en-US" w:eastAsia="zh-CN" w:bidi="ar-SA"/>
        </w:rPr>
        <w:t>X</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-ZM</w:t>
      </w:r>
      <w:r>
        <w:rPr>
          <w:rFonts w:hint="eastAsia" w:ascii="Times New Roman" w:cs="Times New Roman" w:eastAsiaTheme="minorEastAsia"/>
          <w:b w:val="0"/>
          <w:bCs w:val="0"/>
          <w:color w:val="auto"/>
          <w:kern w:val="2"/>
          <w:sz w:val="24"/>
          <w:szCs w:val="24"/>
          <w:highlight w:val="none"/>
          <w:vertAlign w:val="baseline"/>
          <w:lang w:val="en-US" w:eastAsia="zh-CN" w:bidi="ar-SA"/>
        </w:rPr>
        <w:t>C4</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直线塔最小对地高度为6m时（</w:t>
      </w:r>
      <w:r>
        <w:rPr>
          <w:rFonts w:hint="eastAsia" w:ascii="Times New Roman" w:cs="Times New Roman" w:eastAsiaTheme="minorEastAsia"/>
          <w:b w:val="0"/>
          <w:bCs w:val="0"/>
          <w:color w:val="auto"/>
          <w:kern w:val="2"/>
          <w:sz w:val="24"/>
          <w:szCs w:val="24"/>
          <w:highlight w:val="none"/>
          <w:vertAlign w:val="baseline"/>
          <w:lang w:val="en-US" w:eastAsia="zh-CN" w:bidi="ar-SA"/>
        </w:rPr>
        <w:t>110</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kV输电线路在途经非居民区时），</w:t>
      </w:r>
      <w:r>
        <w:rPr>
          <w:rFonts w:hint="eastAsia" w:ascii="Times New Roman" w:cs="Times New Roman" w:eastAsiaTheme="minorEastAsia"/>
          <w:b w:val="0"/>
          <w:bCs w:val="0"/>
          <w:color w:val="auto"/>
          <w:kern w:val="2"/>
          <w:sz w:val="24"/>
          <w:szCs w:val="24"/>
          <w:highlight w:val="none"/>
          <w:vertAlign w:val="baseline"/>
          <w:lang w:val="en-US" w:eastAsia="zh-CN" w:bidi="ar-SA"/>
        </w:rPr>
        <w:t>工频电场强度在中心线0m处为1289.602</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V/m</w:t>
      </w:r>
      <w:r>
        <w:rPr>
          <w:rFonts w:hint="eastAsia" w:ascii="Times New Roman" w:cs="Times New Roman" w:eastAsiaTheme="minorEastAsia"/>
          <w:b w:val="0"/>
          <w:bCs w:val="0"/>
          <w:color w:val="auto"/>
          <w:kern w:val="2"/>
          <w:sz w:val="24"/>
          <w:szCs w:val="24"/>
          <w:highlight w:val="none"/>
          <w:vertAlign w:val="baseline"/>
          <w:lang w:val="en-US" w:eastAsia="zh-CN" w:bidi="ar-SA"/>
        </w:rPr>
        <w:t>，逐渐增大。</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产生的最大工频电场强度位于距走廊中心线4m处，为</w:t>
      </w:r>
      <w:r>
        <w:rPr>
          <w:rFonts w:hint="eastAsia" w:ascii="Times New Roman" w:cs="Times New Roman" w:eastAsiaTheme="minorEastAsia"/>
          <w:b w:val="0"/>
          <w:bCs w:val="0"/>
          <w:color w:val="auto"/>
          <w:kern w:val="2"/>
          <w:sz w:val="24"/>
          <w:szCs w:val="24"/>
          <w:highlight w:val="none"/>
          <w:vertAlign w:val="baseline"/>
          <w:lang w:val="en-US" w:eastAsia="zh-CN" w:bidi="ar-SA"/>
        </w:rPr>
        <w:t>2418.455</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V/m，低于4000V/m评价标准限值。</w:t>
      </w:r>
      <w:r>
        <w:rPr>
          <w:rFonts w:hint="eastAsia" w:ascii="Times New Roman" w:cs="Times New Roman" w:eastAsiaTheme="minorEastAsia"/>
          <w:b w:val="0"/>
          <w:bCs w:val="0"/>
          <w:color w:val="auto"/>
          <w:kern w:val="2"/>
          <w:sz w:val="24"/>
          <w:szCs w:val="24"/>
          <w:highlight w:val="none"/>
          <w:vertAlign w:val="baseline"/>
          <w:lang w:val="en-US" w:eastAsia="zh-CN" w:bidi="ar-SA"/>
        </w:rPr>
        <w:t>之后</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随着与走廊中心线距离的增大，工频电场强度衰减迅速</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导线对地最小距离为7m时（110kV输电线路在途经居民区时），</w:t>
      </w:r>
      <w:r>
        <w:rPr>
          <w:rFonts w:hint="eastAsia" w:ascii="Times New Roman" w:cs="Times New Roman" w:eastAsiaTheme="minorEastAsia"/>
          <w:b w:val="0"/>
          <w:bCs w:val="0"/>
          <w:color w:val="auto"/>
          <w:kern w:val="2"/>
          <w:sz w:val="24"/>
          <w:szCs w:val="24"/>
          <w:highlight w:val="none"/>
          <w:vertAlign w:val="baseline"/>
          <w:lang w:val="en-US" w:eastAsia="zh-CN" w:bidi="ar-SA"/>
        </w:rPr>
        <w:t>工频电场强度在中心线0m处为1066.267</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V/m</w:t>
      </w:r>
      <w:r>
        <w:rPr>
          <w:rFonts w:hint="eastAsia" w:ascii="Times New Roman" w:cs="Times New Roman" w:eastAsiaTheme="minorEastAsia"/>
          <w:b w:val="0"/>
          <w:bCs w:val="0"/>
          <w:color w:val="auto"/>
          <w:kern w:val="2"/>
          <w:sz w:val="24"/>
          <w:szCs w:val="24"/>
          <w:highlight w:val="none"/>
          <w:vertAlign w:val="baseline"/>
          <w:lang w:val="en-US" w:eastAsia="zh-CN" w:bidi="ar-SA"/>
        </w:rPr>
        <w:t>，逐渐增大。</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产生的最大工频电场强度位于距走廊中心线5m处，为</w:t>
      </w:r>
      <w:r>
        <w:rPr>
          <w:rFonts w:hint="eastAsia" w:ascii="Times New Roman" w:cs="Times New Roman" w:eastAsiaTheme="minorEastAsia"/>
          <w:b w:val="0"/>
          <w:bCs w:val="0"/>
          <w:color w:val="auto"/>
          <w:kern w:val="2"/>
          <w:sz w:val="24"/>
          <w:szCs w:val="24"/>
          <w:highlight w:val="none"/>
          <w:vertAlign w:val="baseline"/>
          <w:lang w:val="en-US" w:eastAsia="zh-CN" w:bidi="ar-SA"/>
        </w:rPr>
        <w:t>1833.703</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V</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m，低于4000V/m评价标准限值。随着与走廊中心线距离的增大，工频电场强度衰减迅速</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导线最小对地高度为6m时（110kV输电线路在途经非居民区时），</w:t>
      </w:r>
      <w:r>
        <w:rPr>
          <w:rFonts w:hint="eastAsia" w:ascii="Times New Roman" w:cs="Times New Roman" w:eastAsiaTheme="minorEastAsia"/>
          <w:b w:val="0"/>
          <w:bCs w:val="0"/>
          <w:color w:val="auto"/>
          <w:kern w:val="2"/>
          <w:sz w:val="24"/>
          <w:szCs w:val="24"/>
          <w:highlight w:val="none"/>
          <w:vertAlign w:val="baseline"/>
          <w:lang w:val="en-US" w:eastAsia="zh-CN" w:bidi="ar-SA"/>
        </w:rPr>
        <w:t>工频磁感应强度在中心线0m处为6.527</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μT</w:t>
      </w:r>
      <w:r>
        <w:rPr>
          <w:rFonts w:hint="eastAsia" w:ascii="Times New Roman" w:cs="Times New Roman" w:eastAsiaTheme="minorEastAsia"/>
          <w:b w:val="0"/>
          <w:bCs w:val="0"/>
          <w:color w:val="auto"/>
          <w:kern w:val="2"/>
          <w:sz w:val="24"/>
          <w:szCs w:val="24"/>
          <w:highlight w:val="none"/>
          <w:vertAlign w:val="baseline"/>
          <w:lang w:val="en-US" w:eastAsia="zh-CN" w:bidi="ar-SA"/>
        </w:rPr>
        <w:t>，逐渐增大。</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产生最大工频磁感应强度位于距走廊中心线4m处，为</w:t>
      </w:r>
      <w:r>
        <w:rPr>
          <w:rFonts w:hint="eastAsia" w:ascii="Times New Roman" w:cs="Times New Roman" w:eastAsiaTheme="minorEastAsia"/>
          <w:b w:val="0"/>
          <w:bCs w:val="0"/>
          <w:color w:val="auto"/>
          <w:kern w:val="2"/>
          <w:sz w:val="24"/>
          <w:szCs w:val="24"/>
          <w:highlight w:val="none"/>
          <w:vertAlign w:val="baseline"/>
          <w:lang w:val="en-US" w:eastAsia="zh-CN" w:bidi="ar-SA"/>
        </w:rPr>
        <w:t>9.914</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μT，远低于100μT评价标准限值。随着与走廊中心线距离的增大，工频磁感应强度衰减迅速。</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eastAsia" w:asci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导线最小对地高度为7m时（</w:t>
      </w:r>
      <w:r>
        <w:rPr>
          <w:rFonts w:hint="eastAsia" w:ascii="Times New Roman" w:cs="Times New Roman" w:eastAsiaTheme="minorEastAsia"/>
          <w:b w:val="0"/>
          <w:bCs w:val="0"/>
          <w:color w:val="auto"/>
          <w:kern w:val="2"/>
          <w:sz w:val="24"/>
          <w:szCs w:val="24"/>
          <w:highlight w:val="none"/>
          <w:vertAlign w:val="baseline"/>
          <w:lang w:val="en-US" w:eastAsia="zh-CN" w:bidi="ar-SA"/>
        </w:rPr>
        <w:t>110</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kV输电线路在途经居民区时），</w:t>
      </w:r>
      <w:r>
        <w:rPr>
          <w:rFonts w:hint="eastAsia" w:ascii="Times New Roman" w:cs="Times New Roman" w:eastAsiaTheme="minorEastAsia"/>
          <w:b w:val="0"/>
          <w:bCs w:val="0"/>
          <w:color w:val="auto"/>
          <w:kern w:val="2"/>
          <w:sz w:val="24"/>
          <w:szCs w:val="24"/>
          <w:highlight w:val="none"/>
          <w:vertAlign w:val="baseline"/>
          <w:lang w:val="en-US" w:eastAsia="zh-CN" w:bidi="ar-SA"/>
        </w:rPr>
        <w:t>工频磁感应强度在中心线0m处为5.192</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μT</w:t>
      </w:r>
      <w:r>
        <w:rPr>
          <w:rFonts w:hint="eastAsia" w:ascii="Times New Roman" w:cs="Times New Roman" w:eastAsiaTheme="minorEastAsia"/>
          <w:b w:val="0"/>
          <w:bCs w:val="0"/>
          <w:color w:val="auto"/>
          <w:kern w:val="2"/>
          <w:sz w:val="24"/>
          <w:szCs w:val="24"/>
          <w:highlight w:val="none"/>
          <w:vertAlign w:val="baseline"/>
          <w:lang w:val="en-US" w:eastAsia="zh-CN" w:bidi="ar-SA"/>
        </w:rPr>
        <w:t>，逐渐增大。</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产生的最大工频磁感应强度位于距走廊中心4m处，为</w:t>
      </w:r>
      <w:r>
        <w:rPr>
          <w:rFonts w:hint="eastAsia" w:ascii="Times New Roman" w:cs="Times New Roman" w:eastAsiaTheme="minorEastAsia"/>
          <w:b w:val="0"/>
          <w:bCs w:val="0"/>
          <w:color w:val="auto"/>
          <w:kern w:val="2"/>
          <w:sz w:val="24"/>
          <w:szCs w:val="24"/>
          <w:highlight w:val="none"/>
          <w:vertAlign w:val="baseline"/>
          <w:lang w:val="en-US" w:eastAsia="zh-CN" w:bidi="ar-SA"/>
        </w:rPr>
        <w:t>7.663</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μT，远低于100μT评价标准限值。随着与走廊中心线距离的增大，工频磁感应强度衰减迅速</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yellow"/>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综上，由理论计算结果可知，本项目单回输电线路运行后，距地面1.5m处工频电磁场均满足评价标准的要求，对沿线和环保目标处的电磁环境影响很小</w:t>
      </w:r>
      <w:r>
        <w:rPr>
          <w:rFonts w:hint="eastAsia" w:ascii="Times New Roman" w:cs="Times New Roman" w:eastAsiaTheme="minorEastAsia"/>
          <w:b w:val="0"/>
          <w:bCs w:val="0"/>
          <w:color w:val="auto"/>
          <w:kern w:val="2"/>
          <w:sz w:val="24"/>
          <w:szCs w:val="24"/>
          <w:highlight w:val="none"/>
          <w:vertAlign w:val="baseline"/>
          <w:lang w:val="en-US" w:eastAsia="zh-CN" w:bidi="ar-SA"/>
        </w:rPr>
        <w:t>。</w:t>
      </w:r>
    </w:p>
    <w:p>
      <w:pPr>
        <w:pStyle w:val="3"/>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left"/>
        <w:textAlignment w:val="auto"/>
        <w:outlineLvl w:val="0"/>
        <w:rPr>
          <w:rFonts w:hint="default" w:ascii="宋体" w:hAnsi="宋体" w:eastAsia="宋体" w:cs="宋体"/>
          <w:b/>
          <w:bCs/>
          <w:sz w:val="32"/>
          <w:szCs w:val="32"/>
          <w:vertAlign w:val="baseline"/>
          <w:lang w:val="en-US" w:eastAsia="zh-CN"/>
        </w:rPr>
      </w:pPr>
      <w:bookmarkStart w:id="54" w:name="_Toc3746"/>
      <w:r>
        <w:rPr>
          <w:rFonts w:hint="eastAsia" w:ascii="宋体" w:hAnsi="宋体" w:eastAsia="宋体" w:cs="宋体"/>
          <w:b/>
          <w:bCs/>
          <w:sz w:val="32"/>
          <w:szCs w:val="32"/>
          <w:vertAlign w:val="baseline"/>
          <w:lang w:val="en-US" w:eastAsia="zh-CN"/>
        </w:rPr>
        <w:t>7 结论</w:t>
      </w:r>
      <w:bookmarkEnd w:id="54"/>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通过对输电线路预测计算表明：</w:t>
      </w:r>
      <w:r>
        <w:rPr>
          <w:rFonts w:hint="default" w:ascii="Times New Roman" w:hAnsi="Times New Roman" w:eastAsia="宋体" w:cs="Times New Roman"/>
          <w:bCs/>
          <w:color w:val="auto"/>
          <w:kern w:val="2"/>
          <w:sz w:val="24"/>
          <w:szCs w:val="24"/>
          <w:highlight w:val="none"/>
          <w:lang w:val="en-US" w:eastAsia="zh-CN" w:bidi="ar-SA"/>
        </w:rPr>
        <w:t>国家电投吴起高胜新能源50</w:t>
      </w:r>
      <w:r>
        <w:rPr>
          <w:rFonts w:hint="eastAsia" w:ascii="Times New Roman" w:hAnsi="Times New Roman" w:cs="Times New Roman"/>
          <w:bCs/>
          <w:color w:val="auto"/>
          <w:kern w:val="2"/>
          <w:sz w:val="24"/>
          <w:szCs w:val="24"/>
          <w:highlight w:val="none"/>
          <w:lang w:val="en-US" w:eastAsia="zh-CN" w:bidi="ar-SA"/>
        </w:rPr>
        <w:t>MW风</w:t>
      </w:r>
      <w:r>
        <w:rPr>
          <w:rFonts w:hint="default" w:ascii="Times New Roman" w:hAnsi="Times New Roman" w:eastAsia="宋体" w:cs="Times New Roman"/>
          <w:bCs/>
          <w:color w:val="auto"/>
          <w:kern w:val="2"/>
          <w:sz w:val="24"/>
          <w:szCs w:val="24"/>
          <w:highlight w:val="none"/>
          <w:lang w:val="en-US" w:eastAsia="zh-CN" w:bidi="ar-SA"/>
        </w:rPr>
        <w:t>电场110kV送出工程</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建成投运后，110kV单回架空线路在经过非居民区、居民区时控制导线最小对地高度为6m、7m时可满足《电磁环境控制限值》（GB8702-2014）中频率为50Hz的电场、磁场公众曝露控制限值，即以4000V</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m作为工频电场强度控制限值，以100μT作为工频磁感应强度控制限值。由于设计线路导线最小对地高度为6m以上，因此当架空线路经过耕地、园地、牧草地</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畜禽饲养地、养殖水面、道路等非居民区时能够满足线下工频电场强度小于l0kV</w:t>
      </w:r>
      <w:r>
        <w:rPr>
          <w:rFonts w:hint="eastAsia" w:ascii="Times New Roman" w:cs="Times New Roman" w:eastAsiaTheme="minorEastAsia"/>
          <w:b w:val="0"/>
          <w:bCs w:val="0"/>
          <w:color w:val="auto"/>
          <w:kern w:val="2"/>
          <w:sz w:val="24"/>
          <w:szCs w:val="24"/>
          <w:highlight w:val="none"/>
          <w:vertAlign w:val="baseline"/>
          <w:lang w:val="en-US" w:eastAsia="zh-CN" w:bidi="ar-SA"/>
        </w:rPr>
        <w:t>/</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m的控制限值的要求。因此，国家电投集团吴起高胜新能源发电有限公司</w:t>
      </w:r>
      <w:r>
        <w:rPr>
          <w:rFonts w:hint="default" w:ascii="Times New Roman" w:hAnsi="Times New Roman" w:eastAsia="宋体" w:cs="Times New Roman"/>
          <w:bCs/>
          <w:color w:val="auto"/>
          <w:kern w:val="2"/>
          <w:sz w:val="24"/>
          <w:szCs w:val="24"/>
          <w:highlight w:val="none"/>
          <w:lang w:val="en-US" w:eastAsia="zh-CN" w:bidi="ar-SA"/>
        </w:rPr>
        <w:t>国家电投吴起高胜新能源50</w:t>
      </w:r>
      <w:r>
        <w:rPr>
          <w:rFonts w:hint="eastAsia" w:ascii="Times New Roman" w:hAnsi="Times New Roman" w:cs="Times New Roman"/>
          <w:bCs/>
          <w:color w:val="auto"/>
          <w:kern w:val="2"/>
          <w:sz w:val="24"/>
          <w:szCs w:val="24"/>
          <w:highlight w:val="none"/>
          <w:lang w:val="en-US" w:eastAsia="zh-CN" w:bidi="ar-SA"/>
        </w:rPr>
        <w:t>MW风</w:t>
      </w:r>
      <w:r>
        <w:rPr>
          <w:rFonts w:hint="default" w:ascii="Times New Roman" w:hAnsi="Times New Roman" w:eastAsia="宋体" w:cs="Times New Roman"/>
          <w:bCs/>
          <w:color w:val="auto"/>
          <w:kern w:val="2"/>
          <w:sz w:val="24"/>
          <w:szCs w:val="24"/>
          <w:highlight w:val="none"/>
          <w:lang w:val="en-US" w:eastAsia="zh-CN" w:bidi="ar-SA"/>
        </w:rPr>
        <w:t>电场110kV送出工程</w:t>
      </w:r>
      <w:r>
        <w:rPr>
          <w:rFonts w:hint="default" w:ascii="Times New Roman" w:hAnsi="Times New Roman" w:cs="Times New Roman" w:eastAsiaTheme="minorEastAsia"/>
          <w:b w:val="0"/>
          <w:bCs w:val="0"/>
          <w:color w:val="auto"/>
          <w:kern w:val="2"/>
          <w:sz w:val="24"/>
          <w:szCs w:val="24"/>
          <w:highlight w:val="none"/>
          <w:vertAlign w:val="baseline"/>
          <w:lang w:val="en-US" w:eastAsia="zh-CN" w:bidi="ar-SA"/>
        </w:rPr>
        <w:t>建成投运后，对沿线区域居住或聚集人群的电磁环境影响较小，对其工作、生活基本不会产生影响。</w:t>
      </w: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p>
    <w:p>
      <w:pPr>
        <w:pStyle w:val="3"/>
        <w:keepNext w:val="0"/>
        <w:keepLines w:val="0"/>
        <w:pageBreakBefore w:val="0"/>
        <w:widowControl/>
        <w:kinsoku/>
        <w:wordWrap/>
        <w:overflowPunct/>
        <w:topLinePunct w:val="0"/>
        <w:autoSpaceDE w:val="0"/>
        <w:autoSpaceDN w:val="0"/>
        <w:bidi w:val="0"/>
        <w:adjustRightInd/>
        <w:snapToGrid/>
        <w:spacing w:line="360" w:lineRule="auto"/>
        <w:jc w:val="left"/>
        <w:textAlignment w:val="auto"/>
        <w:rPr>
          <w:rFonts w:hint="default" w:ascii="Times New Roman" w:hAnsi="Times New Roman" w:cs="Times New Roman" w:eastAsiaTheme="minorEastAsia"/>
          <w:b w:val="0"/>
          <w:bCs w:val="0"/>
          <w:color w:val="auto"/>
          <w:kern w:val="2"/>
          <w:sz w:val="24"/>
          <w:szCs w:val="24"/>
          <w:highlight w:val="none"/>
          <w:vertAlign w:val="baseline"/>
          <w:lang w:val="en-US" w:eastAsia="zh-CN" w:bidi="ar-SA"/>
        </w:rPr>
      </w:pPr>
    </w:p>
    <w:sectPr>
      <w:footerReference r:id="rId4" w:type="default"/>
      <w:pgSz w:w="11906" w:h="16838"/>
      <w:pgMar w:top="1417" w:right="1417" w:bottom="1417" w:left="141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Microsoft JhengHei">
    <w:panose1 w:val="020B0604030504040204"/>
    <w:charset w:val="88"/>
    <w:family w:val="swiss"/>
    <w:pitch w:val="default"/>
    <w:sig w:usb0="00000087" w:usb1="28AF4000" w:usb2="00000016" w:usb3="00000000" w:csb0="00100009" w:csb1="00000000"/>
  </w:font>
  <w:font w:name="华文新魏">
    <w:panose1 w:val="02010800040101010101"/>
    <w:charset w:val="86"/>
    <w:family w:val="auto"/>
    <w:pitch w:val="default"/>
    <w:sig w:usb0="00000001" w:usb1="080F0000" w:usb2="00000000" w:usb3="00000000" w:csb0="00040000" w:csb1="00000000"/>
  </w:font>
  <w:font w:name="Cambria Math">
    <w:panose1 w:val="02040503050406030204"/>
    <w:charset w:val="00"/>
    <w:family w:val="auto"/>
    <w:pitch w:val="default"/>
    <w:sig w:usb0="E00002FF" w:usb1="420024FF" w:usb2="00000000" w:usb3="00000000" w:csb0="2000019F" w:csb1="00000000"/>
  </w:font>
  <w:font w:name="华文彩云">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DotumChe">
    <w:panose1 w:val="020B0609000101010101"/>
    <w:charset w:val="81"/>
    <w:family w:val="auto"/>
    <w:pitch w:val="default"/>
    <w:sig w:usb0="B00002AF" w:usb1="69D77CFB" w:usb2="00000030" w:usb3="00000000" w:csb0="4008009F" w:csb1="DFD70000"/>
  </w:font>
  <w:font w:name="Microsoft YaHei UI">
    <w:panose1 w:val="020B0503020204020204"/>
    <w:charset w:val="86"/>
    <w:family w:val="auto"/>
    <w:pitch w:val="default"/>
    <w:sig w:usb0="80000287" w:usb1="28CF3C52" w:usb2="00000016" w:usb3="00000000" w:csb0="0004001F" w:csb1="00000000"/>
  </w:font>
  <w:font w:name="Swis721 Blk BT">
    <w:panose1 w:val="020B0904030502020204"/>
    <w:charset w:val="00"/>
    <w:family w:val="auto"/>
    <w:pitch w:val="default"/>
    <w:sig w:usb0="00000000" w:usb1="00000000" w:usb2="00000000" w:usb3="00000000" w:csb0="00000000" w:csb1="00000000"/>
  </w:font>
  <w:font w:name="Traditional Arabic">
    <w:panose1 w:val="02020603050405020304"/>
    <w:charset w:val="00"/>
    <w:family w:val="auto"/>
    <w:pitch w:val="default"/>
    <w:sig w:usb0="00006003" w:usb1="80000000" w:usb2="00000008" w:usb3="00000000" w:csb0="00000041" w:csb1="20080000"/>
  </w:font>
  <w:font w:name="Tempus Sans ITC">
    <w:panose1 w:val="04020404030D07020202"/>
    <w:charset w:val="00"/>
    <w:family w:val="auto"/>
    <w:pitch w:val="default"/>
    <w:sig w:usb0="00000003" w:usb1="00000000" w:usb2="00000000" w:usb3="00000000" w:csb0="20000001" w:csb1="00000000"/>
  </w:font>
  <w:font w:name="Arial">
    <w:panose1 w:val="020B0604020202020204"/>
    <w:charset w:val="00"/>
    <w:family w:val=""/>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oX50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RtKNFPY0enH99PPh9OvbwQ6ANRaP4PfxsIzdO9MB+dB76GMc3eV&#10;U/HGRAR2QH28wCu6QHgMmk6m0xwmDtvwQP7sMdw6H94Lo0gUCuqwvwQrO6x96F0Hl1hNm1UjZdqh&#10;1KQt6NXrt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B2hfnRQCAAAV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393F22"/>
    <w:multiLevelType w:val="singleLevel"/>
    <w:tmpl w:val="B1393F22"/>
    <w:lvl w:ilvl="0" w:tentative="0">
      <w:start w:val="1"/>
      <w:numFmt w:val="decimal"/>
      <w:suff w:val="nothing"/>
      <w:lvlText w:val="（%1）"/>
      <w:lvlJc w:val="left"/>
    </w:lvl>
  </w:abstractNum>
  <w:abstractNum w:abstractNumId="1">
    <w:nsid w:val="F745E645"/>
    <w:multiLevelType w:val="singleLevel"/>
    <w:tmpl w:val="F745E645"/>
    <w:lvl w:ilvl="0" w:tentative="0">
      <w:start w:val="2"/>
      <w:numFmt w:val="decimal"/>
      <w:suff w:val="nothing"/>
      <w:lvlText w:val="（%1）"/>
      <w:lvlJc w:val="left"/>
    </w:lvl>
  </w:abstractNum>
  <w:abstractNum w:abstractNumId="2">
    <w:nsid w:val="FCAD809E"/>
    <w:multiLevelType w:val="singleLevel"/>
    <w:tmpl w:val="FCAD809E"/>
    <w:lvl w:ilvl="0" w:tentative="0">
      <w:start w:val="2"/>
      <w:numFmt w:val="decimal"/>
      <w:suff w:val="nothing"/>
      <w:lvlText w:val="（%1）"/>
      <w:lvlJc w:val="left"/>
    </w:lvl>
  </w:abstractNum>
  <w:abstractNum w:abstractNumId="3">
    <w:nsid w:val="2F628170"/>
    <w:multiLevelType w:val="multilevel"/>
    <w:tmpl w:val="2F628170"/>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4">
    <w:nsid w:val="7324A371"/>
    <w:multiLevelType w:val="singleLevel"/>
    <w:tmpl w:val="7324A371"/>
    <w:lvl w:ilvl="0" w:tentative="0">
      <w:start w:val="1"/>
      <w:numFmt w:val="decimal"/>
      <w:suff w:val="nothing"/>
      <w:lvlText w:val="（%1）"/>
      <w:lvlJc w:val="left"/>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72C4765"/>
    <w:rsid w:val="0C0C25BB"/>
    <w:rsid w:val="0C4E2EDF"/>
    <w:rsid w:val="0C592729"/>
    <w:rsid w:val="0D7003CD"/>
    <w:rsid w:val="0EEA2BA3"/>
    <w:rsid w:val="105E59D1"/>
    <w:rsid w:val="1C41448F"/>
    <w:rsid w:val="1D426B86"/>
    <w:rsid w:val="1F362438"/>
    <w:rsid w:val="234970AE"/>
    <w:rsid w:val="266D637B"/>
    <w:rsid w:val="2D247909"/>
    <w:rsid w:val="2E0B0945"/>
    <w:rsid w:val="3158161A"/>
    <w:rsid w:val="32E245FA"/>
    <w:rsid w:val="35C71438"/>
    <w:rsid w:val="37D65CD0"/>
    <w:rsid w:val="389D0782"/>
    <w:rsid w:val="38CD29AB"/>
    <w:rsid w:val="397E4E72"/>
    <w:rsid w:val="39E51AD7"/>
    <w:rsid w:val="410D3913"/>
    <w:rsid w:val="45A33820"/>
    <w:rsid w:val="472C4765"/>
    <w:rsid w:val="49F7291B"/>
    <w:rsid w:val="50D215EA"/>
    <w:rsid w:val="51453E6E"/>
    <w:rsid w:val="565B0208"/>
    <w:rsid w:val="569262EA"/>
    <w:rsid w:val="5E675B91"/>
    <w:rsid w:val="602F58CB"/>
    <w:rsid w:val="60852047"/>
    <w:rsid w:val="635C3CDC"/>
    <w:rsid w:val="659F5488"/>
    <w:rsid w:val="67EF726C"/>
    <w:rsid w:val="70F763DB"/>
    <w:rsid w:val="73BD0ABC"/>
    <w:rsid w:val="73E4748A"/>
    <w:rsid w:val="754C63BD"/>
    <w:rsid w:val="75A862D9"/>
    <w:rsid w:val="78E8665A"/>
    <w:rsid w:val="7A012DFE"/>
    <w:rsid w:val="7CA917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qFormat/>
    <w:uiPriority w:val="0"/>
    <w:pPr>
      <w:keepNext/>
      <w:keepLines/>
      <w:spacing w:before="260" w:beforeLines="0" w:after="260" w:afterLines="0" w:line="416" w:lineRule="auto"/>
      <w:outlineLvl w:val="1"/>
    </w:pPr>
    <w:rPr>
      <w:rFonts w:ascii="Arial" w:hAnsi="Arial" w:eastAsia="黑体"/>
      <w:b/>
      <w:bCs/>
      <w:sz w:val="32"/>
      <w:szCs w:val="32"/>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章标题"/>
    <w:next w:val="3"/>
    <w:qFormat/>
    <w:uiPriority w:val="0"/>
    <w:pPr>
      <w:spacing w:beforeLines="50" w:afterLines="50"/>
      <w:jc w:val="both"/>
      <w:outlineLvl w:val="1"/>
    </w:pPr>
    <w:rPr>
      <w:rFonts w:ascii="黑体" w:hAnsi="Calibri" w:eastAsia="黑体" w:cs="Times New Roman"/>
      <w:sz w:val="21"/>
      <w:lang w:val="en-US" w:eastAsia="zh-CN" w:bidi="ar-SA"/>
    </w:rPr>
  </w:style>
  <w:style w:type="paragraph" w:customStyle="1" w:styleId="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
    <w:name w:val="Normal Indent"/>
    <w:basedOn w:val="1"/>
    <w:qFormat/>
    <w:uiPriority w:val="0"/>
    <w:pPr>
      <w:spacing w:before="120" w:line="500" w:lineRule="exact"/>
      <w:ind w:firstLine="420"/>
    </w:pPr>
    <w:rPr>
      <w:sz w:val="24"/>
    </w:rPr>
  </w:style>
  <w:style w:type="paragraph" w:styleId="6">
    <w:name w:val="annotation text"/>
    <w:basedOn w:val="1"/>
    <w:qFormat/>
    <w:uiPriority w:val="0"/>
    <w:pPr>
      <w:jc w:val="left"/>
    </w:pPr>
  </w:style>
  <w:style w:type="paragraph" w:styleId="7">
    <w:name w:val="Body Text"/>
    <w:basedOn w:val="1"/>
    <w:next w:val="1"/>
    <w:qFormat/>
    <w:uiPriority w:val="0"/>
    <w:pPr>
      <w:adjustRightInd w:val="0"/>
      <w:spacing w:line="360" w:lineRule="auto"/>
      <w:ind w:firstLine="510"/>
      <w:textAlignment w:val="baseline"/>
    </w:pPr>
    <w:rPr>
      <w:rFonts w:ascii="宋体"/>
      <w:spacing w:val="4"/>
      <w:kern w:val="18"/>
      <w:sz w:val="24"/>
    </w:rPr>
  </w:style>
  <w:style w:type="paragraph" w:styleId="8">
    <w:name w:val="Body Text Indent"/>
    <w:basedOn w:val="1"/>
    <w:qFormat/>
    <w:uiPriority w:val="0"/>
    <w:pPr>
      <w:spacing w:line="360" w:lineRule="auto"/>
      <w:ind w:firstLine="480" w:firstLineChars="200"/>
    </w:pPr>
    <w:rPr>
      <w:rFonts w:ascii="宋体" w:hAnsi="宋体"/>
      <w:color w:val="008000"/>
      <w:sz w:val="24"/>
    </w:rPr>
  </w:style>
  <w:style w:type="paragraph" w:styleId="9">
    <w:name w:val="Plain Text"/>
    <w:basedOn w:val="1"/>
    <w:qFormat/>
    <w:uiPriority w:val="0"/>
    <w:rPr>
      <w:rFonts w:hAnsi="Courier New" w:cs="Courier New"/>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Body Text First Indent"/>
    <w:basedOn w:val="7"/>
    <w:semiHidden/>
    <w:qFormat/>
    <w:uiPriority w:val="0"/>
    <w:pPr>
      <w:spacing w:after="120"/>
      <w:ind w:firstLine="420" w:firstLineChars="100"/>
    </w:pPr>
  </w:style>
  <w:style w:type="paragraph" w:styleId="13">
    <w:name w:val="Body Text First Indent 2"/>
    <w:basedOn w:val="8"/>
    <w:next w:val="12"/>
    <w:qFormat/>
    <w:uiPriority w:val="0"/>
    <w:pPr>
      <w:spacing w:after="120" w:afterLines="0" w:line="240" w:lineRule="auto"/>
      <w:ind w:left="420" w:leftChars="200" w:firstLine="420" w:firstLineChars="200"/>
    </w:pPr>
    <w:rPr>
      <w:sz w:val="24"/>
      <w:szCs w:val="20"/>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
    <w:name w:val="Default1"/>
    <w:qFormat/>
    <w:uiPriority w:val="99"/>
    <w:pPr>
      <w:widowControl w:val="0"/>
      <w:autoSpaceDE w:val="0"/>
      <w:autoSpaceDN w:val="0"/>
      <w:adjustRightInd w:val="0"/>
    </w:pPr>
    <w:rPr>
      <w:rFonts w:ascii="宋体" w:hAnsi="Times New Roman" w:eastAsia="微软雅黑" w:cs="宋体"/>
      <w:color w:val="000000"/>
      <w:sz w:val="24"/>
      <w:szCs w:val="24"/>
      <w:lang w:val="en-US" w:eastAsia="zh-CN" w:bidi="ar-SA"/>
    </w:rPr>
  </w:style>
  <w:style w:type="paragraph" w:customStyle="1" w:styleId="18">
    <w:name w:val="Default"/>
    <w:qFormat/>
    <w:uiPriority w:val="0"/>
    <w:pPr>
      <w:autoSpaceDE w:val="0"/>
      <w:autoSpaceDN w:val="0"/>
      <w:adjustRightInd w:val="0"/>
    </w:pPr>
    <w:rPr>
      <w:rFonts w:ascii="宋体" w:hAnsi="Calibri" w:eastAsia="宋体" w:cs="宋体"/>
      <w:color w:val="000000"/>
      <w:sz w:val="24"/>
      <w:szCs w:val="24"/>
      <w:lang w:val="en-US" w:eastAsia="zh-CN" w:bidi="ar-SA"/>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paragraph" w:customStyle="1" w:styleId="20">
    <w:name w:val="Table Paragraph"/>
    <w:basedOn w:val="1"/>
    <w:unhideWhenUsed/>
    <w:qFormat/>
    <w:uiPriority w:val="1"/>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chart" Target="charts/chart2.xml"/><Relationship Id="rId24" Type="http://schemas.openxmlformats.org/officeDocument/2006/relationships/chart" Target="charts/chart1.xml"/><Relationship Id="rId23" Type="http://schemas.openxmlformats.org/officeDocument/2006/relationships/image" Target="media/image16.png"/><Relationship Id="rId22" Type="http://schemas.openxmlformats.org/officeDocument/2006/relationships/image" Target="media/image15.wmf"/><Relationship Id="rId21" Type="http://schemas.openxmlformats.org/officeDocument/2006/relationships/oleObject" Target="embeddings/oleObject2.bin"/><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[工作簿1]Sheet2!$C$1</c:f>
              <c:strCache>
                <c:ptCount val="1"/>
                <c:pt idx="0">
                  <c:v>6m</c:v>
                </c:pt>
              </c:strCache>
            </c:strRef>
          </c:tx>
          <c:spPr>
            <a:ln w="28575" cap="rnd">
              <a:solidFill>
                <a:schemeClr val="accent1"/>
              </a:solidFill>
              <a:round/>
            </a:ln>
            <a:effectLst/>
          </c:spPr>
          <c:marker>
            <c:symbol val="none"/>
          </c:marker>
          <c:dLbls>
            <c:delete val="1"/>
          </c:dLbls>
          <c:cat>
            <c:numRef>
              <c:f>[工作簿1]Sheet2!$B$2:$B$52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[工作簿1]Sheet2!$C$2:$C$52</c:f>
              <c:numCache>
                <c:formatCode>General</c:formatCode>
                <c:ptCount val="51"/>
                <c:pt idx="0">
                  <c:v>1289.602</c:v>
                </c:pt>
                <c:pt idx="1">
                  <c:v>1471.476</c:v>
                </c:pt>
                <c:pt idx="2">
                  <c:v>1863.449</c:v>
                </c:pt>
                <c:pt idx="3">
                  <c:v>2230.347</c:v>
                </c:pt>
                <c:pt idx="4">
                  <c:v>2418.455</c:v>
                </c:pt>
                <c:pt idx="5">
                  <c:v>2377.588</c:v>
                </c:pt>
                <c:pt idx="6">
                  <c:v>2158.051</c:v>
                </c:pt>
                <c:pt idx="7">
                  <c:v>1853.357</c:v>
                </c:pt>
                <c:pt idx="8">
                  <c:v>1539.998</c:v>
                </c:pt>
                <c:pt idx="9">
                  <c:v>1258.843</c:v>
                </c:pt>
                <c:pt idx="10">
                  <c:v>1023.752</c:v>
                </c:pt>
                <c:pt idx="11">
                  <c:v>834.328</c:v>
                </c:pt>
                <c:pt idx="12">
                  <c:v>684.487</c:v>
                </c:pt>
                <c:pt idx="13">
                  <c:v>566.837</c:v>
                </c:pt>
                <c:pt idx="14">
                  <c:v>474.519</c:v>
                </c:pt>
                <c:pt idx="15">
                  <c:v>401.803</c:v>
                </c:pt>
                <c:pt idx="16">
                  <c:v>344.143</c:v>
                </c:pt>
                <c:pt idx="17">
                  <c:v>298.026</c:v>
                </c:pt>
                <c:pt idx="18">
                  <c:v>260.775</c:v>
                </c:pt>
                <c:pt idx="19">
                  <c:v>230.367</c:v>
                </c:pt>
                <c:pt idx="20">
                  <c:v>205.273</c:v>
                </c:pt>
                <c:pt idx="21">
                  <c:v>184.339</c:v>
                </c:pt>
                <c:pt idx="22">
                  <c:v>166.692</c:v>
                </c:pt>
                <c:pt idx="23">
                  <c:v>151.665</c:v>
                </c:pt>
                <c:pt idx="24">
                  <c:v>138.748</c:v>
                </c:pt>
                <c:pt idx="25">
                  <c:v>127.548</c:v>
                </c:pt>
                <c:pt idx="26">
                  <c:v>117.758</c:v>
                </c:pt>
                <c:pt idx="27">
                  <c:v>109.138</c:v>
                </c:pt>
                <c:pt idx="28">
                  <c:v>101.497</c:v>
                </c:pt>
                <c:pt idx="29">
                  <c:v>94.683</c:v>
                </c:pt>
                <c:pt idx="30">
                  <c:v>88.573</c:v>
                </c:pt>
                <c:pt idx="31">
                  <c:v>83.067</c:v>
                </c:pt>
                <c:pt idx="32">
                  <c:v>78.084</c:v>
                </c:pt>
                <c:pt idx="33">
                  <c:v>73.555</c:v>
                </c:pt>
                <c:pt idx="34">
                  <c:v>69.424</c:v>
                </c:pt>
                <c:pt idx="35">
                  <c:v>65.643</c:v>
                </c:pt>
                <c:pt idx="36">
                  <c:v>62.171</c:v>
                </c:pt>
                <c:pt idx="37">
                  <c:v>58.974</c:v>
                </c:pt>
                <c:pt idx="38">
                  <c:v>56.023</c:v>
                </c:pt>
                <c:pt idx="39">
                  <c:v>53.293</c:v>
                </c:pt>
                <c:pt idx="40">
                  <c:v>50.76</c:v>
                </c:pt>
                <c:pt idx="41">
                  <c:v>48.406</c:v>
                </c:pt>
                <c:pt idx="42">
                  <c:v>46.214</c:v>
                </c:pt>
                <c:pt idx="43">
                  <c:v>44.169</c:v>
                </c:pt>
                <c:pt idx="44">
                  <c:v>42.258</c:v>
                </c:pt>
                <c:pt idx="45">
                  <c:v>40.469</c:v>
                </c:pt>
                <c:pt idx="46">
                  <c:v>38.791</c:v>
                </c:pt>
                <c:pt idx="47">
                  <c:v>37.217</c:v>
                </c:pt>
                <c:pt idx="48">
                  <c:v>35.736</c:v>
                </c:pt>
                <c:pt idx="49">
                  <c:v>34.342</c:v>
                </c:pt>
                <c:pt idx="50">
                  <c:v>33.029</c:v>
                </c:pt>
              </c:numCache>
            </c:numRef>
          </c:val>
          <c:smooth val="0"/>
        </c:ser>
        <c:ser>
          <c:idx val="1"/>
          <c:order val="1"/>
          <c:tx>
            <c:strRef>
              <c:f>[工作簿1]Sheet2!$D$1</c:f>
              <c:strCache>
                <c:ptCount val="1"/>
                <c:pt idx="0">
                  <c:v>7m</c:v>
                </c:pt>
              </c:strCache>
            </c:strRef>
          </c:tx>
          <c:spPr>
            <a:ln w="28575" cap="rnd">
              <a:solidFill>
                <a:schemeClr val="accent2"/>
              </a:solidFill>
              <a:round/>
            </a:ln>
            <a:effectLst/>
          </c:spPr>
          <c:marker>
            <c:symbol val="none"/>
          </c:marker>
          <c:dLbls>
            <c:delete val="1"/>
          </c:dLbls>
          <c:cat>
            <c:numRef>
              <c:f>[工作簿1]Sheet2!$B$2:$B$52</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[工作簿1]Sheet2!$D$2:$D$52</c:f>
              <c:numCache>
                <c:formatCode>General</c:formatCode>
                <c:ptCount val="51"/>
                <c:pt idx="0">
                  <c:v>1066.267</c:v>
                </c:pt>
                <c:pt idx="1">
                  <c:v>1179.711</c:v>
                </c:pt>
                <c:pt idx="2">
                  <c:v>1430.656</c:v>
                </c:pt>
                <c:pt idx="3">
                  <c:v>1675.114</c:v>
                </c:pt>
                <c:pt idx="4">
                  <c:v>1820.496</c:v>
                </c:pt>
                <c:pt idx="5">
                  <c:v>1833.703</c:v>
                </c:pt>
                <c:pt idx="6">
                  <c:v>1731.135</c:v>
                </c:pt>
                <c:pt idx="7">
                  <c:v>1555.794</c:v>
                </c:pt>
                <c:pt idx="8">
                  <c:v>1351.736</c:v>
                </c:pt>
                <c:pt idx="9">
                  <c:v>1150.178</c:v>
                </c:pt>
                <c:pt idx="10">
                  <c:v>967.912</c:v>
                </c:pt>
                <c:pt idx="11">
                  <c:v>811.265</c:v>
                </c:pt>
                <c:pt idx="12">
                  <c:v>680.555</c:v>
                </c:pt>
                <c:pt idx="13">
                  <c:v>573.273</c:v>
                </c:pt>
                <c:pt idx="14">
                  <c:v>485.935</c:v>
                </c:pt>
                <c:pt idx="15">
                  <c:v>415.022</c:v>
                </c:pt>
                <c:pt idx="16">
                  <c:v>357.38</c:v>
                </c:pt>
                <c:pt idx="17">
                  <c:v>310.354</c:v>
                </c:pt>
                <c:pt idx="18">
                  <c:v>271.779</c:v>
                </c:pt>
                <c:pt idx="19">
                  <c:v>239.924</c:v>
                </c:pt>
                <c:pt idx="20">
                  <c:v>213.423</c:v>
                </c:pt>
                <c:pt idx="21">
                  <c:v>191.202</c:v>
                </c:pt>
                <c:pt idx="22">
                  <c:v>172.418</c:v>
                </c:pt>
                <c:pt idx="23">
                  <c:v>156.41</c:v>
                </c:pt>
                <c:pt idx="24">
                  <c:v>142.662</c:v>
                </c:pt>
                <c:pt idx="25">
                  <c:v>130.764</c:v>
                </c:pt>
                <c:pt idx="26">
                  <c:v>120.393</c:v>
                </c:pt>
                <c:pt idx="27">
                  <c:v>111.291</c:v>
                </c:pt>
                <c:pt idx="28">
                  <c:v>103.251</c:v>
                </c:pt>
                <c:pt idx="29">
                  <c:v>96.109</c:v>
                </c:pt>
                <c:pt idx="30">
                  <c:v>89.73</c:v>
                </c:pt>
                <c:pt idx="31">
                  <c:v>84.002</c:v>
                </c:pt>
                <c:pt idx="32">
                  <c:v>78.836</c:v>
                </c:pt>
                <c:pt idx="33">
                  <c:v>74.157</c:v>
                </c:pt>
                <c:pt idx="34">
                  <c:v>69.902</c:v>
                </c:pt>
                <c:pt idx="35">
                  <c:v>66.019</c:v>
                </c:pt>
                <c:pt idx="36">
                  <c:v>62.463</c:v>
                </c:pt>
                <c:pt idx="37">
                  <c:v>59.198</c:v>
                </c:pt>
                <c:pt idx="38">
                  <c:v>56.19</c:v>
                </c:pt>
                <c:pt idx="39">
                  <c:v>53.412</c:v>
                </c:pt>
                <c:pt idx="40">
                  <c:v>50.841</c:v>
                </c:pt>
                <c:pt idx="41">
                  <c:v>48.456</c:v>
                </c:pt>
                <c:pt idx="42">
                  <c:v>46.238</c:v>
                </c:pt>
                <c:pt idx="43">
                  <c:v>44.171</c:v>
                </c:pt>
                <c:pt idx="44">
                  <c:v>42.243</c:v>
                </c:pt>
                <c:pt idx="45">
                  <c:v>40.439</c:v>
                </c:pt>
                <c:pt idx="46">
                  <c:v>38.751</c:v>
                </c:pt>
                <c:pt idx="47">
                  <c:v>37.167</c:v>
                </c:pt>
                <c:pt idx="48">
                  <c:v>35.679</c:v>
                </c:pt>
                <c:pt idx="49">
                  <c:v>34.279</c:v>
                </c:pt>
                <c:pt idx="50">
                  <c:v>32.961</c:v>
                </c:pt>
              </c:numCache>
            </c:numRef>
          </c:val>
          <c:smooth val="0"/>
        </c:ser>
        <c:dLbls>
          <c:showLegendKey val="0"/>
          <c:showVal val="0"/>
          <c:showCatName val="0"/>
          <c:showSerName val="0"/>
          <c:showPercent val="0"/>
          <c:showBubbleSize val="0"/>
        </c:dLbls>
        <c:marker val="0"/>
        <c:smooth val="0"/>
        <c:axId val="992484866"/>
        <c:axId val="442960184"/>
      </c:lineChart>
      <c:catAx>
        <c:axId val="99248486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2960184"/>
        <c:crosses val="autoZero"/>
        <c:auto val="1"/>
        <c:lblAlgn val="ctr"/>
        <c:lblOffset val="100"/>
        <c:noMultiLvlLbl val="0"/>
      </c:catAx>
      <c:valAx>
        <c:axId val="442960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248486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[工作簿1]Sheet2!$C$55</c:f>
              <c:strCache>
                <c:ptCount val="1"/>
                <c:pt idx="0">
                  <c:v>6m</c:v>
                </c:pt>
              </c:strCache>
            </c:strRef>
          </c:tx>
          <c:spPr>
            <a:ln w="28575" cap="rnd">
              <a:solidFill>
                <a:schemeClr val="accent1"/>
              </a:solidFill>
              <a:round/>
            </a:ln>
            <a:effectLst/>
          </c:spPr>
          <c:marker>
            <c:symbol val="none"/>
          </c:marker>
          <c:dLbls>
            <c:delete val="1"/>
          </c:dLbls>
          <c:cat>
            <c:numRef>
              <c:f>[工作簿1]Sheet2!$B$56:$B$106</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[工作簿1]Sheet2!$C$56:$C$106</c:f>
              <c:numCache>
                <c:formatCode>General</c:formatCode>
                <c:ptCount val="51"/>
                <c:pt idx="0">
                  <c:v>6.527</c:v>
                </c:pt>
                <c:pt idx="1">
                  <c:v>6.381</c:v>
                </c:pt>
                <c:pt idx="2">
                  <c:v>7.292</c:v>
                </c:pt>
                <c:pt idx="3">
                  <c:v>8.837</c:v>
                </c:pt>
                <c:pt idx="4">
                  <c:v>9.914</c:v>
                </c:pt>
                <c:pt idx="5">
                  <c:v>8.876</c:v>
                </c:pt>
                <c:pt idx="6">
                  <c:v>7.684</c:v>
                </c:pt>
                <c:pt idx="7">
                  <c:v>6.52</c:v>
                </c:pt>
                <c:pt idx="8">
                  <c:v>5.493</c:v>
                </c:pt>
                <c:pt idx="9">
                  <c:v>4.632</c:v>
                </c:pt>
                <c:pt idx="10">
                  <c:v>3.928</c:v>
                </c:pt>
                <c:pt idx="11">
                  <c:v>3.357</c:v>
                </c:pt>
                <c:pt idx="12">
                  <c:v>2.893</c:v>
                </c:pt>
                <c:pt idx="13">
                  <c:v>2.513</c:v>
                </c:pt>
                <c:pt idx="14">
                  <c:v>2.201</c:v>
                </c:pt>
                <c:pt idx="15">
                  <c:v>1.941</c:v>
                </c:pt>
                <c:pt idx="16">
                  <c:v>1.723</c:v>
                </c:pt>
                <c:pt idx="17">
                  <c:v>1.539</c:v>
                </c:pt>
                <c:pt idx="18">
                  <c:v>1.383</c:v>
                </c:pt>
                <c:pt idx="19">
                  <c:v>1.248</c:v>
                </c:pt>
                <c:pt idx="20">
                  <c:v>1.133</c:v>
                </c:pt>
                <c:pt idx="21">
                  <c:v>1.032</c:v>
                </c:pt>
                <c:pt idx="22">
                  <c:v>0.944</c:v>
                </c:pt>
                <c:pt idx="23">
                  <c:v>0.866</c:v>
                </c:pt>
                <c:pt idx="24">
                  <c:v>0.798</c:v>
                </c:pt>
                <c:pt idx="25">
                  <c:v>0.737</c:v>
                </c:pt>
                <c:pt idx="26">
                  <c:v>0.683</c:v>
                </c:pt>
                <c:pt idx="27">
                  <c:v>0.635</c:v>
                </c:pt>
                <c:pt idx="28">
                  <c:v>0.592</c:v>
                </c:pt>
                <c:pt idx="29">
                  <c:v>0.552</c:v>
                </c:pt>
                <c:pt idx="30">
                  <c:v>0.517</c:v>
                </c:pt>
                <c:pt idx="31">
                  <c:v>0.485</c:v>
                </c:pt>
                <c:pt idx="32">
                  <c:v>0.456</c:v>
                </c:pt>
                <c:pt idx="33">
                  <c:v>0.429</c:v>
                </c:pt>
                <c:pt idx="34">
                  <c:v>0.404</c:v>
                </c:pt>
                <c:pt idx="35">
                  <c:v>0.382</c:v>
                </c:pt>
                <c:pt idx="36">
                  <c:v>0.361</c:v>
                </c:pt>
                <c:pt idx="37">
                  <c:v>0.342</c:v>
                </c:pt>
                <c:pt idx="38">
                  <c:v>0.325</c:v>
                </c:pt>
                <c:pt idx="39">
                  <c:v>0.309</c:v>
                </c:pt>
                <c:pt idx="40">
                  <c:v>0.294</c:v>
                </c:pt>
                <c:pt idx="41">
                  <c:v>0.28</c:v>
                </c:pt>
                <c:pt idx="42">
                  <c:v>0.267</c:v>
                </c:pt>
                <c:pt idx="43">
                  <c:v>0.254</c:v>
                </c:pt>
                <c:pt idx="44">
                  <c:v>0.243</c:v>
                </c:pt>
                <c:pt idx="45">
                  <c:v>0.233</c:v>
                </c:pt>
                <c:pt idx="46">
                  <c:v>0.223</c:v>
                </c:pt>
                <c:pt idx="47">
                  <c:v>0.213</c:v>
                </c:pt>
                <c:pt idx="48">
                  <c:v>0.205</c:v>
                </c:pt>
                <c:pt idx="49">
                  <c:v>0.196</c:v>
                </c:pt>
                <c:pt idx="50">
                  <c:v>0.189</c:v>
                </c:pt>
              </c:numCache>
            </c:numRef>
          </c:val>
          <c:smooth val="0"/>
        </c:ser>
        <c:ser>
          <c:idx val="1"/>
          <c:order val="1"/>
          <c:tx>
            <c:strRef>
              <c:f>[工作簿1]Sheet2!$D$55</c:f>
              <c:strCache>
                <c:ptCount val="1"/>
                <c:pt idx="0">
                  <c:v>7m</c:v>
                </c:pt>
              </c:strCache>
            </c:strRef>
          </c:tx>
          <c:spPr>
            <a:ln w="28575" cap="rnd">
              <a:solidFill>
                <a:schemeClr val="accent2"/>
              </a:solidFill>
              <a:round/>
            </a:ln>
            <a:effectLst/>
          </c:spPr>
          <c:marker>
            <c:symbol val="none"/>
          </c:marker>
          <c:dLbls>
            <c:delete val="1"/>
          </c:dLbls>
          <c:cat>
            <c:numRef>
              <c:f>[工作簿1]Sheet2!$B$56:$B$106</c:f>
              <c:numCache>
                <c:formatCode>General</c:formatCode>
                <c:ptCount val="5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numCache>
            </c:numRef>
          </c:cat>
          <c:val>
            <c:numRef>
              <c:f>[工作簿1]Sheet2!$D$56:$D$106</c:f>
              <c:numCache>
                <c:formatCode>General</c:formatCode>
                <c:ptCount val="51"/>
                <c:pt idx="0">
                  <c:v>5.192</c:v>
                </c:pt>
                <c:pt idx="1">
                  <c:v>5.054</c:v>
                </c:pt>
                <c:pt idx="2">
                  <c:v>5.702</c:v>
                </c:pt>
                <c:pt idx="3">
                  <c:v>6.828</c:v>
                </c:pt>
                <c:pt idx="4">
                  <c:v>7.663</c:v>
                </c:pt>
                <c:pt idx="5">
                  <c:v>6.984</c:v>
                </c:pt>
                <c:pt idx="6">
                  <c:v>6.213</c:v>
                </c:pt>
                <c:pt idx="7">
                  <c:v>5.435</c:v>
                </c:pt>
                <c:pt idx="8">
                  <c:v>4.712</c:v>
                </c:pt>
                <c:pt idx="9">
                  <c:v>4.072</c:v>
                </c:pt>
                <c:pt idx="10">
                  <c:v>3.524</c:v>
                </c:pt>
                <c:pt idx="11">
                  <c:v>3.061</c:v>
                </c:pt>
                <c:pt idx="12">
                  <c:v>2.673</c:v>
                </c:pt>
                <c:pt idx="13">
                  <c:v>2.347</c:v>
                </c:pt>
                <c:pt idx="14">
                  <c:v>2.073</c:v>
                </c:pt>
                <c:pt idx="15">
                  <c:v>1.842</c:v>
                </c:pt>
                <c:pt idx="16">
                  <c:v>1.645</c:v>
                </c:pt>
                <c:pt idx="17">
                  <c:v>1.477</c:v>
                </c:pt>
                <c:pt idx="18">
                  <c:v>1.332</c:v>
                </c:pt>
                <c:pt idx="19">
                  <c:v>1.207</c:v>
                </c:pt>
                <c:pt idx="20">
                  <c:v>1.099</c:v>
                </c:pt>
                <c:pt idx="21">
                  <c:v>1.004</c:v>
                </c:pt>
                <c:pt idx="22">
                  <c:v>0.92</c:v>
                </c:pt>
                <c:pt idx="23">
                  <c:v>0.847</c:v>
                </c:pt>
                <c:pt idx="24">
                  <c:v>0.781</c:v>
                </c:pt>
                <c:pt idx="25">
                  <c:v>0.723</c:v>
                </c:pt>
                <c:pt idx="26">
                  <c:v>0.671</c:v>
                </c:pt>
                <c:pt idx="27">
                  <c:v>0.624</c:v>
                </c:pt>
                <c:pt idx="28">
                  <c:v>0.582</c:v>
                </c:pt>
                <c:pt idx="29">
                  <c:v>0.544</c:v>
                </c:pt>
                <c:pt idx="30">
                  <c:v>0.51</c:v>
                </c:pt>
                <c:pt idx="31">
                  <c:v>0.479</c:v>
                </c:pt>
                <c:pt idx="32">
                  <c:v>0.45</c:v>
                </c:pt>
                <c:pt idx="33">
                  <c:v>0.424</c:v>
                </c:pt>
                <c:pt idx="34">
                  <c:v>0.4</c:v>
                </c:pt>
                <c:pt idx="35">
                  <c:v>0.378</c:v>
                </c:pt>
                <c:pt idx="36">
                  <c:v>0.358</c:v>
                </c:pt>
                <c:pt idx="37">
                  <c:v>0.339</c:v>
                </c:pt>
                <c:pt idx="38">
                  <c:v>0.322</c:v>
                </c:pt>
                <c:pt idx="39">
                  <c:v>0.306</c:v>
                </c:pt>
                <c:pt idx="40">
                  <c:v>0.291</c:v>
                </c:pt>
                <c:pt idx="41">
                  <c:v>0.278</c:v>
                </c:pt>
                <c:pt idx="42">
                  <c:v>0.265</c:v>
                </c:pt>
                <c:pt idx="43">
                  <c:v>0.253</c:v>
                </c:pt>
                <c:pt idx="44">
                  <c:v>0.242</c:v>
                </c:pt>
                <c:pt idx="45">
                  <c:v>0.231</c:v>
                </c:pt>
                <c:pt idx="46">
                  <c:v>0.221</c:v>
                </c:pt>
                <c:pt idx="47">
                  <c:v>0.212</c:v>
                </c:pt>
                <c:pt idx="48">
                  <c:v>0.204</c:v>
                </c:pt>
                <c:pt idx="49">
                  <c:v>0.195</c:v>
                </c:pt>
                <c:pt idx="50">
                  <c:v>0.188</c:v>
                </c:pt>
              </c:numCache>
            </c:numRef>
          </c:val>
          <c:smooth val="0"/>
        </c:ser>
        <c:dLbls>
          <c:showLegendKey val="0"/>
          <c:showVal val="0"/>
          <c:showCatName val="0"/>
          <c:showSerName val="0"/>
          <c:showPercent val="0"/>
          <c:showBubbleSize val="0"/>
        </c:dLbls>
        <c:marker val="0"/>
        <c:smooth val="0"/>
        <c:axId val="490543192"/>
        <c:axId val="343613385"/>
      </c:lineChart>
      <c:catAx>
        <c:axId val="4905431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3613385"/>
        <c:crosses val="autoZero"/>
        <c:auto val="1"/>
        <c:lblAlgn val="ctr"/>
        <c:lblOffset val="100"/>
        <c:noMultiLvlLbl val="0"/>
      </c:catAx>
      <c:valAx>
        <c:axId val="34361338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054319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2020-07-11T05:58:00Z</dcterms:created>
  <dc:creator>一缕阳光</dc:creator>
  <cp:lastModifiedBy>一缕阳光</cp:lastModifiedBy>
  <dcterms:modified xsi:type="dcterms:W3CDTF">2020-08-24T08:53:27Z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