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spacing w:afterLines="-2147483648" w:line="360" w:lineRule="auto"/>
        <w:jc w:val="center"/>
        <w:rPr>
          <w:rFonts w:hint="eastAsia" w:ascii="宋体" w:hAnsi="宋体" w:eastAsia="宋体" w:cs="宋体"/>
          <w:b/>
          <w:color w:val="000000"/>
          <w:sz w:val="48"/>
          <w:szCs w:val="48"/>
          <w:lang w:eastAsia="zh-CN"/>
        </w:rPr>
      </w:pPr>
      <w:r>
        <w:rPr>
          <w:rFonts w:hint="eastAsia" w:ascii="宋体" w:hAnsi="宋体" w:eastAsia="宋体" w:cs="宋体"/>
          <w:b/>
          <w:color w:val="000000"/>
          <w:sz w:val="48"/>
          <w:szCs w:val="48"/>
          <w:lang w:eastAsia="zh-CN"/>
        </w:rPr>
        <w:t>陕西省石油化工工业贸易有限公司</w:t>
      </w:r>
    </w:p>
    <w:p>
      <w:pPr>
        <w:spacing w:afterLines="-2147483648" w:line="360" w:lineRule="auto"/>
        <w:jc w:val="center"/>
        <w:rPr>
          <w:rFonts w:hint="eastAsia" w:ascii="宋体" w:hAnsi="宋体" w:eastAsia="宋体" w:cs="宋体"/>
          <w:b/>
          <w:bCs w:val="0"/>
          <w:color w:val="000000"/>
          <w:spacing w:val="0"/>
          <w:sz w:val="48"/>
          <w:szCs w:val="48"/>
          <w:u w:val="none"/>
          <w:lang w:val="en-US" w:eastAsia="zh-CN"/>
        </w:rPr>
      </w:pPr>
      <w:r>
        <w:rPr>
          <w:rFonts w:hint="eastAsia" w:ascii="宋体" w:hAnsi="宋体" w:eastAsia="宋体" w:cs="宋体"/>
          <w:b/>
          <w:bCs w:val="0"/>
          <w:color w:val="000000"/>
          <w:spacing w:val="0"/>
          <w:sz w:val="48"/>
          <w:szCs w:val="48"/>
          <w:u w:val="none"/>
          <w:lang w:val="en-US" w:eastAsia="zh-CN"/>
        </w:rPr>
        <w:t>泾阳服务区</w:t>
      </w:r>
      <w:r>
        <w:rPr>
          <w:rFonts w:hint="eastAsia" w:cs="宋体"/>
          <w:b/>
          <w:bCs w:val="0"/>
          <w:color w:val="000000"/>
          <w:spacing w:val="0"/>
          <w:sz w:val="48"/>
          <w:szCs w:val="48"/>
          <w:u w:val="none"/>
          <w:lang w:val="en-US" w:eastAsia="zh-CN"/>
        </w:rPr>
        <w:t>南</w:t>
      </w:r>
      <w:r>
        <w:rPr>
          <w:rFonts w:hint="eastAsia" w:ascii="宋体" w:hAnsi="宋体" w:eastAsia="宋体" w:cs="宋体"/>
          <w:b/>
          <w:bCs w:val="0"/>
          <w:color w:val="000000"/>
          <w:spacing w:val="0"/>
          <w:sz w:val="48"/>
          <w:szCs w:val="48"/>
          <w:u w:val="none"/>
          <w:lang w:val="en-US" w:eastAsia="zh-CN"/>
        </w:rPr>
        <w:t>加油站建设项目</w:t>
      </w:r>
      <w:bookmarkStart w:id="0" w:name="_Toc13368_WPSOffice_Level1"/>
    </w:p>
    <w:p>
      <w:pPr>
        <w:spacing w:afterLines="-2147483648" w:line="360" w:lineRule="auto"/>
        <w:jc w:val="center"/>
        <w:rPr>
          <w:rFonts w:hint="default" w:ascii="Times New Roman" w:hAnsi="Times New Roman" w:cs="Times New Roman"/>
          <w:b/>
          <w:sz w:val="48"/>
        </w:rPr>
      </w:pPr>
      <w:r>
        <w:rPr>
          <w:rFonts w:hint="eastAsia" w:ascii="宋体" w:hAnsi="宋体" w:eastAsia="宋体" w:cs="宋体"/>
          <w:b/>
          <w:color w:val="000000"/>
          <w:sz w:val="48"/>
          <w:szCs w:val="48"/>
        </w:rPr>
        <w:t>竣工环境保护验收监测报告</w:t>
      </w:r>
      <w:bookmarkEnd w:id="0"/>
      <w:r>
        <w:rPr>
          <w:rFonts w:hint="eastAsia" w:ascii="宋体" w:hAnsi="宋体" w:eastAsia="宋体" w:cs="宋体"/>
          <w:b/>
          <w:color w:val="000000"/>
          <w:sz w:val="48"/>
          <w:szCs w:val="48"/>
          <w:lang w:val="en-US" w:eastAsia="zh-CN"/>
        </w:rPr>
        <w:t>表</w:t>
      </w: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tbl>
      <w:tblPr>
        <w:tblStyle w:val="17"/>
        <w:tblW w:w="8595" w:type="dxa"/>
        <w:tblInd w:w="1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85"/>
        <w:gridCol w:w="7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85" w:type="dxa"/>
            <w:vAlign w:val="center"/>
          </w:tcPr>
          <w:p>
            <w:pPr>
              <w:widowControl/>
              <w:autoSpaceDE/>
              <w:autoSpaceDN/>
              <w:adjustRightInd w:val="0"/>
              <w:snapToGrid w:val="0"/>
              <w:spacing w:before="0" w:after="200" w:afterLines="-2147483648" w:line="240" w:lineRule="auto"/>
              <w:ind w:right="0"/>
              <w:jc w:val="center"/>
              <w:rPr>
                <w:rFonts w:hint="eastAsia" w:ascii="宋体" w:hAnsi="宋体" w:eastAsia="宋体" w:cs="宋体"/>
                <w:color w:val="000000"/>
                <w:sz w:val="28"/>
                <w:szCs w:val="28"/>
                <w:vertAlign w:val="baseline"/>
                <w:lang w:val="en-US" w:bidi="ar-SA"/>
              </w:rPr>
            </w:pPr>
            <w:r>
              <w:rPr>
                <w:rFonts w:hint="eastAsia" w:ascii="宋体" w:hAnsi="宋体" w:eastAsia="宋体" w:cs="宋体"/>
                <w:color w:val="000000"/>
                <w:sz w:val="28"/>
                <w:szCs w:val="28"/>
                <w:lang w:val="en-US" w:bidi="ar-SA"/>
              </w:rPr>
              <w:t>建设单位</w:t>
            </w:r>
          </w:p>
        </w:tc>
        <w:tc>
          <w:tcPr>
            <w:tcW w:w="7110" w:type="dxa"/>
            <w:vAlign w:val="center"/>
          </w:tcPr>
          <w:p>
            <w:pPr>
              <w:widowControl/>
              <w:autoSpaceDE/>
              <w:autoSpaceDN/>
              <w:adjustRightInd w:val="0"/>
              <w:snapToGrid w:val="0"/>
              <w:spacing w:before="0" w:after="200" w:afterLines="-2147483648" w:line="240" w:lineRule="auto"/>
              <w:ind w:right="0"/>
              <w:jc w:val="center"/>
              <w:rPr>
                <w:rFonts w:hint="eastAsia" w:ascii="宋体" w:hAnsi="宋体" w:eastAsia="宋体" w:cs="宋体"/>
                <w:color w:val="000000"/>
                <w:sz w:val="28"/>
                <w:szCs w:val="28"/>
                <w:vertAlign w:val="baseline"/>
                <w:lang w:val="en-US" w:bidi="ar-SA"/>
              </w:rPr>
            </w:pPr>
            <w:r>
              <w:rPr>
                <w:rFonts w:hint="eastAsia" w:ascii="宋体" w:hAnsi="宋体" w:eastAsia="宋体" w:cs="宋体"/>
                <w:color w:val="000000"/>
                <w:sz w:val="28"/>
                <w:szCs w:val="28"/>
                <w:vertAlign w:val="baseline"/>
                <w:lang w:val="en-US" w:eastAsia="zh-CN" w:bidi="ar-SA"/>
              </w:rPr>
              <w:t>陕西省石油化工工业贸易公司泾阳服务区</w:t>
            </w:r>
            <w:r>
              <w:rPr>
                <w:rFonts w:hint="eastAsia" w:cs="宋体"/>
                <w:color w:val="000000"/>
                <w:sz w:val="28"/>
                <w:szCs w:val="28"/>
                <w:vertAlign w:val="baseline"/>
                <w:lang w:val="en-US" w:eastAsia="zh-CN" w:bidi="ar-SA"/>
              </w:rPr>
              <w:t>南</w:t>
            </w:r>
            <w:r>
              <w:rPr>
                <w:rFonts w:hint="eastAsia" w:ascii="宋体" w:hAnsi="宋体" w:eastAsia="宋体" w:cs="宋体"/>
                <w:color w:val="000000"/>
                <w:sz w:val="28"/>
                <w:szCs w:val="28"/>
                <w:vertAlign w:val="baseline"/>
                <w:lang w:val="en-US" w:eastAsia="zh-CN" w:bidi="ar-SA"/>
              </w:rPr>
              <w:t>加油站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85" w:type="dxa"/>
            <w:vAlign w:val="center"/>
          </w:tcPr>
          <w:p>
            <w:pPr>
              <w:widowControl/>
              <w:autoSpaceDE/>
              <w:autoSpaceDN/>
              <w:adjustRightInd w:val="0"/>
              <w:snapToGrid w:val="0"/>
              <w:spacing w:before="0" w:after="200" w:afterLines="-2147483648" w:line="240" w:lineRule="auto"/>
              <w:ind w:right="0"/>
              <w:jc w:val="center"/>
              <w:rPr>
                <w:rFonts w:hint="eastAsia" w:ascii="宋体" w:hAnsi="宋体" w:eastAsia="宋体" w:cs="宋体"/>
                <w:color w:val="000000"/>
                <w:sz w:val="28"/>
                <w:szCs w:val="28"/>
                <w:vertAlign w:val="baseline"/>
                <w:lang w:val="en-US" w:bidi="ar-SA"/>
              </w:rPr>
            </w:pPr>
            <w:r>
              <w:rPr>
                <w:rFonts w:hint="eastAsia" w:ascii="宋体" w:hAnsi="宋体" w:eastAsia="宋体" w:cs="宋体"/>
                <w:color w:val="000000"/>
                <w:sz w:val="28"/>
                <w:szCs w:val="28"/>
                <w:lang w:val="en-US" w:bidi="ar-SA"/>
              </w:rPr>
              <w:t>编制单位</w:t>
            </w:r>
          </w:p>
        </w:tc>
        <w:tc>
          <w:tcPr>
            <w:tcW w:w="7110" w:type="dxa"/>
            <w:vAlign w:val="center"/>
          </w:tcPr>
          <w:p>
            <w:pPr>
              <w:widowControl/>
              <w:autoSpaceDE/>
              <w:autoSpaceDN/>
              <w:adjustRightInd w:val="0"/>
              <w:snapToGrid w:val="0"/>
              <w:spacing w:before="0" w:after="200" w:afterLines="-2147483648" w:line="240" w:lineRule="auto"/>
              <w:ind w:right="0"/>
              <w:jc w:val="center"/>
              <w:rPr>
                <w:rFonts w:hint="eastAsia" w:ascii="宋体" w:hAnsi="宋体" w:eastAsia="宋体" w:cs="宋体"/>
                <w:color w:val="000000"/>
                <w:sz w:val="28"/>
                <w:szCs w:val="28"/>
                <w:vertAlign w:val="baseline"/>
                <w:lang w:val="en-US" w:bidi="ar-SA"/>
              </w:rPr>
            </w:pPr>
            <w:r>
              <w:rPr>
                <w:rFonts w:hint="eastAsia" w:ascii="宋体" w:hAnsi="宋体" w:eastAsia="宋体" w:cs="宋体"/>
                <w:color w:val="000000"/>
                <w:sz w:val="28"/>
                <w:szCs w:val="28"/>
                <w:vertAlign w:val="baseline"/>
                <w:lang w:val="en-US" w:bidi="ar-SA"/>
              </w:rPr>
              <w:t>河北鑫旺工程建设服务有限公司陕西分公司</w:t>
            </w:r>
          </w:p>
        </w:tc>
      </w:tr>
    </w:tbl>
    <w:p>
      <w:pPr>
        <w:pStyle w:val="5"/>
        <w:spacing w:before="8"/>
        <w:rPr>
          <w:rFonts w:hint="default" w:ascii="Times New Roman" w:hAnsi="Times New Roman" w:cs="Times New Roman"/>
          <w:sz w:val="26"/>
        </w:rPr>
      </w:pPr>
    </w:p>
    <w:p>
      <w:pPr>
        <w:pStyle w:val="5"/>
        <w:spacing w:before="8"/>
        <w:rPr>
          <w:rFonts w:hint="default" w:ascii="Times New Roman" w:hAnsi="Times New Roman" w:cs="Times New Roman"/>
          <w:sz w:val="26"/>
        </w:rPr>
      </w:pPr>
    </w:p>
    <w:p>
      <w:pPr>
        <w:pStyle w:val="5"/>
        <w:spacing w:before="8"/>
        <w:rPr>
          <w:rFonts w:hint="default" w:ascii="Times New Roman" w:hAnsi="Times New Roman" w:cs="Times New Roman"/>
          <w:sz w:val="26"/>
        </w:rPr>
      </w:pPr>
    </w:p>
    <w:p>
      <w:pPr>
        <w:pStyle w:val="5"/>
        <w:spacing w:before="8"/>
        <w:rPr>
          <w:rFonts w:hint="default" w:ascii="Times New Roman" w:hAnsi="Times New Roman" w:cs="Times New Roman"/>
          <w:sz w:val="26"/>
        </w:rPr>
      </w:pPr>
    </w:p>
    <w:p>
      <w:pPr>
        <w:pStyle w:val="5"/>
        <w:spacing w:before="8"/>
        <w:rPr>
          <w:rFonts w:hint="default" w:ascii="Times New Roman" w:hAnsi="Times New Roman" w:cs="Times New Roman"/>
          <w:sz w:val="26"/>
        </w:rPr>
      </w:pPr>
    </w:p>
    <w:p>
      <w:pPr>
        <w:widowControl/>
        <w:autoSpaceDE/>
        <w:autoSpaceDN/>
        <w:adjustRightInd w:val="0"/>
        <w:snapToGrid w:val="0"/>
        <w:spacing w:before="0" w:after="200" w:afterLines="-2147483648" w:line="240" w:lineRule="auto"/>
        <w:ind w:left="0" w:right="0"/>
        <w:jc w:val="center"/>
        <w:rPr>
          <w:rFonts w:hint="default" w:ascii="Times New Roman" w:hAnsi="Times New Roman" w:eastAsia="华文新魏" w:cs="Times New Roman"/>
          <w:color w:val="000000"/>
          <w:sz w:val="28"/>
          <w:szCs w:val="28"/>
          <w:vertAlign w:val="baseline"/>
          <w:lang w:val="en-US" w:bidi="ar-SA"/>
        </w:rPr>
      </w:pPr>
      <w:r>
        <w:rPr>
          <w:rFonts w:hint="eastAsia" w:ascii="宋体" w:hAnsi="宋体" w:eastAsia="宋体" w:cs="宋体"/>
          <w:color w:val="000000"/>
          <w:sz w:val="28"/>
          <w:szCs w:val="28"/>
          <w:lang w:val="en-US" w:bidi="ar-SA"/>
        </w:rPr>
        <w:t>20</w:t>
      </w:r>
      <w:r>
        <w:rPr>
          <w:rFonts w:hint="eastAsia" w:cs="宋体"/>
          <w:color w:val="000000"/>
          <w:sz w:val="28"/>
          <w:szCs w:val="28"/>
          <w:lang w:val="en-US" w:eastAsia="zh-CN" w:bidi="ar-SA"/>
        </w:rPr>
        <w:t>20</w:t>
      </w:r>
      <w:r>
        <w:rPr>
          <w:rFonts w:hint="eastAsia" w:ascii="宋体" w:hAnsi="宋体" w:eastAsia="宋体" w:cs="宋体"/>
          <w:color w:val="000000"/>
          <w:sz w:val="28"/>
          <w:szCs w:val="28"/>
          <w:lang w:val="en-US" w:bidi="ar-SA"/>
        </w:rPr>
        <w:t>年</w:t>
      </w:r>
      <w:r>
        <w:rPr>
          <w:rFonts w:hint="eastAsia" w:cs="宋体"/>
          <w:color w:val="000000"/>
          <w:sz w:val="28"/>
          <w:szCs w:val="28"/>
          <w:lang w:val="en-US" w:eastAsia="zh-CN" w:bidi="ar-SA"/>
        </w:rPr>
        <w:t>9</w:t>
      </w:r>
      <w:r>
        <w:rPr>
          <w:rFonts w:hint="eastAsia" w:ascii="宋体" w:hAnsi="宋体" w:eastAsia="宋体" w:cs="宋体"/>
          <w:color w:val="000000"/>
          <w:sz w:val="28"/>
          <w:szCs w:val="28"/>
          <w:lang w:val="en-US" w:bidi="ar-SA"/>
        </w:rPr>
        <w:t>月</w:t>
      </w:r>
    </w:p>
    <w:p>
      <w:pPr>
        <w:widowControl/>
        <w:autoSpaceDE/>
        <w:autoSpaceDN/>
        <w:adjustRightInd w:val="0"/>
        <w:snapToGrid w:val="0"/>
        <w:spacing w:before="0" w:after="200" w:afterLines="-2147483648" w:line="240" w:lineRule="auto"/>
        <w:ind w:left="0" w:right="0"/>
        <w:jc w:val="center"/>
        <w:rPr>
          <w:rFonts w:hint="default" w:ascii="Times New Roman" w:hAnsi="Times New Roman" w:eastAsia="华文新魏" w:cs="Times New Roman"/>
          <w:color w:val="000000"/>
          <w:sz w:val="28"/>
          <w:szCs w:val="28"/>
          <w:lang w:val="en-US" w:bidi="ar-SA"/>
        </w:rPr>
      </w:pPr>
    </w:p>
    <w:p>
      <w:pPr>
        <w:pStyle w:val="7"/>
        <w:rPr>
          <w:rFonts w:hint="default"/>
          <w:lang w:val="en-US"/>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before="296"/>
        <w:rPr>
          <w:rFonts w:ascii="Times New Roman" w:hAnsi="Times New Roman" w:eastAsia="黑体" w:cs="Times New Roman"/>
          <w:sz w:val="36"/>
          <w:szCs w:val="21"/>
          <w:lang w:val="en-US"/>
        </w:rPr>
      </w:pPr>
      <w:r>
        <w:rPr>
          <w:rFonts w:ascii="Times New Roman" w:hAnsi="Times New Roman" w:eastAsia="黑体" w:cs="Times New Roman"/>
          <w:sz w:val="28"/>
          <w:szCs w:val="21"/>
        </w:rPr>
        <w:t>建设单位法人代表：</w:t>
      </w:r>
      <w:r>
        <w:rPr>
          <w:rFonts w:ascii="Times New Roman" w:hAnsi="Times New Roman" w:eastAsia="黑体" w:cs="Times New Roman"/>
          <w:sz w:val="28"/>
          <w:szCs w:val="21"/>
          <w:lang w:val="en-US"/>
        </w:rPr>
        <w:t xml:space="preserve">  </w:t>
      </w:r>
      <w:r>
        <w:rPr>
          <w:rFonts w:hint="eastAsia" w:ascii="Times New Roman" w:hAnsi="Times New Roman" w:eastAsia="黑体" w:cs="Times New Roman"/>
          <w:sz w:val="28"/>
          <w:szCs w:val="21"/>
          <w:lang w:val="en-US" w:eastAsia="zh-CN"/>
        </w:rPr>
        <w:t xml:space="preserve">  </w:t>
      </w:r>
      <w:r>
        <w:rPr>
          <w:rFonts w:ascii="Times New Roman" w:hAnsi="Times New Roman" w:eastAsia="黑体" w:cs="Times New Roman"/>
          <w:sz w:val="28"/>
          <w:szCs w:val="21"/>
          <w:lang w:val="en-US"/>
        </w:rPr>
        <w:t xml:space="preserve"> </w:t>
      </w:r>
      <w:r>
        <w:rPr>
          <w:rFonts w:hint="eastAsia" w:ascii="Times New Roman" w:hAnsi="Times New Roman" w:eastAsia="黑体" w:cs="Times New Roman"/>
          <w:sz w:val="28"/>
          <w:szCs w:val="21"/>
          <w:lang w:val="en-US" w:eastAsia="zh-CN"/>
        </w:rPr>
        <w:t xml:space="preserve">     </w:t>
      </w:r>
      <w:r>
        <w:rPr>
          <w:rFonts w:ascii="Times New Roman" w:hAnsi="Times New Roman" w:eastAsia="黑体" w:cs="Times New Roman"/>
          <w:sz w:val="28"/>
          <w:szCs w:val="21"/>
          <w:lang w:val="en-US"/>
        </w:rPr>
        <w:t>（签字）</w:t>
      </w:r>
    </w:p>
    <w:p>
      <w:pPr>
        <w:rPr>
          <w:rFonts w:ascii="Times New Roman" w:hAnsi="Times New Roman" w:eastAsia="黑体" w:cs="Times New Roman"/>
          <w:sz w:val="28"/>
          <w:szCs w:val="21"/>
        </w:rPr>
      </w:pPr>
      <w:r>
        <w:rPr>
          <w:rFonts w:ascii="Times New Roman" w:hAnsi="Times New Roman" w:eastAsia="黑体" w:cs="Times New Roman"/>
          <w:sz w:val="28"/>
          <w:szCs w:val="21"/>
        </w:rPr>
        <w:t xml:space="preserve">编制单位法人代表：  </w:t>
      </w:r>
      <w:r>
        <w:rPr>
          <w:rFonts w:hint="eastAsia" w:ascii="Times New Roman" w:hAnsi="Times New Roman" w:eastAsia="黑体" w:cs="Times New Roman"/>
          <w:sz w:val="28"/>
          <w:szCs w:val="21"/>
          <w:lang w:val="en-US" w:eastAsia="zh-CN"/>
        </w:rPr>
        <w:t xml:space="preserve">    </w:t>
      </w:r>
      <w:r>
        <w:rPr>
          <w:rFonts w:ascii="Times New Roman" w:hAnsi="Times New Roman" w:eastAsia="黑体" w:cs="Times New Roman"/>
          <w:sz w:val="28"/>
          <w:szCs w:val="21"/>
        </w:rPr>
        <w:t xml:space="preserve"> </w:t>
      </w:r>
      <w:r>
        <w:rPr>
          <w:rFonts w:hint="eastAsia" w:ascii="Times New Roman" w:hAnsi="Times New Roman" w:eastAsia="黑体" w:cs="Times New Roman"/>
          <w:sz w:val="28"/>
          <w:szCs w:val="21"/>
          <w:lang w:val="en-US" w:eastAsia="zh-CN"/>
        </w:rPr>
        <w:t xml:space="preserve">   </w:t>
      </w:r>
      <w:r>
        <w:rPr>
          <w:rFonts w:ascii="Times New Roman" w:hAnsi="Times New Roman" w:eastAsia="黑体" w:cs="Times New Roman"/>
          <w:sz w:val="28"/>
          <w:szCs w:val="21"/>
        </w:rPr>
        <w:t>（签字）</w:t>
      </w:r>
    </w:p>
    <w:p>
      <w:pPr>
        <w:rPr>
          <w:rFonts w:ascii="Times New Roman" w:hAnsi="Times New Roman" w:eastAsia="黑体" w:cs="Times New Roman"/>
          <w:sz w:val="28"/>
          <w:szCs w:val="21"/>
        </w:rPr>
      </w:pPr>
      <w:r>
        <w:rPr>
          <w:rFonts w:ascii="Times New Roman" w:hAnsi="Times New Roman" w:eastAsia="黑体" w:cs="Times New Roman"/>
          <w:sz w:val="28"/>
          <w:szCs w:val="21"/>
        </w:rPr>
        <w:t>项 目 负 责 人：</w:t>
      </w:r>
      <w:r>
        <w:rPr>
          <w:rFonts w:ascii="Times New Roman" w:hAnsi="Times New Roman" w:eastAsia="黑体" w:cs="Times New Roman"/>
          <w:sz w:val="28"/>
          <w:szCs w:val="21"/>
          <w:lang w:val="en-US"/>
        </w:rPr>
        <w:t xml:space="preserve">  </w:t>
      </w:r>
    </w:p>
    <w:p>
      <w:pPr>
        <w:rPr>
          <w:rFonts w:ascii="Times New Roman" w:hAnsi="Times New Roman" w:eastAsia="黑体" w:cs="Times New Roman"/>
          <w:sz w:val="28"/>
          <w:szCs w:val="21"/>
        </w:rPr>
      </w:pPr>
      <w:r>
        <w:rPr>
          <w:rFonts w:ascii="Times New Roman" w:hAnsi="Times New Roman" w:eastAsia="黑体" w:cs="Times New Roman"/>
          <w:sz w:val="28"/>
          <w:szCs w:val="21"/>
        </w:rPr>
        <w:t>报 告 编 写 人：</w:t>
      </w: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tbl>
      <w:tblPr>
        <w:tblStyle w:val="16"/>
        <w:tblpPr w:leftFromText="180" w:rightFromText="180" w:vertAnchor="text" w:horzAnchor="page" w:tblpX="1718" w:tblpY="79"/>
        <w:tblOverlap w:val="never"/>
        <w:tblW w:w="8840" w:type="dxa"/>
        <w:tblInd w:w="0" w:type="dxa"/>
        <w:tblLayout w:type="fixed"/>
        <w:tblCellMar>
          <w:top w:w="0" w:type="dxa"/>
          <w:left w:w="108" w:type="dxa"/>
          <w:bottom w:w="0" w:type="dxa"/>
          <w:right w:w="108" w:type="dxa"/>
        </w:tblCellMar>
      </w:tblPr>
      <w:tblGrid>
        <w:gridCol w:w="4420"/>
        <w:gridCol w:w="4420"/>
      </w:tblGrid>
      <w:tr>
        <w:tblPrEx>
          <w:tblLayout w:type="fixed"/>
          <w:tblCellMar>
            <w:top w:w="0" w:type="dxa"/>
            <w:left w:w="108" w:type="dxa"/>
            <w:bottom w:w="0" w:type="dxa"/>
            <w:right w:w="108" w:type="dxa"/>
          </w:tblCellMar>
        </w:tblPrEx>
        <w:trPr>
          <w:trHeight w:val="539" w:hRule="atLeast"/>
        </w:trPr>
        <w:tc>
          <w:tcPr>
            <w:tcW w:w="4420" w:type="dxa"/>
            <w:vAlign w:val="center"/>
          </w:tcPr>
          <w:p>
            <w:pPr>
              <w:jc w:val="both"/>
              <w:rPr>
                <w:rFonts w:ascii="Times New Roman" w:hAnsi="Times New Roman" w:eastAsia="黑体" w:cs="Times New Roman"/>
                <w:sz w:val="28"/>
                <w:szCs w:val="21"/>
              </w:rPr>
            </w:pPr>
            <w:r>
              <w:rPr>
                <w:rFonts w:ascii="Times New Roman" w:hAnsi="Times New Roman" w:eastAsia="黑体" w:cs="Times New Roman"/>
                <w:sz w:val="24"/>
                <w:szCs w:val="20"/>
              </w:rPr>
              <w:t>建设单位</w:t>
            </w:r>
            <w:r>
              <w:rPr>
                <w:rFonts w:ascii="Times New Roman" w:hAnsi="Times New Roman" w:eastAsia="黑体" w:cs="Times New Roman"/>
                <w:sz w:val="24"/>
                <w:szCs w:val="20"/>
                <w:u w:val="single"/>
                <w:lang w:val="en-US"/>
              </w:rPr>
              <w:t xml:space="preserve"> </w:t>
            </w:r>
            <w:r>
              <w:rPr>
                <w:rFonts w:hint="default" w:ascii="Times New Roman" w:hAnsi="Times New Roman" w:eastAsia="黑体" w:cs="Times New Roman"/>
                <w:sz w:val="24"/>
                <w:szCs w:val="20"/>
                <w:u w:val="single"/>
                <w:lang w:val="en-US" w:eastAsia="zh-CN"/>
              </w:rPr>
              <w:t>陕西省石油化工工业贸易公司</w:t>
            </w:r>
            <w:r>
              <w:rPr>
                <w:rFonts w:hint="eastAsia" w:ascii="Times New Roman" w:hAnsi="Times New Roman" w:eastAsia="黑体" w:cs="Times New Roman"/>
                <w:sz w:val="24"/>
                <w:szCs w:val="20"/>
                <w:u w:val="single"/>
                <w:lang w:val="en-US" w:eastAsia="zh-CN"/>
              </w:rPr>
              <w:t>泾阳</w:t>
            </w:r>
            <w:r>
              <w:rPr>
                <w:rFonts w:hint="default" w:ascii="Times New Roman" w:hAnsi="Times New Roman" w:eastAsia="黑体" w:cs="Times New Roman"/>
                <w:sz w:val="24"/>
                <w:szCs w:val="20"/>
                <w:u w:val="single"/>
                <w:lang w:val="en-US" w:eastAsia="zh-CN"/>
              </w:rPr>
              <w:t>服务</w:t>
            </w:r>
            <w:r>
              <w:rPr>
                <w:rFonts w:hint="eastAsia" w:ascii="Times New Roman" w:hAnsi="Times New Roman" w:eastAsia="黑体" w:cs="Times New Roman"/>
                <w:sz w:val="24"/>
                <w:szCs w:val="20"/>
                <w:u w:val="single"/>
                <w:lang w:val="en-US" w:eastAsia="zh-CN"/>
              </w:rPr>
              <w:t>区南加油站</w:t>
            </w:r>
            <w:r>
              <w:rPr>
                <w:rFonts w:ascii="Times New Roman" w:hAnsi="Times New Roman" w:eastAsia="黑体" w:cs="Times New Roman"/>
                <w:sz w:val="24"/>
                <w:szCs w:val="20"/>
                <w:u w:val="single"/>
                <w:lang w:val="en-US"/>
              </w:rPr>
              <w:t xml:space="preserve"> </w:t>
            </w:r>
            <w:r>
              <w:rPr>
                <w:rFonts w:hint="default" w:ascii="Times New Roman" w:hAnsi="Times New Roman" w:eastAsia="黑体" w:cs="Times New Roman"/>
                <w:sz w:val="24"/>
                <w:szCs w:val="20"/>
                <w:lang w:val="en-US"/>
              </w:rPr>
              <w:t>（盖章）</w:t>
            </w:r>
          </w:p>
        </w:tc>
        <w:tc>
          <w:tcPr>
            <w:tcW w:w="4420" w:type="dxa"/>
            <w:vAlign w:val="center"/>
          </w:tcPr>
          <w:p>
            <w:pPr>
              <w:jc w:val="both"/>
              <w:rPr>
                <w:rFonts w:ascii="Times New Roman" w:hAnsi="Times New Roman" w:eastAsia="黑体" w:cs="Times New Roman"/>
                <w:sz w:val="28"/>
                <w:szCs w:val="21"/>
              </w:rPr>
            </w:pPr>
            <w:r>
              <w:rPr>
                <w:rFonts w:ascii="Times New Roman" w:hAnsi="Times New Roman" w:eastAsia="黑体" w:cs="Times New Roman"/>
                <w:sz w:val="24"/>
                <w:szCs w:val="20"/>
                <w:lang w:val="en-US"/>
              </w:rPr>
              <w:t>编制单位</w:t>
            </w:r>
            <w:r>
              <w:rPr>
                <w:rFonts w:ascii="Times New Roman" w:hAnsi="Times New Roman" w:eastAsia="黑体" w:cs="Times New Roman"/>
                <w:sz w:val="24"/>
                <w:szCs w:val="20"/>
                <w:u w:val="single"/>
                <w:lang w:val="en-US"/>
              </w:rPr>
              <w:t xml:space="preserve"> </w:t>
            </w:r>
            <w:r>
              <w:rPr>
                <w:rFonts w:hint="eastAsia" w:ascii="Times New Roman" w:hAnsi="Times New Roman" w:eastAsia="黑体" w:cs="Times New Roman"/>
                <w:sz w:val="24"/>
                <w:szCs w:val="20"/>
                <w:u w:val="single"/>
                <w:lang w:val="en-US"/>
              </w:rPr>
              <w:t>河北鑫旺工程建设服务有限公司陕西分公司</w:t>
            </w:r>
            <w:r>
              <w:rPr>
                <w:rFonts w:hint="default" w:ascii="Times New Roman" w:hAnsi="Times New Roman" w:eastAsia="黑体" w:cs="Times New Roman"/>
                <w:sz w:val="24"/>
                <w:szCs w:val="20"/>
                <w:lang w:val="en-US"/>
              </w:rPr>
              <w:t>（盖章）</w:t>
            </w:r>
          </w:p>
        </w:tc>
      </w:tr>
      <w:tr>
        <w:tblPrEx>
          <w:tblLayout w:type="fixed"/>
          <w:tblCellMar>
            <w:top w:w="0" w:type="dxa"/>
            <w:left w:w="108" w:type="dxa"/>
            <w:bottom w:w="0" w:type="dxa"/>
            <w:right w:w="108" w:type="dxa"/>
          </w:tblCellMar>
        </w:tblPrEx>
        <w:trPr>
          <w:trHeight w:val="543" w:hRule="atLeast"/>
        </w:trPr>
        <w:tc>
          <w:tcPr>
            <w:tcW w:w="4420" w:type="dxa"/>
            <w:vAlign w:val="center"/>
          </w:tcPr>
          <w:p>
            <w:pPr>
              <w:jc w:val="both"/>
              <w:rPr>
                <w:rFonts w:ascii="Times New Roman" w:hAnsi="Times New Roman" w:eastAsia="黑体" w:cs="Times New Roman"/>
                <w:sz w:val="28"/>
                <w:szCs w:val="21"/>
              </w:rPr>
            </w:pPr>
            <w:r>
              <w:rPr>
                <w:rFonts w:ascii="Times New Roman" w:hAnsi="Times New Roman" w:eastAsia="黑体" w:cs="Times New Roman"/>
                <w:sz w:val="24"/>
                <w:szCs w:val="20"/>
                <w:lang w:val="en-US"/>
              </w:rPr>
              <w:t>电话：</w:t>
            </w:r>
            <w:r>
              <w:rPr>
                <w:rFonts w:hint="default" w:ascii="Times New Roman" w:hAnsi="Times New Roman" w:eastAsia="宋体" w:cs="Times New Roman"/>
                <w:sz w:val="24"/>
                <w:szCs w:val="24"/>
                <w:lang w:val="en-US" w:eastAsia="zh-CN"/>
              </w:rPr>
              <w:t>136</w:t>
            </w:r>
            <w:r>
              <w:rPr>
                <w:rFonts w:hint="eastAsia" w:ascii="Times New Roman" w:hAnsi="Times New Roman" w:eastAsia="宋体" w:cs="Times New Roman"/>
                <w:sz w:val="24"/>
                <w:szCs w:val="24"/>
                <w:lang w:val="en-US" w:eastAsia="zh-CN"/>
              </w:rPr>
              <w:t>69225777</w:t>
            </w:r>
          </w:p>
        </w:tc>
        <w:tc>
          <w:tcPr>
            <w:tcW w:w="4420" w:type="dxa"/>
            <w:vAlign w:val="center"/>
          </w:tcPr>
          <w:p>
            <w:pPr>
              <w:jc w:val="both"/>
              <w:rPr>
                <w:rFonts w:hint="default" w:ascii="Times New Roman" w:hAnsi="Times New Roman" w:eastAsia="黑体" w:cs="Times New Roman"/>
                <w:sz w:val="28"/>
                <w:szCs w:val="21"/>
                <w:lang w:val="en-US" w:eastAsia="zh-CN"/>
              </w:rPr>
            </w:pPr>
            <w:r>
              <w:rPr>
                <w:rFonts w:ascii="Times New Roman" w:hAnsi="Times New Roman" w:eastAsia="黑体" w:cs="Times New Roman"/>
                <w:sz w:val="24"/>
                <w:szCs w:val="20"/>
                <w:lang w:val="en-US"/>
              </w:rPr>
              <w:t>电话：</w:t>
            </w:r>
            <w:r>
              <w:rPr>
                <w:rFonts w:hint="eastAsia" w:ascii="Times New Roman" w:hAnsi="Times New Roman" w:eastAsia="黑体" w:cs="Times New Roman"/>
                <w:sz w:val="24"/>
                <w:szCs w:val="20"/>
                <w:lang w:val="en-US" w:eastAsia="zh-CN"/>
              </w:rPr>
              <w:t>029-87291685</w:t>
            </w:r>
          </w:p>
        </w:tc>
      </w:tr>
      <w:tr>
        <w:tblPrEx>
          <w:tblLayout w:type="fixed"/>
          <w:tblCellMar>
            <w:top w:w="0" w:type="dxa"/>
            <w:left w:w="108" w:type="dxa"/>
            <w:bottom w:w="0" w:type="dxa"/>
            <w:right w:w="108" w:type="dxa"/>
          </w:tblCellMar>
        </w:tblPrEx>
        <w:trPr>
          <w:trHeight w:val="543" w:hRule="atLeast"/>
        </w:trPr>
        <w:tc>
          <w:tcPr>
            <w:tcW w:w="4420" w:type="dxa"/>
            <w:vAlign w:val="center"/>
          </w:tcPr>
          <w:p>
            <w:pPr>
              <w:jc w:val="both"/>
              <w:rPr>
                <w:rFonts w:ascii="Times New Roman" w:hAnsi="Times New Roman" w:eastAsia="黑体" w:cs="Times New Roman"/>
                <w:sz w:val="28"/>
                <w:szCs w:val="21"/>
              </w:rPr>
            </w:pPr>
            <w:r>
              <w:rPr>
                <w:rFonts w:ascii="Times New Roman" w:hAnsi="Times New Roman" w:eastAsia="黑体" w:cs="Times New Roman"/>
                <w:sz w:val="24"/>
                <w:szCs w:val="20"/>
                <w:lang w:val="en-US"/>
              </w:rPr>
              <w:t>传真：</w:t>
            </w:r>
            <w:r>
              <w:rPr>
                <w:rFonts w:hint="default" w:ascii="Times New Roman" w:hAnsi="Times New Roman" w:eastAsia="黑体" w:cs="Times New Roman"/>
                <w:sz w:val="24"/>
                <w:szCs w:val="20"/>
                <w:lang w:val="en-US"/>
              </w:rPr>
              <w:t>/</w:t>
            </w:r>
          </w:p>
        </w:tc>
        <w:tc>
          <w:tcPr>
            <w:tcW w:w="4420" w:type="dxa"/>
            <w:vAlign w:val="center"/>
          </w:tcPr>
          <w:p>
            <w:pPr>
              <w:jc w:val="both"/>
              <w:rPr>
                <w:rFonts w:ascii="Times New Roman" w:hAnsi="Times New Roman" w:eastAsia="黑体" w:cs="Times New Roman"/>
                <w:sz w:val="28"/>
                <w:szCs w:val="21"/>
              </w:rPr>
            </w:pPr>
            <w:r>
              <w:rPr>
                <w:rFonts w:ascii="Times New Roman" w:hAnsi="Times New Roman" w:eastAsia="黑体" w:cs="Times New Roman"/>
                <w:sz w:val="24"/>
                <w:szCs w:val="20"/>
                <w:lang w:val="en-US"/>
              </w:rPr>
              <w:t>传真：</w:t>
            </w:r>
            <w:r>
              <w:rPr>
                <w:rFonts w:hint="default" w:ascii="Times New Roman" w:hAnsi="Times New Roman" w:eastAsia="黑体" w:cs="Times New Roman"/>
                <w:sz w:val="24"/>
                <w:szCs w:val="20"/>
                <w:lang w:val="en-US"/>
              </w:rPr>
              <w:t>/</w:t>
            </w:r>
          </w:p>
        </w:tc>
      </w:tr>
      <w:tr>
        <w:tblPrEx>
          <w:tblLayout w:type="fixed"/>
          <w:tblCellMar>
            <w:top w:w="0" w:type="dxa"/>
            <w:left w:w="108" w:type="dxa"/>
            <w:bottom w:w="0" w:type="dxa"/>
            <w:right w:w="108" w:type="dxa"/>
          </w:tblCellMar>
        </w:tblPrEx>
        <w:trPr>
          <w:trHeight w:val="543" w:hRule="atLeast"/>
        </w:trPr>
        <w:tc>
          <w:tcPr>
            <w:tcW w:w="4420" w:type="dxa"/>
            <w:vAlign w:val="center"/>
          </w:tcPr>
          <w:p>
            <w:pPr>
              <w:jc w:val="both"/>
              <w:rPr>
                <w:rFonts w:ascii="Times New Roman" w:hAnsi="Times New Roman" w:eastAsia="黑体" w:cs="Times New Roman"/>
                <w:sz w:val="24"/>
                <w:szCs w:val="20"/>
                <w:lang w:val="en-US"/>
              </w:rPr>
            </w:pPr>
            <w:r>
              <w:rPr>
                <w:rFonts w:ascii="Times New Roman" w:hAnsi="Times New Roman" w:eastAsia="黑体" w:cs="Times New Roman"/>
                <w:sz w:val="24"/>
                <w:szCs w:val="20"/>
                <w:lang w:val="en-US"/>
              </w:rPr>
              <w:t>邮编：</w:t>
            </w:r>
            <w:r>
              <w:rPr>
                <w:rFonts w:hint="default" w:ascii="Times New Roman" w:hAnsi="Times New Roman" w:eastAsia="黑体" w:cs="Times New Roman"/>
                <w:sz w:val="24"/>
                <w:szCs w:val="20"/>
                <w:lang w:val="en-US"/>
              </w:rPr>
              <w:t>712100</w:t>
            </w:r>
          </w:p>
        </w:tc>
        <w:tc>
          <w:tcPr>
            <w:tcW w:w="4420" w:type="dxa"/>
            <w:vAlign w:val="center"/>
          </w:tcPr>
          <w:p>
            <w:pPr>
              <w:jc w:val="both"/>
              <w:rPr>
                <w:rFonts w:ascii="Times New Roman" w:hAnsi="Times New Roman" w:eastAsia="黑体" w:cs="Times New Roman"/>
                <w:sz w:val="24"/>
                <w:szCs w:val="20"/>
                <w:lang w:val="en-US"/>
              </w:rPr>
            </w:pPr>
            <w:r>
              <w:rPr>
                <w:rFonts w:ascii="Times New Roman" w:hAnsi="Times New Roman" w:eastAsia="黑体" w:cs="Times New Roman"/>
                <w:sz w:val="24"/>
                <w:szCs w:val="20"/>
                <w:lang w:val="en-US"/>
              </w:rPr>
              <w:t>邮编：</w:t>
            </w:r>
            <w:r>
              <w:rPr>
                <w:rFonts w:hint="default" w:ascii="Times New Roman" w:hAnsi="Times New Roman" w:eastAsia="黑体" w:cs="Times New Roman"/>
                <w:sz w:val="24"/>
                <w:szCs w:val="20"/>
                <w:lang w:val="en-US"/>
              </w:rPr>
              <w:t>710000</w:t>
            </w:r>
          </w:p>
        </w:tc>
      </w:tr>
      <w:tr>
        <w:tblPrEx>
          <w:tblLayout w:type="fixed"/>
          <w:tblCellMar>
            <w:top w:w="0" w:type="dxa"/>
            <w:left w:w="108" w:type="dxa"/>
            <w:bottom w:w="0" w:type="dxa"/>
            <w:right w:w="108" w:type="dxa"/>
          </w:tblCellMar>
        </w:tblPrEx>
        <w:trPr>
          <w:trHeight w:val="543" w:hRule="atLeast"/>
        </w:trPr>
        <w:tc>
          <w:tcPr>
            <w:tcW w:w="4420" w:type="dxa"/>
            <w:vAlign w:val="center"/>
          </w:tcPr>
          <w:p>
            <w:pPr>
              <w:jc w:val="both"/>
              <w:rPr>
                <w:rFonts w:ascii="Times New Roman" w:hAnsi="Times New Roman" w:eastAsia="黑体" w:cs="Times New Roman"/>
                <w:sz w:val="24"/>
                <w:szCs w:val="20"/>
                <w:lang w:val="en-US"/>
              </w:rPr>
            </w:pPr>
            <w:r>
              <w:rPr>
                <w:rFonts w:ascii="Times New Roman" w:hAnsi="Times New Roman" w:eastAsia="黑体" w:cs="Times New Roman"/>
                <w:sz w:val="24"/>
                <w:szCs w:val="20"/>
                <w:lang w:val="en-US"/>
              </w:rPr>
              <w:t>地址：</w:t>
            </w:r>
            <w:r>
              <w:rPr>
                <w:rFonts w:hint="eastAsia" w:ascii="Times New Roman" w:hAnsi="Times New Roman" w:eastAsia="黑体" w:cs="Times New Roman"/>
                <w:sz w:val="24"/>
                <w:szCs w:val="20"/>
                <w:lang w:val="en-US" w:eastAsia="zh-CN"/>
              </w:rPr>
              <w:t>陕西省咸阳市泾阳县西咸北环</w:t>
            </w:r>
            <w:r>
              <w:rPr>
                <w:rFonts w:hint="default" w:ascii="Times New Roman" w:hAnsi="Times New Roman" w:eastAsia="黑体" w:cs="Times New Roman"/>
                <w:sz w:val="24"/>
                <w:szCs w:val="20"/>
                <w:lang w:val="en-US"/>
              </w:rPr>
              <w:t>高速</w:t>
            </w:r>
            <w:r>
              <w:rPr>
                <w:rFonts w:hint="eastAsia" w:ascii="Times New Roman" w:hAnsi="Times New Roman" w:eastAsia="黑体" w:cs="Times New Roman"/>
                <w:sz w:val="24"/>
                <w:szCs w:val="20"/>
                <w:lang w:val="en-US" w:eastAsia="zh-CN"/>
              </w:rPr>
              <w:t>公路泾阳</w:t>
            </w:r>
            <w:r>
              <w:rPr>
                <w:rFonts w:hint="default" w:ascii="Times New Roman" w:hAnsi="Times New Roman" w:eastAsia="黑体" w:cs="Times New Roman"/>
                <w:sz w:val="24"/>
                <w:szCs w:val="20"/>
                <w:lang w:val="en-US"/>
              </w:rPr>
              <w:t>服务区</w:t>
            </w:r>
            <w:r>
              <w:rPr>
                <w:rFonts w:hint="eastAsia" w:ascii="Times New Roman" w:hAnsi="Times New Roman" w:eastAsia="黑体" w:cs="Times New Roman"/>
                <w:sz w:val="24"/>
                <w:szCs w:val="20"/>
                <w:lang w:val="en-US" w:eastAsia="zh-CN"/>
              </w:rPr>
              <w:t>北</w:t>
            </w:r>
            <w:r>
              <w:rPr>
                <w:rFonts w:hint="default" w:ascii="Times New Roman" w:hAnsi="Times New Roman" w:eastAsia="黑体" w:cs="Times New Roman"/>
                <w:sz w:val="24"/>
                <w:szCs w:val="20"/>
                <w:lang w:val="en-US"/>
              </w:rPr>
              <w:t>区</w:t>
            </w:r>
          </w:p>
        </w:tc>
        <w:tc>
          <w:tcPr>
            <w:tcW w:w="4420" w:type="dxa"/>
            <w:vAlign w:val="center"/>
          </w:tcPr>
          <w:p>
            <w:pPr>
              <w:jc w:val="both"/>
              <w:rPr>
                <w:rFonts w:ascii="Times New Roman" w:hAnsi="Times New Roman" w:eastAsia="黑体" w:cs="Times New Roman"/>
                <w:sz w:val="24"/>
                <w:szCs w:val="20"/>
                <w:lang w:val="en-US"/>
              </w:rPr>
            </w:pPr>
            <w:r>
              <w:rPr>
                <w:rFonts w:ascii="Times New Roman" w:hAnsi="Times New Roman" w:eastAsia="黑体" w:cs="Times New Roman"/>
                <w:sz w:val="24"/>
                <w:szCs w:val="20"/>
                <w:lang w:val="en-US"/>
              </w:rPr>
              <w:t>地址：</w:t>
            </w:r>
            <w:r>
              <w:rPr>
                <w:rFonts w:hint="eastAsia" w:ascii="Times New Roman" w:hAnsi="Times New Roman" w:eastAsia="黑体" w:cs="Times New Roman"/>
                <w:sz w:val="24"/>
                <w:szCs w:val="20"/>
                <w:lang w:val="en-US" w:eastAsia="zh-CN"/>
              </w:rPr>
              <w:t>西安市新城区菜市东坑1幢1单元11006室</w:t>
            </w:r>
          </w:p>
        </w:tc>
      </w:tr>
    </w:tbl>
    <w:p>
      <w:pPr>
        <w:pStyle w:val="7"/>
        <w:rPr>
          <w:rFonts w:hint="default"/>
          <w:lang w:val="en-US"/>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widowControl w:val="0"/>
        <w:adjustRightInd/>
        <w:snapToGrid/>
        <w:spacing w:after="0"/>
        <w:jc w:val="center"/>
        <w:rPr>
          <w:rFonts w:ascii="Times New Roman" w:hAnsi="Times New Roman" w:eastAsia="宋体"/>
          <w:b/>
          <w:kern w:val="2"/>
          <w:sz w:val="30"/>
          <w:szCs w:val="30"/>
        </w:rPr>
      </w:pPr>
      <w:r>
        <w:rPr>
          <w:rFonts w:ascii="Times New Roman" w:hAnsi="Times New Roman" w:eastAsia="宋体"/>
          <w:b/>
          <w:kern w:val="2"/>
          <w:sz w:val="30"/>
          <w:szCs w:val="30"/>
        </w:rPr>
        <w:t>陕西省石油化工工业贸易有限公司</w:t>
      </w:r>
    </w:p>
    <w:p>
      <w:pPr>
        <w:widowControl w:val="0"/>
        <w:adjustRightInd/>
        <w:snapToGrid/>
        <w:spacing w:after="0"/>
        <w:jc w:val="center"/>
        <w:rPr>
          <w:rFonts w:ascii="Times New Roman" w:hAnsi="Times New Roman" w:eastAsia="宋体"/>
          <w:b/>
          <w:kern w:val="2"/>
          <w:sz w:val="30"/>
          <w:szCs w:val="30"/>
        </w:rPr>
      </w:pPr>
      <w:r>
        <w:rPr>
          <w:rFonts w:hint="eastAsia" w:ascii="Times New Roman" w:hAnsi="Times New Roman" w:eastAsia="宋体"/>
          <w:b/>
          <w:kern w:val="2"/>
          <w:sz w:val="30"/>
          <w:szCs w:val="30"/>
          <w:lang w:eastAsia="zh-CN"/>
        </w:rPr>
        <w:t>泾阳</w:t>
      </w:r>
      <w:r>
        <w:rPr>
          <w:rFonts w:ascii="Times New Roman" w:hAnsi="Times New Roman" w:eastAsia="宋体"/>
          <w:b/>
          <w:kern w:val="2"/>
          <w:sz w:val="30"/>
          <w:szCs w:val="30"/>
        </w:rPr>
        <w:t>服务区</w:t>
      </w:r>
      <w:r>
        <w:rPr>
          <w:rFonts w:hint="eastAsia" w:ascii="Times New Roman" w:hAnsi="Times New Roman" w:eastAsia="宋体"/>
          <w:b/>
          <w:kern w:val="2"/>
          <w:sz w:val="30"/>
          <w:szCs w:val="30"/>
          <w:lang w:eastAsia="zh-CN"/>
        </w:rPr>
        <w:t>南</w:t>
      </w:r>
      <w:r>
        <w:rPr>
          <w:rFonts w:ascii="Times New Roman" w:hAnsi="Times New Roman" w:eastAsia="宋体"/>
          <w:b/>
          <w:kern w:val="2"/>
          <w:sz w:val="30"/>
          <w:szCs w:val="30"/>
        </w:rPr>
        <w:t>加油站建设项目竣工环境保护验收意见</w:t>
      </w:r>
    </w:p>
    <w:p>
      <w:pPr>
        <w:spacing w:after="0" w:line="360" w:lineRule="auto"/>
        <w:ind w:firstLine="480" w:firstLineChars="200"/>
        <w:jc w:val="both"/>
        <w:rPr>
          <w:rFonts w:ascii="Times New Roman" w:hAnsi="Times New Roman" w:eastAsia="宋体"/>
          <w:sz w:val="24"/>
          <w:szCs w:val="24"/>
        </w:rPr>
      </w:pP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2020年</w:t>
      </w:r>
      <w:r>
        <w:rPr>
          <w:rFonts w:hint="eastAsia" w:ascii="Times New Roman" w:hAnsi="Times New Roman" w:eastAsia="宋体"/>
          <w:sz w:val="24"/>
          <w:szCs w:val="24"/>
          <w:lang w:val="en-US" w:eastAsia="zh-CN"/>
        </w:rPr>
        <w:t>09</w:t>
      </w:r>
      <w:r>
        <w:rPr>
          <w:rFonts w:ascii="Times New Roman" w:hAnsi="Times New Roman" w:eastAsia="宋体"/>
          <w:sz w:val="24"/>
          <w:szCs w:val="24"/>
        </w:rPr>
        <w:t>月</w:t>
      </w:r>
      <w:r>
        <w:rPr>
          <w:rFonts w:hint="eastAsia" w:ascii="Times New Roman" w:hAnsi="Times New Roman" w:eastAsia="宋体"/>
          <w:sz w:val="24"/>
          <w:szCs w:val="24"/>
          <w:lang w:val="en-US" w:eastAsia="zh-CN"/>
        </w:rPr>
        <w:t>29</w:t>
      </w:r>
      <w:r>
        <w:rPr>
          <w:rFonts w:ascii="Times New Roman" w:hAnsi="Times New Roman" w:eastAsia="宋体"/>
          <w:sz w:val="24"/>
          <w:szCs w:val="24"/>
        </w:rPr>
        <w:t>日，陕西省石油化工工业贸易有限公司</w:t>
      </w:r>
      <w:r>
        <w:rPr>
          <w:rFonts w:hint="eastAsia" w:ascii="Times New Roman" w:hAnsi="Times New Roman" w:eastAsia="宋体"/>
          <w:sz w:val="24"/>
          <w:szCs w:val="24"/>
          <w:lang w:eastAsia="zh-CN"/>
        </w:rPr>
        <w:t>泾阳服务区南加油站</w:t>
      </w:r>
      <w:r>
        <w:rPr>
          <w:rFonts w:ascii="Times New Roman" w:hAnsi="Times New Roman" w:eastAsia="宋体"/>
          <w:sz w:val="24"/>
          <w:szCs w:val="24"/>
        </w:rPr>
        <w:t>在</w:t>
      </w:r>
      <w:r>
        <w:rPr>
          <w:rFonts w:hint="eastAsia" w:ascii="Times New Roman" w:hAnsi="Times New Roman" w:eastAsia="宋体"/>
          <w:sz w:val="24"/>
          <w:szCs w:val="24"/>
          <w:lang w:eastAsia="zh-CN"/>
        </w:rPr>
        <w:t>泾阳服务区</w:t>
      </w:r>
      <w:r>
        <w:rPr>
          <w:rFonts w:ascii="Times New Roman" w:hAnsi="Times New Roman" w:eastAsia="宋体"/>
          <w:sz w:val="24"/>
          <w:szCs w:val="24"/>
        </w:rPr>
        <w:t>主持召开了</w:t>
      </w:r>
      <w:r>
        <w:rPr>
          <w:rFonts w:hint="eastAsia" w:ascii="Times New Roman" w:hAnsi="Times New Roman" w:eastAsia="宋体"/>
          <w:sz w:val="24"/>
          <w:szCs w:val="24"/>
          <w:lang w:eastAsia="zh-CN"/>
        </w:rPr>
        <w:t>“</w:t>
      </w:r>
      <w:r>
        <w:rPr>
          <w:rFonts w:ascii="Times New Roman" w:hAnsi="Times New Roman" w:eastAsia="宋体"/>
          <w:sz w:val="24"/>
          <w:szCs w:val="24"/>
        </w:rPr>
        <w:t>陕西省石油化工工业贸易有限公司</w:t>
      </w:r>
      <w:r>
        <w:rPr>
          <w:rFonts w:hint="eastAsia" w:ascii="Times New Roman" w:hAnsi="Times New Roman" w:eastAsia="宋体"/>
          <w:sz w:val="24"/>
          <w:szCs w:val="24"/>
          <w:lang w:eastAsia="zh-CN"/>
        </w:rPr>
        <w:t>泾阳</w:t>
      </w:r>
      <w:r>
        <w:rPr>
          <w:rFonts w:ascii="Times New Roman" w:hAnsi="Times New Roman" w:eastAsia="宋体"/>
          <w:sz w:val="24"/>
          <w:szCs w:val="24"/>
        </w:rPr>
        <w:t>服务区</w:t>
      </w:r>
      <w:r>
        <w:rPr>
          <w:rFonts w:hint="eastAsia" w:ascii="Times New Roman" w:hAnsi="Times New Roman" w:eastAsia="宋体"/>
          <w:sz w:val="24"/>
          <w:szCs w:val="24"/>
          <w:lang w:eastAsia="zh-CN"/>
        </w:rPr>
        <w:t>南</w:t>
      </w:r>
      <w:r>
        <w:rPr>
          <w:rFonts w:ascii="Times New Roman" w:hAnsi="Times New Roman" w:eastAsia="宋体"/>
          <w:sz w:val="24"/>
          <w:szCs w:val="24"/>
        </w:rPr>
        <w:t>加油站建设项目竣工环境保护验收会</w:t>
      </w:r>
      <w:r>
        <w:rPr>
          <w:rFonts w:hint="eastAsia" w:ascii="Times New Roman" w:hAnsi="Times New Roman" w:eastAsia="宋体"/>
          <w:sz w:val="24"/>
          <w:szCs w:val="24"/>
          <w:lang w:eastAsia="zh-CN"/>
        </w:rPr>
        <w:t>”</w:t>
      </w:r>
      <w:r>
        <w:rPr>
          <w:rFonts w:ascii="Times New Roman" w:hAnsi="Times New Roman" w:eastAsia="宋体"/>
          <w:sz w:val="24"/>
          <w:szCs w:val="24"/>
        </w:rPr>
        <w:t>。参加会议的有：竣工环境保护验收监测报告表编制单位（河北鑫旺工程建设服务有限公司陕西分公司）、</w:t>
      </w:r>
      <w:r>
        <w:rPr>
          <w:rFonts w:hint="eastAsia" w:ascii="Times New Roman" w:hAnsi="Times New Roman" w:eastAsia="宋体"/>
          <w:sz w:val="24"/>
          <w:szCs w:val="24"/>
          <w:lang w:eastAsia="zh-CN"/>
        </w:rPr>
        <w:t>环评单位（西安海浪环保科技有限公司）、</w:t>
      </w:r>
      <w:r>
        <w:rPr>
          <w:rFonts w:ascii="Times New Roman" w:hAnsi="Times New Roman" w:eastAsia="宋体"/>
          <w:sz w:val="24"/>
          <w:szCs w:val="24"/>
        </w:rPr>
        <w:t>设计单位（</w:t>
      </w:r>
      <w:r>
        <w:rPr>
          <w:rFonts w:ascii="Times New Roman" w:hAnsi="Times New Roman" w:eastAsia="宋体"/>
          <w:sz w:val="24"/>
          <w:szCs w:val="24"/>
          <w:highlight w:val="none"/>
        </w:rPr>
        <w:t>陕西宇泰建筑设计有限公司）、施工单位（陕西连腾建工集团有</w:t>
      </w:r>
      <w:r>
        <w:rPr>
          <w:rFonts w:ascii="Times New Roman" w:hAnsi="Times New Roman" w:eastAsia="宋体"/>
          <w:sz w:val="24"/>
          <w:szCs w:val="24"/>
        </w:rPr>
        <w:t>限公司）</w:t>
      </w:r>
      <w:r>
        <w:rPr>
          <w:rFonts w:hint="eastAsia" w:ascii="Times New Roman" w:hAnsi="Times New Roman" w:eastAsia="宋体"/>
          <w:sz w:val="24"/>
          <w:szCs w:val="24"/>
          <w:lang w:eastAsia="zh-CN"/>
        </w:rPr>
        <w:t>、检测单位（陕西安讯环境检测有限公司）</w:t>
      </w:r>
      <w:r>
        <w:rPr>
          <w:rFonts w:ascii="Times New Roman" w:hAnsi="Times New Roman" w:eastAsia="宋体"/>
          <w:sz w:val="24"/>
          <w:szCs w:val="24"/>
        </w:rPr>
        <w:t>等单位的代表及有关专家共</w:t>
      </w:r>
      <w:r>
        <w:rPr>
          <w:rFonts w:hint="eastAsia" w:ascii="Times New Roman" w:hAnsi="Times New Roman" w:eastAsia="宋体"/>
          <w:sz w:val="24"/>
          <w:szCs w:val="24"/>
          <w:lang w:val="en-US" w:eastAsia="zh-CN"/>
        </w:rPr>
        <w:t>10</w:t>
      </w:r>
      <w:r>
        <w:rPr>
          <w:rFonts w:ascii="Times New Roman" w:hAnsi="Times New Roman" w:eastAsia="宋体"/>
          <w:sz w:val="24"/>
          <w:szCs w:val="24"/>
        </w:rPr>
        <w:t>人，会议成立了验收组（名单附后）。</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与会人员现场考察了项目环保设施建设及运行情况，建设单位对项目建设情况做了简要汇报，竣工环境保护验收监测报告表编制单位对竣工环保验收</w:t>
      </w:r>
      <w:r>
        <w:rPr>
          <w:rFonts w:hint="eastAsia" w:ascii="Times New Roman" w:hAnsi="Times New Roman" w:eastAsia="宋体"/>
          <w:sz w:val="24"/>
          <w:szCs w:val="24"/>
          <w:lang w:eastAsia="zh-CN"/>
        </w:rPr>
        <w:t>监</w:t>
      </w:r>
      <w:r>
        <w:rPr>
          <w:rFonts w:ascii="Times New Roman" w:hAnsi="Times New Roman" w:eastAsia="宋体"/>
          <w:sz w:val="24"/>
          <w:szCs w:val="24"/>
        </w:rPr>
        <w:t>测报告内容进行了详细汇报，经过认真讨论形成自主验收意见如下：</w:t>
      </w: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一、项目建设基本情况</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项目名称：陕西省石油化工工业贸易有限公司</w:t>
      </w:r>
      <w:r>
        <w:rPr>
          <w:rFonts w:hint="eastAsia" w:ascii="Times New Roman" w:hAnsi="Times New Roman" w:eastAsia="宋体"/>
          <w:sz w:val="24"/>
          <w:szCs w:val="24"/>
          <w:lang w:eastAsia="zh-CN"/>
        </w:rPr>
        <w:t>泾阳</w:t>
      </w:r>
      <w:r>
        <w:rPr>
          <w:rFonts w:ascii="Times New Roman" w:hAnsi="Times New Roman" w:eastAsia="宋体"/>
          <w:sz w:val="24"/>
          <w:szCs w:val="24"/>
        </w:rPr>
        <w:t>服务区</w:t>
      </w:r>
      <w:r>
        <w:rPr>
          <w:rFonts w:hint="eastAsia" w:ascii="Times New Roman" w:hAnsi="Times New Roman" w:eastAsia="宋体"/>
          <w:sz w:val="24"/>
          <w:szCs w:val="24"/>
          <w:lang w:eastAsia="zh-CN"/>
        </w:rPr>
        <w:t>南</w:t>
      </w:r>
      <w:r>
        <w:rPr>
          <w:rFonts w:ascii="Times New Roman" w:hAnsi="Times New Roman" w:eastAsia="宋体"/>
          <w:sz w:val="24"/>
          <w:szCs w:val="24"/>
        </w:rPr>
        <w:t>加油站建设项目</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项目性质：新建</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投资总额：</w:t>
      </w:r>
      <w:r>
        <w:rPr>
          <w:rFonts w:ascii="Times New Roman" w:hAnsi="Times New Roman"/>
          <w:sz w:val="24"/>
        </w:rPr>
        <w:t>567.75</w:t>
      </w:r>
      <w:r>
        <w:rPr>
          <w:rFonts w:ascii="Times New Roman" w:hAnsi="Times New Roman" w:eastAsia="宋体"/>
          <w:sz w:val="24"/>
          <w:szCs w:val="24"/>
        </w:rPr>
        <w:t>万元</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环保投资：</w:t>
      </w:r>
      <w:r>
        <w:rPr>
          <w:rFonts w:hint="eastAsia" w:ascii="Times New Roman" w:hAnsi="Times New Roman" w:eastAsia="宋体"/>
          <w:sz w:val="24"/>
          <w:lang w:val="en-US" w:eastAsia="zh-CN"/>
        </w:rPr>
        <w:t>35.7</w:t>
      </w:r>
      <w:r>
        <w:rPr>
          <w:rFonts w:ascii="Times New Roman" w:hAnsi="Times New Roman" w:eastAsia="宋体"/>
          <w:sz w:val="24"/>
          <w:szCs w:val="24"/>
        </w:rPr>
        <w:t>万元</w:t>
      </w:r>
    </w:p>
    <w:p>
      <w:pPr>
        <w:spacing w:after="0" w:line="360" w:lineRule="auto"/>
        <w:ind w:firstLine="480" w:firstLineChars="200"/>
        <w:jc w:val="both"/>
        <w:rPr>
          <w:rFonts w:hint="default" w:ascii="Times New Roman" w:hAnsi="Times New Roman" w:eastAsia="宋体" w:cs="Times New Roman"/>
          <w:sz w:val="24"/>
          <w:szCs w:val="24"/>
        </w:rPr>
      </w:pPr>
      <w:r>
        <w:rPr>
          <w:rFonts w:ascii="Times New Roman" w:hAnsi="Times New Roman" w:eastAsia="宋体"/>
          <w:sz w:val="24"/>
          <w:szCs w:val="24"/>
        </w:rPr>
        <w:t>建设地点：</w:t>
      </w:r>
      <w:r>
        <w:rPr>
          <w:rFonts w:hint="eastAsia" w:ascii="Times New Roman" w:hAnsi="Times New Roman" w:eastAsia="宋体" w:cs="Times New Roman"/>
          <w:sz w:val="24"/>
          <w:szCs w:val="24"/>
          <w:lang w:eastAsia="zh-CN"/>
        </w:rPr>
        <w:t>陕西省咸阳市泾阳县西咸北环</w:t>
      </w:r>
      <w:r>
        <w:rPr>
          <w:rFonts w:hint="default" w:ascii="Times New Roman" w:hAnsi="Times New Roman" w:eastAsia="宋体" w:cs="Times New Roman"/>
          <w:sz w:val="24"/>
          <w:szCs w:val="24"/>
        </w:rPr>
        <w:t>高速</w:t>
      </w:r>
      <w:r>
        <w:rPr>
          <w:rFonts w:hint="eastAsia" w:ascii="Times New Roman" w:hAnsi="Times New Roman" w:eastAsia="宋体" w:cs="Times New Roman"/>
          <w:sz w:val="24"/>
          <w:szCs w:val="24"/>
          <w:lang w:eastAsia="zh-CN"/>
        </w:rPr>
        <w:t>泾阳</w:t>
      </w:r>
      <w:r>
        <w:rPr>
          <w:rFonts w:hint="default" w:ascii="Times New Roman" w:hAnsi="Times New Roman" w:eastAsia="宋体" w:cs="Times New Roman"/>
          <w:sz w:val="24"/>
          <w:szCs w:val="24"/>
        </w:rPr>
        <w:t>服务区</w:t>
      </w:r>
      <w:r>
        <w:rPr>
          <w:rFonts w:hint="eastAsia" w:ascii="Times New Roman" w:hAnsi="Times New Roman" w:eastAsia="宋体" w:cs="Times New Roman"/>
          <w:sz w:val="24"/>
          <w:szCs w:val="24"/>
          <w:lang w:eastAsia="zh-CN"/>
        </w:rPr>
        <w:t>南</w:t>
      </w:r>
      <w:r>
        <w:rPr>
          <w:rFonts w:hint="default" w:ascii="Times New Roman" w:hAnsi="Times New Roman" w:eastAsia="宋体" w:cs="Times New Roman"/>
          <w:sz w:val="24"/>
          <w:szCs w:val="24"/>
        </w:rPr>
        <w:t>区</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项目占地面积</w:t>
      </w:r>
      <w:r>
        <w:rPr>
          <w:rFonts w:hint="eastAsia" w:ascii="Times New Roman" w:hAnsi="Times New Roman" w:eastAsia="宋体"/>
          <w:sz w:val="24"/>
          <w:szCs w:val="24"/>
          <w:lang w:val="en-US" w:eastAsia="zh-CN"/>
        </w:rPr>
        <w:t>4800</w:t>
      </w:r>
      <w:r>
        <w:rPr>
          <w:rFonts w:ascii="Times New Roman" w:hAnsi="Times New Roman" w:eastAsia="宋体"/>
          <w:sz w:val="24"/>
          <w:szCs w:val="24"/>
        </w:rPr>
        <w:t>m</w:t>
      </w:r>
      <w:r>
        <w:rPr>
          <w:rFonts w:ascii="Times New Roman" w:hAnsi="Times New Roman" w:eastAsia="宋体"/>
          <w:sz w:val="24"/>
          <w:szCs w:val="24"/>
          <w:vertAlign w:val="superscript"/>
        </w:rPr>
        <w:t>2</w:t>
      </w:r>
      <w:r>
        <w:rPr>
          <w:rFonts w:ascii="Times New Roman" w:hAnsi="Times New Roman" w:eastAsia="宋体"/>
          <w:sz w:val="24"/>
          <w:szCs w:val="24"/>
        </w:rPr>
        <w:t>，建设有站房112.86m</w:t>
      </w:r>
      <w:r>
        <w:rPr>
          <w:rFonts w:ascii="Times New Roman" w:hAnsi="Times New Roman" w:eastAsia="宋体"/>
          <w:sz w:val="24"/>
          <w:szCs w:val="24"/>
          <w:vertAlign w:val="superscript"/>
        </w:rPr>
        <w:t>2</w:t>
      </w:r>
      <w:r>
        <w:rPr>
          <w:rFonts w:ascii="Times New Roman" w:hAnsi="Times New Roman" w:eastAsia="宋体"/>
          <w:sz w:val="24"/>
          <w:szCs w:val="24"/>
        </w:rPr>
        <w:t>，项目共设5个油罐，罐区建设50m</w:t>
      </w:r>
      <w:r>
        <w:rPr>
          <w:rFonts w:ascii="Times New Roman" w:hAnsi="Times New Roman" w:eastAsia="宋体"/>
          <w:sz w:val="24"/>
          <w:szCs w:val="24"/>
          <w:vertAlign w:val="superscript"/>
        </w:rPr>
        <w:t>3</w:t>
      </w:r>
      <w:r>
        <w:rPr>
          <w:rFonts w:ascii="Times New Roman" w:hAnsi="Times New Roman" w:eastAsia="宋体"/>
          <w:sz w:val="24"/>
          <w:szCs w:val="24"/>
        </w:rPr>
        <w:t>SF双层柴油储油罐3台，50m</w:t>
      </w:r>
      <w:r>
        <w:rPr>
          <w:rFonts w:ascii="Times New Roman" w:hAnsi="Times New Roman" w:eastAsia="宋体"/>
          <w:sz w:val="24"/>
          <w:szCs w:val="24"/>
          <w:vertAlign w:val="superscript"/>
        </w:rPr>
        <w:t>3</w:t>
      </w:r>
      <w:r>
        <w:rPr>
          <w:rFonts w:ascii="Times New Roman" w:hAnsi="Times New Roman" w:eastAsia="宋体"/>
          <w:sz w:val="24"/>
          <w:szCs w:val="24"/>
        </w:rPr>
        <w:t>SF双层汽油储油罐2台，属于一级加油站。项目主要经营销售92#汽油、95#汽油、0#柴油、-10#柴油零售业务，油源来自陕西延长石油有限责任公司。</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项目原由陕西高速公路服务有限责任公司投资建设。陕西高速公路服务有限责任公司将</w:t>
      </w:r>
      <w:r>
        <w:rPr>
          <w:rFonts w:hint="eastAsia" w:ascii="Times New Roman" w:hAnsi="Times New Roman" w:eastAsia="宋体"/>
          <w:sz w:val="24"/>
          <w:szCs w:val="24"/>
          <w:lang w:eastAsia="zh-CN"/>
        </w:rPr>
        <w:t>泾阳</w:t>
      </w:r>
      <w:r>
        <w:rPr>
          <w:rFonts w:ascii="Times New Roman" w:hAnsi="Times New Roman" w:eastAsia="宋体"/>
          <w:sz w:val="24"/>
          <w:szCs w:val="24"/>
        </w:rPr>
        <w:t>服务区2座加油站经营权转让给</w:t>
      </w:r>
      <w:r>
        <w:rPr>
          <w:rFonts w:hint="eastAsia" w:ascii="Times New Roman" w:hAnsi="Times New Roman" w:eastAsia="宋体"/>
          <w:sz w:val="24"/>
          <w:szCs w:val="24"/>
          <w:lang w:eastAsia="zh-CN"/>
        </w:rPr>
        <w:t>我公司（</w:t>
      </w:r>
      <w:r>
        <w:rPr>
          <w:rFonts w:ascii="Times New Roman" w:hAnsi="Times New Roman" w:eastAsia="宋体"/>
          <w:sz w:val="24"/>
          <w:szCs w:val="24"/>
        </w:rPr>
        <w:t>陕西省石油化工工业贸易有限公司</w:t>
      </w:r>
      <w:r>
        <w:rPr>
          <w:rFonts w:hint="eastAsia" w:ascii="Times New Roman" w:hAnsi="Times New Roman" w:eastAsia="宋体"/>
          <w:sz w:val="24"/>
          <w:szCs w:val="24"/>
          <w:lang w:eastAsia="zh-CN"/>
        </w:rPr>
        <w:t>）</w:t>
      </w:r>
      <w:r>
        <w:rPr>
          <w:rFonts w:ascii="Times New Roman" w:hAnsi="Times New Roman" w:eastAsia="宋体"/>
          <w:sz w:val="24"/>
          <w:szCs w:val="24"/>
        </w:rPr>
        <w:t>后，我公司严格按照加油站设计与施工规范开始建设，建设过程中未发生环境事件投诉。目前该项目已建成投入运营，各项设施运行情况正常，已具备验收条件。</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本次验收范围为项目建设的主体工程、辅助工程、配套公共设施和环保设施</w:t>
      </w:r>
      <w:r>
        <w:rPr>
          <w:rFonts w:hint="eastAsia" w:ascii="Times New Roman" w:hAnsi="Times New Roman" w:eastAsia="宋体"/>
          <w:sz w:val="24"/>
          <w:szCs w:val="24"/>
          <w:lang w:eastAsia="zh-CN"/>
        </w:rPr>
        <w:t>等</w:t>
      </w:r>
      <w:r>
        <w:rPr>
          <w:rFonts w:ascii="Times New Roman" w:hAnsi="Times New Roman" w:eastAsia="宋体"/>
          <w:sz w:val="24"/>
          <w:szCs w:val="24"/>
        </w:rPr>
        <w:t>。</w:t>
      </w: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二、项目变动情况</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项目实际建设情况，项目建设内容与环评及批复文件总体一致，无变动。</w:t>
      </w: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三、环境保护设施建设情况</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（一）废水</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项目运营期废水主要为生活污水，项目生活</w:t>
      </w:r>
      <w:r>
        <w:rPr>
          <w:rFonts w:hint="eastAsia" w:ascii="Times New Roman" w:hAnsi="Times New Roman" w:eastAsia="宋体"/>
          <w:sz w:val="24"/>
          <w:szCs w:val="24"/>
          <w:lang w:eastAsia="zh-CN"/>
        </w:rPr>
        <w:t>污水</w:t>
      </w:r>
      <w:r>
        <w:rPr>
          <w:rFonts w:ascii="Times New Roman" w:hAnsi="Times New Roman" w:eastAsia="宋体"/>
          <w:sz w:val="24"/>
          <w:szCs w:val="24"/>
        </w:rPr>
        <w:t>依托服务区已建一体化埋地式中水回用膜处理设备处理后，出水回用于服务区场区绿化</w:t>
      </w:r>
      <w:r>
        <w:rPr>
          <w:rFonts w:hint="eastAsia" w:ascii="Times New Roman" w:hAnsi="Times New Roman" w:eastAsia="宋体"/>
          <w:sz w:val="24"/>
          <w:szCs w:val="24"/>
          <w:lang w:eastAsia="zh-CN"/>
        </w:rPr>
        <w:t>及厕所冲水</w:t>
      </w:r>
      <w:r>
        <w:rPr>
          <w:rFonts w:ascii="Times New Roman" w:hAnsi="Times New Roman" w:eastAsia="宋体"/>
          <w:sz w:val="24"/>
          <w:szCs w:val="24"/>
        </w:rPr>
        <w:t>，不外排。</w:t>
      </w:r>
      <w:r>
        <w:rPr>
          <w:rFonts w:hint="eastAsia" w:ascii="Times New Roman" w:hAnsi="Times New Roman" w:eastAsia="宋体"/>
          <w:sz w:val="24"/>
          <w:szCs w:val="24"/>
          <w:lang w:eastAsia="zh-CN"/>
        </w:rPr>
        <w:t>泾阳</w:t>
      </w:r>
      <w:r>
        <w:rPr>
          <w:rFonts w:ascii="Times New Roman" w:hAnsi="Times New Roman" w:eastAsia="宋体"/>
          <w:sz w:val="24"/>
          <w:szCs w:val="24"/>
        </w:rPr>
        <w:t>服务区污水处理系统采取的污水处理工艺为一体化埋地式中水回用膜处理系统</w:t>
      </w:r>
      <w:r>
        <w:rPr>
          <w:rFonts w:hint="eastAsia" w:ascii="Times New Roman" w:hAnsi="Times New Roman" w:eastAsia="宋体"/>
          <w:sz w:val="24"/>
          <w:szCs w:val="24"/>
        </w:rPr>
        <w:t>。</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（二）废气</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项目储罐大小呼吸、加油、卸油过程产生的油气经过三次油气回收系统处理排放。</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（三）噪声</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项目主要噪声源为项目区内来往的机动车行驶产生的交通噪声以及加油机油泵运行时产生的噪声。采取的主要工程措施是设备减振、设置减速带、绿化带降噪等降噪措施，管理措施是车辆低速行驶。</w:t>
      </w:r>
    </w:p>
    <w:p>
      <w:pPr>
        <w:pStyle w:val="2"/>
        <w:numPr>
          <w:ilvl w:val="0"/>
          <w:numId w:val="0"/>
        </w:numPr>
        <w:ind w:right="0" w:rightChars="0" w:firstLine="480" w:firstLineChars="200"/>
        <w:rPr>
          <w:rFonts w:hint="eastAsia" w:ascii="Times New Roman" w:hAnsi="Times New Roman" w:eastAsia="宋体"/>
          <w:sz w:val="24"/>
          <w:szCs w:val="24"/>
          <w:lang w:eastAsia="zh-CN"/>
        </w:rPr>
      </w:pPr>
      <w:r>
        <w:rPr>
          <w:rFonts w:hint="eastAsia" w:ascii="Times New Roman" w:hAnsi="Times New Roman" w:eastAsia="宋体"/>
          <w:sz w:val="24"/>
          <w:szCs w:val="24"/>
          <w:lang w:val="en-US" w:eastAsia="zh-CN"/>
        </w:rPr>
        <w:t>(四)</w:t>
      </w:r>
      <w:r>
        <w:rPr>
          <w:rFonts w:hint="eastAsia" w:ascii="Times New Roman" w:hAnsi="Times New Roman" w:eastAsia="宋体"/>
          <w:sz w:val="24"/>
          <w:szCs w:val="24"/>
          <w:lang w:eastAsia="zh-CN"/>
        </w:rPr>
        <w:t>固废</w:t>
      </w:r>
    </w:p>
    <w:p>
      <w:pPr>
        <w:spacing w:after="0" w:line="360" w:lineRule="auto"/>
        <w:ind w:firstLine="480" w:firstLineChars="200"/>
        <w:jc w:val="both"/>
        <w:rPr>
          <w:rFonts w:hint="eastAsia" w:ascii="Times New Roman" w:hAnsi="Times New Roman" w:eastAsia="宋体"/>
          <w:sz w:val="24"/>
          <w:szCs w:val="24"/>
          <w:lang w:val="en-US" w:eastAsia="zh-CN"/>
        </w:rPr>
      </w:pPr>
      <w:r>
        <w:rPr>
          <w:rFonts w:hint="default" w:ascii="Times New Roman" w:hAnsi="Times New Roman" w:eastAsia="宋体"/>
          <w:sz w:val="24"/>
          <w:szCs w:val="24"/>
        </w:rPr>
        <w:t>本项目产生的固体废物</w:t>
      </w:r>
      <w:r>
        <w:rPr>
          <w:rFonts w:hint="eastAsia" w:ascii="Times New Roman" w:hAnsi="Times New Roman" w:eastAsia="宋体"/>
          <w:sz w:val="24"/>
          <w:szCs w:val="24"/>
          <w:lang w:eastAsia="zh-CN"/>
        </w:rPr>
        <w:t>包括</w:t>
      </w:r>
      <w:r>
        <w:rPr>
          <w:rFonts w:hint="eastAsia" w:ascii="Times New Roman" w:hAnsi="Times New Roman" w:eastAsia="宋体"/>
          <w:sz w:val="24"/>
          <w:szCs w:val="24"/>
          <w:lang w:val="en-US" w:eastAsia="zh-CN"/>
        </w:rPr>
        <w:t>生活垃圾</w:t>
      </w:r>
      <w:r>
        <w:rPr>
          <w:rFonts w:hint="eastAsia" w:ascii="Times New Roman" w:hAnsi="Times New Roman" w:eastAsia="宋体"/>
          <w:sz w:val="24"/>
          <w:szCs w:val="24"/>
          <w:lang w:eastAsia="zh-CN"/>
        </w:rPr>
        <w:t>和危险废物。</w:t>
      </w:r>
      <w:r>
        <w:rPr>
          <w:rFonts w:hint="eastAsia" w:ascii="Times New Roman" w:hAnsi="Times New Roman" w:eastAsia="宋体"/>
          <w:sz w:val="24"/>
          <w:szCs w:val="24"/>
          <w:lang w:val="en-US" w:eastAsia="zh-CN"/>
        </w:rPr>
        <w:t>生活垃圾</w:t>
      </w:r>
      <w:r>
        <w:rPr>
          <w:rFonts w:hint="default" w:ascii="Times New Roman" w:hAnsi="Times New Roman" w:eastAsia="宋体"/>
          <w:sz w:val="24"/>
          <w:szCs w:val="24"/>
        </w:rPr>
        <w:t>主要是员工日常活动及流动人员产生的</w:t>
      </w:r>
      <w:r>
        <w:rPr>
          <w:rFonts w:hint="eastAsia" w:ascii="Times New Roman" w:hAnsi="Times New Roman" w:eastAsia="宋体"/>
          <w:sz w:val="24"/>
          <w:szCs w:val="24"/>
          <w:lang w:val="en-US" w:eastAsia="zh-CN"/>
        </w:rPr>
        <w:t>固体废物，</w:t>
      </w:r>
      <w:r>
        <w:rPr>
          <w:rFonts w:hint="eastAsia" w:ascii="Times New Roman" w:hAnsi="Times New Roman" w:eastAsia="宋体" w:cs="Times New Roman"/>
          <w:sz w:val="24"/>
          <w:szCs w:val="24"/>
          <w:lang w:val="en-US" w:eastAsia="zh-CN" w:bidi="ar-SA"/>
        </w:rPr>
        <w:t>厂区设</w:t>
      </w:r>
      <w:r>
        <w:rPr>
          <w:rFonts w:hint="default" w:ascii="Times New Roman" w:hAnsi="Times New Roman" w:eastAsia="宋体" w:cs="Times New Roman"/>
          <w:sz w:val="24"/>
          <w:szCs w:val="24"/>
          <w:lang w:val="en-US" w:eastAsia="zh-CN" w:bidi="ar-SA"/>
        </w:rPr>
        <w:t>置</w:t>
      </w:r>
      <w:r>
        <w:rPr>
          <w:rFonts w:hint="eastAsia" w:ascii="Times New Roman" w:hAnsi="Times New Roman" w:eastAsia="宋体" w:cs="Times New Roman"/>
          <w:sz w:val="24"/>
          <w:szCs w:val="24"/>
          <w:lang w:val="en-US" w:eastAsia="zh-CN" w:bidi="ar-SA"/>
        </w:rPr>
        <w:t>具盖</w:t>
      </w:r>
      <w:r>
        <w:rPr>
          <w:rFonts w:hint="default" w:ascii="Times New Roman" w:hAnsi="Times New Roman" w:eastAsia="宋体" w:cs="Times New Roman"/>
          <w:sz w:val="24"/>
          <w:szCs w:val="24"/>
          <w:lang w:val="en-US" w:eastAsia="zh-CN" w:bidi="ar-SA"/>
        </w:rPr>
        <w:t>垃圾箱</w:t>
      </w:r>
      <w:r>
        <w:rPr>
          <w:rFonts w:hint="eastAsia" w:ascii="Times New Roman" w:hAnsi="Times New Roman" w:eastAsia="宋体" w:cs="Times New Roman"/>
          <w:sz w:val="24"/>
          <w:szCs w:val="24"/>
          <w:lang w:val="en-US" w:eastAsia="zh-CN" w:bidi="ar-SA"/>
        </w:rPr>
        <w:t>，</w:t>
      </w:r>
      <w:r>
        <w:rPr>
          <w:rFonts w:hint="default" w:ascii="Times New Roman" w:hAnsi="Times New Roman" w:eastAsia="宋体" w:cs="Times New Roman"/>
          <w:sz w:val="24"/>
          <w:szCs w:val="24"/>
          <w:lang w:val="en-US" w:eastAsia="zh-CN" w:bidi="ar-SA"/>
        </w:rPr>
        <w:t>分类收集</w:t>
      </w:r>
      <w:r>
        <w:rPr>
          <w:rFonts w:hint="eastAsia" w:ascii="Times New Roman" w:hAnsi="Times New Roman" w:eastAsia="宋体" w:cs="Times New Roman"/>
          <w:sz w:val="24"/>
          <w:szCs w:val="24"/>
          <w:lang w:val="en-US" w:eastAsia="zh-CN" w:bidi="ar-SA"/>
        </w:rPr>
        <w:t>后</w:t>
      </w:r>
      <w:r>
        <w:rPr>
          <w:rFonts w:hint="default" w:ascii="Times New Roman" w:hAnsi="Times New Roman" w:eastAsia="宋体" w:cs="Times New Roman"/>
          <w:sz w:val="24"/>
          <w:szCs w:val="24"/>
          <w:lang w:val="en-US" w:eastAsia="zh-CN" w:bidi="ar-SA"/>
        </w:rPr>
        <w:t>，交由</w:t>
      </w:r>
      <w:r>
        <w:rPr>
          <w:rFonts w:hint="eastAsia" w:ascii="Times New Roman" w:hAnsi="Times New Roman" w:eastAsia="宋体" w:cs="Times New Roman"/>
          <w:sz w:val="24"/>
          <w:szCs w:val="24"/>
          <w:lang w:val="en-US" w:eastAsia="zh-CN" w:bidi="ar-SA"/>
        </w:rPr>
        <w:t>泾阳</w:t>
      </w:r>
      <w:r>
        <w:rPr>
          <w:rFonts w:hint="default" w:ascii="Times New Roman" w:hAnsi="Times New Roman" w:eastAsia="宋体" w:cs="Times New Roman"/>
          <w:sz w:val="24"/>
          <w:szCs w:val="24"/>
          <w:lang w:val="en-US" w:eastAsia="zh-CN" w:bidi="ar-SA"/>
        </w:rPr>
        <w:t>服务区统一处置</w:t>
      </w:r>
      <w:r>
        <w:rPr>
          <w:rFonts w:hint="eastAsia" w:ascii="Times New Roman" w:hAnsi="Times New Roman" w:eastAsia="宋体" w:cs="Times New Roman"/>
          <w:sz w:val="24"/>
          <w:szCs w:val="24"/>
          <w:lang w:val="en-US" w:eastAsia="zh-CN" w:bidi="ar-SA"/>
        </w:rPr>
        <w:t>；危险废物主要为废油沙、加油设备维修和维护产生的废润滑油、废含油棉纱、废手套和</w:t>
      </w:r>
      <w:r>
        <w:rPr>
          <w:rFonts w:hint="default" w:ascii="Times New Roman" w:hAnsi="Times New Roman" w:eastAsia="宋体" w:cs="Times New Roman"/>
          <w:sz w:val="24"/>
          <w:szCs w:val="24"/>
          <w:lang w:val="en-US" w:eastAsia="zh-CN" w:bidi="ar-SA"/>
        </w:rPr>
        <w:t>油罐</w:t>
      </w:r>
      <w:r>
        <w:rPr>
          <w:rFonts w:hint="eastAsia" w:ascii="Times New Roman" w:hAnsi="Times New Roman" w:eastAsia="宋体" w:cs="Times New Roman"/>
          <w:sz w:val="24"/>
          <w:szCs w:val="24"/>
          <w:lang w:val="en-US" w:eastAsia="zh-CN" w:bidi="ar-SA"/>
        </w:rPr>
        <w:t>清理产生的含油</w:t>
      </w:r>
      <w:r>
        <w:rPr>
          <w:rFonts w:hint="default" w:ascii="Times New Roman" w:hAnsi="Times New Roman" w:eastAsia="宋体" w:cs="Times New Roman"/>
          <w:sz w:val="24"/>
          <w:szCs w:val="24"/>
          <w:lang w:val="en-US" w:eastAsia="zh-CN" w:bidi="ar-SA"/>
        </w:rPr>
        <w:t>油泥</w:t>
      </w:r>
      <w:r>
        <w:rPr>
          <w:rFonts w:hint="eastAsia" w:ascii="Times New Roman" w:hAnsi="Times New Roman" w:eastAsia="宋体" w:cs="Times New Roman"/>
          <w:sz w:val="24"/>
          <w:szCs w:val="24"/>
          <w:lang w:val="en-US" w:eastAsia="zh-CN" w:bidi="ar-SA"/>
        </w:rPr>
        <w:t>。油泥交由清罐单位处置。废油沙、加油设备维修和维护产生的废润滑油、废含油棉纱、废手套置于危废暂存间，交由陕西明瑞资源再生有限公司处置，</w:t>
      </w:r>
      <w:r>
        <w:rPr>
          <w:rFonts w:hint="eastAsia" w:ascii="Times New Roman" w:hAnsi="Times New Roman" w:eastAsia="宋体"/>
          <w:sz w:val="24"/>
          <w:szCs w:val="24"/>
          <w:lang w:val="en-US" w:eastAsia="zh-CN"/>
        </w:rPr>
        <w:t>站区内已建设1座危险废物暂存箱，危废暂存箱采用防渗漏混凝土地台，地台四周进行防水层处理，内部刷涂环氧树脂地坪漆。</w:t>
      </w:r>
    </w:p>
    <w:p>
      <w:pPr>
        <w:pStyle w:val="4"/>
        <w:numPr>
          <w:ilvl w:val="0"/>
          <w:numId w:val="0"/>
        </w:numPr>
        <w:jc w:val="both"/>
        <w:rPr>
          <w:rFonts w:hint="eastAsia"/>
          <w:lang w:eastAsia="zh-CN"/>
        </w:rPr>
      </w:pP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四、验收监测结果</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根据陕西</w:t>
      </w:r>
      <w:r>
        <w:rPr>
          <w:rFonts w:hint="eastAsia" w:ascii="Times New Roman" w:hAnsi="Times New Roman" w:eastAsia="宋体"/>
          <w:sz w:val="24"/>
          <w:szCs w:val="24"/>
          <w:lang w:eastAsia="zh-CN"/>
        </w:rPr>
        <w:t>安讯环境</w:t>
      </w:r>
      <w:r>
        <w:rPr>
          <w:rFonts w:ascii="Times New Roman" w:hAnsi="Times New Roman" w:eastAsia="宋体"/>
          <w:sz w:val="24"/>
          <w:szCs w:val="24"/>
        </w:rPr>
        <w:t>检测有限公司出具的</w:t>
      </w:r>
      <w:r>
        <w:rPr>
          <w:rFonts w:hint="eastAsia" w:ascii="Times New Roman" w:hAnsi="Times New Roman" w:eastAsia="宋体"/>
          <w:sz w:val="24"/>
          <w:szCs w:val="24"/>
          <w:lang w:eastAsia="zh-CN"/>
        </w:rPr>
        <w:t>安讯</w:t>
      </w:r>
      <w:r>
        <w:rPr>
          <w:rFonts w:ascii="Times New Roman" w:hAnsi="Times New Roman" w:eastAsia="宋体"/>
          <w:sz w:val="24"/>
          <w:szCs w:val="24"/>
        </w:rPr>
        <w:t>检测（综）</w:t>
      </w:r>
      <w:r>
        <w:rPr>
          <w:rFonts w:hint="eastAsia" w:ascii="Times New Roman" w:hAnsi="Times New Roman" w:eastAsia="宋体"/>
          <w:sz w:val="24"/>
          <w:szCs w:val="24"/>
          <w:lang w:eastAsia="zh-CN"/>
        </w:rPr>
        <w:t>第</w:t>
      </w:r>
      <w:r>
        <w:rPr>
          <w:rFonts w:ascii="Times New Roman" w:hAnsi="Times New Roman" w:eastAsia="宋体"/>
          <w:sz w:val="24"/>
          <w:szCs w:val="24"/>
        </w:rPr>
        <w:t>20200</w:t>
      </w:r>
      <w:r>
        <w:rPr>
          <w:rFonts w:hint="eastAsia" w:ascii="Times New Roman" w:hAnsi="Times New Roman" w:eastAsia="宋体"/>
          <w:sz w:val="24"/>
          <w:szCs w:val="24"/>
          <w:lang w:val="en-US" w:eastAsia="zh-CN"/>
        </w:rPr>
        <w:t>8007</w:t>
      </w:r>
      <w:r>
        <w:rPr>
          <w:rFonts w:ascii="Times New Roman" w:hAnsi="Times New Roman" w:eastAsia="宋体"/>
          <w:sz w:val="24"/>
          <w:szCs w:val="24"/>
        </w:rPr>
        <w:t>号监测报告，废水排放口各污染因子</w:t>
      </w:r>
      <w:r>
        <w:rPr>
          <w:rFonts w:hint="eastAsia" w:ascii="Times New Roman" w:hAnsi="Times New Roman" w:eastAsia="宋体"/>
          <w:sz w:val="24"/>
          <w:szCs w:val="24"/>
          <w:lang w:eastAsia="zh-CN"/>
        </w:rPr>
        <w:t>日均</w:t>
      </w:r>
      <w:r>
        <w:rPr>
          <w:rFonts w:ascii="Times New Roman" w:hAnsi="Times New Roman" w:eastAsia="宋体"/>
          <w:sz w:val="24"/>
          <w:szCs w:val="24"/>
        </w:rPr>
        <w:t>值均符合《污水综合排放标准》（GB8978-1996）中的一级标准及《城市污水再生利用城市杂用水水质标准》（GB T 18920-2002）中</w:t>
      </w:r>
      <w:r>
        <w:rPr>
          <w:rFonts w:hint="eastAsia" w:ascii="Times New Roman" w:hAnsi="Times New Roman" w:eastAsia="宋体"/>
          <w:sz w:val="24"/>
          <w:szCs w:val="24"/>
          <w:lang w:eastAsia="zh-CN"/>
        </w:rPr>
        <w:t>相关</w:t>
      </w:r>
      <w:r>
        <w:rPr>
          <w:rFonts w:ascii="Times New Roman" w:hAnsi="Times New Roman" w:eastAsia="宋体"/>
          <w:sz w:val="24"/>
          <w:szCs w:val="24"/>
        </w:rPr>
        <w:t>水质标准。</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本项目油气回收装置排放口监控点</w:t>
      </w:r>
      <w:r>
        <w:rPr>
          <w:rFonts w:ascii="Times New Roman" w:hAnsi="Times New Roman" w:eastAsia="宋体"/>
          <w:sz w:val="24"/>
          <w:szCs w:val="24"/>
          <w:highlight w:val="none"/>
        </w:rPr>
        <w:t>非甲烷总烃</w:t>
      </w:r>
      <w:r>
        <w:rPr>
          <w:rFonts w:ascii="Times New Roman" w:hAnsi="Times New Roman" w:eastAsia="宋体"/>
          <w:sz w:val="24"/>
          <w:szCs w:val="24"/>
        </w:rPr>
        <w:t>浓度符合《加油站大气污染物排放标准》（GB20952-2007）限值标准；项目各监测点无组织废气非甲烷总烃浓度均符合《大气污染物综合排放标准》（GB16297-1996）表2中无组织排放监控浓度限值标准。</w:t>
      </w:r>
    </w:p>
    <w:p>
      <w:pPr>
        <w:pStyle w:val="2"/>
        <w:spacing w:line="360" w:lineRule="auto"/>
        <w:ind w:firstLine="480"/>
        <w:rPr>
          <w:rFonts w:ascii="Times New Roman" w:hAnsi="Times New Roman" w:eastAsia="宋体"/>
          <w:sz w:val="24"/>
          <w:szCs w:val="24"/>
        </w:rPr>
      </w:pPr>
      <w:r>
        <w:rPr>
          <w:rFonts w:ascii="Times New Roman" w:hAnsi="Times New Roman" w:eastAsia="宋体"/>
          <w:sz w:val="24"/>
          <w:szCs w:val="24"/>
        </w:rPr>
        <w:t>根据监测结果，</w:t>
      </w:r>
      <w:r>
        <w:rPr>
          <w:rFonts w:hint="eastAsia" w:ascii="Times New Roman" w:hAnsi="Times New Roman" w:eastAsia="宋体"/>
          <w:sz w:val="24"/>
          <w:szCs w:val="24"/>
          <w:lang w:eastAsia="zh-CN"/>
        </w:rPr>
        <w:t>东</w:t>
      </w:r>
      <w:r>
        <w:rPr>
          <w:rFonts w:ascii="Times New Roman" w:hAnsi="Times New Roman" w:eastAsia="宋体"/>
          <w:sz w:val="24"/>
          <w:szCs w:val="24"/>
        </w:rPr>
        <w:t>厂界昼夜间噪声测定值均符合《工业企业厂界环境噪声排放标准》（GB 12348-2008）2类标准，南厂界、北厂界、</w:t>
      </w:r>
      <w:r>
        <w:rPr>
          <w:rFonts w:hint="eastAsia" w:ascii="Times New Roman" w:hAnsi="Times New Roman" w:eastAsia="宋体"/>
          <w:sz w:val="24"/>
          <w:szCs w:val="24"/>
          <w:lang w:eastAsia="zh-CN"/>
        </w:rPr>
        <w:t>西</w:t>
      </w:r>
      <w:r>
        <w:rPr>
          <w:rFonts w:ascii="Times New Roman" w:hAnsi="Times New Roman" w:eastAsia="宋体"/>
          <w:sz w:val="24"/>
          <w:szCs w:val="24"/>
        </w:rPr>
        <w:t>厂界昼夜间噪声测定值均符合《工业企业厂界环境噪声排放标准》（GB 12348-2008）中的4类标准。</w:t>
      </w:r>
    </w:p>
    <w:p>
      <w:pPr>
        <w:pStyle w:val="2"/>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根据现场调查及企业提供资料，</w:t>
      </w:r>
      <w:r>
        <w:rPr>
          <w:rFonts w:ascii="Times New Roman" w:hAnsi="Times New Roman" w:eastAsia="宋体" w:cs="Times New Roman"/>
          <w:sz w:val="24"/>
          <w:szCs w:val="24"/>
        </w:rPr>
        <w:t>本项目产生的固体废物</w:t>
      </w:r>
      <w:r>
        <w:rPr>
          <w:rFonts w:hint="eastAsia" w:ascii="Times New Roman" w:hAnsi="Times New Roman" w:eastAsia="宋体" w:cs="Times New Roman"/>
          <w:sz w:val="24"/>
          <w:szCs w:val="24"/>
        </w:rPr>
        <w:t>包括生活垃圾和危险废物。生活垃圾</w:t>
      </w:r>
      <w:r>
        <w:rPr>
          <w:rFonts w:ascii="Times New Roman" w:hAnsi="Times New Roman" w:eastAsia="宋体" w:cs="Times New Roman"/>
          <w:sz w:val="24"/>
          <w:szCs w:val="24"/>
        </w:rPr>
        <w:t>主要是员工日常活动及流动人员产生的</w:t>
      </w:r>
      <w:r>
        <w:rPr>
          <w:rFonts w:hint="eastAsia" w:ascii="Times New Roman" w:hAnsi="Times New Roman" w:eastAsia="宋体" w:cs="Times New Roman"/>
          <w:sz w:val="24"/>
          <w:szCs w:val="24"/>
        </w:rPr>
        <w:t>固体废物，年产生量为</w:t>
      </w:r>
      <w:r>
        <w:rPr>
          <w:rFonts w:hint="eastAsia" w:ascii="Times New Roman" w:hAnsi="Times New Roman" w:eastAsia="宋体" w:cs="Times New Roman"/>
          <w:sz w:val="24"/>
          <w:szCs w:val="24"/>
          <w:lang w:val="en-US" w:eastAsia="zh-CN"/>
        </w:rPr>
        <w:t>2.80</w:t>
      </w:r>
      <w:r>
        <w:rPr>
          <w:rFonts w:hint="eastAsia" w:ascii="Times New Roman" w:hAnsi="Times New Roman" w:eastAsia="宋体" w:cs="Times New Roman"/>
          <w:sz w:val="24"/>
          <w:szCs w:val="24"/>
        </w:rPr>
        <w:t>t。危险废物主要是废润滑油（0.0</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t/a）、</w:t>
      </w:r>
      <w:r>
        <w:rPr>
          <w:rFonts w:ascii="Times New Roman" w:hAnsi="Times New Roman" w:eastAsia="宋体" w:cs="Times New Roman"/>
          <w:sz w:val="24"/>
          <w:szCs w:val="24"/>
        </w:rPr>
        <w:t>油罐</w:t>
      </w:r>
      <w:r>
        <w:rPr>
          <w:rFonts w:hint="eastAsia" w:ascii="Times New Roman" w:hAnsi="Times New Roman" w:eastAsia="宋体" w:cs="Times New Roman"/>
          <w:sz w:val="24"/>
          <w:szCs w:val="24"/>
        </w:rPr>
        <w:t>底部</w:t>
      </w:r>
      <w:r>
        <w:rPr>
          <w:rFonts w:ascii="Times New Roman" w:hAnsi="Times New Roman" w:eastAsia="宋体" w:cs="Times New Roman"/>
          <w:sz w:val="24"/>
          <w:szCs w:val="24"/>
        </w:rPr>
        <w:t>油泥</w:t>
      </w:r>
      <w:r>
        <w:rPr>
          <w:rFonts w:hint="eastAsia" w:ascii="Times New Roman" w:hAnsi="Times New Roman" w:eastAsia="宋体" w:cs="Times New Roman"/>
          <w:sz w:val="24"/>
          <w:szCs w:val="24"/>
        </w:rPr>
        <w:t>（0.1</w:t>
      </w:r>
      <w:r>
        <w:rPr>
          <w:rFonts w:hint="eastAsia" w:ascii="Times New Roman" w:hAnsi="Times New Roman" w:eastAsia="宋体" w:cs="Times New Roman"/>
          <w:sz w:val="24"/>
          <w:szCs w:val="24"/>
          <w:lang w:val="en-US" w:eastAsia="zh-CN"/>
        </w:rPr>
        <w:t>0</w:t>
      </w:r>
      <w:r>
        <w:rPr>
          <w:rFonts w:hint="eastAsia" w:ascii="Times New Roman" w:hAnsi="Times New Roman" w:eastAsia="宋体" w:cs="Times New Roman"/>
          <w:sz w:val="24"/>
          <w:szCs w:val="24"/>
        </w:rPr>
        <w:t>t/a）、</w:t>
      </w:r>
      <w:r>
        <w:rPr>
          <w:rFonts w:hint="eastAsia" w:ascii="Times New Roman" w:hAnsi="Times New Roman" w:eastAsia="宋体" w:cs="Times New Roman"/>
          <w:sz w:val="24"/>
          <w:szCs w:val="24"/>
          <w:lang w:eastAsia="zh-CN"/>
        </w:rPr>
        <w:t>废含油棉纱、废手套（</w:t>
      </w:r>
      <w:r>
        <w:rPr>
          <w:rFonts w:hint="eastAsia" w:ascii="Times New Roman" w:hAnsi="Times New Roman" w:cs="Times New Roman"/>
          <w:sz w:val="21"/>
          <w:szCs w:val="21"/>
          <w:vertAlign w:val="baseline"/>
          <w:lang w:val="en-US" w:eastAsia="zh-CN"/>
        </w:rPr>
        <w:t>0.002t/a</w:t>
      </w:r>
      <w:r>
        <w:rPr>
          <w:rFonts w:hint="eastAsia" w:ascii="Times New Roman" w:hAnsi="Times New Roman" w:eastAsia="宋体" w:cs="Times New Roman"/>
          <w:sz w:val="24"/>
          <w:szCs w:val="24"/>
          <w:lang w:eastAsia="zh-CN"/>
        </w:rPr>
        <w:t>）、废油沙（</w:t>
      </w:r>
      <w:r>
        <w:rPr>
          <w:rFonts w:hint="eastAsia" w:ascii="Times New Roman" w:hAnsi="Times New Roman" w:eastAsia="宋体" w:cs="Times New Roman"/>
          <w:sz w:val="24"/>
          <w:szCs w:val="24"/>
          <w:lang w:val="en-US" w:eastAsia="zh-CN"/>
        </w:rPr>
        <w:t>0.1t/a</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。生活垃圾分类收集，交由环卫部门统一清运。油罐底部</w:t>
      </w:r>
      <w:r>
        <w:rPr>
          <w:rFonts w:ascii="Times New Roman" w:hAnsi="Times New Roman" w:eastAsia="宋体" w:cs="Times New Roman"/>
          <w:sz w:val="24"/>
          <w:szCs w:val="24"/>
        </w:rPr>
        <w:t>油泥</w:t>
      </w:r>
      <w:r>
        <w:rPr>
          <w:rFonts w:hint="eastAsia" w:ascii="Times New Roman" w:hAnsi="Times New Roman" w:eastAsia="宋体" w:cs="Times New Roman"/>
          <w:sz w:val="24"/>
          <w:szCs w:val="24"/>
        </w:rPr>
        <w:t>交由</w:t>
      </w:r>
      <w:r>
        <w:rPr>
          <w:rFonts w:hint="eastAsia" w:ascii="Times New Roman" w:hAnsi="Times New Roman" w:eastAsia="宋体" w:cs="Times New Roman"/>
          <w:sz w:val="24"/>
          <w:szCs w:val="24"/>
          <w:lang w:eastAsia="zh-CN"/>
        </w:rPr>
        <w:t>清罐公司</w:t>
      </w:r>
      <w:r>
        <w:rPr>
          <w:rFonts w:hint="eastAsia" w:ascii="Times New Roman" w:hAnsi="Times New Roman" w:eastAsia="宋体" w:cs="Times New Roman"/>
          <w:sz w:val="24"/>
          <w:szCs w:val="24"/>
        </w:rPr>
        <w:t>统一处理，不在站内贮存。废润滑油、</w:t>
      </w:r>
      <w:r>
        <w:rPr>
          <w:rFonts w:hint="eastAsia" w:ascii="Times New Roman" w:hAnsi="Times New Roman" w:eastAsia="宋体" w:cs="Times New Roman"/>
          <w:sz w:val="24"/>
          <w:szCs w:val="24"/>
          <w:lang w:eastAsia="zh-CN"/>
        </w:rPr>
        <w:t>废含油棉纱、废手套等</w:t>
      </w:r>
      <w:r>
        <w:rPr>
          <w:rFonts w:ascii="Times New Roman" w:hAnsi="Times New Roman" w:eastAsia="宋体" w:cs="Times New Roman"/>
          <w:sz w:val="24"/>
          <w:szCs w:val="24"/>
        </w:rPr>
        <w:t>暂存于危废暂存间，统一交由陕西明瑞资源再生有限公司处置。</w:t>
      </w:r>
    </w:p>
    <w:p>
      <w:pPr>
        <w:numPr>
          <w:ilvl w:val="0"/>
          <w:numId w:val="1"/>
        </w:num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工程建设对环境的影响</w:t>
      </w:r>
    </w:p>
    <w:p>
      <w:pPr>
        <w:adjustRightInd/>
        <w:snapToGrid/>
        <w:spacing w:after="0" w:line="360" w:lineRule="auto"/>
        <w:ind w:firstLine="480" w:firstLineChars="200"/>
        <w:jc w:val="both"/>
        <w:outlineLvl w:val="0"/>
        <w:rPr>
          <w:rFonts w:ascii="Times New Roman" w:hAnsi="Times New Roman" w:eastAsia="宋体"/>
          <w:b/>
          <w:kern w:val="24"/>
          <w:sz w:val="28"/>
          <w:szCs w:val="28"/>
        </w:rPr>
      </w:pPr>
      <w:r>
        <w:rPr>
          <w:rFonts w:ascii="Times New Roman" w:hAnsi="Times New Roman" w:eastAsia="宋体"/>
          <w:sz w:val="24"/>
          <w:szCs w:val="24"/>
        </w:rPr>
        <w:t>项目运营期废水主要为生活污水，生活污水处理后用于服务区场区绿化</w:t>
      </w:r>
      <w:r>
        <w:rPr>
          <w:rFonts w:hint="eastAsia" w:ascii="Times New Roman" w:hAnsi="Times New Roman" w:eastAsia="宋体"/>
          <w:sz w:val="24"/>
          <w:szCs w:val="24"/>
          <w:lang w:eastAsia="zh-CN"/>
        </w:rPr>
        <w:t>及厕所冲水</w:t>
      </w:r>
      <w:r>
        <w:rPr>
          <w:rFonts w:ascii="Times New Roman" w:hAnsi="Times New Roman" w:eastAsia="宋体"/>
          <w:sz w:val="24"/>
          <w:szCs w:val="24"/>
        </w:rPr>
        <w:t>，不外排。大气污染物主要为在油气灌装（卸油）、储存（静储）、加油等过程中挥发产生的油气（非甲烷总烃）。厂界昼夜间噪声达到国家相关标准要求。</w:t>
      </w:r>
      <w:r>
        <w:rPr>
          <w:rFonts w:hint="eastAsia" w:ascii="Times New Roman" w:hAnsi="Times New Roman" w:eastAsia="宋体"/>
          <w:sz w:val="24"/>
          <w:szCs w:val="24"/>
          <w:lang w:eastAsia="zh-CN"/>
        </w:rPr>
        <w:t>一般固废</w:t>
      </w:r>
      <w:r>
        <w:rPr>
          <w:rFonts w:ascii="Times New Roman" w:hAnsi="Times New Roman" w:eastAsia="宋体"/>
          <w:sz w:val="24"/>
          <w:szCs w:val="24"/>
        </w:rPr>
        <w:t>符合《一般工业固体废物贮存、处置场污染控制标准(GB18599-2001)》及其修改单；危险废物符合《危险废物贮存污染控制标准》（GB18597-2001）中有关要求限值，对周围环境影响较小。</w:t>
      </w: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六、验收结论及后续要求</w:t>
      </w:r>
    </w:p>
    <w:p>
      <w:pPr>
        <w:adjustRightInd/>
        <w:snapToGrid/>
        <w:spacing w:after="0" w:line="360" w:lineRule="auto"/>
        <w:ind w:firstLine="480" w:firstLineChars="200"/>
        <w:jc w:val="both"/>
        <w:outlineLvl w:val="0"/>
        <w:rPr>
          <w:rFonts w:ascii="Times New Roman" w:hAnsi="Times New Roman" w:eastAsia="宋体" w:cs="Times New Roman"/>
          <w:sz w:val="24"/>
          <w:szCs w:val="24"/>
        </w:rPr>
      </w:pPr>
      <w:r>
        <w:rPr>
          <w:rFonts w:ascii="Times New Roman" w:hAnsi="Times New Roman" w:eastAsia="宋体" w:cs="Times New Roman"/>
          <w:sz w:val="24"/>
          <w:szCs w:val="24"/>
          <w:lang w:val="zh-CN"/>
        </w:rPr>
        <w:t>根据对本项目竣工环境保护验收调查结果，</w:t>
      </w:r>
      <w:r>
        <w:rPr>
          <w:rFonts w:ascii="Times New Roman" w:hAnsi="Times New Roman" w:eastAsia="宋体" w:cs="Times New Roman"/>
          <w:sz w:val="24"/>
          <w:szCs w:val="24"/>
        </w:rPr>
        <w:t>陕西省石油化工工业贸易有限公司</w:t>
      </w:r>
      <w:r>
        <w:rPr>
          <w:rFonts w:hint="eastAsia" w:ascii="Times New Roman" w:hAnsi="Times New Roman" w:eastAsia="宋体" w:cs="Times New Roman"/>
          <w:sz w:val="24"/>
          <w:szCs w:val="24"/>
          <w:lang w:eastAsia="zh-CN"/>
        </w:rPr>
        <w:t>泾阳</w:t>
      </w:r>
      <w:r>
        <w:rPr>
          <w:rFonts w:ascii="Times New Roman" w:hAnsi="Times New Roman" w:eastAsia="宋体" w:cs="Times New Roman"/>
          <w:sz w:val="24"/>
          <w:szCs w:val="24"/>
        </w:rPr>
        <w:t>服务区</w:t>
      </w:r>
      <w:r>
        <w:rPr>
          <w:rFonts w:hint="eastAsia" w:ascii="Times New Roman" w:hAnsi="Times New Roman" w:eastAsia="宋体" w:cs="Times New Roman"/>
          <w:sz w:val="24"/>
          <w:szCs w:val="24"/>
          <w:lang w:eastAsia="zh-CN"/>
        </w:rPr>
        <w:t>南</w:t>
      </w:r>
      <w:r>
        <w:rPr>
          <w:rFonts w:ascii="Times New Roman" w:hAnsi="Times New Roman" w:eastAsia="宋体" w:cs="Times New Roman"/>
          <w:sz w:val="24"/>
          <w:szCs w:val="24"/>
        </w:rPr>
        <w:t>加油站建设项目</w:t>
      </w:r>
      <w:r>
        <w:rPr>
          <w:rFonts w:ascii="Times New Roman" w:hAnsi="Times New Roman" w:eastAsia="宋体" w:cs="Times New Roman"/>
          <w:sz w:val="24"/>
          <w:szCs w:val="24"/>
          <w:lang w:val="zh-CN"/>
        </w:rPr>
        <w:t>执行了建设项目环境管理制度，进行了环境影响评价，</w:t>
      </w:r>
      <w:r>
        <w:rPr>
          <w:rFonts w:hint="eastAsia" w:ascii="Times New Roman" w:hAnsi="Times New Roman" w:eastAsia="宋体" w:cs="Times New Roman"/>
          <w:sz w:val="24"/>
          <w:szCs w:val="24"/>
        </w:rPr>
        <w:t>应急预案备案，</w:t>
      </w:r>
      <w:r>
        <w:rPr>
          <w:rFonts w:ascii="Times New Roman" w:hAnsi="Times New Roman" w:eastAsia="宋体" w:cs="Times New Roman"/>
          <w:sz w:val="24"/>
          <w:szCs w:val="24"/>
          <w:lang w:val="zh-CN"/>
        </w:rPr>
        <w:t>批复文件齐全，</w:t>
      </w:r>
      <w:r>
        <w:rPr>
          <w:rFonts w:ascii="Times New Roman" w:hAnsi="Times New Roman" w:eastAsia="宋体"/>
          <w:sz w:val="24"/>
          <w:szCs w:val="24"/>
        </w:rPr>
        <w:t>落实了环评及其批复提出的各项污染防治措施，</w:t>
      </w:r>
      <w:r>
        <w:rPr>
          <w:rFonts w:ascii="Times New Roman" w:hAnsi="Times New Roman" w:eastAsia="宋体" w:cs="Times New Roman"/>
          <w:sz w:val="24"/>
          <w:szCs w:val="24"/>
          <w:lang w:val="zh-CN"/>
        </w:rPr>
        <w:t>基本执行了环境保护</w:t>
      </w:r>
      <w:r>
        <w:rPr>
          <w:rFonts w:hint="eastAsia" w:ascii="Times New Roman" w:hAnsi="Times New Roman" w:eastAsia="宋体" w:cs="Times New Roman"/>
          <w:sz w:val="24"/>
          <w:szCs w:val="24"/>
          <w:lang w:val="zh-CN"/>
        </w:rPr>
        <w:t>“</w:t>
      </w:r>
      <w:r>
        <w:rPr>
          <w:rFonts w:ascii="Times New Roman" w:hAnsi="Times New Roman" w:eastAsia="宋体" w:cs="Times New Roman"/>
          <w:sz w:val="24"/>
          <w:szCs w:val="24"/>
          <w:lang w:val="zh-CN"/>
        </w:rPr>
        <w:t>三同时</w:t>
      </w:r>
      <w:r>
        <w:rPr>
          <w:rFonts w:hint="eastAsia" w:ascii="Times New Roman" w:hAnsi="Times New Roman" w:eastAsia="宋体" w:cs="Times New Roman"/>
          <w:sz w:val="24"/>
          <w:szCs w:val="24"/>
          <w:lang w:val="zh-CN"/>
        </w:rPr>
        <w:t>”</w:t>
      </w:r>
      <w:r>
        <w:rPr>
          <w:rFonts w:ascii="Times New Roman" w:hAnsi="Times New Roman" w:eastAsia="宋体" w:cs="Times New Roman"/>
          <w:sz w:val="24"/>
          <w:szCs w:val="24"/>
          <w:lang w:val="zh-CN"/>
        </w:rPr>
        <w:t>制度。</w:t>
      </w:r>
      <w:r>
        <w:rPr>
          <w:rFonts w:ascii="Times New Roman" w:hAnsi="Times New Roman" w:eastAsia="宋体"/>
          <w:sz w:val="24"/>
          <w:szCs w:val="24"/>
        </w:rPr>
        <w:t>经监测，项目厂界</w:t>
      </w:r>
      <w:r>
        <w:rPr>
          <w:rFonts w:hint="eastAsia" w:ascii="Times New Roman" w:hAnsi="Times New Roman" w:eastAsia="宋体"/>
          <w:sz w:val="24"/>
          <w:szCs w:val="24"/>
          <w:lang w:eastAsia="zh-CN"/>
        </w:rPr>
        <w:t>废气</w:t>
      </w:r>
      <w:r>
        <w:rPr>
          <w:rFonts w:ascii="Times New Roman" w:hAnsi="Times New Roman" w:eastAsia="宋体"/>
          <w:sz w:val="24"/>
          <w:szCs w:val="24"/>
        </w:rPr>
        <w:t>无组织排放、噪声均达到国家相关排放标准要求，生活污水</w:t>
      </w:r>
      <w:r>
        <w:rPr>
          <w:rFonts w:hint="eastAsia" w:ascii="Times New Roman" w:hAnsi="Times New Roman" w:eastAsia="宋体"/>
          <w:sz w:val="24"/>
          <w:szCs w:val="24"/>
          <w:lang w:eastAsia="zh-CN"/>
        </w:rPr>
        <w:t>经处理后</w:t>
      </w:r>
      <w:r>
        <w:rPr>
          <w:rFonts w:ascii="Times New Roman" w:hAnsi="Times New Roman" w:eastAsia="宋体"/>
          <w:sz w:val="24"/>
          <w:szCs w:val="24"/>
        </w:rPr>
        <w:t>均达到国家和地方相关排放标准要求，</w:t>
      </w:r>
      <w:r>
        <w:rPr>
          <w:rFonts w:hint="eastAsia" w:ascii="Times New Roman" w:hAnsi="Times New Roman" w:eastAsia="宋体"/>
          <w:sz w:val="24"/>
          <w:szCs w:val="24"/>
          <w:lang w:eastAsia="zh-CN"/>
        </w:rPr>
        <w:t>固废处置妥当。</w:t>
      </w:r>
      <w:r>
        <w:rPr>
          <w:rFonts w:ascii="Times New Roman" w:hAnsi="Times New Roman" w:eastAsia="宋体" w:cs="Times New Roman"/>
          <w:sz w:val="24"/>
          <w:szCs w:val="24"/>
          <w:lang w:val="zh-CN"/>
        </w:rPr>
        <w:t>因此，本项目符合建设项目竣工环境保护验收的要求</w:t>
      </w:r>
      <w:r>
        <w:rPr>
          <w:rFonts w:hint="eastAsia" w:ascii="Times New Roman" w:hAnsi="Times New Roman" w:eastAsia="宋体" w:cs="Times New Roman"/>
          <w:sz w:val="24"/>
          <w:szCs w:val="24"/>
          <w:lang w:val="zh-CN"/>
        </w:rPr>
        <w:t>，</w:t>
      </w:r>
      <w:r>
        <w:rPr>
          <w:rFonts w:ascii="Times New Roman" w:hAnsi="Times New Roman" w:eastAsia="宋体" w:cs="Times New Roman"/>
          <w:sz w:val="24"/>
          <w:szCs w:val="24"/>
        </w:rPr>
        <w:t>验收工作组同意本项目通过竣工环境保护验收。</w:t>
      </w: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七、后续要求</w:t>
      </w:r>
    </w:p>
    <w:p>
      <w:pPr>
        <w:pStyle w:val="30"/>
        <w:spacing w:line="240" w:lineRule="auto"/>
        <w:ind w:firstLine="170" w:firstLineChars="71"/>
        <w:rPr>
          <w:rFonts w:ascii="Times New Roman" w:hAnsi="Times New Roman" w:eastAsia="宋体"/>
          <w:sz w:val="24"/>
          <w:szCs w:val="24"/>
        </w:rPr>
      </w:pPr>
      <w:r>
        <w:rPr>
          <w:rFonts w:ascii="Times New Roman" w:hAnsi="Times New Roman" w:eastAsia="宋体"/>
          <w:sz w:val="24"/>
          <w:szCs w:val="24"/>
        </w:rPr>
        <w:t>1、加强环保设施运营维护，确保稳定达标排放。</w:t>
      </w:r>
    </w:p>
    <w:p>
      <w:pPr>
        <w:pStyle w:val="30"/>
        <w:spacing w:line="240" w:lineRule="auto"/>
        <w:ind w:firstLine="170" w:firstLineChars="71"/>
        <w:rPr>
          <w:rFonts w:hint="eastAsia" w:ascii="Times New Roman" w:hAnsi="Times New Roman" w:eastAsia="宋体"/>
          <w:sz w:val="24"/>
          <w:szCs w:val="24"/>
        </w:rPr>
      </w:pPr>
      <w:r>
        <w:rPr>
          <w:rFonts w:ascii="Times New Roman" w:hAnsi="Times New Roman" w:eastAsia="宋体"/>
          <w:sz w:val="24"/>
          <w:szCs w:val="24"/>
        </w:rPr>
        <w:t>2、建立</w:t>
      </w:r>
      <w:r>
        <w:rPr>
          <w:rFonts w:hint="eastAsia" w:ascii="Times New Roman" w:hAnsi="Times New Roman" w:eastAsia="宋体"/>
          <w:sz w:val="24"/>
          <w:szCs w:val="24"/>
        </w:rPr>
        <w:t>完善的</w:t>
      </w:r>
      <w:r>
        <w:rPr>
          <w:rFonts w:ascii="Times New Roman" w:hAnsi="Times New Roman" w:eastAsia="宋体"/>
          <w:sz w:val="24"/>
          <w:szCs w:val="24"/>
        </w:rPr>
        <w:t>环保管理制度</w:t>
      </w:r>
      <w:r>
        <w:rPr>
          <w:rFonts w:hint="eastAsia" w:ascii="Times New Roman" w:hAnsi="Times New Roman" w:eastAsia="宋体"/>
          <w:sz w:val="24"/>
          <w:szCs w:val="24"/>
        </w:rPr>
        <w:t>。</w:t>
      </w:r>
    </w:p>
    <w:p>
      <w:pPr>
        <w:pStyle w:val="30"/>
        <w:keepNext w:val="0"/>
        <w:keepLines w:val="0"/>
        <w:pageBreakBefore w:val="0"/>
        <w:widowControl/>
        <w:kinsoku/>
        <w:wordWrap/>
        <w:overflowPunct/>
        <w:topLinePunct w:val="0"/>
        <w:autoSpaceDE/>
        <w:autoSpaceDN/>
        <w:bidi w:val="0"/>
        <w:adjustRightInd w:val="0"/>
        <w:snapToGrid w:val="0"/>
        <w:spacing w:line="360" w:lineRule="auto"/>
        <w:ind w:firstLine="170" w:firstLineChars="71"/>
        <w:textAlignment w:val="auto"/>
        <w:rPr>
          <w:rFonts w:hint="eastAsia" w:ascii="Times New Roman" w:hAnsi="Times New Roman" w:eastAsia="宋体" w:cs="Times New Roman"/>
          <w:sz w:val="24"/>
          <w:szCs w:val="24"/>
          <w:lang w:val="zh-CN" w:eastAsia="zh-CN" w:bidi="ar-SA"/>
        </w:rPr>
      </w:pPr>
      <w:r>
        <w:rPr>
          <w:rFonts w:hint="eastAsia" w:ascii="Times New Roman" w:hAnsi="Times New Roman" w:eastAsia="宋体" w:cs="Times New Roman"/>
          <w:sz w:val="24"/>
          <w:szCs w:val="24"/>
          <w:lang w:val="en-US" w:eastAsia="zh-CN" w:bidi="ar-SA"/>
        </w:rPr>
        <w:t>3、</w:t>
      </w:r>
      <w:r>
        <w:rPr>
          <w:rFonts w:ascii="Times New Roman" w:hAnsi="Times New Roman" w:eastAsia="宋体" w:cs="Times New Roman"/>
          <w:sz w:val="24"/>
          <w:szCs w:val="24"/>
          <w:lang w:val="zh-CN" w:eastAsia="zh-CN" w:bidi="ar-SA"/>
        </w:rPr>
        <w:t>做好</w:t>
      </w:r>
      <w:r>
        <w:rPr>
          <w:rFonts w:hint="eastAsia" w:ascii="Times New Roman" w:hAnsi="Times New Roman" w:eastAsia="宋体" w:cs="Times New Roman"/>
          <w:sz w:val="24"/>
          <w:szCs w:val="24"/>
          <w:lang w:val="zh-CN" w:eastAsia="zh-CN" w:bidi="ar-SA"/>
        </w:rPr>
        <w:t>危险</w:t>
      </w:r>
      <w:r>
        <w:rPr>
          <w:rFonts w:ascii="Times New Roman" w:hAnsi="Times New Roman" w:eastAsia="宋体" w:cs="Times New Roman"/>
          <w:sz w:val="24"/>
          <w:szCs w:val="24"/>
          <w:lang w:val="zh-CN" w:eastAsia="zh-CN" w:bidi="ar-SA"/>
        </w:rPr>
        <w:t>废物及一般固体废物的暂存</w:t>
      </w:r>
      <w:r>
        <w:rPr>
          <w:rFonts w:hint="eastAsia" w:ascii="Times New Roman" w:hAnsi="Times New Roman" w:eastAsia="宋体" w:cs="Times New Roman"/>
          <w:sz w:val="24"/>
          <w:szCs w:val="24"/>
          <w:lang w:val="zh-CN" w:eastAsia="zh-CN" w:bidi="ar-SA"/>
        </w:rPr>
        <w:t>、</w:t>
      </w:r>
      <w:r>
        <w:rPr>
          <w:rFonts w:ascii="Times New Roman" w:hAnsi="Times New Roman" w:eastAsia="宋体" w:cs="Times New Roman"/>
          <w:sz w:val="24"/>
          <w:szCs w:val="24"/>
          <w:lang w:val="zh-CN" w:eastAsia="zh-CN" w:bidi="ar-SA"/>
        </w:rPr>
        <w:t>转运及处置</w:t>
      </w:r>
      <w:r>
        <w:rPr>
          <w:rFonts w:hint="eastAsia" w:ascii="Times New Roman" w:hAnsi="Times New Roman" w:eastAsia="宋体" w:cs="Times New Roman"/>
          <w:sz w:val="24"/>
          <w:szCs w:val="24"/>
          <w:lang w:val="zh-CN" w:eastAsia="zh-CN" w:bidi="ar-SA"/>
        </w:rPr>
        <w:t>，</w:t>
      </w:r>
      <w:r>
        <w:rPr>
          <w:rFonts w:ascii="Times New Roman" w:hAnsi="Times New Roman" w:eastAsia="宋体" w:cs="Times New Roman"/>
          <w:sz w:val="24"/>
          <w:szCs w:val="24"/>
          <w:lang w:val="zh-CN" w:eastAsia="zh-CN" w:bidi="ar-SA"/>
        </w:rPr>
        <w:t>建立完善的转运联单制度</w:t>
      </w:r>
      <w:r>
        <w:rPr>
          <w:rFonts w:hint="eastAsia" w:ascii="Times New Roman" w:hAnsi="Times New Roman" w:eastAsia="宋体" w:cs="Times New Roman"/>
          <w:sz w:val="24"/>
          <w:szCs w:val="24"/>
          <w:lang w:val="zh-CN" w:eastAsia="zh-CN" w:bidi="ar-SA"/>
        </w:rPr>
        <w:t>及台账记录。</w:t>
      </w:r>
    </w:p>
    <w:p>
      <w:pPr>
        <w:adjustRightInd/>
        <w:snapToGrid/>
        <w:spacing w:after="0" w:line="360" w:lineRule="auto"/>
        <w:jc w:val="both"/>
        <w:outlineLvl w:val="0"/>
        <w:rPr>
          <w:rFonts w:ascii="Times New Roman" w:hAnsi="Times New Roman" w:eastAsia="宋体"/>
          <w:b/>
          <w:kern w:val="24"/>
          <w:sz w:val="28"/>
          <w:szCs w:val="28"/>
        </w:rPr>
      </w:pPr>
    </w:p>
    <w:p>
      <w:pPr>
        <w:adjustRightInd/>
        <w:snapToGrid/>
        <w:spacing w:after="0" w:line="360" w:lineRule="auto"/>
        <w:jc w:val="both"/>
        <w:outlineLvl w:val="0"/>
        <w:rPr>
          <w:rFonts w:ascii="Times New Roman" w:hAnsi="Times New Roman" w:eastAsia="宋体"/>
          <w:b/>
          <w:kern w:val="24"/>
          <w:sz w:val="28"/>
          <w:szCs w:val="28"/>
        </w:rPr>
      </w:pPr>
    </w:p>
    <w:p>
      <w:pPr>
        <w:adjustRightInd/>
        <w:snapToGrid/>
        <w:spacing w:after="0" w:line="360" w:lineRule="auto"/>
        <w:jc w:val="both"/>
        <w:outlineLvl w:val="0"/>
        <w:rPr>
          <w:rFonts w:ascii="Times New Roman" w:hAnsi="Times New Roman" w:eastAsia="宋体"/>
          <w:sz w:val="24"/>
          <w:szCs w:val="32"/>
        </w:rPr>
      </w:pPr>
      <w:r>
        <w:rPr>
          <w:rFonts w:ascii="Times New Roman" w:hAnsi="Times New Roman" w:eastAsia="宋体"/>
          <w:b/>
          <w:kern w:val="24"/>
          <w:sz w:val="28"/>
          <w:szCs w:val="28"/>
        </w:rPr>
        <w:t>八、验收组名单附后</w:t>
      </w:r>
    </w:p>
    <w:p>
      <w:pPr>
        <w:pStyle w:val="4"/>
        <w:rPr>
          <w:rFonts w:ascii="Times New Roman" w:hAnsi="Times New Roman" w:eastAsia="宋体"/>
          <w:sz w:val="24"/>
          <w:szCs w:val="32"/>
        </w:rPr>
      </w:pPr>
    </w:p>
    <w:p>
      <w:pPr>
        <w:pStyle w:val="4"/>
        <w:jc w:val="right"/>
        <w:rPr>
          <w:rFonts w:ascii="Times New Roman" w:hAnsi="Times New Roman" w:eastAsia="宋体"/>
          <w:sz w:val="24"/>
          <w:szCs w:val="24"/>
        </w:rPr>
      </w:pPr>
    </w:p>
    <w:p>
      <w:pPr>
        <w:pStyle w:val="4"/>
        <w:jc w:val="right"/>
        <w:rPr>
          <w:rFonts w:ascii="Times New Roman" w:hAnsi="Times New Roman" w:eastAsia="宋体"/>
          <w:sz w:val="24"/>
          <w:szCs w:val="24"/>
        </w:rPr>
      </w:pPr>
    </w:p>
    <w:p>
      <w:pPr>
        <w:pStyle w:val="4"/>
        <w:jc w:val="right"/>
        <w:rPr>
          <w:rFonts w:ascii="Times New Roman" w:hAnsi="Times New Roman" w:eastAsia="宋体"/>
          <w:sz w:val="24"/>
          <w:szCs w:val="24"/>
        </w:rPr>
      </w:pPr>
    </w:p>
    <w:p>
      <w:pPr>
        <w:pStyle w:val="4"/>
        <w:jc w:val="right"/>
        <w:rPr>
          <w:rFonts w:ascii="Times New Roman" w:hAnsi="Times New Roman" w:eastAsia="宋体"/>
          <w:sz w:val="24"/>
          <w:szCs w:val="24"/>
        </w:rPr>
      </w:pPr>
    </w:p>
    <w:p>
      <w:pPr>
        <w:pStyle w:val="4"/>
        <w:jc w:val="right"/>
        <w:rPr>
          <w:rFonts w:ascii="Times New Roman" w:hAnsi="Times New Roman" w:eastAsia="宋体"/>
          <w:sz w:val="24"/>
          <w:szCs w:val="32"/>
        </w:rPr>
      </w:pPr>
      <w:r>
        <w:rPr>
          <w:rFonts w:ascii="Times New Roman" w:hAnsi="Times New Roman" w:eastAsia="宋体"/>
          <w:sz w:val="24"/>
          <w:szCs w:val="24"/>
        </w:rPr>
        <w:t>陕西省石油化工工业贸易有限公司</w:t>
      </w:r>
      <w:r>
        <w:rPr>
          <w:rFonts w:hint="eastAsia" w:ascii="Times New Roman" w:hAnsi="Times New Roman" w:eastAsia="宋体"/>
          <w:sz w:val="24"/>
          <w:szCs w:val="24"/>
          <w:lang w:eastAsia="zh-CN"/>
        </w:rPr>
        <w:t>泾阳</w:t>
      </w:r>
      <w:r>
        <w:rPr>
          <w:rFonts w:ascii="Times New Roman" w:hAnsi="Times New Roman" w:eastAsia="宋体"/>
          <w:sz w:val="24"/>
          <w:szCs w:val="24"/>
        </w:rPr>
        <w:t>服务区</w:t>
      </w:r>
      <w:r>
        <w:rPr>
          <w:rFonts w:hint="eastAsia" w:ascii="Times New Roman" w:hAnsi="Times New Roman" w:eastAsia="宋体"/>
          <w:sz w:val="24"/>
          <w:szCs w:val="24"/>
          <w:lang w:eastAsia="zh-CN"/>
        </w:rPr>
        <w:t>南</w:t>
      </w:r>
      <w:r>
        <w:rPr>
          <w:rFonts w:ascii="Times New Roman" w:hAnsi="Times New Roman" w:eastAsia="宋体"/>
          <w:sz w:val="24"/>
          <w:szCs w:val="24"/>
        </w:rPr>
        <w:t>加油站</w:t>
      </w:r>
    </w:p>
    <w:p>
      <w:pPr>
        <w:pStyle w:val="4"/>
        <w:jc w:val="right"/>
        <w:rPr>
          <w:rFonts w:hint="default"/>
        </w:rPr>
        <w:sectPr>
          <w:pgSz w:w="11906" w:h="16838"/>
          <w:pgMar w:top="1440" w:right="850" w:bottom="1440" w:left="850" w:header="851" w:footer="992" w:gutter="0"/>
          <w:pgBorders>
            <w:top w:val="none" w:sz="0" w:space="0"/>
            <w:left w:val="none" w:sz="0" w:space="0"/>
            <w:bottom w:val="none" w:sz="0" w:space="0"/>
            <w:right w:val="none" w:sz="0" w:space="0"/>
          </w:pgBorders>
          <w:pgNumType w:fmt="decimal"/>
          <w:cols w:space="720" w:num="1"/>
          <w:docGrid w:type="lines" w:linePitch="326" w:charSpace="0"/>
        </w:sectPr>
      </w:pPr>
      <w:r>
        <w:rPr>
          <w:rFonts w:hint="eastAsia" w:ascii="Times New Roman" w:hAnsi="Times New Roman" w:eastAsia="宋体"/>
          <w:sz w:val="24"/>
          <w:szCs w:val="32"/>
          <w:lang w:val="en-US" w:eastAsia="zh-CN"/>
        </w:rPr>
        <w:t>2020年09月29日</w:t>
      </w:r>
    </w:p>
    <w:p>
      <w:pPr>
        <w:pStyle w:val="2"/>
        <w:rPr>
          <w:rFonts w:hint="eastAsia" w:eastAsia="宋体"/>
          <w:lang w:eastAsia="zh-CN"/>
        </w:rPr>
        <w:sectPr>
          <w:pgSz w:w="11906" w:h="16838"/>
          <w:pgMar w:top="1440" w:right="850" w:bottom="1440" w:left="850" w:header="851" w:footer="992" w:gutter="0"/>
          <w:pgBorders>
            <w:top w:val="none" w:sz="0" w:space="0"/>
            <w:left w:val="none" w:sz="0" w:space="0"/>
            <w:bottom w:val="none" w:sz="0" w:space="0"/>
            <w:right w:val="none" w:sz="0" w:space="0"/>
          </w:pgBorders>
          <w:pgNumType w:fmt="decimal"/>
          <w:cols w:space="720" w:num="1"/>
          <w:docGrid w:type="lines" w:linePitch="326" w:charSpace="0"/>
        </w:sectPr>
      </w:pPr>
      <w:r>
        <w:rPr>
          <w:rFonts w:hint="eastAsia" w:eastAsia="宋体"/>
          <w:lang w:eastAsia="zh-CN"/>
        </w:rPr>
        <w:drawing>
          <wp:inline distT="0" distB="0" distL="114300" distR="114300">
            <wp:extent cx="8248650" cy="5828665"/>
            <wp:effectExtent l="0" t="0" r="635" b="0"/>
            <wp:docPr id="52" name="图片 52" descr="南站专家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南站专家签到表"/>
                    <pic:cNvPicPr>
                      <a:picLocks noChangeAspect="1"/>
                    </pic:cNvPicPr>
                  </pic:nvPicPr>
                  <pic:blipFill>
                    <a:blip r:embed="rId10"/>
                    <a:stretch>
                      <a:fillRect/>
                    </a:stretch>
                  </pic:blipFill>
                  <pic:spPr>
                    <a:xfrm rot="16200000">
                      <a:off x="0" y="0"/>
                      <a:ext cx="8248650" cy="5828665"/>
                    </a:xfrm>
                    <a:prstGeom prst="rect">
                      <a:avLst/>
                    </a:prstGeom>
                  </pic:spPr>
                </pic:pic>
              </a:graphicData>
            </a:graphic>
          </wp:inline>
        </w:drawing>
      </w:r>
    </w:p>
    <w:p>
      <w:pPr>
        <w:pStyle w:val="7"/>
        <w:ind w:left="0" w:leftChars="0" w:firstLine="0" w:firstLineChars="0"/>
        <w:rPr>
          <w:rFonts w:hint="eastAsia"/>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inline distT="0" distB="0" distL="114300" distR="114300">
            <wp:extent cx="8590280" cy="6069965"/>
            <wp:effectExtent l="0" t="0" r="6985" b="1270"/>
            <wp:docPr id="53" name="图片 53" descr="20200930093555658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0200930093555658_0002"/>
                    <pic:cNvPicPr>
                      <a:picLocks noChangeAspect="1"/>
                    </pic:cNvPicPr>
                  </pic:nvPicPr>
                  <pic:blipFill>
                    <a:blip r:embed="rId11"/>
                    <a:stretch>
                      <a:fillRect/>
                    </a:stretch>
                  </pic:blipFill>
                  <pic:spPr>
                    <a:xfrm rot="16200000">
                      <a:off x="0" y="0"/>
                      <a:ext cx="8590280" cy="6069965"/>
                    </a:xfrm>
                    <a:prstGeom prst="rect">
                      <a:avLst/>
                    </a:prstGeom>
                  </pic:spPr>
                </pic:pic>
              </a:graphicData>
            </a:graphic>
          </wp:inline>
        </w:drawing>
      </w:r>
    </w:p>
    <w:p>
      <w:pPr>
        <w:spacing w:before="1"/>
        <w:ind w:right="0"/>
        <w:jc w:val="center"/>
        <w:rPr>
          <w:rFonts w:hint="eastAsia" w:ascii="Times New Roman" w:hAnsi="Times New Roman" w:eastAsia="宋体" w:cs="Times New Roman"/>
          <w:b/>
          <w:sz w:val="24"/>
          <w:szCs w:val="24"/>
          <w:lang w:val="en-US" w:eastAsia="zh-CN"/>
        </w:rPr>
      </w:pPr>
      <w:r>
        <w:rPr>
          <w:rFonts w:hint="eastAsia" w:ascii="Times New Roman" w:hAnsi="Times New Roman" w:cs="Times New Roman"/>
          <w:b/>
          <w:sz w:val="24"/>
          <w:szCs w:val="24"/>
          <w:lang w:val="en-US" w:eastAsia="zh-CN"/>
        </w:rPr>
        <w:t>目录</w:t>
      </w:r>
    </w:p>
    <w:p>
      <w:pPr>
        <w:pStyle w:val="1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_Toc16323_WPSOffice_Level1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008d9686-7364-455a-aa4a-02965f188b50}"/>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eastAsia="zh-CN"/>
            </w:rPr>
            <w:t>表</w:t>
          </w:r>
          <w:r>
            <w:rPr>
              <w:rFonts w:hint="default" w:ascii="Times New Roman" w:hAnsi="Times New Roman" w:eastAsia="宋体" w:cs="Times New Roman"/>
              <w:sz w:val="24"/>
              <w:szCs w:val="24"/>
              <w:lang w:val="en-US" w:eastAsia="zh-CN"/>
            </w:rPr>
            <w:t>1  建设项目基本情况及验收依据</w:t>
          </w:r>
        </w:sdtContent>
      </w:sdt>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fldChar w:fldCharType="end"/>
      </w:r>
    </w:p>
    <w:p>
      <w:pPr>
        <w:pStyle w:val="1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_Toc6130_WPSOffice_Level1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b4db02f8-fd9f-4d27-8e68-e0410c349bd0}"/>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2</w:t>
          </w:r>
          <w:r>
            <w:rPr>
              <w:rFonts w:hint="default" w:ascii="Times New Roman" w:hAnsi="Times New Roman" w:eastAsia="宋体" w:cs="Times New Roman"/>
              <w:sz w:val="24"/>
              <w:szCs w:val="24"/>
            </w:rPr>
            <w:t xml:space="preserve">  建设项目工程概况</w:t>
          </w:r>
        </w:sdtContent>
      </w:sdt>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fldChar w:fldCharType="end"/>
      </w:r>
    </w:p>
    <w:p>
      <w:pPr>
        <w:pStyle w:val="1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_Toc21658_WPSOffice_Level1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80647338-d634-4768-98d0-c1ec740d5044}"/>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3  主要污染源、污染物处理和排放</w:t>
          </w:r>
        </w:sdtContent>
      </w:sdt>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4</w:t>
      </w:r>
    </w:p>
    <w:p>
      <w:pPr>
        <w:pStyle w:val="1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_Toc20346_WPSOffice_Level1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876ef055-6334-4791-a674-97960599abd9}"/>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4  建设项目环境影响报告表主要结论及审批部门审批决定</w:t>
          </w:r>
        </w:sdtContent>
      </w:sdt>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1</w:t>
      </w:r>
    </w:p>
    <w:p>
      <w:pPr>
        <w:pStyle w:val="1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_Toc26695_WPSOffice_Level1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96d1e4e3-0c90-4e7b-abfd-6f26a0f89d71}"/>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eastAsia="zh-CN"/>
            </w:rPr>
            <w:t>表</w:t>
          </w:r>
          <w:r>
            <w:rPr>
              <w:rFonts w:hint="default" w:ascii="Times New Roman" w:hAnsi="Times New Roman" w:eastAsia="宋体" w:cs="Times New Roman"/>
              <w:sz w:val="24"/>
              <w:szCs w:val="24"/>
              <w:lang w:val="en-US" w:eastAsia="zh-CN"/>
            </w:rPr>
            <w:t>5  验收监测质量保证及质量控制</w:t>
          </w:r>
        </w:sdtContent>
      </w:sdt>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4</w:t>
      </w:r>
    </w:p>
    <w:p>
      <w:pPr>
        <w:pStyle w:val="1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_Toc28103_WPSOffice_Level1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488cff74-2f1f-45c7-802b-788fe0394693}"/>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6  验收监测内容</w:t>
          </w:r>
        </w:sdtContent>
      </w:sdt>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7</w:t>
      </w:r>
    </w:p>
    <w:p>
      <w:pPr>
        <w:pStyle w:val="1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_Toc26878_WPSOffice_Level1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d7125435-b1f7-4fd5-bdeb-58d04df9c5e3}"/>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7  验收监测期间工况调查及验收监测结果</w:t>
          </w:r>
        </w:sdtContent>
      </w:sdt>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8</w:t>
      </w:r>
    </w:p>
    <w:p>
      <w:pPr>
        <w:pStyle w:val="1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_Toc8675_WPSOffice_Level1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482f9a65-463d-4b73-af01-55aedf688901}"/>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8  验收监测结论</w:t>
          </w:r>
        </w:sdtContent>
      </w:sdt>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1</w:t>
      </w:r>
    </w:p>
    <w:p>
      <w:pPr>
        <w:spacing w:before="1"/>
        <w:ind w:right="0"/>
        <w:jc w:val="left"/>
        <w:rPr>
          <w:rFonts w:hint="default" w:ascii="Times New Roman" w:hAnsi="Times New Roman" w:eastAsia="宋体" w:cs="Times New Roman"/>
          <w:b/>
          <w:sz w:val="24"/>
          <w:szCs w:val="24"/>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附表</w:t>
      </w:r>
      <w:r>
        <w:rPr>
          <w:rFonts w:hint="eastAsia" w:ascii="Times New Roman" w:hAnsi="Times New Roman" w:cs="Times New Roman"/>
          <w:b/>
          <w:sz w:val="24"/>
          <w:szCs w:val="24"/>
          <w:lang w:val="en-US" w:eastAsia="zh-CN"/>
        </w:rPr>
        <w:t xml:space="preserve">  </w:t>
      </w:r>
      <w:r>
        <w:rPr>
          <w:rFonts w:hint="default" w:ascii="Times New Roman" w:hAnsi="Times New Roman" w:eastAsia="宋体" w:cs="Times New Roman"/>
          <w:sz w:val="24"/>
          <w:szCs w:val="24"/>
        </w:rPr>
        <w:t>附表1</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建设项目竣工环境保护</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三同时</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验收登记表</w:t>
      </w:r>
    </w:p>
    <w:p>
      <w:pPr>
        <w:keepNext w:val="0"/>
        <w:keepLines w:val="0"/>
        <w:pageBreakBefore w:val="0"/>
        <w:widowControl w:val="0"/>
        <w:kinsoku/>
        <w:wordWrap/>
        <w:overflowPunct/>
        <w:topLinePunct w:val="0"/>
        <w:autoSpaceDE w:val="0"/>
        <w:autoSpaceDN w:val="0"/>
        <w:bidi w:val="0"/>
        <w:adjustRightInd/>
        <w:snapToGrid/>
        <w:spacing w:before="1" w:line="360" w:lineRule="auto"/>
        <w:ind w:right="0"/>
        <w:jc w:val="left"/>
        <w:textAlignment w:val="auto"/>
        <w:rPr>
          <w:rFonts w:hint="default" w:ascii="Times New Roman" w:hAnsi="Times New Roman" w:eastAsia="宋体" w:cs="Times New Roman"/>
          <w:b/>
          <w:sz w:val="24"/>
          <w:szCs w:val="24"/>
          <w:lang w:val="en-US" w:eastAsia="zh-CN"/>
        </w:rPr>
      </w:pPr>
      <w:bookmarkStart w:id="1" w:name="_Toc22371_WPSOffice_Level1"/>
      <w:r>
        <w:rPr>
          <w:rFonts w:hint="default" w:ascii="Times New Roman" w:hAnsi="Times New Roman" w:eastAsia="宋体" w:cs="Times New Roman"/>
          <w:b/>
          <w:sz w:val="24"/>
          <w:szCs w:val="24"/>
          <w:lang w:val="en-US" w:eastAsia="zh-CN"/>
        </w:rPr>
        <w:t>附图</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bookmarkStart w:id="2" w:name="表1 建设项目基本情况及验收依据"/>
      <w:bookmarkEnd w:id="2"/>
      <w:bookmarkStart w:id="3" w:name="_bookmark0"/>
      <w:bookmarkEnd w:id="3"/>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_Toc16466 </w:instrText>
      </w:r>
      <w:r>
        <w:rPr>
          <w:rFonts w:hint="default" w:ascii="Times New Roman" w:hAnsi="Times New Roman" w:eastAsia="宋体" w:cs="Times New Roman"/>
          <w:sz w:val="24"/>
          <w:szCs w:val="24"/>
          <w:lang w:val="zh-CN" w:eastAsia="zh-CN"/>
        </w:rPr>
        <w:fldChar w:fldCharType="separate"/>
      </w:r>
      <w:r>
        <w:rPr>
          <w:rFonts w:hint="default" w:ascii="Times New Roman" w:hAnsi="Times New Roman" w:eastAsia="宋体" w:cs="Times New Roman"/>
          <w:sz w:val="24"/>
          <w:szCs w:val="24"/>
          <w:lang w:val="en-US" w:eastAsia="zh-CN"/>
        </w:rPr>
        <w:t>附图1  项目地理位置图</w:t>
      </w:r>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_Toc19608 </w:instrText>
      </w:r>
      <w:r>
        <w:rPr>
          <w:rFonts w:hint="default" w:ascii="Times New Roman" w:hAnsi="Times New Roman" w:eastAsia="宋体" w:cs="Times New Roman"/>
          <w:sz w:val="24"/>
          <w:szCs w:val="24"/>
          <w:lang w:val="zh-CN" w:eastAsia="zh-CN"/>
        </w:rPr>
        <w:fldChar w:fldCharType="separate"/>
      </w:r>
      <w:r>
        <w:rPr>
          <w:rFonts w:hint="default" w:ascii="Times New Roman" w:hAnsi="Times New Roman" w:eastAsia="宋体" w:cs="Times New Roman"/>
          <w:sz w:val="24"/>
          <w:szCs w:val="24"/>
          <w:lang w:val="en-US" w:eastAsia="zh-CN"/>
        </w:rPr>
        <w:t>附图2  平面布置图</w:t>
      </w:r>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_Toc3752 </w:instrText>
      </w:r>
      <w:r>
        <w:rPr>
          <w:rFonts w:hint="default" w:ascii="Times New Roman" w:hAnsi="Times New Roman" w:eastAsia="宋体" w:cs="Times New Roman"/>
          <w:sz w:val="24"/>
          <w:szCs w:val="24"/>
          <w:lang w:val="zh-CN" w:eastAsia="zh-CN"/>
        </w:rPr>
        <w:fldChar w:fldCharType="separate"/>
      </w:r>
      <w:r>
        <w:rPr>
          <w:rFonts w:hint="default" w:ascii="Times New Roman" w:hAnsi="Times New Roman" w:eastAsia="宋体" w:cs="Times New Roman"/>
          <w:sz w:val="24"/>
          <w:szCs w:val="24"/>
          <w:lang w:val="en-US" w:eastAsia="zh-CN"/>
        </w:rPr>
        <w:t>附图3  项目四邻关系图</w:t>
      </w:r>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_Toc17853 </w:instrText>
      </w:r>
      <w:r>
        <w:rPr>
          <w:rFonts w:hint="default" w:ascii="Times New Roman" w:hAnsi="Times New Roman" w:eastAsia="宋体" w:cs="Times New Roman"/>
          <w:sz w:val="24"/>
          <w:szCs w:val="24"/>
          <w:lang w:val="zh-CN" w:eastAsia="zh-CN"/>
        </w:rPr>
        <w:fldChar w:fldCharType="separate"/>
      </w:r>
      <w:r>
        <w:rPr>
          <w:rFonts w:hint="default" w:ascii="Times New Roman" w:hAnsi="Times New Roman" w:eastAsia="宋体" w:cs="Times New Roman"/>
          <w:sz w:val="24"/>
          <w:szCs w:val="24"/>
          <w:lang w:val="en-US" w:eastAsia="zh-CN"/>
        </w:rPr>
        <w:t xml:space="preserve">附图4 </w:t>
      </w:r>
      <w:r>
        <w:rPr>
          <w:rFonts w:hint="eastAsia" w:ascii="Times New Roman" w:hAnsi="Times New Roman" w:cs="Times New Roman"/>
          <w:sz w:val="24"/>
          <w:szCs w:val="24"/>
          <w:lang w:val="en-US" w:eastAsia="zh-CN"/>
        </w:rPr>
        <w:t xml:space="preserve"> 环境保护</w:t>
      </w:r>
      <w:r>
        <w:rPr>
          <w:rFonts w:hint="default" w:ascii="Times New Roman" w:hAnsi="Times New Roman" w:eastAsia="宋体" w:cs="Times New Roman"/>
          <w:sz w:val="24"/>
          <w:szCs w:val="24"/>
          <w:lang w:val="en-US" w:eastAsia="zh-CN"/>
        </w:rPr>
        <w:t>目标图</w:t>
      </w:r>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_Toc21217 </w:instrText>
      </w:r>
      <w:r>
        <w:rPr>
          <w:rFonts w:hint="default" w:ascii="Times New Roman" w:hAnsi="Times New Roman" w:eastAsia="宋体" w:cs="Times New Roman"/>
          <w:sz w:val="24"/>
          <w:szCs w:val="24"/>
          <w:lang w:val="zh-CN" w:eastAsia="zh-CN"/>
        </w:rPr>
        <w:fldChar w:fldCharType="separate"/>
      </w:r>
      <w:r>
        <w:rPr>
          <w:rFonts w:hint="default" w:ascii="Times New Roman" w:hAnsi="Times New Roman" w:eastAsia="宋体" w:cs="Times New Roman"/>
          <w:sz w:val="24"/>
          <w:szCs w:val="24"/>
          <w:lang w:val="en-US" w:eastAsia="zh-CN"/>
        </w:rPr>
        <w:t>附图5  项目工艺流程图</w:t>
      </w:r>
      <w:r>
        <w:rPr>
          <w:rFonts w:hint="default" w:ascii="Times New Roman" w:hAnsi="Times New Roman" w:eastAsia="宋体" w:cs="Times New Roman"/>
          <w:sz w:val="24"/>
          <w:szCs w:val="24"/>
          <w:lang w:val="zh-CN" w:eastAsia="zh-CN"/>
        </w:rPr>
        <w:fldChar w:fldCharType="end"/>
      </w:r>
    </w:p>
    <w:p>
      <w:pPr>
        <w:spacing w:before="1"/>
        <w:ind w:right="0"/>
        <w:jc w:val="left"/>
        <w:rPr>
          <w:rFonts w:hint="default" w:ascii="Times New Roman" w:hAnsi="Times New Roman" w:eastAsia="宋体" w:cs="Times New Roman"/>
          <w:b/>
          <w:sz w:val="24"/>
          <w:szCs w:val="24"/>
          <w:lang w:val="en-US" w:eastAsia="zh-CN"/>
        </w:rPr>
      </w:pPr>
      <w:bookmarkStart w:id="4" w:name="_Toc20105_WPSOffice_Level1"/>
      <w:r>
        <w:rPr>
          <w:rFonts w:hint="default" w:ascii="Times New Roman" w:hAnsi="Times New Roman" w:eastAsia="宋体" w:cs="Times New Roman"/>
          <w:b/>
          <w:sz w:val="24"/>
          <w:szCs w:val="24"/>
          <w:lang w:val="en-US" w:eastAsia="zh-CN"/>
        </w:rPr>
        <w:t>附件</w:t>
      </w:r>
      <w:bookmarkEnd w:id="4"/>
    </w:p>
    <w:bookmarkEnd w:id="1"/>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_Toc21952 </w:instrText>
      </w:r>
      <w:r>
        <w:rPr>
          <w:rFonts w:hint="default" w:ascii="Times New Roman" w:hAnsi="Times New Roman" w:eastAsia="宋体" w:cs="Times New Roman"/>
          <w:sz w:val="24"/>
          <w:szCs w:val="24"/>
          <w:lang w:val="zh-CN" w:eastAsia="zh-CN"/>
        </w:rPr>
        <w:fldChar w:fldCharType="separate"/>
      </w:r>
      <w:bookmarkStart w:id="5" w:name="_Toc32199_WPSOffice_Level1"/>
      <w:r>
        <w:rPr>
          <w:rFonts w:hint="default" w:ascii="Times New Roman" w:hAnsi="Times New Roman" w:eastAsia="宋体" w:cs="Times New Roman"/>
          <w:sz w:val="24"/>
          <w:szCs w:val="24"/>
          <w:lang w:val="en-US" w:eastAsia="zh-CN"/>
        </w:rPr>
        <w:t xml:space="preserve">附件1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委托书</w:t>
      </w:r>
      <w:bookmarkEnd w:id="5"/>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_Toc18928 </w:instrText>
      </w:r>
      <w:r>
        <w:rPr>
          <w:rFonts w:hint="default" w:ascii="Times New Roman" w:hAnsi="Times New Roman" w:eastAsia="宋体" w:cs="Times New Roman"/>
          <w:sz w:val="24"/>
          <w:szCs w:val="24"/>
          <w:lang w:val="zh-CN" w:eastAsia="zh-CN"/>
        </w:rPr>
        <w:fldChar w:fldCharType="separate"/>
      </w:r>
      <w:bookmarkStart w:id="6" w:name="_Toc24300_WPSOffice_Level1"/>
      <w:r>
        <w:rPr>
          <w:rFonts w:hint="default" w:ascii="Times New Roman" w:hAnsi="Times New Roman" w:eastAsia="宋体" w:cs="Times New Roman"/>
          <w:sz w:val="24"/>
          <w:szCs w:val="24"/>
          <w:lang w:val="en-US" w:eastAsia="zh-CN"/>
        </w:rPr>
        <w:t xml:space="preserve">附件2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营业执照</w:t>
      </w:r>
      <w:bookmarkEnd w:id="6"/>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1440" w:leftChars="218" w:hanging="960" w:hangingChars="4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zh-CN" w:eastAsia="zh-CN"/>
        </w:rPr>
        <w:t>附件</w:t>
      </w:r>
      <w:r>
        <w:rPr>
          <w:rFonts w:hint="eastAsia" w:ascii="Times New Roman" w:hAnsi="Times New Roman" w:cs="Times New Roman"/>
          <w:sz w:val="24"/>
          <w:szCs w:val="24"/>
          <w:lang w:val="en-US" w:eastAsia="zh-CN"/>
        </w:rPr>
        <w:t>3   陕西省环境保护厅关于省级高速公路西咸北环线工程环境影响报告书的批复</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1440" w:leftChars="218" w:hanging="960" w:hangingChars="4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附件4   陕西省环境保护厅关于西咸北环线高速公路项目（重大变动）环境影响报告书的批复</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1440" w:leftChars="218" w:hanging="960" w:hangingChars="400"/>
        <w:textAlignment w:val="auto"/>
        <w:rPr>
          <w:rFonts w:hint="default" w:ascii="Times New Roman" w:hAnsi="Times New Roman" w:cs="Times New Roman"/>
          <w:sz w:val="24"/>
          <w:szCs w:val="24"/>
          <w:lang w:val="zh-CN" w:eastAsia="zh-CN"/>
        </w:rPr>
      </w:pPr>
      <w:r>
        <w:rPr>
          <w:rFonts w:hint="eastAsia" w:ascii="Times New Roman" w:hAnsi="Times New Roman" w:cs="Times New Roman"/>
          <w:sz w:val="24"/>
          <w:szCs w:val="24"/>
          <w:lang w:val="zh-CN" w:eastAsia="zh-CN"/>
        </w:rPr>
        <w:t>附件</w:t>
      </w:r>
      <w:r>
        <w:rPr>
          <w:rFonts w:hint="eastAsia" w:ascii="Times New Roman" w:hAnsi="Times New Roman" w:cs="Times New Roman"/>
          <w:sz w:val="24"/>
          <w:szCs w:val="24"/>
          <w:lang w:val="en-US" w:eastAsia="zh-CN"/>
        </w:rPr>
        <w:t>5   关于陕西省石油化工工业贸易有限公司泾阳服务区南</w:t>
      </w:r>
      <w:r>
        <w:rPr>
          <w:rFonts w:hint="eastAsia" w:ascii="Times New Roman" w:hAnsi="Times New Roman" w:cs="Times New Roman"/>
          <w:sz w:val="24"/>
          <w:szCs w:val="24"/>
          <w:lang w:val="zh-CN" w:eastAsia="zh-CN"/>
        </w:rPr>
        <w:t>加油站建设项目环境影响报告表的批复</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_Toc15169 </w:instrText>
      </w:r>
      <w:r>
        <w:rPr>
          <w:rFonts w:hint="default" w:ascii="Times New Roman" w:hAnsi="Times New Roman" w:eastAsia="宋体" w:cs="Times New Roman"/>
          <w:sz w:val="24"/>
          <w:szCs w:val="24"/>
          <w:lang w:val="zh-CN" w:eastAsia="zh-CN"/>
        </w:rPr>
        <w:fldChar w:fldCharType="separate"/>
      </w:r>
      <w:bookmarkStart w:id="7" w:name="_Toc1232_WPSOffice_Level1"/>
      <w:r>
        <w:rPr>
          <w:rFonts w:hint="default" w:ascii="Times New Roman" w:hAnsi="Times New Roman" w:eastAsia="宋体" w:cs="Times New Roman"/>
          <w:sz w:val="24"/>
          <w:szCs w:val="24"/>
          <w:lang w:val="en-US" w:eastAsia="zh-CN"/>
        </w:rPr>
        <w:t>附件</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 xml:space="preserve">  </w:t>
      </w:r>
      <w:bookmarkEnd w:id="7"/>
      <w:r>
        <w:rPr>
          <w:rFonts w:hint="default" w:ascii="Times New Roman" w:hAnsi="Times New Roman" w:eastAsia="宋体" w:cs="Times New Roman"/>
          <w:sz w:val="24"/>
          <w:szCs w:val="24"/>
          <w:lang w:val="zh-CN" w:eastAsia="zh-CN"/>
        </w:rPr>
        <w:fldChar w:fldCharType="end"/>
      </w:r>
      <w:r>
        <w:rPr>
          <w:rFonts w:hint="eastAsia" w:ascii="Times New Roman" w:hAnsi="Times New Roman" w:cs="Times New Roman"/>
          <w:sz w:val="24"/>
          <w:szCs w:val="24"/>
          <w:lang w:val="en-US" w:eastAsia="zh-CN"/>
        </w:rPr>
        <w:t xml:space="preserve"> 监测报告</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en-US" w:eastAsia="zh-CN"/>
        </w:rPr>
      </w:pPr>
      <w:bookmarkStart w:id="8" w:name="_Toc20695_WPSOffice_Level1"/>
      <w:r>
        <w:rPr>
          <w:rFonts w:hint="default" w:ascii="Times New Roman" w:hAnsi="Times New Roman" w:eastAsia="宋体" w:cs="Times New Roman"/>
          <w:sz w:val="24"/>
          <w:szCs w:val="24"/>
          <w:lang w:val="zh-CN" w:eastAsia="zh-CN"/>
        </w:rPr>
        <w:t>附件</w:t>
      </w: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lang w:val="en-US" w:eastAsia="zh-CN"/>
        </w:rPr>
        <w:t xml:space="preserve">  </w:t>
      </w:r>
      <w:bookmarkEnd w:id="8"/>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危险废物处置协议</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附件8   危废废物委托处置合同</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附件9   危化证</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附件10  陕西明瑞营业执照</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附件11  陕西危废经营许可证</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附件12  企事业单位</w:t>
      </w:r>
      <w:r>
        <w:rPr>
          <w:rFonts w:hint="default" w:ascii="Times New Roman" w:hAnsi="Times New Roman" w:eastAsia="宋体" w:cs="Times New Roman"/>
          <w:sz w:val="24"/>
          <w:szCs w:val="24"/>
          <w:lang w:val="en-US" w:eastAsia="zh-CN"/>
        </w:rPr>
        <w:t>突发环境事件应急预案备案表</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eastAsia" w:ascii="Times New Roman" w:hAnsi="Times New Roman" w:eastAsia="宋体" w:cs="Times New Roman"/>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Times New Roman" w:hAnsi="Times New Roman" w:eastAsia="宋体" w:cs="Times New Roman"/>
          <w:sz w:val="24"/>
          <w:szCs w:val="24"/>
          <w:lang w:val="en-US" w:eastAsia="zh-CN"/>
        </w:rPr>
        <w:t>附件13   双层油罐产品合格证</w:t>
      </w:r>
    </w:p>
    <w:p>
      <w:pPr>
        <w:pStyle w:val="7"/>
        <w:ind w:left="0" w:leftChars="0" w:firstLine="0" w:firstLineChars="0"/>
        <w:rPr>
          <w:rFonts w:hint="eastAsia" w:ascii="黑体" w:hAnsi="黑体" w:eastAsia="黑体" w:cs="黑体"/>
          <w:b w:val="0"/>
          <w:bCs w:val="0"/>
          <w:sz w:val="28"/>
          <w:szCs w:val="28"/>
        </w:rPr>
      </w:pPr>
      <w:r>
        <w:rPr>
          <w:rFonts w:hint="eastAsia" w:ascii="黑体" w:hAnsi="黑体" w:eastAsia="黑体" w:cs="黑体"/>
          <w:b w:val="0"/>
          <w:bCs w:val="0"/>
          <w:sz w:val="28"/>
          <w:szCs w:val="28"/>
        </w:rPr>
        <w:t>表</w:t>
      </w:r>
      <w:r>
        <w:rPr>
          <w:rFonts w:hint="eastAsia" w:ascii="黑体" w:hAnsi="黑体" w:eastAsia="黑体" w:cs="黑体"/>
          <w:b w:val="0"/>
          <w:bCs w:val="0"/>
          <w:sz w:val="28"/>
          <w:szCs w:val="28"/>
          <w:lang w:val="en-US" w:eastAsia="zh-CN"/>
        </w:rPr>
        <w:t xml:space="preserve"> </w:t>
      </w:r>
      <w:r>
        <w:rPr>
          <w:rFonts w:hint="eastAsia" w:ascii="黑体" w:hAnsi="黑体" w:eastAsia="黑体" w:cs="黑体"/>
          <w:b w:val="0"/>
          <w:bCs w:val="0"/>
          <w:sz w:val="28"/>
          <w:szCs w:val="28"/>
        </w:rPr>
        <w:t>1</w:t>
      </w:r>
      <w:r>
        <w:rPr>
          <w:rFonts w:hint="eastAsia" w:ascii="黑体" w:hAnsi="黑体" w:eastAsia="黑体" w:cs="黑体"/>
          <w:b w:val="0"/>
          <w:bCs w:val="0"/>
          <w:sz w:val="28"/>
          <w:szCs w:val="28"/>
          <w:lang w:val="en-US" w:eastAsia="zh-CN"/>
        </w:rPr>
        <w:t xml:space="preserve"> </w:t>
      </w:r>
      <w:r>
        <w:rPr>
          <w:rFonts w:hint="eastAsia" w:ascii="黑体" w:hAnsi="黑体" w:eastAsia="黑体" w:cs="黑体"/>
          <w:b w:val="0"/>
          <w:bCs w:val="0"/>
          <w:sz w:val="28"/>
          <w:szCs w:val="28"/>
        </w:rPr>
        <w:t>建设项目基本情况及验收依据</w:t>
      </w:r>
    </w:p>
    <w:tbl>
      <w:tblPr>
        <w:tblStyle w:val="16"/>
        <w:tblW w:w="950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7"/>
        <w:gridCol w:w="3033"/>
        <w:gridCol w:w="1895"/>
        <w:gridCol w:w="823"/>
        <w:gridCol w:w="916"/>
        <w:gridCol w:w="13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jc w:val="center"/>
        </w:trPr>
        <w:tc>
          <w:tcPr>
            <w:tcW w:w="1517" w:type="dxa"/>
            <w:vAlign w:val="center"/>
          </w:tcPr>
          <w:p>
            <w:pPr>
              <w:pStyle w:val="20"/>
              <w:spacing w:before="80"/>
              <w:jc w:val="center"/>
              <w:rPr>
                <w:rFonts w:hint="default" w:ascii="Times New Roman" w:hAnsi="Times New Roman" w:cs="Times New Roman"/>
                <w:sz w:val="24"/>
              </w:rPr>
            </w:pPr>
            <w:r>
              <w:rPr>
                <w:rFonts w:hint="default" w:ascii="Times New Roman" w:hAnsi="Times New Roman" w:cs="Times New Roman"/>
                <w:sz w:val="24"/>
              </w:rPr>
              <w:t>建设项目名称</w:t>
            </w:r>
          </w:p>
        </w:tc>
        <w:tc>
          <w:tcPr>
            <w:tcW w:w="7988" w:type="dxa"/>
            <w:gridSpan w:val="5"/>
            <w:vAlign w:val="center"/>
          </w:tcPr>
          <w:p>
            <w:pPr>
              <w:pStyle w:val="20"/>
              <w:spacing w:before="80"/>
              <w:ind w:left="163" w:right="155"/>
              <w:jc w:val="center"/>
              <w:rPr>
                <w:rFonts w:hint="default" w:ascii="Times New Roman" w:hAnsi="Times New Roman" w:cs="Times New Roman"/>
                <w:sz w:val="24"/>
              </w:rPr>
            </w:pPr>
            <w:r>
              <w:rPr>
                <w:rFonts w:ascii="Times New Roman" w:hAnsi="Times New Roman" w:eastAsia="宋体" w:cs="Times New Roman"/>
                <w:sz w:val="24"/>
              </w:rPr>
              <w:t>陕西省石油化工工业贸易公司泾阳服务区</w:t>
            </w:r>
            <w:r>
              <w:rPr>
                <w:rFonts w:hint="eastAsia" w:ascii="Times New Roman" w:hAnsi="Times New Roman" w:cs="Times New Roman"/>
                <w:sz w:val="24"/>
                <w:lang w:eastAsia="zh-CN"/>
              </w:rPr>
              <w:t>南</w:t>
            </w:r>
            <w:r>
              <w:rPr>
                <w:rFonts w:ascii="Times New Roman" w:hAnsi="Times New Roman" w:eastAsia="宋体" w:cs="Times New Roman"/>
                <w:sz w:val="24"/>
              </w:rPr>
              <w:t>加油站</w:t>
            </w:r>
            <w:r>
              <w:rPr>
                <w:rFonts w:hint="eastAsia" w:ascii="Times New Roman" w:hAnsi="Times New Roman" w:eastAsia="宋体" w:cs="Times New Roman"/>
                <w:sz w:val="24"/>
                <w:lang w:eastAsia="zh-CN"/>
              </w:rPr>
              <w:t>建设</w:t>
            </w:r>
            <w:r>
              <w:rPr>
                <w:rFonts w:ascii="Times New Roman" w:hAnsi="Times New Roman" w:eastAsia="宋体" w:cs="Times New Roman"/>
                <w:sz w:val="24"/>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20"/>
              <w:spacing w:before="82"/>
              <w:jc w:val="center"/>
              <w:rPr>
                <w:rFonts w:hint="default" w:ascii="Times New Roman" w:hAnsi="Times New Roman" w:cs="Times New Roman"/>
                <w:sz w:val="24"/>
              </w:rPr>
            </w:pPr>
            <w:r>
              <w:rPr>
                <w:rFonts w:hint="default" w:ascii="Times New Roman" w:hAnsi="Times New Roman" w:cs="Times New Roman"/>
                <w:sz w:val="24"/>
              </w:rPr>
              <w:t>建设单位名称</w:t>
            </w:r>
          </w:p>
        </w:tc>
        <w:tc>
          <w:tcPr>
            <w:tcW w:w="7988" w:type="dxa"/>
            <w:gridSpan w:val="5"/>
            <w:vAlign w:val="center"/>
          </w:tcPr>
          <w:p>
            <w:pPr>
              <w:pStyle w:val="20"/>
              <w:spacing w:before="82"/>
              <w:jc w:val="center"/>
              <w:rPr>
                <w:rFonts w:hint="default" w:ascii="Times New Roman" w:hAnsi="Times New Roman" w:cs="Times New Roman"/>
                <w:sz w:val="24"/>
              </w:rPr>
            </w:pPr>
            <w:r>
              <w:rPr>
                <w:rFonts w:hint="default" w:ascii="Times New Roman" w:hAnsi="Times New Roman" w:cs="Times New Roman"/>
                <w:sz w:val="24"/>
              </w:rPr>
              <w:t>陕西省石油化工工业贸易公司泾阳服务区</w:t>
            </w:r>
            <w:r>
              <w:rPr>
                <w:rFonts w:hint="eastAsia" w:ascii="Times New Roman" w:hAnsi="Times New Roman" w:cs="Times New Roman"/>
                <w:sz w:val="24"/>
                <w:lang w:eastAsia="zh-CN"/>
              </w:rPr>
              <w:t>南</w:t>
            </w:r>
            <w:r>
              <w:rPr>
                <w:rFonts w:hint="default" w:ascii="Times New Roman" w:hAnsi="Times New Roman" w:cs="Times New Roman"/>
                <w:sz w:val="24"/>
              </w:rPr>
              <w:t>加油站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20"/>
              <w:spacing w:before="81"/>
              <w:jc w:val="center"/>
              <w:rPr>
                <w:rFonts w:hint="default" w:ascii="Times New Roman" w:hAnsi="Times New Roman" w:cs="Times New Roman"/>
                <w:sz w:val="24"/>
              </w:rPr>
            </w:pPr>
            <w:r>
              <w:rPr>
                <w:rFonts w:hint="default" w:ascii="Times New Roman" w:hAnsi="Times New Roman" w:cs="Times New Roman"/>
                <w:sz w:val="24"/>
              </w:rPr>
              <w:t>建设单位性质</w:t>
            </w:r>
          </w:p>
        </w:tc>
        <w:tc>
          <w:tcPr>
            <w:tcW w:w="7988" w:type="dxa"/>
            <w:gridSpan w:val="5"/>
            <w:vAlign w:val="center"/>
          </w:tcPr>
          <w:p>
            <w:pPr>
              <w:pStyle w:val="20"/>
              <w:tabs>
                <w:tab w:val="left" w:pos="1683"/>
                <w:tab w:val="left" w:pos="2883"/>
                <w:tab w:val="left" w:pos="3843"/>
                <w:tab w:val="left" w:pos="4803"/>
              </w:tabs>
              <w:spacing w:before="81"/>
              <w:jc w:val="center"/>
              <w:rPr>
                <w:rFonts w:hint="default" w:ascii="Times New Roman" w:hAnsi="Times New Roman" w:cs="Times New Roman"/>
                <w:sz w:val="24"/>
              </w:rPr>
            </w:pPr>
            <w:r>
              <w:rPr>
                <w:rFonts w:hint="default" w:ascii="Times New Roman" w:hAnsi="Times New Roman" w:cs="Times New Roman"/>
                <w:sz w:val="24"/>
              </w:rPr>
              <w:t>新建</w:t>
            </w:r>
            <w:r>
              <w:rPr>
                <w:rFonts w:hint="default" w:ascii="Times New Roman" w:hAnsi="Times New Roman" w:eastAsia="Arial" w:cs="Times New Roman"/>
                <w:sz w:val="24"/>
              </w:rPr>
              <w:t>√</w:t>
            </w:r>
            <w:r>
              <w:rPr>
                <w:rFonts w:hint="default" w:ascii="Times New Roman" w:hAnsi="Times New Roman" w:cs="Times New Roman"/>
                <w:sz w:val="24"/>
                <w:lang w:val="en-US" w:eastAsia="zh-CN"/>
              </w:rPr>
              <w:t xml:space="preserve">         </w:t>
            </w:r>
            <w:r>
              <w:rPr>
                <w:rFonts w:hint="default" w:ascii="Times New Roman" w:hAnsi="Times New Roman" w:cs="Times New Roman"/>
                <w:sz w:val="24"/>
              </w:rPr>
              <w:t>改扩建</w:t>
            </w:r>
            <w:r>
              <w:rPr>
                <w:rFonts w:hint="default" w:ascii="Times New Roman" w:hAnsi="Times New Roman" w:cs="Times New Roman"/>
                <w:sz w:val="24"/>
                <w:lang w:val="en-US" w:eastAsia="zh-CN"/>
              </w:rPr>
              <w:t xml:space="preserve">        </w:t>
            </w:r>
            <w:r>
              <w:rPr>
                <w:rFonts w:hint="default" w:ascii="Times New Roman" w:hAnsi="Times New Roman" w:cs="Times New Roman"/>
                <w:sz w:val="24"/>
              </w:rPr>
              <w:t>技改</w:t>
            </w:r>
            <w:r>
              <w:rPr>
                <w:rFonts w:hint="default" w:ascii="Times New Roman" w:hAnsi="Times New Roman" w:cs="Times New Roman"/>
                <w:sz w:val="24"/>
                <w:lang w:val="en-US" w:eastAsia="zh-CN"/>
              </w:rPr>
              <w:t xml:space="preserve">        </w:t>
            </w:r>
            <w:r>
              <w:rPr>
                <w:rFonts w:hint="default" w:ascii="Times New Roman" w:hAnsi="Times New Roman" w:cs="Times New Roman"/>
                <w:sz w:val="24"/>
              </w:rPr>
              <w:t>迁建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5" w:hRule="atLeast"/>
          <w:jc w:val="center"/>
        </w:trPr>
        <w:tc>
          <w:tcPr>
            <w:tcW w:w="1517" w:type="dxa"/>
            <w:vAlign w:val="center"/>
          </w:tcPr>
          <w:p>
            <w:pPr>
              <w:pStyle w:val="20"/>
              <w:jc w:val="center"/>
              <w:rPr>
                <w:rFonts w:hint="default" w:ascii="Times New Roman" w:hAnsi="Times New Roman" w:cs="Times New Roman"/>
                <w:sz w:val="24"/>
              </w:rPr>
            </w:pPr>
            <w:r>
              <w:rPr>
                <w:rFonts w:hint="default" w:ascii="Times New Roman" w:hAnsi="Times New Roman" w:eastAsia="宋体" w:cs="Times New Roman"/>
                <w:sz w:val="24"/>
              </w:rPr>
              <w:t>建设地点</w:t>
            </w:r>
          </w:p>
        </w:tc>
        <w:tc>
          <w:tcPr>
            <w:tcW w:w="7988" w:type="dxa"/>
            <w:gridSpan w:val="5"/>
            <w:vAlign w:val="center"/>
          </w:tcPr>
          <w:p>
            <w:pPr>
              <w:pStyle w:val="20"/>
              <w:keepNext w:val="0"/>
              <w:keepLines w:val="0"/>
              <w:pageBreakBefore w:val="0"/>
              <w:widowControl w:val="0"/>
              <w:kinsoku/>
              <w:wordWrap/>
              <w:overflowPunct/>
              <w:topLinePunct w:val="0"/>
              <w:autoSpaceDE w:val="0"/>
              <w:autoSpaceDN w:val="0"/>
              <w:bidi w:val="0"/>
              <w:adjustRightInd/>
              <w:snapToGrid/>
              <w:spacing w:before="0"/>
              <w:ind w:right="0"/>
              <w:jc w:val="center"/>
              <w:textAlignment w:val="auto"/>
              <w:rPr>
                <w:rFonts w:hint="default" w:ascii="Times New Roman" w:hAnsi="Times New Roman" w:cs="Times New Roman"/>
                <w:sz w:val="24"/>
              </w:rPr>
            </w:pPr>
            <w:r>
              <w:rPr>
                <w:rFonts w:hint="eastAsia" w:ascii="Times New Roman" w:hAnsi="Times New Roman" w:eastAsia="宋体" w:cs="Times New Roman"/>
                <w:sz w:val="24"/>
                <w:szCs w:val="24"/>
                <w:lang w:eastAsia="zh-CN"/>
              </w:rPr>
              <w:t>陕西省咸阳市泾阳县西咸北环</w:t>
            </w:r>
            <w:r>
              <w:rPr>
                <w:rFonts w:hint="default" w:ascii="Times New Roman" w:hAnsi="Times New Roman" w:eastAsia="宋体" w:cs="Times New Roman"/>
                <w:sz w:val="24"/>
                <w:szCs w:val="24"/>
              </w:rPr>
              <w:t>高速</w:t>
            </w:r>
            <w:r>
              <w:rPr>
                <w:rFonts w:hint="eastAsia" w:ascii="Times New Roman" w:hAnsi="Times New Roman" w:eastAsia="宋体" w:cs="Times New Roman"/>
                <w:sz w:val="24"/>
                <w:szCs w:val="24"/>
                <w:lang w:eastAsia="zh-CN"/>
              </w:rPr>
              <w:t>泾阳</w:t>
            </w:r>
            <w:r>
              <w:rPr>
                <w:rFonts w:hint="default" w:ascii="Times New Roman" w:hAnsi="Times New Roman" w:eastAsia="宋体" w:cs="Times New Roman"/>
                <w:sz w:val="24"/>
                <w:szCs w:val="24"/>
              </w:rPr>
              <w:t>服务区</w:t>
            </w:r>
            <w:r>
              <w:rPr>
                <w:rFonts w:hint="eastAsia" w:ascii="Times New Roman" w:hAnsi="Times New Roman" w:cs="Times New Roman"/>
                <w:sz w:val="24"/>
                <w:szCs w:val="24"/>
                <w:lang w:eastAsia="zh-CN"/>
              </w:rPr>
              <w:t>南</w:t>
            </w:r>
            <w:r>
              <w:rPr>
                <w:rFonts w:hint="default" w:ascii="Times New Roman" w:hAnsi="Times New Roman" w:eastAsia="宋体" w:cs="Times New Roman"/>
                <w:sz w:val="24"/>
                <w:szCs w:val="24"/>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jc w:val="center"/>
        </w:trPr>
        <w:tc>
          <w:tcPr>
            <w:tcW w:w="1517" w:type="dxa"/>
            <w:vAlign w:val="center"/>
          </w:tcPr>
          <w:p>
            <w:pPr>
              <w:pStyle w:val="20"/>
              <w:spacing w:before="81"/>
              <w:jc w:val="center"/>
              <w:rPr>
                <w:rFonts w:hint="default" w:ascii="Times New Roman" w:hAnsi="Times New Roman" w:cs="Times New Roman"/>
                <w:sz w:val="24"/>
              </w:rPr>
            </w:pPr>
            <w:r>
              <w:rPr>
                <w:rFonts w:hint="default" w:ascii="Times New Roman" w:hAnsi="Times New Roman" w:cs="Times New Roman"/>
                <w:sz w:val="24"/>
              </w:rPr>
              <w:t>主要产品名称</w:t>
            </w:r>
          </w:p>
        </w:tc>
        <w:tc>
          <w:tcPr>
            <w:tcW w:w="7988" w:type="dxa"/>
            <w:gridSpan w:val="5"/>
            <w:vAlign w:val="center"/>
          </w:tcPr>
          <w:p>
            <w:pPr>
              <w:pStyle w:val="20"/>
              <w:spacing w:before="81"/>
              <w:ind w:left="163" w:right="155"/>
              <w:jc w:val="center"/>
              <w:rPr>
                <w:rFonts w:hint="default" w:ascii="Times New Roman" w:hAnsi="Times New Roman" w:eastAsia="宋体" w:cs="Times New Roman"/>
                <w:sz w:val="24"/>
                <w:highlight w:val="yellow"/>
                <w:lang w:val="en-US" w:eastAsia="zh-CN"/>
              </w:rPr>
            </w:pPr>
            <w:r>
              <w:rPr>
                <w:rFonts w:hint="default" w:ascii="Times New Roman" w:hAnsi="Times New Roman" w:cs="Times New Roman"/>
                <w:sz w:val="24"/>
                <w:highlight w:val="none"/>
                <w:lang w:val="en-US" w:eastAsia="zh-CN"/>
              </w:rPr>
              <w:t>汽油、柴油零售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20"/>
              <w:spacing w:before="80"/>
              <w:jc w:val="center"/>
              <w:rPr>
                <w:rFonts w:hint="default" w:ascii="Times New Roman" w:hAnsi="Times New Roman" w:cs="Times New Roman"/>
                <w:sz w:val="24"/>
              </w:rPr>
            </w:pPr>
            <w:r>
              <w:rPr>
                <w:rFonts w:hint="default" w:ascii="Times New Roman" w:hAnsi="Times New Roman" w:cs="Times New Roman"/>
                <w:sz w:val="24"/>
              </w:rPr>
              <w:t>设计生产能力</w:t>
            </w:r>
          </w:p>
        </w:tc>
        <w:tc>
          <w:tcPr>
            <w:tcW w:w="7988" w:type="dxa"/>
            <w:gridSpan w:val="5"/>
            <w:vAlign w:val="center"/>
          </w:tcPr>
          <w:p>
            <w:pPr>
              <w:keepLines w:val="0"/>
              <w:pageBreakBefore w:val="0"/>
              <w:kinsoku/>
              <w:overflowPunct/>
              <w:topLinePunct w:val="0"/>
              <w:bidi w:val="0"/>
              <w:spacing w:line="360" w:lineRule="auto"/>
              <w:jc w:val="left"/>
              <w:outlineLvl w:val="9"/>
              <w:rPr>
                <w:rFonts w:hint="default" w:ascii="Times New Roman" w:hAnsi="Times New Roman" w:cs="Times New Roman"/>
                <w:lang w:val="zh-CN" w:eastAsia="zh-CN"/>
              </w:rPr>
            </w:pPr>
            <w:r>
              <w:rPr>
                <w:rFonts w:hint="default" w:ascii="Times New Roman" w:hAnsi="Times New Roman" w:eastAsia="宋体" w:cs="Times New Roman"/>
                <w:sz w:val="24"/>
                <w:szCs w:val="22"/>
                <w:lang w:val="en-US" w:eastAsia="zh-CN" w:bidi="zh-CN"/>
              </w:rPr>
              <w:t>项目设有税控燃油加油机6台，共设5个油罐，其中3具50m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柴油罐，2具50m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汽油罐，总罐容为250m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，折合汽油罐容为175m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（其中柴油容积折半计入），属于一级加油站。项目年销售油品</w:t>
            </w:r>
            <w:r>
              <w:rPr>
                <w:rFonts w:hint="eastAsia" w:ascii="Times New Roman" w:hAnsi="Times New Roman" w:cs="Times New Roman"/>
                <w:sz w:val="24"/>
                <w:szCs w:val="22"/>
                <w:highlight w:val="none"/>
                <w:lang w:val="en-US" w:eastAsia="zh-CN" w:bidi="zh-CN"/>
              </w:rPr>
              <w:t>3</w:t>
            </w:r>
            <w:r>
              <w:rPr>
                <w:rFonts w:hint="default" w:ascii="Times New Roman" w:hAnsi="Times New Roman" w:eastAsia="宋体" w:cs="Times New Roman"/>
                <w:sz w:val="24"/>
                <w:szCs w:val="22"/>
                <w:highlight w:val="none"/>
                <w:lang w:val="en-US" w:eastAsia="zh-CN" w:bidi="zh-CN"/>
              </w:rPr>
              <w:t>000t，其中汽油</w:t>
            </w:r>
            <w:r>
              <w:rPr>
                <w:rFonts w:hint="eastAsia" w:ascii="Times New Roman" w:hAnsi="Times New Roman" w:cs="Times New Roman"/>
                <w:sz w:val="24"/>
                <w:szCs w:val="22"/>
                <w:highlight w:val="none"/>
                <w:lang w:val="en-US" w:eastAsia="zh-CN" w:bidi="zh-CN"/>
              </w:rPr>
              <w:t>10</w:t>
            </w:r>
            <w:r>
              <w:rPr>
                <w:rFonts w:hint="default" w:ascii="Times New Roman" w:hAnsi="Times New Roman" w:eastAsia="宋体" w:cs="Times New Roman"/>
                <w:sz w:val="24"/>
                <w:szCs w:val="22"/>
                <w:highlight w:val="none"/>
                <w:lang w:val="en-US" w:eastAsia="zh-CN" w:bidi="zh-CN"/>
              </w:rPr>
              <w:t>00t、柴油</w:t>
            </w:r>
            <w:r>
              <w:rPr>
                <w:rFonts w:hint="eastAsia" w:ascii="Times New Roman" w:hAnsi="Times New Roman" w:cs="Times New Roman"/>
                <w:sz w:val="24"/>
                <w:szCs w:val="22"/>
                <w:highlight w:val="none"/>
                <w:lang w:val="en-US" w:eastAsia="zh-CN" w:bidi="zh-CN"/>
              </w:rPr>
              <w:t>20</w:t>
            </w:r>
            <w:r>
              <w:rPr>
                <w:rFonts w:hint="default" w:ascii="Times New Roman" w:hAnsi="Times New Roman" w:eastAsia="宋体" w:cs="Times New Roman"/>
                <w:sz w:val="24"/>
                <w:szCs w:val="22"/>
                <w:highlight w:val="none"/>
                <w:lang w:val="en-US" w:eastAsia="zh-CN" w:bidi="zh-CN"/>
              </w:rPr>
              <w:t>00t</w:t>
            </w:r>
            <w:r>
              <w:rPr>
                <w:rFonts w:hint="default" w:ascii="Times New Roman" w:hAnsi="Times New Roman" w:eastAsia="宋体" w:cs="Times New Roman"/>
                <w:sz w:val="24"/>
                <w:szCs w:val="22"/>
                <w:lang w:val="en-US"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20"/>
              <w:spacing w:before="80"/>
              <w:jc w:val="center"/>
              <w:rPr>
                <w:rFonts w:hint="default" w:ascii="Times New Roman" w:hAnsi="Times New Roman" w:cs="Times New Roman"/>
                <w:sz w:val="24"/>
              </w:rPr>
            </w:pPr>
            <w:r>
              <w:rPr>
                <w:rFonts w:hint="default" w:ascii="Times New Roman" w:hAnsi="Times New Roman" w:cs="Times New Roman"/>
                <w:sz w:val="24"/>
              </w:rPr>
              <w:t>实际生产能力</w:t>
            </w:r>
          </w:p>
        </w:tc>
        <w:tc>
          <w:tcPr>
            <w:tcW w:w="7988" w:type="dxa"/>
            <w:gridSpan w:val="5"/>
            <w:vAlign w:val="center"/>
          </w:tcPr>
          <w:p>
            <w:pPr>
              <w:keepLines w:val="0"/>
              <w:pageBreakBefore w:val="0"/>
              <w:kinsoku/>
              <w:overflowPunct/>
              <w:topLinePunct w:val="0"/>
              <w:bidi w:val="0"/>
              <w:spacing w:line="360" w:lineRule="auto"/>
              <w:jc w:val="left"/>
              <w:outlineLvl w:val="9"/>
              <w:rPr>
                <w:rFonts w:hint="default" w:ascii="Times New Roman" w:hAnsi="Times New Roman" w:cs="Times New Roman"/>
                <w:lang w:val="zh-CN" w:eastAsia="zh-CN"/>
              </w:rPr>
            </w:pPr>
            <w:r>
              <w:rPr>
                <w:rFonts w:hint="default" w:ascii="Times New Roman" w:hAnsi="Times New Roman" w:eastAsia="宋体" w:cs="Times New Roman"/>
                <w:sz w:val="24"/>
                <w:szCs w:val="22"/>
                <w:lang w:val="en-US" w:eastAsia="zh-CN" w:bidi="zh-CN"/>
              </w:rPr>
              <w:t>项目设有税控燃油加油机6台，共设5个油罐，其中3具50m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柴油罐，2具50m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汽油罐，总罐容为250m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，折合汽油罐容为175m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（其中柴油容积折半计入），属于一级加油站。项目年销售油品</w:t>
            </w:r>
            <w:r>
              <w:rPr>
                <w:rFonts w:hint="eastAsia" w:ascii="Times New Roman" w:hAnsi="Times New Roman" w:cs="Times New Roman"/>
                <w:sz w:val="24"/>
                <w:szCs w:val="22"/>
                <w:lang w:val="en-US" w:eastAsia="zh-CN" w:bidi="zh-CN"/>
              </w:rPr>
              <w:t>3000</w:t>
            </w:r>
            <w:r>
              <w:rPr>
                <w:rFonts w:hint="default" w:ascii="Times New Roman" w:hAnsi="Times New Roman" w:eastAsia="宋体" w:cs="Times New Roman"/>
                <w:sz w:val="24"/>
                <w:szCs w:val="22"/>
                <w:lang w:val="en-US" w:eastAsia="zh-CN" w:bidi="zh-CN"/>
              </w:rPr>
              <w:t>t，其中汽油</w:t>
            </w:r>
            <w:r>
              <w:rPr>
                <w:rFonts w:hint="eastAsia" w:ascii="Times New Roman" w:hAnsi="Times New Roman" w:cs="Times New Roman"/>
                <w:sz w:val="24"/>
                <w:szCs w:val="22"/>
                <w:lang w:val="en-US" w:eastAsia="zh-CN" w:bidi="zh-CN"/>
              </w:rPr>
              <w:t>10</w:t>
            </w:r>
            <w:r>
              <w:rPr>
                <w:rFonts w:hint="default" w:ascii="Times New Roman" w:hAnsi="Times New Roman" w:eastAsia="宋体" w:cs="Times New Roman"/>
                <w:sz w:val="24"/>
                <w:szCs w:val="22"/>
                <w:lang w:val="en-US" w:eastAsia="zh-CN" w:bidi="zh-CN"/>
              </w:rPr>
              <w:t>00t、柴油</w:t>
            </w:r>
            <w:r>
              <w:rPr>
                <w:rFonts w:hint="eastAsia" w:ascii="Times New Roman" w:hAnsi="Times New Roman" w:cs="Times New Roman"/>
                <w:sz w:val="24"/>
                <w:szCs w:val="22"/>
                <w:lang w:val="en-US" w:eastAsia="zh-CN" w:bidi="zh-CN"/>
              </w:rPr>
              <w:t>20</w:t>
            </w:r>
            <w:r>
              <w:rPr>
                <w:rFonts w:hint="default" w:ascii="Times New Roman" w:hAnsi="Times New Roman" w:eastAsia="宋体" w:cs="Times New Roman"/>
                <w:sz w:val="24"/>
                <w:szCs w:val="22"/>
                <w:lang w:val="en-US" w:eastAsia="zh-CN" w:bidi="zh-CN"/>
              </w:rPr>
              <w:t>00t。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jc w:val="center"/>
        </w:trPr>
        <w:tc>
          <w:tcPr>
            <w:tcW w:w="1517" w:type="dxa"/>
            <w:vAlign w:val="center"/>
          </w:tcPr>
          <w:p>
            <w:pPr>
              <w:pStyle w:val="20"/>
              <w:spacing w:before="82"/>
              <w:ind w:left="117"/>
              <w:jc w:val="center"/>
              <w:rPr>
                <w:rFonts w:hint="default" w:ascii="Times New Roman" w:hAnsi="Times New Roman" w:cs="Times New Roman"/>
                <w:sz w:val="24"/>
              </w:rPr>
            </w:pPr>
            <w:r>
              <w:rPr>
                <w:rFonts w:hint="default" w:ascii="Times New Roman" w:hAnsi="Times New Roman" w:cs="Times New Roman"/>
                <w:sz w:val="24"/>
              </w:rPr>
              <w:t>建设项目</w:t>
            </w:r>
          </w:p>
          <w:p>
            <w:pPr>
              <w:pStyle w:val="20"/>
              <w:spacing w:before="82"/>
              <w:ind w:left="117"/>
              <w:jc w:val="center"/>
              <w:rPr>
                <w:rFonts w:hint="default" w:ascii="Times New Roman" w:hAnsi="Times New Roman" w:cs="Times New Roman"/>
                <w:sz w:val="24"/>
              </w:rPr>
            </w:pPr>
            <w:r>
              <w:rPr>
                <w:rFonts w:hint="default" w:ascii="Times New Roman" w:hAnsi="Times New Roman" w:cs="Times New Roman"/>
                <w:sz w:val="24"/>
              </w:rPr>
              <w:t>环评时间</w:t>
            </w:r>
          </w:p>
        </w:tc>
        <w:tc>
          <w:tcPr>
            <w:tcW w:w="3033" w:type="dxa"/>
            <w:vAlign w:val="center"/>
          </w:tcPr>
          <w:p>
            <w:pPr>
              <w:pStyle w:val="20"/>
              <w:spacing w:before="82"/>
              <w:jc w:val="center"/>
              <w:rPr>
                <w:rFonts w:hint="default" w:ascii="Times New Roman" w:hAnsi="Times New Roman" w:cs="Times New Roman"/>
                <w:sz w:val="24"/>
              </w:rPr>
            </w:pPr>
            <w:r>
              <w:rPr>
                <w:rFonts w:hint="eastAsia" w:ascii="Times New Roman" w:hAnsi="Times New Roman" w:eastAsia="宋体" w:cs="Times New Roman"/>
                <w:sz w:val="24"/>
                <w:lang w:val="en-US" w:eastAsia="zh-CN"/>
              </w:rPr>
              <w:t>20</w:t>
            </w:r>
            <w:r>
              <w:rPr>
                <w:rFonts w:hint="eastAsia" w:ascii="Times New Roman" w:hAnsi="Times New Roman" w:cs="Times New Roman"/>
                <w:sz w:val="24"/>
                <w:lang w:val="en-US" w:eastAsia="zh-CN"/>
              </w:rPr>
              <w:t>20</w:t>
            </w:r>
            <w:r>
              <w:rPr>
                <w:rFonts w:hint="default" w:ascii="Times New Roman" w:hAnsi="Times New Roman" w:cs="Times New Roman"/>
                <w:sz w:val="24"/>
              </w:rPr>
              <w:t>年</w:t>
            </w:r>
            <w:r>
              <w:rPr>
                <w:rFonts w:hint="eastAsia" w:ascii="Times New Roman" w:hAnsi="Times New Roman" w:cs="Times New Roman"/>
                <w:sz w:val="24"/>
                <w:lang w:val="en-US" w:eastAsia="zh-CN"/>
              </w:rPr>
              <w:t>6</w:t>
            </w:r>
            <w:r>
              <w:rPr>
                <w:rFonts w:hint="default" w:ascii="Times New Roman" w:hAnsi="Times New Roman" w:cs="Times New Roman"/>
                <w:sz w:val="24"/>
              </w:rPr>
              <w:t>月</w:t>
            </w:r>
          </w:p>
        </w:tc>
        <w:tc>
          <w:tcPr>
            <w:tcW w:w="1895" w:type="dxa"/>
            <w:vAlign w:val="center"/>
          </w:tcPr>
          <w:p>
            <w:pPr>
              <w:pStyle w:val="20"/>
              <w:spacing w:before="82"/>
              <w:ind w:left="103" w:right="97"/>
              <w:jc w:val="center"/>
              <w:rPr>
                <w:rFonts w:hint="default" w:ascii="Times New Roman" w:hAnsi="Times New Roman" w:cs="Times New Roman"/>
                <w:sz w:val="24"/>
              </w:rPr>
            </w:pPr>
            <w:r>
              <w:rPr>
                <w:rFonts w:hint="default" w:ascii="Times New Roman" w:hAnsi="Times New Roman" w:cs="Times New Roman"/>
                <w:sz w:val="24"/>
              </w:rPr>
              <w:t>开工建设时间</w:t>
            </w:r>
          </w:p>
        </w:tc>
        <w:tc>
          <w:tcPr>
            <w:tcW w:w="3060" w:type="dxa"/>
            <w:gridSpan w:val="3"/>
            <w:vAlign w:val="center"/>
          </w:tcPr>
          <w:p>
            <w:pPr>
              <w:pStyle w:val="20"/>
              <w:spacing w:before="82"/>
              <w:jc w:val="center"/>
              <w:rPr>
                <w:rFonts w:hint="default" w:ascii="Times New Roman" w:hAnsi="Times New Roman" w:cs="Times New Roman"/>
                <w:sz w:val="24"/>
              </w:rPr>
            </w:pPr>
            <w:r>
              <w:rPr>
                <w:rFonts w:hint="default" w:ascii="Times New Roman" w:hAnsi="Times New Roman" w:eastAsia="宋体" w:cs="Times New Roman"/>
                <w:sz w:val="24"/>
                <w:szCs w:val="22"/>
                <w:highlight w:val="none"/>
                <w:lang w:val="en-US" w:eastAsia="zh-CN" w:bidi="zh-CN"/>
              </w:rPr>
              <w:t>201</w:t>
            </w:r>
            <w:r>
              <w:rPr>
                <w:rFonts w:hint="eastAsia" w:ascii="Times New Roman" w:hAnsi="Times New Roman" w:cs="Times New Roman"/>
                <w:sz w:val="24"/>
                <w:szCs w:val="22"/>
                <w:highlight w:val="none"/>
                <w:lang w:val="en-US" w:eastAsia="zh-CN" w:bidi="zh-CN"/>
              </w:rPr>
              <w:t>3</w:t>
            </w:r>
            <w:r>
              <w:rPr>
                <w:rFonts w:hint="default" w:ascii="Times New Roman" w:hAnsi="Times New Roman" w:eastAsia="宋体" w:cs="Times New Roman"/>
                <w:sz w:val="24"/>
                <w:szCs w:val="22"/>
                <w:highlight w:val="none"/>
                <w:lang w:val="en-US" w:eastAsia="zh-CN" w:bidi="zh-CN"/>
              </w:rPr>
              <w:t>年</w:t>
            </w:r>
            <w:r>
              <w:rPr>
                <w:rFonts w:hint="eastAsia" w:ascii="Times New Roman" w:hAnsi="Times New Roman" w:cs="Times New Roman"/>
                <w:sz w:val="24"/>
                <w:szCs w:val="22"/>
                <w:highlight w:val="none"/>
                <w:lang w:val="en-US" w:eastAsia="zh-CN" w:bidi="zh-CN"/>
              </w:rPr>
              <w:t>12</w:t>
            </w:r>
            <w:r>
              <w:rPr>
                <w:rFonts w:hint="default" w:ascii="Times New Roman" w:hAnsi="Times New Roman" w:eastAsia="宋体" w:cs="Times New Roman"/>
                <w:sz w:val="24"/>
                <w:szCs w:val="22"/>
                <w:highlight w:val="none"/>
                <w:lang w:val="en-US" w:eastAsia="zh-CN" w:bidi="zh-CN"/>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20"/>
              <w:spacing w:before="81"/>
              <w:jc w:val="center"/>
              <w:rPr>
                <w:rFonts w:hint="default" w:ascii="Times New Roman" w:hAnsi="Times New Roman" w:cs="Times New Roman"/>
                <w:sz w:val="24"/>
              </w:rPr>
            </w:pPr>
            <w:r>
              <w:rPr>
                <w:rFonts w:hint="default" w:ascii="Times New Roman" w:hAnsi="Times New Roman" w:cs="Times New Roman"/>
                <w:sz w:val="24"/>
              </w:rPr>
              <w:t>调试时间</w:t>
            </w:r>
          </w:p>
        </w:tc>
        <w:tc>
          <w:tcPr>
            <w:tcW w:w="3033" w:type="dxa"/>
            <w:vAlign w:val="center"/>
          </w:tcPr>
          <w:p>
            <w:pPr>
              <w:pStyle w:val="20"/>
              <w:spacing w:before="95"/>
              <w:ind w:left="7"/>
              <w:jc w:val="center"/>
              <w:rPr>
                <w:rFonts w:hint="default" w:ascii="Times New Roman" w:hAnsi="Times New Roman" w:cs="Times New Roman"/>
                <w:sz w:val="24"/>
              </w:rPr>
            </w:pPr>
            <w:r>
              <w:rPr>
                <w:rFonts w:hint="default" w:ascii="Times New Roman" w:hAnsi="Times New Roman" w:cs="Times New Roman"/>
                <w:sz w:val="24"/>
              </w:rPr>
              <w:t>/</w:t>
            </w:r>
          </w:p>
        </w:tc>
        <w:tc>
          <w:tcPr>
            <w:tcW w:w="1895" w:type="dxa"/>
            <w:vAlign w:val="center"/>
          </w:tcPr>
          <w:p>
            <w:pPr>
              <w:pStyle w:val="20"/>
              <w:spacing w:before="81"/>
              <w:ind w:left="103" w:right="97"/>
              <w:jc w:val="center"/>
              <w:rPr>
                <w:rFonts w:hint="default" w:ascii="Times New Roman" w:hAnsi="Times New Roman" w:cs="Times New Roman"/>
                <w:sz w:val="24"/>
              </w:rPr>
            </w:pPr>
            <w:r>
              <w:rPr>
                <w:rFonts w:hint="default" w:ascii="Times New Roman" w:hAnsi="Times New Roman" w:cs="Times New Roman"/>
                <w:sz w:val="24"/>
              </w:rPr>
              <w:t>验收监测时间</w:t>
            </w:r>
          </w:p>
        </w:tc>
        <w:tc>
          <w:tcPr>
            <w:tcW w:w="3060" w:type="dxa"/>
            <w:gridSpan w:val="3"/>
            <w:vAlign w:val="center"/>
          </w:tcPr>
          <w:p>
            <w:pPr>
              <w:pStyle w:val="20"/>
              <w:spacing w:before="81"/>
              <w:ind w:left="110"/>
              <w:jc w:val="center"/>
              <w:rPr>
                <w:rFonts w:hint="default" w:ascii="Times New Roman" w:hAnsi="Times New Roman" w:eastAsia="宋体" w:cs="Times New Roman"/>
                <w:sz w:val="24"/>
                <w:highlight w:val="yellow"/>
                <w:lang w:val="en-US" w:eastAsia="zh-CN"/>
              </w:rPr>
            </w:pPr>
            <w:r>
              <w:rPr>
                <w:rFonts w:hint="eastAsia" w:ascii="Times New Roman" w:hAnsi="Times New Roman" w:cs="Times New Roman"/>
                <w:color w:val="auto"/>
                <w:sz w:val="24"/>
                <w:highlight w:val="none"/>
                <w:lang w:val="en-US" w:eastAsia="zh-CN"/>
              </w:rPr>
              <w:t>2020年8月31日-9月1日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jc w:val="center"/>
        </w:trPr>
        <w:tc>
          <w:tcPr>
            <w:tcW w:w="1517" w:type="dxa"/>
            <w:vAlign w:val="center"/>
          </w:tcPr>
          <w:p>
            <w:pPr>
              <w:pStyle w:val="20"/>
              <w:spacing w:before="81"/>
              <w:jc w:val="center"/>
              <w:rPr>
                <w:rFonts w:hint="default" w:ascii="Times New Roman" w:hAnsi="Times New Roman" w:cs="Times New Roman"/>
                <w:sz w:val="24"/>
              </w:rPr>
            </w:pPr>
            <w:r>
              <w:rPr>
                <w:rFonts w:hint="default" w:ascii="Times New Roman" w:hAnsi="Times New Roman" w:cs="Times New Roman"/>
                <w:sz w:val="24"/>
              </w:rPr>
              <w:t>环评报告表</w:t>
            </w:r>
          </w:p>
          <w:p>
            <w:pPr>
              <w:pStyle w:val="20"/>
              <w:spacing w:before="160"/>
              <w:jc w:val="center"/>
              <w:rPr>
                <w:rFonts w:hint="default" w:ascii="Times New Roman" w:hAnsi="Times New Roman" w:cs="Times New Roman"/>
                <w:sz w:val="24"/>
              </w:rPr>
            </w:pPr>
            <w:r>
              <w:rPr>
                <w:rFonts w:hint="default" w:ascii="Times New Roman" w:hAnsi="Times New Roman" w:cs="Times New Roman"/>
                <w:sz w:val="24"/>
              </w:rPr>
              <w:t>审批部门</w:t>
            </w:r>
          </w:p>
        </w:tc>
        <w:tc>
          <w:tcPr>
            <w:tcW w:w="3033" w:type="dxa"/>
            <w:vAlign w:val="center"/>
          </w:tcPr>
          <w:p>
            <w:pPr>
              <w:pStyle w:val="20"/>
              <w:spacing w:before="81"/>
              <w:ind w:left="0" w:right="-57"/>
              <w:jc w:val="center"/>
              <w:rPr>
                <w:rFonts w:hint="eastAsia" w:ascii="Times New Roman" w:hAnsi="Times New Roman" w:eastAsia="宋体" w:cs="Times New Roman"/>
                <w:sz w:val="24"/>
                <w:lang w:eastAsia="zh-CN"/>
              </w:rPr>
            </w:pPr>
            <w:r>
              <w:rPr>
                <w:rFonts w:hint="eastAsia" w:ascii="Times New Roman" w:hAnsi="Times New Roman" w:cs="Times New Roman"/>
                <w:sz w:val="24"/>
                <w:lang w:eastAsia="zh-CN"/>
              </w:rPr>
              <w:t>咸阳市生态环境局泾阳分局</w:t>
            </w:r>
          </w:p>
        </w:tc>
        <w:tc>
          <w:tcPr>
            <w:tcW w:w="1895" w:type="dxa"/>
            <w:vAlign w:val="center"/>
          </w:tcPr>
          <w:p>
            <w:pPr>
              <w:pStyle w:val="20"/>
              <w:spacing w:before="81"/>
              <w:ind w:left="243"/>
              <w:jc w:val="center"/>
              <w:rPr>
                <w:rFonts w:hint="default" w:ascii="Times New Roman" w:hAnsi="Times New Roman" w:cs="Times New Roman"/>
                <w:sz w:val="24"/>
              </w:rPr>
            </w:pPr>
            <w:r>
              <w:rPr>
                <w:rFonts w:hint="default" w:ascii="Times New Roman" w:hAnsi="Times New Roman" w:cs="Times New Roman"/>
                <w:sz w:val="24"/>
              </w:rPr>
              <w:t>环评报告表</w:t>
            </w:r>
          </w:p>
          <w:p>
            <w:pPr>
              <w:pStyle w:val="20"/>
              <w:spacing w:before="160"/>
              <w:ind w:left="363"/>
              <w:jc w:val="center"/>
              <w:rPr>
                <w:rFonts w:hint="default" w:ascii="Times New Roman" w:hAnsi="Times New Roman" w:cs="Times New Roman"/>
                <w:sz w:val="24"/>
              </w:rPr>
            </w:pPr>
            <w:r>
              <w:rPr>
                <w:rFonts w:hint="default" w:ascii="Times New Roman" w:hAnsi="Times New Roman" w:cs="Times New Roman"/>
                <w:sz w:val="24"/>
              </w:rPr>
              <w:t>编制单位</w:t>
            </w:r>
          </w:p>
        </w:tc>
        <w:tc>
          <w:tcPr>
            <w:tcW w:w="3060" w:type="dxa"/>
            <w:gridSpan w:val="3"/>
            <w:vAlign w:val="center"/>
          </w:tcPr>
          <w:p>
            <w:pPr>
              <w:pStyle w:val="20"/>
              <w:spacing w:before="160"/>
              <w:ind w:right="-30"/>
              <w:jc w:val="center"/>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西安海浪环保科技有限公司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jc w:val="center"/>
        </w:trPr>
        <w:tc>
          <w:tcPr>
            <w:tcW w:w="1517" w:type="dxa"/>
            <w:vAlign w:val="center"/>
          </w:tcPr>
          <w:p>
            <w:pPr>
              <w:pStyle w:val="20"/>
              <w:jc w:val="center"/>
              <w:rPr>
                <w:rFonts w:hint="default" w:ascii="Times New Roman" w:hAnsi="Times New Roman" w:cs="Times New Roman"/>
                <w:sz w:val="24"/>
              </w:rPr>
            </w:pPr>
            <w:r>
              <w:rPr>
                <w:rFonts w:hint="default" w:ascii="Times New Roman" w:hAnsi="Times New Roman" w:cs="Times New Roman"/>
                <w:sz w:val="24"/>
              </w:rPr>
              <w:t>环保设施</w:t>
            </w:r>
          </w:p>
          <w:p>
            <w:pPr>
              <w:pStyle w:val="20"/>
              <w:jc w:val="center"/>
              <w:rPr>
                <w:rFonts w:hint="default" w:ascii="Times New Roman" w:hAnsi="Times New Roman" w:cs="Times New Roman"/>
                <w:sz w:val="24"/>
              </w:rPr>
            </w:pPr>
            <w:r>
              <w:rPr>
                <w:rFonts w:hint="default" w:ascii="Times New Roman" w:hAnsi="Times New Roman" w:cs="Times New Roman"/>
                <w:sz w:val="24"/>
              </w:rPr>
              <w:t>设计单位</w:t>
            </w:r>
          </w:p>
        </w:tc>
        <w:tc>
          <w:tcPr>
            <w:tcW w:w="3033" w:type="dxa"/>
            <w:vAlign w:val="center"/>
          </w:tcPr>
          <w:p>
            <w:pPr>
              <w:pStyle w:val="20"/>
              <w:spacing w:before="160"/>
              <w:ind w:left="151" w:right="144"/>
              <w:jc w:val="center"/>
              <w:rPr>
                <w:rFonts w:hint="eastAsia" w:ascii="Times New Roman" w:hAnsi="Times New Roman" w:eastAsia="宋体" w:cs="Times New Roman"/>
                <w:sz w:val="24"/>
                <w:lang w:eastAsia="zh-CN"/>
              </w:rPr>
            </w:pPr>
            <w:r>
              <w:rPr>
                <w:rFonts w:hint="eastAsia" w:ascii="Times New Roman" w:hAnsi="Times New Roman" w:cs="Times New Roman"/>
                <w:sz w:val="24"/>
                <w:highlight w:val="none"/>
                <w:lang w:eastAsia="zh-CN"/>
              </w:rPr>
              <w:t>陕西宇泰建筑有限公司</w:t>
            </w:r>
          </w:p>
        </w:tc>
        <w:tc>
          <w:tcPr>
            <w:tcW w:w="1895" w:type="dxa"/>
            <w:vAlign w:val="center"/>
          </w:tcPr>
          <w:p>
            <w:pPr>
              <w:pStyle w:val="20"/>
              <w:spacing w:before="81"/>
              <w:ind w:left="363"/>
              <w:jc w:val="center"/>
              <w:rPr>
                <w:rFonts w:hint="default" w:ascii="Times New Roman" w:hAnsi="Times New Roman" w:cs="Times New Roman"/>
                <w:sz w:val="24"/>
              </w:rPr>
            </w:pPr>
            <w:r>
              <w:rPr>
                <w:rFonts w:hint="default" w:ascii="Times New Roman" w:hAnsi="Times New Roman" w:cs="Times New Roman"/>
                <w:sz w:val="24"/>
              </w:rPr>
              <w:t>环保设施</w:t>
            </w:r>
          </w:p>
          <w:p>
            <w:pPr>
              <w:pStyle w:val="20"/>
              <w:spacing w:before="160"/>
              <w:ind w:left="363"/>
              <w:jc w:val="center"/>
              <w:rPr>
                <w:rFonts w:hint="default" w:ascii="Times New Roman" w:hAnsi="Times New Roman" w:cs="Times New Roman"/>
                <w:sz w:val="24"/>
              </w:rPr>
            </w:pPr>
            <w:r>
              <w:rPr>
                <w:rFonts w:hint="default" w:ascii="Times New Roman" w:hAnsi="Times New Roman" w:cs="Times New Roman"/>
                <w:sz w:val="24"/>
              </w:rPr>
              <w:t>施工单位</w:t>
            </w:r>
          </w:p>
        </w:tc>
        <w:tc>
          <w:tcPr>
            <w:tcW w:w="3060" w:type="dxa"/>
            <w:gridSpan w:val="3"/>
            <w:vAlign w:val="center"/>
          </w:tcPr>
          <w:p>
            <w:pPr>
              <w:pStyle w:val="20"/>
              <w:jc w:val="center"/>
              <w:rPr>
                <w:rFonts w:hint="eastAsia" w:ascii="Times New Roman" w:hAnsi="Times New Roman" w:eastAsia="宋体" w:cs="Times New Roman"/>
                <w:sz w:val="24"/>
                <w:lang w:eastAsia="zh-CN"/>
              </w:rPr>
            </w:pPr>
            <w:r>
              <w:rPr>
                <w:rFonts w:hint="eastAsia" w:ascii="Times New Roman" w:hAnsi="Times New Roman" w:cs="Times New Roman"/>
                <w:sz w:val="24"/>
                <w:highlight w:val="none"/>
                <w:lang w:eastAsia="zh-CN"/>
              </w:rPr>
              <w:t>陕西连腾建工集团有限公司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1517" w:type="dxa"/>
            <w:vAlign w:val="center"/>
          </w:tcPr>
          <w:p>
            <w:pPr>
              <w:pStyle w:val="20"/>
              <w:spacing w:before="80"/>
              <w:ind w:left="107" w:right="-29"/>
              <w:jc w:val="center"/>
              <w:rPr>
                <w:rFonts w:hint="default" w:ascii="Times New Roman" w:hAnsi="Times New Roman" w:cs="Times New Roman"/>
                <w:spacing w:val="-21"/>
                <w:sz w:val="24"/>
              </w:rPr>
            </w:pPr>
            <w:r>
              <w:rPr>
                <w:rFonts w:hint="default" w:ascii="Times New Roman" w:hAnsi="Times New Roman" w:cs="Times New Roman"/>
                <w:spacing w:val="-21"/>
                <w:sz w:val="24"/>
              </w:rPr>
              <w:t>投资总概算</w:t>
            </w:r>
          </w:p>
          <w:p>
            <w:pPr>
              <w:pStyle w:val="20"/>
              <w:spacing w:before="80"/>
              <w:ind w:left="107" w:right="-29"/>
              <w:jc w:val="center"/>
              <w:rPr>
                <w:rFonts w:hint="default" w:ascii="Times New Roman" w:hAnsi="Times New Roman" w:cs="Times New Roman"/>
                <w:sz w:val="24"/>
              </w:rPr>
            </w:pPr>
            <w:r>
              <w:rPr>
                <w:rFonts w:hint="default" w:ascii="Times New Roman" w:hAnsi="Times New Roman" w:cs="Times New Roman"/>
                <w:sz w:val="24"/>
              </w:rPr>
              <w:t>（万元）</w:t>
            </w:r>
          </w:p>
        </w:tc>
        <w:tc>
          <w:tcPr>
            <w:tcW w:w="3033" w:type="dxa"/>
            <w:vAlign w:val="center"/>
          </w:tcPr>
          <w:p>
            <w:pPr>
              <w:pStyle w:val="20"/>
              <w:spacing w:before="96"/>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567.75</w:t>
            </w:r>
          </w:p>
        </w:tc>
        <w:tc>
          <w:tcPr>
            <w:tcW w:w="1895" w:type="dxa"/>
            <w:vAlign w:val="center"/>
          </w:tcPr>
          <w:p>
            <w:pPr>
              <w:pStyle w:val="20"/>
              <w:spacing w:before="80"/>
              <w:ind w:left="107"/>
              <w:jc w:val="center"/>
              <w:rPr>
                <w:rFonts w:hint="default" w:ascii="Times New Roman" w:hAnsi="Times New Roman" w:cs="Times New Roman"/>
                <w:sz w:val="24"/>
              </w:rPr>
            </w:pPr>
            <w:r>
              <w:rPr>
                <w:rFonts w:hint="default" w:ascii="Times New Roman" w:hAnsi="Times New Roman" w:cs="Times New Roman"/>
                <w:sz w:val="24"/>
              </w:rPr>
              <w:t>环保投资总概算</w:t>
            </w:r>
          </w:p>
          <w:p>
            <w:pPr>
              <w:pStyle w:val="20"/>
              <w:spacing w:before="80"/>
              <w:ind w:left="107"/>
              <w:jc w:val="center"/>
              <w:rPr>
                <w:rFonts w:hint="default" w:ascii="Times New Roman" w:hAnsi="Times New Roman" w:cs="Times New Roman"/>
                <w:sz w:val="24"/>
              </w:rPr>
            </w:pPr>
            <w:r>
              <w:rPr>
                <w:rFonts w:hint="default" w:ascii="Times New Roman" w:hAnsi="Times New Roman" w:cs="Times New Roman"/>
                <w:sz w:val="24"/>
              </w:rPr>
              <w:t>（万元）</w:t>
            </w:r>
          </w:p>
        </w:tc>
        <w:tc>
          <w:tcPr>
            <w:tcW w:w="823" w:type="dxa"/>
            <w:vAlign w:val="center"/>
          </w:tcPr>
          <w:p>
            <w:pPr>
              <w:pStyle w:val="20"/>
              <w:spacing w:before="96"/>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color w:val="000000"/>
                <w:sz w:val="24"/>
                <w:szCs w:val="24"/>
                <w:lang w:val="en-US" w:eastAsia="zh-CN"/>
              </w:rPr>
              <w:t>35.7</w:t>
            </w:r>
          </w:p>
        </w:tc>
        <w:tc>
          <w:tcPr>
            <w:tcW w:w="916" w:type="dxa"/>
            <w:vAlign w:val="center"/>
          </w:tcPr>
          <w:p>
            <w:pPr>
              <w:pStyle w:val="20"/>
              <w:spacing w:before="80"/>
              <w:ind w:right="26" w:rightChars="0"/>
              <w:jc w:val="center"/>
              <w:rPr>
                <w:rFonts w:hint="default" w:ascii="Times New Roman" w:hAnsi="Times New Roman" w:eastAsia="Times New Roman" w:cs="Times New Roman"/>
                <w:sz w:val="24"/>
              </w:rPr>
            </w:pPr>
            <w:r>
              <w:rPr>
                <w:rFonts w:hint="default" w:ascii="Times New Roman" w:hAnsi="Times New Roman" w:cs="Times New Roman"/>
                <w:sz w:val="24"/>
              </w:rPr>
              <w:t>比例</w:t>
            </w:r>
            <w:r>
              <w:rPr>
                <w:rFonts w:hint="default" w:ascii="Times New Roman" w:hAnsi="Times New Roman" w:eastAsia="Times New Roman" w:cs="Times New Roman"/>
                <w:sz w:val="24"/>
              </w:rPr>
              <w:t>%</w:t>
            </w:r>
          </w:p>
        </w:tc>
        <w:tc>
          <w:tcPr>
            <w:tcW w:w="1321" w:type="dxa"/>
            <w:vAlign w:val="center"/>
          </w:tcPr>
          <w:p>
            <w:pPr>
              <w:pStyle w:val="20"/>
              <w:spacing w:before="96"/>
              <w:jc w:val="center"/>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6.29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20"/>
              <w:spacing w:before="80"/>
              <w:ind w:left="107" w:right="-29"/>
              <w:jc w:val="center"/>
              <w:rPr>
                <w:rFonts w:hint="default" w:ascii="Times New Roman" w:hAnsi="Times New Roman" w:cs="Times New Roman"/>
                <w:spacing w:val="-21"/>
                <w:sz w:val="24"/>
              </w:rPr>
            </w:pPr>
            <w:r>
              <w:rPr>
                <w:rFonts w:hint="default" w:ascii="Times New Roman" w:hAnsi="Times New Roman" w:cs="Times New Roman"/>
                <w:spacing w:val="-21"/>
                <w:sz w:val="24"/>
              </w:rPr>
              <w:t>实际总投资</w:t>
            </w:r>
          </w:p>
          <w:p>
            <w:pPr>
              <w:pStyle w:val="20"/>
              <w:spacing w:before="80"/>
              <w:ind w:left="107" w:right="-29"/>
              <w:jc w:val="center"/>
              <w:rPr>
                <w:rFonts w:hint="default" w:ascii="Times New Roman" w:hAnsi="Times New Roman" w:cs="Times New Roman"/>
                <w:sz w:val="24"/>
              </w:rPr>
            </w:pPr>
            <w:r>
              <w:rPr>
                <w:rFonts w:hint="default" w:ascii="Times New Roman" w:hAnsi="Times New Roman" w:cs="Times New Roman"/>
                <w:sz w:val="24"/>
              </w:rPr>
              <w:t>（万元）</w:t>
            </w:r>
          </w:p>
        </w:tc>
        <w:tc>
          <w:tcPr>
            <w:tcW w:w="3033" w:type="dxa"/>
            <w:vAlign w:val="center"/>
          </w:tcPr>
          <w:p>
            <w:pPr>
              <w:pStyle w:val="20"/>
              <w:spacing w:before="96"/>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567.75</w:t>
            </w:r>
          </w:p>
        </w:tc>
        <w:tc>
          <w:tcPr>
            <w:tcW w:w="1895" w:type="dxa"/>
            <w:vAlign w:val="center"/>
          </w:tcPr>
          <w:p>
            <w:pPr>
              <w:pStyle w:val="20"/>
              <w:spacing w:before="80"/>
              <w:ind w:left="423"/>
              <w:jc w:val="center"/>
              <w:rPr>
                <w:rFonts w:hint="default" w:ascii="Times New Roman" w:hAnsi="Times New Roman" w:cs="Times New Roman"/>
                <w:sz w:val="24"/>
              </w:rPr>
            </w:pPr>
            <w:r>
              <w:rPr>
                <w:rFonts w:hint="default" w:ascii="Times New Roman" w:hAnsi="Times New Roman" w:cs="Times New Roman"/>
                <w:sz w:val="24"/>
              </w:rPr>
              <w:t>环保投资（万元）</w:t>
            </w:r>
          </w:p>
        </w:tc>
        <w:tc>
          <w:tcPr>
            <w:tcW w:w="823" w:type="dxa"/>
            <w:vAlign w:val="center"/>
          </w:tcPr>
          <w:p>
            <w:pPr>
              <w:pStyle w:val="20"/>
              <w:spacing w:before="96"/>
              <w:jc w:val="center"/>
              <w:rPr>
                <w:rFonts w:hint="default" w:ascii="Times New Roman" w:hAnsi="Times New Roman" w:cs="Times New Roman"/>
                <w:sz w:val="24"/>
              </w:rPr>
            </w:pPr>
            <w:r>
              <w:rPr>
                <w:rFonts w:hint="eastAsia" w:ascii="Times New Roman" w:hAnsi="Times New Roman" w:eastAsia="宋体" w:cs="Times New Roman"/>
                <w:color w:val="000000"/>
                <w:sz w:val="24"/>
                <w:szCs w:val="24"/>
                <w:lang w:val="en-US" w:eastAsia="zh-CN"/>
              </w:rPr>
              <w:t>35.7</w:t>
            </w:r>
          </w:p>
        </w:tc>
        <w:tc>
          <w:tcPr>
            <w:tcW w:w="916" w:type="dxa"/>
            <w:vAlign w:val="center"/>
          </w:tcPr>
          <w:p>
            <w:pPr>
              <w:pStyle w:val="20"/>
              <w:spacing w:before="80"/>
              <w:ind w:right="26" w:rightChars="0"/>
              <w:jc w:val="center"/>
              <w:rPr>
                <w:rFonts w:hint="default" w:ascii="Times New Roman" w:hAnsi="Times New Roman" w:eastAsia="Times New Roman" w:cs="Times New Roman"/>
                <w:sz w:val="24"/>
              </w:rPr>
            </w:pPr>
            <w:r>
              <w:rPr>
                <w:rFonts w:hint="default" w:ascii="Times New Roman" w:hAnsi="Times New Roman" w:cs="Times New Roman"/>
                <w:sz w:val="24"/>
              </w:rPr>
              <w:t>比例</w:t>
            </w:r>
            <w:r>
              <w:rPr>
                <w:rFonts w:hint="default" w:ascii="Times New Roman" w:hAnsi="Times New Roman" w:eastAsia="Times New Roman" w:cs="Times New Roman"/>
                <w:sz w:val="24"/>
              </w:rPr>
              <w:t>%</w:t>
            </w:r>
          </w:p>
        </w:tc>
        <w:tc>
          <w:tcPr>
            <w:tcW w:w="1321" w:type="dxa"/>
            <w:vAlign w:val="center"/>
          </w:tcPr>
          <w:p>
            <w:pPr>
              <w:pStyle w:val="20"/>
              <w:spacing w:before="96"/>
              <w:jc w:val="center"/>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6.29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20"/>
              <w:spacing w:before="80"/>
              <w:ind w:left="107" w:right="-29"/>
              <w:jc w:val="center"/>
              <w:rPr>
                <w:rFonts w:hint="default" w:ascii="Times New Roman" w:hAnsi="Times New Roman" w:cs="Times New Roman"/>
                <w:sz w:val="24"/>
              </w:rPr>
            </w:pPr>
          </w:p>
          <w:p>
            <w:pPr>
              <w:pStyle w:val="20"/>
              <w:spacing w:before="80"/>
              <w:ind w:left="107" w:right="-29"/>
              <w:jc w:val="center"/>
              <w:rPr>
                <w:rFonts w:hint="default" w:ascii="Times New Roman" w:hAnsi="Times New Roman" w:cs="Times New Roman"/>
                <w:sz w:val="24"/>
              </w:rPr>
            </w:pPr>
          </w:p>
          <w:p>
            <w:pPr>
              <w:pStyle w:val="20"/>
              <w:spacing w:before="80"/>
              <w:ind w:left="107" w:right="-29"/>
              <w:jc w:val="center"/>
              <w:rPr>
                <w:rFonts w:hint="default" w:ascii="Times New Roman" w:hAnsi="Times New Roman" w:cs="Times New Roman"/>
                <w:sz w:val="24"/>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竣工验收工作由来</w:t>
            </w:r>
          </w:p>
          <w:p>
            <w:pPr>
              <w:pStyle w:val="20"/>
              <w:spacing w:before="80"/>
              <w:ind w:left="107" w:right="-29"/>
              <w:jc w:val="center"/>
              <w:rPr>
                <w:rFonts w:hint="default" w:ascii="Times New Roman" w:hAnsi="Times New Roman" w:cs="Times New Roman"/>
                <w:sz w:val="24"/>
              </w:rPr>
            </w:pPr>
          </w:p>
          <w:p>
            <w:pPr>
              <w:pStyle w:val="20"/>
              <w:spacing w:before="80"/>
              <w:ind w:left="107" w:right="-29"/>
              <w:jc w:val="center"/>
              <w:rPr>
                <w:rFonts w:hint="default" w:ascii="Times New Roman" w:hAnsi="Times New Roman" w:cs="Times New Roman"/>
                <w:sz w:val="24"/>
              </w:rPr>
            </w:pPr>
          </w:p>
          <w:p>
            <w:pPr>
              <w:pStyle w:val="20"/>
              <w:spacing w:before="80"/>
              <w:ind w:left="107" w:right="-29"/>
              <w:jc w:val="center"/>
              <w:rPr>
                <w:rFonts w:hint="default" w:ascii="Times New Roman" w:hAnsi="Times New Roman" w:cs="Times New Roman"/>
                <w:sz w:val="24"/>
              </w:rPr>
            </w:pPr>
          </w:p>
          <w:p>
            <w:pPr>
              <w:pStyle w:val="20"/>
              <w:spacing w:before="80"/>
              <w:ind w:left="107" w:right="-29"/>
              <w:jc w:val="center"/>
              <w:rPr>
                <w:rFonts w:hint="default" w:ascii="Times New Roman" w:hAnsi="Times New Roman" w:cs="Times New Roman"/>
                <w:sz w:val="24"/>
              </w:rPr>
            </w:pPr>
          </w:p>
        </w:tc>
        <w:tc>
          <w:tcPr>
            <w:tcW w:w="798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kern w:val="0"/>
                <w:sz w:val="24"/>
              </w:rPr>
            </w:pPr>
            <w:r>
              <w:rPr>
                <w:rFonts w:hint="eastAsia" w:ascii="Times New Roman" w:hAnsi="Times New Roman" w:eastAsia="宋体" w:cs="Times New Roman"/>
                <w:snapToGrid w:val="0"/>
                <w:kern w:val="0"/>
                <w:sz w:val="24"/>
              </w:rPr>
              <w:t>本项目属于西咸北环线</w:t>
            </w:r>
            <w:r>
              <w:rPr>
                <w:rFonts w:hint="eastAsia" w:ascii="Times New Roman" w:hAnsi="Times New Roman" w:eastAsia="宋体" w:cs="Times New Roman"/>
                <w:snapToGrid w:val="0"/>
                <w:kern w:val="0"/>
                <w:sz w:val="24"/>
                <w:lang w:eastAsia="zh-CN"/>
              </w:rPr>
              <w:t>泾阳</w:t>
            </w:r>
            <w:r>
              <w:rPr>
                <w:rFonts w:hint="eastAsia" w:ascii="Times New Roman" w:hAnsi="Times New Roman" w:eastAsia="宋体" w:cs="Times New Roman"/>
                <w:snapToGrid w:val="0"/>
                <w:kern w:val="0"/>
                <w:sz w:val="24"/>
              </w:rPr>
              <w:t>服务区的配套加油站，西咸北环线于2011年8月4日取得《陕西省环境保护厅关于省级高速公路西咸北环线工程环境影响报告书的批复》（陕环批复[2011]408号），另根据《高速公路交通工程及沿线设施设计通用规范》（JTGD80-2006），高速公路服务区应设置停车场、加油站、车辆维修站、公共厕所、室内外休息区、餐饮、商品零售点等设施。</w:t>
            </w:r>
            <w:r>
              <w:rPr>
                <w:rFonts w:hint="eastAsia" w:ascii="Times New Roman" w:hAnsi="Times New Roman" w:eastAsia="宋体" w:cs="Times New Roman"/>
                <w:snapToGrid w:val="0"/>
                <w:kern w:val="0"/>
                <w:sz w:val="24"/>
                <w:szCs w:val="22"/>
              </w:rPr>
              <w:t>鉴于加油站作为高速公路配套设施在2011年高速公路建设前期已随西咸北环线高速公路进行整体环评，并取得省环保厅批复。故</w:t>
            </w:r>
            <w:r>
              <w:rPr>
                <w:rFonts w:hint="eastAsia" w:ascii="Times New Roman" w:hAnsi="Times New Roman" w:eastAsia="宋体" w:cs="Times New Roman"/>
                <w:sz w:val="24"/>
                <w:szCs w:val="24"/>
              </w:rPr>
              <w:t>于2014年11月建成，由于未取得成品油销售证，一直未进行运行。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kern w:val="0"/>
                <w:sz w:val="24"/>
                <w:szCs w:val="22"/>
              </w:rPr>
            </w:pPr>
            <w:r>
              <w:rPr>
                <w:rFonts w:hint="eastAsia" w:ascii="Times New Roman" w:hAnsi="Times New Roman" w:eastAsia="宋体" w:cs="Times New Roman"/>
                <w:snapToGrid w:val="0"/>
                <w:kern w:val="0"/>
                <w:sz w:val="24"/>
              </w:rPr>
              <w:t>2016年9月，高速公路所有权人陕西省交通建设集团公司与延长石油集团有限责任公司签订战略合作协议</w:t>
            </w:r>
            <w:r>
              <w:rPr>
                <w:rFonts w:hint="eastAsia" w:ascii="Times New Roman" w:hAnsi="Times New Roman" w:eastAsia="宋体" w:cs="Times New Roman"/>
                <w:snapToGrid w:val="0"/>
                <w:kern w:val="0"/>
                <w:sz w:val="24"/>
                <w:lang w:eastAsia="zh-CN"/>
              </w:rPr>
              <w:t>，</w:t>
            </w:r>
            <w:r>
              <w:rPr>
                <w:rFonts w:hint="eastAsia" w:ascii="Times New Roman" w:hAnsi="Times New Roman" w:eastAsia="宋体" w:cs="Times New Roman"/>
                <w:snapToGrid w:val="0"/>
                <w:kern w:val="0"/>
                <w:sz w:val="24"/>
              </w:rPr>
              <w:t>明确将交通集团所建设的</w:t>
            </w:r>
            <w:r>
              <w:rPr>
                <w:rFonts w:hint="eastAsia" w:ascii="Times New Roman" w:hAnsi="Times New Roman" w:eastAsia="宋体" w:cs="Times New Roman"/>
                <w:snapToGrid w:val="0"/>
                <w:kern w:val="0"/>
                <w:sz w:val="24"/>
                <w:lang w:eastAsia="zh-CN"/>
              </w:rPr>
              <w:t>西咸北环线</w:t>
            </w:r>
            <w:r>
              <w:rPr>
                <w:rFonts w:hint="eastAsia" w:ascii="Times New Roman" w:hAnsi="Times New Roman" w:eastAsia="宋体" w:cs="Times New Roman"/>
                <w:snapToGrid w:val="0"/>
                <w:kern w:val="0"/>
                <w:sz w:val="24"/>
              </w:rPr>
              <w:t>服务区加油站全部交由延长石油集</w:t>
            </w:r>
            <w:r>
              <w:rPr>
                <w:rFonts w:hint="eastAsia" w:ascii="Times New Roman" w:hAnsi="Times New Roman" w:eastAsia="宋体" w:cs="Times New Roman"/>
                <w:snapToGrid w:val="0"/>
                <w:kern w:val="0"/>
                <w:sz w:val="24"/>
                <w:szCs w:val="22"/>
              </w:rPr>
              <w:t>团所属的全资子公司陕西省石油化工工业贸易公司。根据</w:t>
            </w:r>
            <w:r>
              <w:rPr>
                <w:rFonts w:hint="eastAsia" w:ascii="Times New Roman" w:hAnsi="Times New Roman" w:eastAsia="宋体" w:cs="Times New Roman"/>
                <w:snapToGrid w:val="0"/>
                <w:kern w:val="0"/>
                <w:sz w:val="24"/>
                <w:szCs w:val="22"/>
                <w:lang w:eastAsia="zh-CN"/>
              </w:rPr>
              <w:t>咸阳市</w:t>
            </w:r>
            <w:r>
              <w:rPr>
                <w:rFonts w:hint="eastAsia" w:ascii="Times New Roman" w:hAnsi="Times New Roman" w:eastAsia="宋体" w:cs="Times New Roman"/>
                <w:snapToGrid w:val="0"/>
                <w:kern w:val="0"/>
                <w:sz w:val="24"/>
                <w:szCs w:val="22"/>
              </w:rPr>
              <w:t>商务局于2017年8月2</w:t>
            </w:r>
            <w:r>
              <w:rPr>
                <w:rFonts w:hint="eastAsia" w:ascii="Times New Roman" w:hAnsi="Times New Roman" w:eastAsia="宋体" w:cs="Times New Roman"/>
                <w:snapToGrid w:val="0"/>
                <w:kern w:val="0"/>
                <w:sz w:val="24"/>
                <w:szCs w:val="22"/>
                <w:lang w:val="en-US" w:eastAsia="zh-CN"/>
              </w:rPr>
              <w:t>4</w:t>
            </w:r>
            <w:r>
              <w:rPr>
                <w:rFonts w:hint="eastAsia" w:ascii="Times New Roman" w:hAnsi="Times New Roman" w:eastAsia="宋体" w:cs="Times New Roman"/>
                <w:snapToGrid w:val="0"/>
                <w:kern w:val="0"/>
                <w:sz w:val="24"/>
                <w:szCs w:val="22"/>
              </w:rPr>
              <w:t>日召开《全市石油流通企业安全生产暨加油站油气污染治理大检查大整治工作会议》，会议强调，8月底前，三次油气回收治理工作未完成的加油站，要坚决停业整改。为响应最新的油气回收政策，陕西省石油化工工业贸易有限公司于2017年8月至9月对油气回收进行改造，改造为三次油气回收系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kern w:val="0"/>
                <w:sz w:val="24"/>
                <w:szCs w:val="22"/>
              </w:rPr>
            </w:pPr>
            <w:r>
              <w:rPr>
                <w:rFonts w:hint="eastAsia" w:ascii="Times New Roman" w:hAnsi="Times New Roman" w:eastAsia="宋体" w:cs="Times New Roman"/>
                <w:snapToGrid w:val="0"/>
                <w:kern w:val="0"/>
                <w:sz w:val="24"/>
                <w:szCs w:val="22"/>
              </w:rPr>
              <w:t>2018年10月17日，陕西省环境保护厅关于西咸北环线高速公路项目（重大变动）环境影响报告书的批复（陕环批复[2018]404号）中明确，省级厅高速公路主体工程已建设完成并投入运行，服务区等主体设施建成，服务功能尚未完全开放。该项目在建设里程增加、线路设计变动、部分功能区发生了调整，省厅</w:t>
            </w:r>
            <w:r>
              <w:rPr>
                <w:rFonts w:hint="eastAsia" w:ascii="Times New Roman" w:hAnsi="Times New Roman" w:eastAsia="宋体" w:cs="Times New Roman"/>
                <w:snapToGrid w:val="0"/>
                <w:kern w:val="0"/>
                <w:sz w:val="24"/>
              </w:rPr>
              <w:t>以项目变更环境影响评价文件未经省厅审批擅自变更建设违反有关规定，对项目建设方进行了查处。并要求加油</w:t>
            </w:r>
            <w:r>
              <w:rPr>
                <w:rFonts w:hint="eastAsia" w:ascii="Times New Roman" w:hAnsi="Times New Roman" w:eastAsia="宋体" w:cs="Times New Roman"/>
                <w:snapToGrid w:val="0"/>
                <w:kern w:val="0"/>
                <w:sz w:val="24"/>
                <w:szCs w:val="22"/>
              </w:rPr>
              <w:t>站另行办理环评手续。根据公路环境和需求可设置人员住宿、车辆加水等设施。</w:t>
            </w:r>
          </w:p>
          <w:p>
            <w:pPr>
              <w:pStyle w:val="20"/>
              <w:keepNext w:val="0"/>
              <w:keepLines w:val="0"/>
              <w:pageBreakBefore w:val="0"/>
              <w:widowControl w:val="0"/>
              <w:kinsoku/>
              <w:wordWrap/>
              <w:overflowPunct/>
              <w:topLinePunct w:val="0"/>
              <w:autoSpaceDE w:val="0"/>
              <w:autoSpaceDN w:val="0"/>
              <w:bidi w:val="0"/>
              <w:adjustRightInd/>
              <w:snapToGrid/>
              <w:spacing w:before="96" w:line="360" w:lineRule="auto"/>
              <w:ind w:firstLine="480" w:firstLineChars="200"/>
              <w:jc w:val="left"/>
              <w:textAlignment w:val="auto"/>
              <w:rPr>
                <w:rFonts w:hint="default" w:ascii="Times New Roman" w:hAnsi="Times New Roman" w:eastAsia="宋体" w:cs="Times New Roman"/>
                <w:snapToGrid w:val="0"/>
                <w:kern w:val="0"/>
                <w:sz w:val="24"/>
                <w:szCs w:val="22"/>
                <w:lang w:val="en-US" w:eastAsia="zh-CN" w:bidi="zh-CN"/>
              </w:rPr>
            </w:pPr>
            <w:r>
              <w:rPr>
                <w:rFonts w:hint="eastAsia" w:ascii="Times New Roman" w:hAnsi="Times New Roman" w:eastAsia="宋体" w:cs="Times New Roman"/>
                <w:snapToGrid w:val="0"/>
                <w:kern w:val="0"/>
                <w:sz w:val="24"/>
                <w:szCs w:val="22"/>
                <w:lang w:val="zh-CN" w:eastAsia="zh-CN" w:bidi="zh-CN"/>
              </w:rPr>
              <w:t>2019年4月10日，交通集团将该文件转至陕西省石油化工工业贸易有限公司，陕西省石油化工工业贸易公司随即按照文件要求积极主动办理补充环评手续，并于</w:t>
            </w:r>
            <w:r>
              <w:rPr>
                <w:rFonts w:hint="eastAsia" w:ascii="Times New Roman" w:hAnsi="Times New Roman" w:eastAsia="宋体" w:cs="Times New Roman"/>
                <w:snapToGrid w:val="0"/>
                <w:kern w:val="0"/>
                <w:sz w:val="24"/>
                <w:szCs w:val="22"/>
                <w:lang w:val="en-US" w:eastAsia="zh-CN" w:bidi="zh-CN"/>
              </w:rPr>
              <w:t>2020年6月18日取得了关于陕西省石油化工工业贸易公司泾阳服务区</w:t>
            </w:r>
            <w:r>
              <w:rPr>
                <w:rFonts w:hint="eastAsia" w:ascii="Times New Roman" w:hAnsi="Times New Roman" w:cs="Times New Roman"/>
                <w:snapToGrid w:val="0"/>
                <w:kern w:val="0"/>
                <w:sz w:val="24"/>
                <w:szCs w:val="22"/>
                <w:lang w:val="en-US" w:eastAsia="zh-CN" w:bidi="zh-CN"/>
              </w:rPr>
              <w:t>南</w:t>
            </w:r>
            <w:r>
              <w:rPr>
                <w:rFonts w:hint="eastAsia" w:ascii="Times New Roman" w:hAnsi="Times New Roman" w:eastAsia="宋体" w:cs="Times New Roman"/>
                <w:snapToGrid w:val="0"/>
                <w:kern w:val="0"/>
                <w:sz w:val="24"/>
                <w:szCs w:val="22"/>
                <w:lang w:val="en-US" w:eastAsia="zh-CN" w:bidi="zh-CN"/>
              </w:rPr>
              <w:t>加油站《加油站建设项目环境影响报告表》的批复（咸环泾函[2020]</w:t>
            </w:r>
            <w:r>
              <w:rPr>
                <w:rFonts w:hint="eastAsia" w:ascii="Times New Roman" w:hAnsi="Times New Roman" w:cs="Times New Roman"/>
                <w:snapToGrid w:val="0"/>
                <w:kern w:val="0"/>
                <w:sz w:val="24"/>
                <w:szCs w:val="22"/>
                <w:lang w:val="en-US" w:eastAsia="zh-CN" w:bidi="zh-CN"/>
              </w:rPr>
              <w:t>69</w:t>
            </w:r>
            <w:r>
              <w:rPr>
                <w:rFonts w:hint="eastAsia" w:ascii="Times New Roman" w:hAnsi="Times New Roman" w:eastAsia="宋体" w:cs="Times New Roman"/>
                <w:snapToGrid w:val="0"/>
                <w:kern w:val="0"/>
                <w:sz w:val="24"/>
                <w:szCs w:val="22"/>
                <w:lang w:val="en-US" w:eastAsia="zh-CN" w:bidi="zh-CN"/>
              </w:rPr>
              <w:t>号）。</w:t>
            </w:r>
          </w:p>
          <w:p>
            <w:pPr>
              <w:pStyle w:val="20"/>
              <w:keepNext w:val="0"/>
              <w:keepLines w:val="0"/>
              <w:pageBreakBefore w:val="0"/>
              <w:widowControl w:val="0"/>
              <w:kinsoku/>
              <w:wordWrap/>
              <w:overflowPunct/>
              <w:topLinePunct w:val="0"/>
              <w:autoSpaceDE w:val="0"/>
              <w:autoSpaceDN w:val="0"/>
              <w:bidi w:val="0"/>
              <w:adjustRightInd/>
              <w:snapToGrid/>
              <w:spacing w:before="96" w:line="360" w:lineRule="auto"/>
              <w:ind w:firstLine="480" w:firstLineChars="200"/>
              <w:jc w:val="left"/>
              <w:textAlignment w:val="auto"/>
              <w:rPr>
                <w:rFonts w:hint="eastAsia" w:ascii="Times New Roman" w:hAnsi="Times New Roman" w:eastAsia="宋体" w:cs="Times New Roman"/>
                <w:snapToGrid w:val="0"/>
                <w:kern w:val="0"/>
                <w:sz w:val="24"/>
                <w:szCs w:val="22"/>
                <w:lang w:val="en-US" w:eastAsia="zh-CN" w:bidi="zh-CN"/>
              </w:rPr>
            </w:pPr>
            <w:r>
              <w:rPr>
                <w:color w:val="auto"/>
                <w:sz w:val="24"/>
                <w:szCs w:val="24"/>
                <w:highlight w:val="none"/>
              </w:rPr>
              <w:t>根据环评报告表的环保要求及环评批复要求，20</w:t>
            </w:r>
            <w:r>
              <w:rPr>
                <w:rFonts w:hint="eastAsia"/>
                <w:color w:val="auto"/>
                <w:sz w:val="24"/>
                <w:szCs w:val="24"/>
                <w:highlight w:val="none"/>
                <w:lang w:val="en-US" w:eastAsia="zh-CN"/>
              </w:rPr>
              <w:t>20</w:t>
            </w:r>
            <w:r>
              <w:rPr>
                <w:color w:val="auto"/>
                <w:sz w:val="24"/>
                <w:szCs w:val="24"/>
                <w:highlight w:val="none"/>
              </w:rPr>
              <w:t>年</w:t>
            </w:r>
            <w:r>
              <w:rPr>
                <w:rFonts w:hint="eastAsia"/>
                <w:color w:val="auto"/>
                <w:sz w:val="24"/>
                <w:szCs w:val="24"/>
                <w:highlight w:val="none"/>
                <w:lang w:val="en-US" w:eastAsia="zh-CN"/>
              </w:rPr>
              <w:t>8月</w:t>
            </w:r>
            <w:r>
              <w:rPr>
                <w:rFonts w:hint="eastAsia" w:ascii="Times New Roman" w:hAnsi="Times New Roman" w:eastAsia="宋体" w:cs="Times New Roman"/>
                <w:snapToGrid w:val="0"/>
                <w:kern w:val="0"/>
                <w:sz w:val="24"/>
                <w:szCs w:val="22"/>
                <w:lang w:val="zh-CN" w:eastAsia="zh-CN" w:bidi="zh-CN"/>
              </w:rPr>
              <w:t>陕西省石油化工工业贸易公司泾阳服务区</w:t>
            </w:r>
            <w:r>
              <w:rPr>
                <w:rFonts w:hint="eastAsia" w:ascii="Times New Roman" w:hAnsi="Times New Roman" w:cs="Times New Roman"/>
                <w:snapToGrid w:val="0"/>
                <w:kern w:val="0"/>
                <w:sz w:val="24"/>
                <w:szCs w:val="22"/>
                <w:lang w:val="zh-CN" w:eastAsia="zh-CN" w:bidi="zh-CN"/>
              </w:rPr>
              <w:t>南</w:t>
            </w:r>
            <w:r>
              <w:rPr>
                <w:rFonts w:hint="eastAsia" w:ascii="Times New Roman" w:hAnsi="Times New Roman" w:eastAsia="宋体" w:cs="Times New Roman"/>
                <w:snapToGrid w:val="0"/>
                <w:kern w:val="0"/>
                <w:sz w:val="24"/>
                <w:szCs w:val="22"/>
                <w:lang w:val="zh-CN" w:eastAsia="zh-CN" w:bidi="zh-CN"/>
              </w:rPr>
              <w:t>加油站</w:t>
            </w:r>
            <w:r>
              <w:rPr>
                <w:color w:val="auto"/>
                <w:sz w:val="24"/>
                <w:szCs w:val="24"/>
                <w:highlight w:val="none"/>
              </w:rPr>
              <w:t>委托</w:t>
            </w:r>
            <w:r>
              <w:rPr>
                <w:rFonts w:hint="eastAsia" w:ascii="Times New Roman" w:hAnsi="Times New Roman" w:eastAsia="宋体" w:cs="Times New Roman"/>
                <w:snapToGrid w:val="0"/>
                <w:kern w:val="0"/>
                <w:sz w:val="24"/>
                <w:szCs w:val="22"/>
                <w:lang w:val="en-US" w:eastAsia="zh-CN" w:bidi="zh-CN"/>
              </w:rPr>
              <w:t>河北鑫旺工程建设服务有限公司陕西分公司</w:t>
            </w:r>
            <w:r>
              <w:rPr>
                <w:color w:val="auto"/>
                <w:sz w:val="24"/>
                <w:szCs w:val="24"/>
                <w:highlight w:val="none"/>
              </w:rPr>
              <w:t>对《</w:t>
            </w:r>
            <w:r>
              <w:rPr>
                <w:rFonts w:ascii="Times New Roman" w:hAnsi="Times New Roman" w:eastAsia="宋体" w:cs="Times New Roman"/>
                <w:sz w:val="24"/>
              </w:rPr>
              <w:t>陕西省石油化工工业贸易公司泾阳服务区</w:t>
            </w:r>
            <w:r>
              <w:rPr>
                <w:rFonts w:hint="eastAsia" w:ascii="Times New Roman" w:hAnsi="Times New Roman" w:cs="Times New Roman"/>
                <w:sz w:val="24"/>
                <w:lang w:eastAsia="zh-CN"/>
              </w:rPr>
              <w:t>南</w:t>
            </w:r>
            <w:r>
              <w:rPr>
                <w:rFonts w:ascii="Times New Roman" w:hAnsi="Times New Roman" w:eastAsia="宋体" w:cs="Times New Roman"/>
                <w:sz w:val="24"/>
              </w:rPr>
              <w:t>加油站</w:t>
            </w:r>
            <w:r>
              <w:rPr>
                <w:rFonts w:hint="eastAsia" w:ascii="Times New Roman" w:hAnsi="Times New Roman" w:eastAsia="宋体" w:cs="Times New Roman"/>
                <w:sz w:val="24"/>
                <w:lang w:eastAsia="zh-CN"/>
              </w:rPr>
              <w:t>建设</w:t>
            </w:r>
            <w:r>
              <w:rPr>
                <w:rFonts w:ascii="Times New Roman" w:hAnsi="Times New Roman" w:eastAsia="宋体" w:cs="Times New Roman"/>
                <w:sz w:val="24"/>
              </w:rPr>
              <w:t>项目</w:t>
            </w:r>
            <w:r>
              <w:rPr>
                <w:color w:val="auto"/>
                <w:sz w:val="24"/>
                <w:szCs w:val="24"/>
                <w:highlight w:val="none"/>
              </w:rPr>
              <w:t>》开展竣工环保验收监测报告表的编制工作。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14" w:hRule="atLeast"/>
          <w:jc w:val="center"/>
        </w:trPr>
        <w:tc>
          <w:tcPr>
            <w:tcW w:w="1517" w:type="dxa"/>
            <w:vAlign w:val="center"/>
          </w:tcPr>
          <w:p>
            <w:pPr>
              <w:pStyle w:val="20"/>
              <w:jc w:val="center"/>
              <w:rPr>
                <w:rFonts w:hint="default" w:ascii="Times New Roman" w:hAnsi="Times New Roman" w:cs="Times New Roman"/>
                <w:sz w:val="24"/>
              </w:rPr>
            </w:pPr>
            <w:r>
              <w:rPr>
                <w:rFonts w:hint="default" w:ascii="Times New Roman" w:hAnsi="Times New Roman" w:cs="Times New Roman"/>
                <w:sz w:val="24"/>
              </w:rPr>
              <w:t>验收监测</w:t>
            </w:r>
          </w:p>
          <w:p>
            <w:pPr>
              <w:pStyle w:val="20"/>
              <w:jc w:val="center"/>
              <w:rPr>
                <w:rFonts w:hint="default" w:ascii="Times New Roman" w:hAnsi="Times New Roman" w:cs="Times New Roman"/>
                <w:sz w:val="24"/>
              </w:rPr>
            </w:pPr>
            <w:r>
              <w:rPr>
                <w:rFonts w:hint="default" w:ascii="Times New Roman" w:hAnsi="Times New Roman" w:cs="Times New Roman"/>
                <w:sz w:val="24"/>
              </w:rPr>
              <w:t>依据</w:t>
            </w:r>
          </w:p>
        </w:tc>
        <w:tc>
          <w:tcPr>
            <w:tcW w:w="7988" w:type="dxa"/>
            <w:gridSpan w:val="5"/>
            <w:vAlign w:val="center"/>
          </w:tcPr>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（1）《中华人民共和国环境保护法》（2015.1.1）；</w:t>
            </w:r>
          </w:p>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（2）《中华人民共和国大气污染防治法》（2018.10.26）；</w:t>
            </w:r>
          </w:p>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（3）《中华人民共和国水污染防治法》（2018.1.1）；</w:t>
            </w:r>
          </w:p>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（4）《中华人民共和国环境噪声污染防治法》（2018.12.29）；</w:t>
            </w:r>
          </w:p>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w:t>
            </w:r>
            <w:r>
              <w:rPr>
                <w:rFonts w:hint="eastAsia" w:ascii="Times New Roman" w:hAnsi="Times New Roman" w:eastAsia="宋体" w:cs="Times New Roman"/>
                <w:sz w:val="24"/>
                <w:szCs w:val="22"/>
                <w:lang w:val="en-US" w:eastAsia="zh-CN" w:bidi="zh-CN"/>
              </w:rPr>
              <w:t>5</w:t>
            </w:r>
            <w:r>
              <w:rPr>
                <w:rFonts w:hint="default" w:ascii="Times New Roman" w:hAnsi="Times New Roman" w:eastAsia="宋体" w:cs="Times New Roman"/>
                <w:sz w:val="24"/>
                <w:szCs w:val="22"/>
                <w:lang w:val="en-US" w:eastAsia="zh-CN" w:bidi="zh-CN"/>
              </w:rPr>
              <w:t>）《中华人民共和国固体废物污染防治法》（自2</w:t>
            </w:r>
            <w:r>
              <w:rPr>
                <w:rFonts w:hint="eastAsia" w:ascii="Times New Roman" w:hAnsi="Times New Roman" w:eastAsia="宋体" w:cs="Times New Roman"/>
                <w:sz w:val="24"/>
                <w:szCs w:val="22"/>
                <w:lang w:val="en-US" w:eastAsia="zh-CN" w:bidi="zh-CN"/>
              </w:rPr>
              <w:t>020</w:t>
            </w:r>
            <w:r>
              <w:rPr>
                <w:rFonts w:hint="default" w:ascii="Times New Roman" w:hAnsi="Times New Roman" w:eastAsia="宋体" w:cs="Times New Roman"/>
                <w:sz w:val="24"/>
                <w:szCs w:val="22"/>
                <w:lang w:val="en-US" w:eastAsia="zh-CN" w:bidi="zh-CN"/>
              </w:rPr>
              <w:t>年</w:t>
            </w:r>
            <w:r>
              <w:rPr>
                <w:rFonts w:hint="eastAsia" w:ascii="Times New Roman" w:hAnsi="Times New Roman" w:eastAsia="宋体" w:cs="Times New Roman"/>
                <w:sz w:val="24"/>
                <w:szCs w:val="22"/>
                <w:lang w:val="en-US" w:eastAsia="zh-CN" w:bidi="zh-CN"/>
              </w:rPr>
              <w:t>9</w:t>
            </w:r>
            <w:r>
              <w:rPr>
                <w:rFonts w:hint="default" w:ascii="Times New Roman" w:hAnsi="Times New Roman" w:eastAsia="宋体" w:cs="Times New Roman"/>
                <w:sz w:val="24"/>
                <w:szCs w:val="22"/>
                <w:lang w:val="en-US" w:eastAsia="zh-CN" w:bidi="zh-CN"/>
              </w:rPr>
              <w:t>月1日</w:t>
            </w:r>
            <w:r>
              <w:rPr>
                <w:rFonts w:hint="eastAsia" w:ascii="Times New Roman" w:hAnsi="Times New Roman" w:eastAsia="宋体" w:cs="Times New Roman"/>
                <w:sz w:val="24"/>
                <w:szCs w:val="22"/>
                <w:lang w:val="en-US" w:eastAsia="zh-CN" w:bidi="zh-CN"/>
              </w:rPr>
              <w:t>修订</w:t>
            </w:r>
            <w:r>
              <w:rPr>
                <w:rFonts w:hint="default" w:ascii="Times New Roman" w:hAnsi="Times New Roman" w:eastAsia="宋体" w:cs="Times New Roman"/>
                <w:sz w:val="24"/>
                <w:szCs w:val="22"/>
                <w:lang w:val="en-US" w:eastAsia="zh-CN" w:bidi="zh-CN"/>
              </w:rPr>
              <w:t>）；</w:t>
            </w:r>
          </w:p>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w:t>
            </w:r>
            <w:r>
              <w:rPr>
                <w:rFonts w:hint="eastAsia" w:ascii="Times New Roman" w:hAnsi="Times New Roman" w:eastAsia="宋体" w:cs="Times New Roman"/>
                <w:sz w:val="24"/>
                <w:szCs w:val="22"/>
                <w:lang w:val="en-US" w:eastAsia="zh-CN" w:bidi="zh-CN"/>
              </w:rPr>
              <w:t>6</w:t>
            </w:r>
            <w:r>
              <w:rPr>
                <w:rFonts w:hint="default" w:ascii="Times New Roman" w:hAnsi="Times New Roman" w:eastAsia="宋体" w:cs="Times New Roman"/>
                <w:sz w:val="24"/>
                <w:szCs w:val="22"/>
                <w:lang w:val="en-US" w:eastAsia="zh-CN" w:bidi="zh-CN"/>
              </w:rPr>
              <w:t>）《建设项目环境保护管理条例》（2017.10.1）</w:t>
            </w:r>
          </w:p>
          <w:p>
            <w:pPr>
              <w:pStyle w:val="7"/>
              <w:spacing w:before="0" w:line="360" w:lineRule="auto"/>
              <w:ind w:left="0" w:firstLine="0" w:firstLineChars="0"/>
              <w:jc w:val="left"/>
              <w:rPr>
                <w:rFonts w:hint="default" w:ascii="Times New Roman" w:hAnsi="Times New Roman" w:eastAsia="宋体" w:cs="Times New Roman"/>
                <w:b w:val="0"/>
                <w:bCs w:val="0"/>
                <w:color w:val="auto"/>
                <w:sz w:val="24"/>
                <w:szCs w:val="22"/>
                <w:lang w:val="en-US" w:eastAsia="zh-CN"/>
              </w:rPr>
            </w:pPr>
            <w:r>
              <w:rPr>
                <w:rFonts w:hint="default" w:ascii="Times New Roman" w:hAnsi="Times New Roman" w:eastAsia="宋体" w:cs="Times New Roman"/>
                <w:b w:val="0"/>
                <w:bCs w:val="0"/>
                <w:color w:val="auto"/>
                <w:sz w:val="24"/>
                <w:szCs w:val="22"/>
                <w:lang w:val="en-US" w:eastAsia="zh-CN"/>
              </w:rPr>
              <w:t>（</w:t>
            </w:r>
            <w:r>
              <w:rPr>
                <w:rFonts w:hint="eastAsia" w:ascii="Times New Roman" w:hAnsi="Times New Roman" w:cs="Times New Roman"/>
                <w:b w:val="0"/>
                <w:bCs w:val="0"/>
                <w:color w:val="auto"/>
                <w:sz w:val="24"/>
                <w:szCs w:val="22"/>
                <w:lang w:val="en-US" w:eastAsia="zh-CN"/>
              </w:rPr>
              <w:t>7</w:t>
            </w:r>
            <w:r>
              <w:rPr>
                <w:rFonts w:hint="default" w:ascii="Times New Roman" w:hAnsi="Times New Roman" w:eastAsia="宋体" w:cs="Times New Roman"/>
                <w:b w:val="0"/>
                <w:bCs w:val="0"/>
                <w:color w:val="auto"/>
                <w:sz w:val="24"/>
                <w:szCs w:val="22"/>
                <w:lang w:val="en-US" w:eastAsia="zh-CN"/>
              </w:rPr>
              <w:t>）《关于规范建设单位自主开展建设项目竣工环境保护验收的通知（征求意见稿）》（环办环评函[2017]1235号）；</w:t>
            </w:r>
          </w:p>
          <w:p>
            <w:pPr>
              <w:pStyle w:val="7"/>
              <w:spacing w:before="0" w:line="360" w:lineRule="auto"/>
              <w:ind w:left="0" w:firstLine="0" w:firstLineChars="0"/>
              <w:jc w:val="left"/>
              <w:rPr>
                <w:rFonts w:hint="default" w:ascii="Times New Roman" w:hAnsi="Times New Roman" w:eastAsia="宋体" w:cs="Times New Roman"/>
                <w:b w:val="0"/>
                <w:bCs w:val="0"/>
                <w:color w:val="auto"/>
                <w:sz w:val="24"/>
                <w:szCs w:val="22"/>
                <w:lang w:val="en-US" w:eastAsia="zh-CN"/>
              </w:rPr>
            </w:pPr>
            <w:r>
              <w:rPr>
                <w:rFonts w:hint="default" w:ascii="Times New Roman" w:hAnsi="Times New Roman" w:eastAsia="宋体" w:cs="Times New Roman"/>
                <w:b w:val="0"/>
                <w:bCs w:val="0"/>
                <w:color w:val="auto"/>
                <w:sz w:val="24"/>
                <w:szCs w:val="22"/>
                <w:lang w:val="en-US" w:eastAsia="zh-CN"/>
              </w:rPr>
              <w:t>（</w:t>
            </w:r>
            <w:r>
              <w:rPr>
                <w:rFonts w:hint="eastAsia" w:ascii="Times New Roman" w:hAnsi="Times New Roman" w:cs="Times New Roman"/>
                <w:b w:val="0"/>
                <w:bCs w:val="0"/>
                <w:color w:val="auto"/>
                <w:sz w:val="24"/>
                <w:szCs w:val="22"/>
                <w:lang w:val="en-US" w:eastAsia="zh-CN"/>
              </w:rPr>
              <w:t>8</w:t>
            </w:r>
            <w:r>
              <w:rPr>
                <w:rFonts w:hint="default" w:ascii="Times New Roman" w:hAnsi="Times New Roman" w:eastAsia="宋体" w:cs="Times New Roman"/>
                <w:b w:val="0"/>
                <w:bCs w:val="0"/>
                <w:color w:val="auto"/>
                <w:sz w:val="24"/>
                <w:szCs w:val="22"/>
                <w:lang w:val="en-US" w:eastAsia="zh-CN"/>
              </w:rPr>
              <w:t>）《关于印发建设项目竣工环境保护验收现场检查及审查要点的通知》（环办〔2015〕113号）；</w:t>
            </w:r>
          </w:p>
          <w:p>
            <w:pPr>
              <w:pStyle w:val="7"/>
              <w:spacing w:before="0" w:line="360" w:lineRule="auto"/>
              <w:ind w:left="0" w:firstLine="0" w:firstLineChars="0"/>
              <w:jc w:val="left"/>
              <w:rPr>
                <w:rFonts w:hint="default" w:ascii="Times New Roman" w:hAnsi="Times New Roman" w:eastAsia="宋体" w:cs="Times New Roman"/>
                <w:b w:val="0"/>
                <w:bCs w:val="0"/>
                <w:color w:val="auto"/>
                <w:sz w:val="24"/>
                <w:szCs w:val="22"/>
                <w:lang w:val="en-US" w:eastAsia="zh-CN"/>
              </w:rPr>
            </w:pPr>
            <w:r>
              <w:rPr>
                <w:rFonts w:hint="default" w:ascii="Times New Roman" w:hAnsi="Times New Roman" w:eastAsia="宋体" w:cs="Times New Roman"/>
                <w:b w:val="0"/>
                <w:bCs w:val="0"/>
                <w:color w:val="auto"/>
                <w:sz w:val="24"/>
                <w:szCs w:val="22"/>
                <w:lang w:val="en-US" w:eastAsia="zh-CN"/>
              </w:rPr>
              <w:t>（</w:t>
            </w:r>
            <w:r>
              <w:rPr>
                <w:rFonts w:hint="eastAsia" w:ascii="Times New Roman" w:hAnsi="Times New Roman" w:cs="Times New Roman"/>
                <w:b w:val="0"/>
                <w:bCs w:val="0"/>
                <w:color w:val="auto"/>
                <w:sz w:val="24"/>
                <w:szCs w:val="22"/>
                <w:lang w:val="en-US" w:eastAsia="zh-CN"/>
              </w:rPr>
              <w:t>9</w:t>
            </w:r>
            <w:r>
              <w:rPr>
                <w:rFonts w:hint="default" w:ascii="Times New Roman" w:hAnsi="Times New Roman" w:eastAsia="宋体" w:cs="Times New Roman"/>
                <w:b w:val="0"/>
                <w:bCs w:val="0"/>
                <w:color w:val="auto"/>
                <w:sz w:val="24"/>
                <w:szCs w:val="22"/>
                <w:lang w:val="en-US" w:eastAsia="zh-CN"/>
              </w:rPr>
              <w:t>）《建设项目竣工环境保护验收技术指南 污染影响类》（2018.5.16）；</w:t>
            </w:r>
          </w:p>
          <w:p>
            <w:pPr>
              <w:pStyle w:val="7"/>
              <w:spacing w:before="0" w:line="360" w:lineRule="auto"/>
              <w:ind w:left="0" w:firstLine="0" w:firstLineChars="0"/>
              <w:jc w:val="left"/>
              <w:rPr>
                <w:rFonts w:hint="default" w:ascii="Times New Roman" w:hAnsi="Times New Roman" w:eastAsia="宋体" w:cs="Times New Roman"/>
                <w:b w:val="0"/>
                <w:bCs w:val="0"/>
                <w:color w:val="auto"/>
                <w:sz w:val="24"/>
                <w:szCs w:val="22"/>
                <w:lang w:val="en-US" w:eastAsia="zh-CN"/>
              </w:rPr>
            </w:pPr>
            <w:r>
              <w:rPr>
                <w:rFonts w:hint="default" w:ascii="Times New Roman" w:hAnsi="Times New Roman" w:eastAsia="宋体" w:cs="Times New Roman"/>
                <w:b w:val="0"/>
                <w:bCs w:val="0"/>
                <w:color w:val="auto"/>
                <w:sz w:val="24"/>
                <w:szCs w:val="22"/>
                <w:lang w:val="en-US" w:eastAsia="zh-CN"/>
              </w:rPr>
              <w:t>（</w:t>
            </w:r>
            <w:r>
              <w:rPr>
                <w:rFonts w:hint="eastAsia" w:ascii="Times New Roman" w:hAnsi="Times New Roman" w:cs="Times New Roman"/>
                <w:b w:val="0"/>
                <w:bCs w:val="0"/>
                <w:color w:val="auto"/>
                <w:sz w:val="24"/>
                <w:szCs w:val="22"/>
                <w:lang w:val="en-US" w:eastAsia="zh-CN"/>
              </w:rPr>
              <w:t>10</w:t>
            </w:r>
            <w:r>
              <w:rPr>
                <w:rFonts w:hint="default" w:ascii="Times New Roman" w:hAnsi="Times New Roman" w:eastAsia="宋体" w:cs="Times New Roman"/>
                <w:b w:val="0"/>
                <w:bCs w:val="0"/>
                <w:color w:val="auto"/>
                <w:sz w:val="24"/>
                <w:szCs w:val="22"/>
                <w:lang w:val="en-US" w:eastAsia="zh-CN"/>
              </w:rPr>
              <w:t>）《加油站地下水污染防治技术指南（试行）》（2017.3.9）</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highlight w:val="none"/>
                <w:lang w:val="en-US" w:eastAsia="zh-CN"/>
              </w:rPr>
            </w:pPr>
            <w:r>
              <w:rPr>
                <w:rFonts w:hint="eastAsia" w:ascii="Times New Roman" w:hAnsi="Times New Roman" w:cs="Times New Roman"/>
                <w:b w:val="0"/>
                <w:bCs w:val="0"/>
                <w:color w:val="auto"/>
                <w:sz w:val="24"/>
                <w:szCs w:val="22"/>
                <w:highlight w:val="none"/>
                <w:lang w:val="en-US" w:eastAsia="zh-CN"/>
              </w:rPr>
              <w:t>（11）《关于进一步规范适用环境行政处罚自由裁量权的指导意见》（环执法〔2019〕42号）</w:t>
            </w:r>
          </w:p>
          <w:p>
            <w:pPr>
              <w:keepLines w:val="0"/>
              <w:pageBreakBefore w:val="0"/>
              <w:kinsoku/>
              <w:overflowPunct/>
              <w:topLinePunct w:val="0"/>
              <w:bidi w:val="0"/>
              <w:spacing w:after="0" w:line="360" w:lineRule="auto"/>
              <w:ind w:firstLine="0" w:firstLineChars="0"/>
              <w:jc w:val="left"/>
              <w:outlineLvl w:val="9"/>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12</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highlight w:val="none"/>
                <w:lang w:val="en-US" w:eastAsia="zh-CN"/>
              </w:rPr>
              <w:t>省级高速公路西咸北环线工程环境影响报告书</w:t>
            </w:r>
            <w:r>
              <w:rPr>
                <w:rFonts w:hint="default" w:ascii="Times New Roman" w:hAnsi="Times New Roman" w:eastAsia="宋体" w:cs="Times New Roman"/>
                <w:color w:val="000000"/>
                <w:sz w:val="24"/>
                <w:szCs w:val="24"/>
                <w:highlight w:val="none"/>
                <w:lang w:eastAsia="zh-CN"/>
              </w:rPr>
              <w:t>》（长安大学，20</w:t>
            </w:r>
            <w:r>
              <w:rPr>
                <w:rFonts w:hint="default" w:ascii="Times New Roman" w:hAnsi="Times New Roman" w:eastAsia="宋体" w:cs="Times New Roman"/>
                <w:color w:val="000000"/>
                <w:sz w:val="24"/>
                <w:szCs w:val="24"/>
                <w:highlight w:val="none"/>
                <w:lang w:val="en-US" w:eastAsia="zh-CN"/>
              </w:rPr>
              <w:t>11</w:t>
            </w:r>
            <w:r>
              <w:rPr>
                <w:rFonts w:hint="default" w:ascii="Times New Roman" w:hAnsi="Times New Roman" w:eastAsia="宋体" w:cs="Times New Roman"/>
                <w:color w:val="000000"/>
                <w:sz w:val="24"/>
                <w:szCs w:val="24"/>
                <w:highlight w:val="none"/>
                <w:lang w:eastAsia="zh-CN"/>
              </w:rPr>
              <w:t>年</w:t>
            </w:r>
            <w:r>
              <w:rPr>
                <w:rFonts w:hint="default"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eastAsia="zh-CN"/>
              </w:rPr>
              <w:t>月）；</w:t>
            </w:r>
          </w:p>
          <w:p>
            <w:pPr>
              <w:spacing w:after="0" w:line="360" w:lineRule="auto"/>
              <w:ind w:firstLine="0" w:firstLineChars="0"/>
              <w:jc w:val="left"/>
              <w:rPr>
                <w:rFonts w:hint="default" w:ascii="Times New Roman" w:hAnsi="Times New Roman" w:eastAsia="宋体" w:cstheme="minorBidi"/>
                <w:sz w:val="28"/>
                <w:szCs w:val="22"/>
                <w:highlight w:val="none"/>
                <w:lang w:eastAsia="zh-CN"/>
              </w:rPr>
            </w:pP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13</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highlight w:val="none"/>
                <w:lang w:val="en-US" w:eastAsia="zh-CN"/>
              </w:rPr>
              <w:t>省级高速公路西咸北环线工程环境影响报告书</w:t>
            </w:r>
            <w:r>
              <w:rPr>
                <w:rFonts w:hint="default"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eastAsia="zh-CN"/>
              </w:rPr>
              <w:t>的批复</w:t>
            </w:r>
            <w:r>
              <w:rPr>
                <w:rFonts w:hint="default" w:ascii="Times New Roman" w:hAnsi="Times New Roman" w:eastAsia="宋体" w:cs="Times New Roman"/>
                <w:color w:val="000000"/>
                <w:sz w:val="24"/>
                <w:highlight w:val="none"/>
                <w:lang w:val="en-US" w:eastAsia="zh-CN"/>
              </w:rPr>
              <w:t>（陕环批复〔2011〕408号）</w:t>
            </w:r>
            <w:r>
              <w:rPr>
                <w:rFonts w:hint="default" w:ascii="Times New Roman" w:hAnsi="Times New Roman" w:eastAsia="宋体" w:cs="Times New Roman"/>
                <w:color w:val="000000"/>
                <w:sz w:val="24"/>
                <w:szCs w:val="24"/>
                <w:highlight w:val="none"/>
                <w:lang w:eastAsia="zh-CN"/>
              </w:rPr>
              <w:t>；</w:t>
            </w:r>
          </w:p>
          <w:p>
            <w:pPr>
              <w:keepLines w:val="0"/>
              <w:pageBreakBefore w:val="0"/>
              <w:kinsoku/>
              <w:overflowPunct/>
              <w:topLinePunct w:val="0"/>
              <w:bidi w:val="0"/>
              <w:spacing w:after="0" w:line="360" w:lineRule="auto"/>
              <w:ind w:firstLine="0" w:firstLineChars="0"/>
              <w:jc w:val="left"/>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（14）</w:t>
            </w:r>
            <w:r>
              <w:rPr>
                <w:rFonts w:hint="default" w:ascii="Times New Roman" w:hAnsi="Times New Roman" w:cs="Times New Roman" w:eastAsiaTheme="minorEastAsia"/>
                <w:bCs/>
                <w:kern w:val="2"/>
                <w:sz w:val="24"/>
                <w:szCs w:val="24"/>
                <w:highlight w:val="none"/>
                <w:lang w:val="en-US" w:eastAsia="zh-CN"/>
              </w:rPr>
              <w:t>《西咸北环线高速公路项目（重大变动）环境影响报告书》的批复</w:t>
            </w:r>
            <w:r>
              <w:rPr>
                <w:rFonts w:hint="eastAsia" w:ascii="Times New Roman" w:hAnsi="Times New Roman" w:cs="Times New Roman" w:eastAsiaTheme="minorEastAsia"/>
                <w:bCs/>
                <w:kern w:val="2"/>
                <w:sz w:val="24"/>
                <w:szCs w:val="24"/>
                <w:highlight w:val="none"/>
                <w:lang w:val="en-US" w:eastAsia="zh-CN"/>
              </w:rPr>
              <w:t>[</w:t>
            </w:r>
            <w:r>
              <w:rPr>
                <w:rFonts w:hint="default" w:ascii="Times New Roman" w:hAnsi="Times New Roman" w:cs="Times New Roman" w:eastAsiaTheme="minorEastAsia"/>
                <w:bCs/>
                <w:kern w:val="2"/>
                <w:sz w:val="24"/>
                <w:szCs w:val="24"/>
                <w:highlight w:val="none"/>
                <w:lang w:val="en-US" w:eastAsia="zh-CN"/>
              </w:rPr>
              <w:t>2018</w:t>
            </w:r>
            <w:r>
              <w:rPr>
                <w:rFonts w:hint="eastAsia" w:ascii="Times New Roman" w:hAnsi="Times New Roman" w:cs="Times New Roman" w:eastAsiaTheme="minorEastAsia"/>
                <w:bCs/>
                <w:kern w:val="2"/>
                <w:sz w:val="24"/>
                <w:szCs w:val="24"/>
                <w:highlight w:val="none"/>
                <w:lang w:val="en-US" w:eastAsia="zh-CN"/>
              </w:rPr>
              <w:t>]</w:t>
            </w:r>
            <w:r>
              <w:rPr>
                <w:rFonts w:hint="default" w:ascii="Times New Roman" w:hAnsi="Times New Roman" w:cs="Times New Roman" w:eastAsiaTheme="minorEastAsia"/>
                <w:bCs/>
                <w:kern w:val="2"/>
                <w:sz w:val="24"/>
                <w:szCs w:val="24"/>
                <w:highlight w:val="none"/>
                <w:lang w:val="en-US" w:eastAsia="zh-CN"/>
              </w:rPr>
              <w:t>404号批复</w:t>
            </w:r>
            <w:r>
              <w:rPr>
                <w:rFonts w:hint="eastAsia" w:ascii="Times New Roman" w:hAnsi="Times New Roman" w:cs="Times New Roman" w:eastAsiaTheme="minorEastAsia"/>
                <w:bCs/>
                <w:kern w:val="2"/>
                <w:sz w:val="24"/>
                <w:szCs w:val="24"/>
                <w:highlight w:val="none"/>
                <w:lang w:val="en-US" w:eastAsia="zh-CN"/>
              </w:rPr>
              <w:t>）；</w:t>
            </w:r>
          </w:p>
          <w:p>
            <w:pPr>
              <w:keepLines w:val="0"/>
              <w:pageBreakBefore w:val="0"/>
              <w:kinsoku/>
              <w:overflowPunct/>
              <w:topLinePunct w:val="0"/>
              <w:bidi w:val="0"/>
              <w:spacing w:after="0" w:line="360" w:lineRule="auto"/>
              <w:ind w:firstLine="0" w:firstLineChars="0"/>
              <w:jc w:val="left"/>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（15）</w:t>
            </w:r>
            <w:r>
              <w:rPr>
                <w:rFonts w:hint="default" w:ascii="Times New Roman" w:hAnsi="Times New Roman" w:cs="Times New Roman" w:eastAsiaTheme="minorEastAsia"/>
                <w:bCs/>
                <w:kern w:val="2"/>
                <w:sz w:val="24"/>
                <w:szCs w:val="24"/>
                <w:highlight w:val="none"/>
                <w:lang w:val="en-US" w:eastAsia="zh-CN"/>
              </w:rPr>
              <w:t>《</w:t>
            </w:r>
            <w:r>
              <w:rPr>
                <w:rFonts w:hint="eastAsia" w:ascii="Times New Roman" w:hAnsi="Times New Roman" w:cs="Times New Roman" w:eastAsiaTheme="minorEastAsia"/>
                <w:bCs/>
                <w:kern w:val="2"/>
                <w:sz w:val="24"/>
                <w:szCs w:val="24"/>
                <w:highlight w:val="none"/>
                <w:lang w:val="en-US" w:eastAsia="zh-CN"/>
              </w:rPr>
              <w:t>陕西省石油化工工业贸易有限公司泾阳服务区南加油站</w:t>
            </w:r>
            <w:r>
              <w:rPr>
                <w:rFonts w:hint="default" w:ascii="Times New Roman" w:hAnsi="Times New Roman" w:cs="Times New Roman" w:eastAsiaTheme="minorEastAsia"/>
                <w:bCs/>
                <w:kern w:val="2"/>
                <w:sz w:val="24"/>
                <w:szCs w:val="24"/>
                <w:highlight w:val="none"/>
                <w:lang w:val="en-US" w:eastAsia="zh-CN"/>
              </w:rPr>
              <w:t>项目环境影响报告表》</w:t>
            </w:r>
            <w:r>
              <w:rPr>
                <w:rFonts w:hint="eastAsia" w:ascii="Times New Roman" w:hAnsi="Times New Roman" w:cs="Times New Roman" w:eastAsiaTheme="minorEastAsia"/>
                <w:bCs/>
                <w:kern w:val="2"/>
                <w:sz w:val="24"/>
                <w:szCs w:val="24"/>
                <w:highlight w:val="none"/>
                <w:lang w:val="en-US" w:eastAsia="zh-CN"/>
              </w:rPr>
              <w:t>（西安海浪环保科技有限公司，2020年6月）；</w:t>
            </w:r>
          </w:p>
          <w:p>
            <w:pPr>
              <w:keepLines w:val="0"/>
              <w:pageBreakBefore w:val="0"/>
              <w:kinsoku/>
              <w:overflowPunct/>
              <w:topLinePunct w:val="0"/>
              <w:bidi w:val="0"/>
              <w:spacing w:line="360" w:lineRule="auto"/>
              <w:jc w:val="left"/>
              <w:outlineLvl w:val="9"/>
              <w:rPr>
                <w:rFonts w:hint="eastAsia" w:ascii="Times New Roman" w:hAnsi="Times New Roman" w:eastAsia="宋体" w:cs="Times New Roman"/>
                <w:lang w:val="en-US" w:eastAsia="zh-CN"/>
              </w:rPr>
            </w:pP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16</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bCs/>
                <w:kern w:val="2"/>
                <w:sz w:val="24"/>
                <w:szCs w:val="24"/>
                <w:highlight w:val="none"/>
                <w:lang w:val="en-US" w:eastAsia="zh-CN"/>
              </w:rPr>
              <w:t>《陕西省石油化工工业贸易有限公司泾阳服务区南加油建设项目环境影响报告表》的批复（</w:t>
            </w:r>
            <w:r>
              <w:rPr>
                <w:rFonts w:hint="eastAsia" w:ascii="Times New Roman" w:hAnsi="Times New Roman" w:cs="Times New Roman" w:eastAsiaTheme="minorEastAsia"/>
                <w:bCs/>
                <w:color w:val="auto"/>
                <w:kern w:val="2"/>
                <w:sz w:val="24"/>
                <w:szCs w:val="24"/>
                <w:highlight w:val="none"/>
                <w:lang w:val="en-US" w:eastAsia="zh-CN"/>
              </w:rPr>
              <w:t>咸环泾函</w:t>
            </w:r>
            <w:r>
              <w:rPr>
                <w:rFonts w:hint="eastAsia" w:ascii="Times New Roman" w:hAnsi="Times New Roman" w:cs="Times New Roman" w:eastAsiaTheme="minorEastAsia"/>
                <w:bCs/>
                <w:kern w:val="2"/>
                <w:sz w:val="24"/>
                <w:szCs w:val="24"/>
                <w:highlight w:val="none"/>
                <w:lang w:val="en-US" w:eastAsia="zh-CN"/>
              </w:rPr>
              <w:t>[2020]</w:t>
            </w:r>
            <w:r>
              <w:rPr>
                <w:rFonts w:hint="eastAsia" w:ascii="Times New Roman" w:hAnsi="Times New Roman" w:cs="Times New Roman" w:eastAsiaTheme="minorEastAsia"/>
                <w:bCs/>
                <w:color w:val="auto"/>
                <w:kern w:val="2"/>
                <w:sz w:val="24"/>
                <w:szCs w:val="24"/>
                <w:highlight w:val="none"/>
                <w:lang w:val="en-US" w:eastAsia="zh-CN"/>
              </w:rPr>
              <w:t>69</w:t>
            </w:r>
            <w:r>
              <w:rPr>
                <w:rFonts w:hint="eastAsia" w:ascii="Times New Roman" w:hAnsi="Times New Roman" w:cs="Times New Roman" w:eastAsiaTheme="minorEastAsia"/>
                <w:bCs/>
                <w:kern w:val="2"/>
                <w:sz w:val="24"/>
                <w:szCs w:val="24"/>
                <w:highlight w:val="none"/>
                <w:lang w:val="en-US" w:eastAsia="zh-CN"/>
              </w:rPr>
              <w:t>号）；</w:t>
            </w:r>
          </w:p>
          <w:p>
            <w:pPr>
              <w:keepLines w:val="0"/>
              <w:pageBreakBefore w:val="0"/>
              <w:kinsoku/>
              <w:overflowPunct/>
              <w:topLinePunct w:val="0"/>
              <w:bidi w:val="0"/>
              <w:spacing w:line="360" w:lineRule="auto"/>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lang w:val="en-US" w:eastAsia="zh-CN"/>
              </w:rPr>
              <w:t>）建设单位竣工验收委托函；</w:t>
            </w:r>
          </w:p>
          <w:p>
            <w:pPr>
              <w:keepLines w:val="0"/>
              <w:pageBreakBefore w:val="0"/>
              <w:kinsoku/>
              <w:overflowPunct/>
              <w:topLinePunct w:val="0"/>
              <w:bidi w:val="0"/>
              <w:spacing w:line="360" w:lineRule="auto"/>
              <w:jc w:val="left"/>
              <w:outlineLvl w:val="9"/>
              <w:rPr>
                <w:rFonts w:hint="default" w:ascii="Times New Roman" w:hAnsi="Times New Roman" w:cs="Times New Roman"/>
                <w:sz w:val="24"/>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）其他工程相关技术文件。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285" w:hRule="atLeast"/>
          <w:jc w:val="center"/>
        </w:trPr>
        <w:tc>
          <w:tcPr>
            <w:tcW w:w="1517" w:type="dxa"/>
            <w:vAlign w:val="center"/>
          </w:tcPr>
          <w:p>
            <w:pPr>
              <w:pStyle w:val="20"/>
              <w:keepNext w:val="0"/>
              <w:keepLines w:val="0"/>
              <w:pageBreakBefore w:val="0"/>
              <w:widowControl w:val="0"/>
              <w:kinsoku/>
              <w:wordWrap/>
              <w:overflowPunct/>
              <w:topLinePunct w:val="0"/>
              <w:autoSpaceDE w:val="0"/>
              <w:autoSpaceDN w:val="0"/>
              <w:bidi w:val="0"/>
              <w:adjustRightInd/>
              <w:snapToGrid/>
              <w:spacing w:line="365" w:lineRule="auto"/>
              <w:jc w:val="center"/>
              <w:textAlignment w:val="auto"/>
              <w:rPr>
                <w:rFonts w:hint="default" w:ascii="Times New Roman" w:hAnsi="Times New Roman" w:cs="Times New Roman"/>
                <w:sz w:val="24"/>
              </w:rPr>
            </w:pPr>
            <w:r>
              <w:rPr>
                <w:rFonts w:hint="default" w:ascii="Times New Roman" w:hAnsi="Times New Roman" w:eastAsia="宋体" w:cs="Times New Roman"/>
                <w:sz w:val="24"/>
                <w:szCs w:val="22"/>
                <w:lang w:val="en-US" w:eastAsia="zh-CN" w:bidi="zh-CN"/>
              </w:rPr>
              <w:t>验收监测标准 标号、级别、限值</w:t>
            </w:r>
          </w:p>
        </w:tc>
        <w:tc>
          <w:tcPr>
            <w:tcW w:w="7988"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default" w:ascii="Times New Roman" w:hAnsi="Times New Roman" w:cs="Times New Roman" w:eastAsiaTheme="minorEastAsia"/>
                <w:b w:val="0"/>
                <w:bCs/>
                <w:color w:val="auto"/>
                <w:sz w:val="24"/>
              </w:rPr>
            </w:pPr>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lang w:val="en-US" w:eastAsia="zh-CN"/>
              </w:rPr>
              <w:t>1</w:t>
            </w:r>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rPr>
              <w:t>废水</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污水排放执行《污水综合排放标准》（GB8978—1996）中的</w:t>
            </w:r>
            <w:r>
              <w:rPr>
                <w:rFonts w:hint="default" w:ascii="Times New Roman" w:hAnsi="Times New Roman" w:cs="Times New Roman" w:eastAsiaTheme="minorEastAsia"/>
                <w:color w:val="auto"/>
                <w:sz w:val="24"/>
                <w:lang w:eastAsia="zh-CN"/>
              </w:rPr>
              <w:t>一</w:t>
            </w:r>
            <w:r>
              <w:rPr>
                <w:rFonts w:hint="default" w:ascii="Times New Roman" w:hAnsi="Times New Roman" w:cs="Times New Roman" w:eastAsiaTheme="minorEastAsia"/>
                <w:color w:val="auto"/>
                <w:sz w:val="24"/>
              </w:rPr>
              <w:t>级标准以及《</w:t>
            </w:r>
            <w:r>
              <w:rPr>
                <w:rFonts w:hint="default" w:ascii="Times New Roman" w:hAnsi="Times New Roman" w:cs="Times New Roman" w:eastAsiaTheme="minorEastAsia"/>
                <w:color w:val="auto"/>
                <w:sz w:val="24"/>
                <w:lang w:eastAsia="zh-CN"/>
              </w:rPr>
              <w:t>城市污水再生利用</w:t>
            </w:r>
            <w:r>
              <w:rPr>
                <w:rFonts w:hint="eastAsia" w:ascii="Times New Roman" w:hAnsi="Times New Roman" w:cs="Times New Roman" w:eastAsiaTheme="minorEastAsia"/>
                <w:color w:val="auto"/>
                <w:sz w:val="24"/>
                <w:lang w:val="en-US" w:eastAsia="zh-CN"/>
              </w:rPr>
              <w:t xml:space="preserve"> </w:t>
            </w:r>
            <w:r>
              <w:rPr>
                <w:rFonts w:hint="default" w:ascii="Times New Roman" w:hAnsi="Times New Roman" w:cs="Times New Roman" w:eastAsiaTheme="minorEastAsia"/>
                <w:color w:val="auto"/>
                <w:sz w:val="24"/>
                <w:lang w:eastAsia="zh-CN"/>
              </w:rPr>
              <w:t>城市杂用水水质标准</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val="en-US" w:eastAsia="zh-CN"/>
              </w:rPr>
              <w:t>GB</w:t>
            </w:r>
            <w:r>
              <w:rPr>
                <w:rFonts w:hint="eastAsia"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lang w:val="en-US" w:eastAsia="zh-CN"/>
              </w:rPr>
              <w:t>T 18920-2002</w:t>
            </w:r>
            <w:r>
              <w:rPr>
                <w:rFonts w:hint="default" w:ascii="Times New Roman" w:hAnsi="Times New Roman" w:cs="Times New Roman" w:eastAsiaTheme="minorEastAsia"/>
                <w:color w:val="auto"/>
                <w:sz w:val="24"/>
              </w:rPr>
              <w:t>）中</w:t>
            </w:r>
            <w:r>
              <w:rPr>
                <w:rFonts w:hint="eastAsia" w:ascii="Times New Roman" w:hAnsi="Times New Roman" w:cs="Times New Roman" w:eastAsiaTheme="minorEastAsia"/>
                <w:color w:val="auto"/>
                <w:sz w:val="24"/>
                <w:lang w:eastAsia="zh-CN"/>
              </w:rPr>
              <w:t>冲厕及</w:t>
            </w:r>
            <w:r>
              <w:rPr>
                <w:rFonts w:hint="default" w:ascii="Times New Roman" w:hAnsi="Times New Roman" w:cs="Times New Roman" w:eastAsiaTheme="minorEastAsia"/>
                <w:color w:val="auto"/>
                <w:sz w:val="24"/>
                <w:lang w:eastAsia="zh-CN"/>
              </w:rPr>
              <w:t>绿化水质标准</w:t>
            </w:r>
            <w:r>
              <w:rPr>
                <w:rFonts w:hint="default" w:ascii="Times New Roman" w:hAnsi="Times New Roman" w:cs="Times New Roman" w:eastAsiaTheme="minorEastAsia"/>
                <w:color w:val="auto"/>
                <w:sz w:val="24"/>
              </w:rPr>
              <w:t>。</w:t>
            </w:r>
          </w:p>
          <w:p>
            <w:pPr>
              <w:keepLines w:val="0"/>
              <w:pageBreakBefore w:val="0"/>
              <w:kinsoku/>
              <w:overflowPunct/>
              <w:topLinePunct w:val="0"/>
              <w:bidi w:val="0"/>
              <w:spacing w:after="0" w:line="360" w:lineRule="auto"/>
              <w:jc w:val="center"/>
              <w:outlineLvl w:val="9"/>
              <w:rPr>
                <w:rFonts w:hint="default" w:ascii="Times New Roman" w:hAnsi="Times New Roman" w:cs="Times New Roman" w:eastAsiaTheme="minorEastAsia"/>
                <w:b/>
                <w:color w:val="auto"/>
                <w:sz w:val="21"/>
                <w:szCs w:val="21"/>
              </w:rPr>
            </w:pPr>
            <w:bookmarkStart w:id="9" w:name="_Toc1493_WPSOffice_Level2"/>
            <w:bookmarkStart w:id="10" w:name="_Toc8264_WPSOffice_Level2"/>
            <w:r>
              <w:rPr>
                <w:rFonts w:hint="default" w:ascii="Times New Roman" w:hAnsi="Times New Roman" w:cs="Times New Roman" w:eastAsiaTheme="minorEastAsia"/>
                <w:b/>
                <w:color w:val="auto"/>
                <w:sz w:val="21"/>
                <w:szCs w:val="21"/>
              </w:rPr>
              <w:t>表</w:t>
            </w:r>
            <w:r>
              <w:rPr>
                <w:rFonts w:hint="eastAsia" w:ascii="Times New Roman" w:hAnsi="Times New Roman" w:cs="Times New Roman" w:eastAsiaTheme="minorEastAsia"/>
                <w:b/>
                <w:color w:val="auto"/>
                <w:sz w:val="21"/>
                <w:szCs w:val="21"/>
                <w:lang w:val="en-US" w:eastAsia="zh-CN"/>
              </w:rPr>
              <w:t>1-1</w:t>
            </w:r>
            <w:r>
              <w:rPr>
                <w:rFonts w:hint="default" w:ascii="Times New Roman" w:hAnsi="Times New Roman" w:cs="Times New Roman" w:eastAsiaTheme="minorEastAsia"/>
                <w:b/>
                <w:color w:val="auto"/>
                <w:sz w:val="21"/>
                <w:szCs w:val="21"/>
                <w:lang w:val="en-US" w:eastAsia="zh-CN"/>
              </w:rPr>
              <w:t xml:space="preserve">  </w:t>
            </w:r>
            <w:r>
              <w:rPr>
                <w:rFonts w:hint="default" w:ascii="Times New Roman" w:hAnsi="Times New Roman" w:cs="Times New Roman" w:eastAsiaTheme="minorEastAsia"/>
                <w:b/>
                <w:color w:val="auto"/>
                <w:sz w:val="21"/>
                <w:szCs w:val="21"/>
              </w:rPr>
              <w:t>废水排放标准（单位：mg/L）</w:t>
            </w:r>
            <w:bookmarkEnd w:id="9"/>
            <w:bookmarkEnd w:id="10"/>
          </w:p>
          <w:tbl>
            <w:tblPr>
              <w:tblStyle w:val="16"/>
              <w:tblW w:w="7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2039"/>
              <w:gridCol w:w="4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w:t>
                  </w:r>
                </w:p>
              </w:tc>
              <w:tc>
                <w:tcPr>
                  <w:tcW w:w="2039"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限值</w:t>
                  </w:r>
                </w:p>
              </w:tc>
              <w:tc>
                <w:tcPr>
                  <w:tcW w:w="4257"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pH</w:t>
                  </w:r>
                </w:p>
              </w:tc>
              <w:tc>
                <w:tcPr>
                  <w:tcW w:w="2039"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6~9</w:t>
                  </w:r>
                </w:p>
              </w:tc>
              <w:tc>
                <w:tcPr>
                  <w:tcW w:w="4257" w:type="dxa"/>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《污水综合排放标准》</w:t>
                  </w:r>
                </w:p>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（GB8978—1996）中的</w:t>
                  </w:r>
                  <w:r>
                    <w:rPr>
                      <w:rFonts w:hint="default" w:ascii="Times New Roman" w:hAnsi="Times New Roman" w:cs="Times New Roman" w:eastAsiaTheme="minorEastAsia"/>
                      <w:color w:val="auto"/>
                      <w:sz w:val="21"/>
                      <w:szCs w:val="21"/>
                      <w:lang w:eastAsia="zh-CN"/>
                    </w:rPr>
                    <w:t>一</w:t>
                  </w:r>
                  <w:r>
                    <w:rPr>
                      <w:rFonts w:hint="default" w:ascii="Times New Roman" w:hAnsi="Times New Roman" w:cs="Times New Roman" w:eastAsiaTheme="minorEastAsia"/>
                      <w:color w:val="auto"/>
                      <w:sz w:val="21"/>
                      <w:szCs w:val="21"/>
                    </w:rPr>
                    <w:t>级标准</w:t>
                  </w:r>
                </w:p>
                <w:p>
                  <w:pPr>
                    <w:keepNext w:val="0"/>
                    <w:keepLines w:val="0"/>
                    <w:pageBreakBefore w:val="0"/>
                    <w:widowControl w:val="0"/>
                    <w:kinsoku/>
                    <w:wordWrap w:val="0"/>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《城市污水再生利用</w:t>
                  </w:r>
                  <w:r>
                    <w:rPr>
                      <w:rFonts w:hint="eastAsia"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rPr>
                    <w:t>城市杂用水水质标准》（GB</w:t>
                  </w:r>
                  <w:r>
                    <w:rPr>
                      <w:rFonts w:hint="eastAsia"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rPr>
                    <w:t>T 18920-2002）中</w:t>
                  </w:r>
                  <w:r>
                    <w:rPr>
                      <w:rFonts w:hint="eastAsia" w:ascii="Times New Roman" w:hAnsi="Times New Roman" w:cs="Times New Roman" w:eastAsiaTheme="minorEastAsia"/>
                      <w:color w:val="auto"/>
                      <w:sz w:val="21"/>
                      <w:szCs w:val="21"/>
                      <w:lang w:eastAsia="zh-CN"/>
                    </w:rPr>
                    <w:t>冲厕及</w:t>
                  </w:r>
                  <w:r>
                    <w:rPr>
                      <w:rFonts w:hint="default" w:ascii="Times New Roman" w:hAnsi="Times New Roman" w:cs="Times New Roman" w:eastAsiaTheme="minorEastAsia"/>
                      <w:color w:val="auto"/>
                      <w:sz w:val="21"/>
                      <w:szCs w:val="21"/>
                    </w:rPr>
                    <w:t>绿化水质标准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COD</w:t>
                  </w:r>
                </w:p>
              </w:tc>
              <w:tc>
                <w:tcPr>
                  <w:tcW w:w="2039"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100</w:t>
                  </w:r>
                </w:p>
              </w:tc>
              <w:tc>
                <w:tcPr>
                  <w:tcW w:w="4257" w:type="dxa"/>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BOD</w:t>
                  </w:r>
                  <w:r>
                    <w:rPr>
                      <w:rFonts w:hint="default" w:ascii="Times New Roman" w:hAnsi="Times New Roman" w:cs="Times New Roman" w:eastAsiaTheme="minorEastAsia"/>
                      <w:color w:val="auto"/>
                      <w:sz w:val="21"/>
                      <w:szCs w:val="21"/>
                      <w:highlight w:val="none"/>
                      <w:vertAlign w:val="subscript"/>
                    </w:rPr>
                    <w:t>5</w:t>
                  </w:r>
                </w:p>
              </w:tc>
              <w:tc>
                <w:tcPr>
                  <w:tcW w:w="2039"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20</w:t>
                  </w:r>
                </w:p>
              </w:tc>
              <w:tc>
                <w:tcPr>
                  <w:tcW w:w="4257" w:type="dxa"/>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SS</w:t>
                  </w:r>
                </w:p>
              </w:tc>
              <w:tc>
                <w:tcPr>
                  <w:tcW w:w="2039"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70</w:t>
                  </w:r>
                </w:p>
              </w:tc>
              <w:tc>
                <w:tcPr>
                  <w:tcW w:w="4257" w:type="dxa"/>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NH</w:t>
                  </w:r>
                  <w:r>
                    <w:rPr>
                      <w:rFonts w:hint="default" w:ascii="Times New Roman" w:hAnsi="Times New Roman" w:cs="Times New Roman" w:eastAsiaTheme="minorEastAsia"/>
                      <w:color w:val="auto"/>
                      <w:sz w:val="21"/>
                      <w:szCs w:val="21"/>
                      <w:highlight w:val="none"/>
                      <w:vertAlign w:val="subscript"/>
                    </w:rPr>
                    <w:t>3</w:t>
                  </w:r>
                  <w:r>
                    <w:rPr>
                      <w:rFonts w:hint="default" w:ascii="Times New Roman" w:hAnsi="Times New Roman" w:cs="Times New Roman" w:eastAsiaTheme="minorEastAsia"/>
                      <w:color w:val="auto"/>
                      <w:sz w:val="21"/>
                      <w:szCs w:val="21"/>
                      <w:highlight w:val="none"/>
                    </w:rPr>
                    <w:t>-N</w:t>
                  </w:r>
                </w:p>
              </w:tc>
              <w:tc>
                <w:tcPr>
                  <w:tcW w:w="2039"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20</w:t>
                  </w:r>
                </w:p>
              </w:tc>
              <w:tc>
                <w:tcPr>
                  <w:tcW w:w="4257" w:type="dxa"/>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石油类</w:t>
                  </w:r>
                </w:p>
              </w:tc>
              <w:tc>
                <w:tcPr>
                  <w:tcW w:w="2039"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w:t>
                  </w:r>
                </w:p>
              </w:tc>
              <w:tc>
                <w:tcPr>
                  <w:tcW w:w="4257" w:type="dxa"/>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动植物油</w:t>
                  </w:r>
                </w:p>
              </w:tc>
              <w:tc>
                <w:tcPr>
                  <w:tcW w:w="2039"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w:t>
                  </w:r>
                </w:p>
              </w:tc>
              <w:tc>
                <w:tcPr>
                  <w:tcW w:w="4257" w:type="dxa"/>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bl>
          <w:p>
            <w:pPr>
              <w:keepNext w:val="0"/>
              <w:keepLines w:val="0"/>
              <w:pageBreakBefore w:val="0"/>
              <w:widowControl w:val="0"/>
              <w:numPr>
                <w:ilvl w:val="0"/>
                <w:numId w:val="0"/>
              </w:numPr>
              <w:kinsoku/>
              <w:wordWrap w:val="0"/>
              <w:overflowPunct/>
              <w:topLinePunct w:val="0"/>
              <w:autoSpaceDE/>
              <w:autoSpaceDN/>
              <w:bidi w:val="0"/>
              <w:adjustRightInd/>
              <w:snapToGrid/>
              <w:spacing w:after="0" w:line="360" w:lineRule="auto"/>
              <w:ind w:right="0" w:rightChars="0" w:firstLine="480" w:firstLineChars="200"/>
              <w:jc w:val="left"/>
              <w:textAlignment w:val="auto"/>
              <w:outlineLvl w:val="9"/>
              <w:rPr>
                <w:rFonts w:hint="default" w:ascii="Times New Roman" w:hAnsi="Times New Roman" w:cs="Times New Roman" w:eastAsiaTheme="minorEastAsia"/>
                <w:b w:val="0"/>
                <w:bCs/>
                <w:color w:val="auto"/>
                <w:sz w:val="24"/>
                <w:lang w:eastAsia="zh-CN"/>
              </w:rPr>
            </w:pPr>
            <w:bookmarkStart w:id="11" w:name="_Toc10925_WPSOffice_Level1"/>
            <w:bookmarkStart w:id="12" w:name="_Toc9631_WPSOffice_Level1"/>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lang w:val="en-US" w:eastAsia="zh-CN"/>
              </w:rPr>
              <w:t>2</w:t>
            </w:r>
            <w:r>
              <w:rPr>
                <w:rFonts w:hint="default" w:ascii="Times New Roman" w:hAnsi="Times New Roman" w:cs="Times New Roman" w:eastAsiaTheme="minorEastAsia"/>
                <w:b w:val="0"/>
                <w:bCs/>
                <w:color w:val="auto"/>
                <w:sz w:val="24"/>
                <w:lang w:eastAsia="zh-CN"/>
              </w:rPr>
              <w:t>）废气</w:t>
            </w:r>
            <w:bookmarkEnd w:id="11"/>
            <w:bookmarkEnd w:id="12"/>
          </w:p>
          <w:p>
            <w:pPr>
              <w:keepNext w:val="0"/>
              <w:keepLines w:val="0"/>
              <w:pageBreakBefore w:val="0"/>
              <w:widowControl w:val="0"/>
              <w:numPr>
                <w:ilvl w:val="0"/>
                <w:numId w:val="0"/>
              </w:numPr>
              <w:kinsoku/>
              <w:wordWrap w:val="0"/>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rPr>
              <w:t>站区非甲烷总烃执行《大气污染物综合排放标准》（GB16297-1996）中无组织排放标准</w:t>
            </w:r>
            <w:r>
              <w:rPr>
                <w:rFonts w:hint="default" w:ascii="Times New Roman" w:hAnsi="Times New Roman" w:cs="Times New Roman" w:eastAsiaTheme="minorEastAsia"/>
                <w:color w:val="auto"/>
                <w:kern w:val="0"/>
                <w:sz w:val="24"/>
                <w:lang w:eastAsia="zh-CN"/>
              </w:rPr>
              <w:t>；油气回收装置排放口</w:t>
            </w:r>
            <w:r>
              <w:rPr>
                <w:rFonts w:hint="default" w:ascii="Times New Roman" w:hAnsi="Times New Roman" w:cs="Times New Roman" w:eastAsiaTheme="minorEastAsia"/>
                <w:color w:val="auto"/>
                <w:kern w:val="0"/>
                <w:sz w:val="24"/>
              </w:rPr>
              <w:t>非甲烷总烃</w:t>
            </w:r>
            <w:r>
              <w:rPr>
                <w:rFonts w:hint="default" w:ascii="Times New Roman" w:hAnsi="Times New Roman" w:cs="Times New Roman" w:eastAsiaTheme="minorEastAsia"/>
                <w:b w:val="0"/>
                <w:bCs/>
                <w:color w:val="auto"/>
                <w:sz w:val="24"/>
                <w:lang w:eastAsia="zh-CN"/>
              </w:rPr>
              <w:t>执行《加油站大气污染物排放标准》（</w:t>
            </w:r>
            <w:r>
              <w:rPr>
                <w:rFonts w:hint="default" w:ascii="Times New Roman" w:hAnsi="Times New Roman" w:cs="Times New Roman" w:eastAsiaTheme="minorEastAsia"/>
                <w:b w:val="0"/>
                <w:bCs/>
                <w:color w:val="auto"/>
                <w:sz w:val="24"/>
                <w:lang w:val="en-US" w:eastAsia="zh-CN"/>
              </w:rPr>
              <w:t>GB2095</w:t>
            </w:r>
            <w:r>
              <w:rPr>
                <w:rFonts w:hint="eastAsia" w:ascii="Times New Roman" w:hAnsi="Times New Roman" w:cs="Times New Roman" w:eastAsiaTheme="minorEastAsia"/>
                <w:b w:val="0"/>
                <w:bCs/>
                <w:color w:val="auto"/>
                <w:sz w:val="24"/>
                <w:lang w:val="en-US" w:eastAsia="zh-CN"/>
              </w:rPr>
              <w:t>2</w:t>
            </w:r>
            <w:r>
              <w:rPr>
                <w:rFonts w:hint="default" w:ascii="Times New Roman" w:hAnsi="Times New Roman" w:cs="Times New Roman" w:eastAsiaTheme="minorEastAsia"/>
                <w:b w:val="0"/>
                <w:bCs/>
                <w:color w:val="auto"/>
                <w:sz w:val="24"/>
                <w:lang w:val="en-US" w:eastAsia="zh-CN"/>
              </w:rPr>
              <w:t>-2007</w:t>
            </w:r>
            <w:r>
              <w:rPr>
                <w:rFonts w:hint="default" w:ascii="Times New Roman" w:hAnsi="Times New Roman" w:cs="Times New Roman" w:eastAsiaTheme="minorEastAsia"/>
                <w:b w:val="0"/>
                <w:bCs/>
                <w:color w:val="auto"/>
                <w:sz w:val="24"/>
                <w:lang w:eastAsia="zh-CN"/>
              </w:rPr>
              <w:t>）。</w:t>
            </w:r>
          </w:p>
          <w:p>
            <w:pPr>
              <w:keepLines w:val="0"/>
              <w:pageBreakBefore w:val="0"/>
              <w:kinsoku/>
              <w:overflowPunct/>
              <w:topLinePunct w:val="0"/>
              <w:bidi w:val="0"/>
              <w:spacing w:after="0" w:line="360" w:lineRule="auto"/>
              <w:jc w:val="center"/>
              <w:outlineLvl w:val="9"/>
              <w:rPr>
                <w:rFonts w:hint="default" w:ascii="Times New Roman" w:hAnsi="Times New Roman" w:cs="Times New Roman" w:eastAsiaTheme="minorEastAsia"/>
                <w:b/>
                <w:color w:val="auto"/>
                <w:sz w:val="21"/>
                <w:szCs w:val="21"/>
              </w:rPr>
            </w:pPr>
            <w:bookmarkStart w:id="13" w:name="_Toc23397_WPSOffice_Level2"/>
            <w:bookmarkStart w:id="14" w:name="_Toc21833_WPSOffice_Level2"/>
            <w:r>
              <w:rPr>
                <w:rFonts w:hint="default" w:ascii="Times New Roman" w:hAnsi="Times New Roman" w:cs="Times New Roman" w:eastAsiaTheme="minorEastAsia"/>
                <w:b/>
                <w:color w:val="auto"/>
                <w:sz w:val="21"/>
                <w:szCs w:val="21"/>
              </w:rPr>
              <w:t>表</w:t>
            </w:r>
            <w:r>
              <w:rPr>
                <w:rFonts w:hint="eastAsia" w:ascii="Times New Roman" w:hAnsi="Times New Roman" w:cs="Times New Roman" w:eastAsiaTheme="minorEastAsia"/>
                <w:b/>
                <w:color w:val="auto"/>
                <w:sz w:val="21"/>
                <w:szCs w:val="21"/>
                <w:lang w:val="en-US" w:eastAsia="zh-CN"/>
              </w:rPr>
              <w:t>1-2</w:t>
            </w:r>
            <w:r>
              <w:rPr>
                <w:rFonts w:hint="default" w:ascii="Times New Roman" w:hAnsi="Times New Roman" w:cs="Times New Roman" w:eastAsiaTheme="minorEastAsia"/>
                <w:b/>
                <w:color w:val="auto"/>
                <w:sz w:val="21"/>
                <w:szCs w:val="21"/>
                <w:lang w:val="en-US" w:eastAsia="zh-CN"/>
              </w:rPr>
              <w:t xml:space="preserve">  </w:t>
            </w:r>
            <w:r>
              <w:rPr>
                <w:rFonts w:hint="default" w:ascii="Times New Roman" w:hAnsi="Times New Roman" w:cs="Times New Roman" w:eastAsiaTheme="minorEastAsia"/>
                <w:b/>
                <w:color w:val="auto"/>
                <w:sz w:val="21"/>
                <w:szCs w:val="21"/>
              </w:rPr>
              <w:t>项目废气排放标准（单位：mg/m</w:t>
            </w:r>
            <w:r>
              <w:rPr>
                <w:rFonts w:hint="default" w:ascii="Times New Roman" w:hAnsi="Times New Roman" w:cs="Times New Roman" w:eastAsiaTheme="minorEastAsia"/>
                <w:b/>
                <w:color w:val="auto"/>
                <w:sz w:val="21"/>
                <w:szCs w:val="21"/>
                <w:vertAlign w:val="superscript"/>
              </w:rPr>
              <w:t>3</w:t>
            </w:r>
            <w:r>
              <w:rPr>
                <w:rFonts w:hint="default" w:ascii="Times New Roman" w:hAnsi="Times New Roman" w:cs="Times New Roman" w:eastAsiaTheme="minorEastAsia"/>
                <w:b/>
                <w:color w:val="auto"/>
                <w:sz w:val="21"/>
                <w:szCs w:val="21"/>
              </w:rPr>
              <w:t>）</w:t>
            </w:r>
            <w:bookmarkEnd w:id="13"/>
            <w:bookmarkEnd w:id="14"/>
          </w:p>
          <w:tbl>
            <w:tblPr>
              <w:tblStyle w:val="16"/>
              <w:tblW w:w="7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2326"/>
              <w:gridCol w:w="4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污染物名称</w:t>
                  </w:r>
                </w:p>
              </w:tc>
              <w:tc>
                <w:tcPr>
                  <w:tcW w:w="2326"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排放浓度限值</w:t>
                  </w:r>
                </w:p>
              </w:tc>
              <w:tc>
                <w:tcPr>
                  <w:tcW w:w="4161"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非甲烷总烃</w:t>
                  </w:r>
                </w:p>
              </w:tc>
              <w:tc>
                <w:tcPr>
                  <w:tcW w:w="2326"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yellow"/>
                      <w:lang w:val="en-US" w:eastAsia="zh-CN"/>
                    </w:rPr>
                  </w:pPr>
                  <w:r>
                    <w:rPr>
                      <w:rFonts w:hint="eastAsia" w:ascii="Times New Roman" w:hAnsi="Times New Roman" w:cs="Times New Roman" w:eastAsiaTheme="minorEastAsia"/>
                      <w:color w:val="auto"/>
                      <w:sz w:val="22"/>
                      <w:szCs w:val="22"/>
                      <w:highlight w:val="none"/>
                      <w:lang w:val="en-US" w:eastAsia="zh-CN"/>
                    </w:rPr>
                    <w:t>4.0</w:t>
                  </w:r>
                </w:p>
              </w:tc>
              <w:tc>
                <w:tcPr>
                  <w:tcW w:w="4161"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《大气污染物综合排放标准》（GB16297-1996）表2无组织排放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c>
                <w:tcPr>
                  <w:tcW w:w="2326"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25</w:t>
                  </w:r>
                </w:p>
              </w:tc>
              <w:tc>
                <w:tcPr>
                  <w:tcW w:w="4161"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《加油站大气污染物排放标准》（</w:t>
                  </w:r>
                  <w:r>
                    <w:rPr>
                      <w:rFonts w:hint="default" w:ascii="Times New Roman" w:hAnsi="Times New Roman" w:cs="Times New Roman" w:eastAsiaTheme="minorEastAsia"/>
                      <w:color w:val="auto"/>
                      <w:sz w:val="21"/>
                      <w:szCs w:val="21"/>
                      <w:lang w:val="en-US" w:eastAsia="zh-CN"/>
                    </w:rPr>
                    <w:t>GB2095</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-2007</w:t>
                  </w:r>
                  <w:r>
                    <w:rPr>
                      <w:rFonts w:hint="default" w:ascii="Times New Roman" w:hAnsi="Times New Roman" w:cs="Times New Roman" w:eastAsiaTheme="minorEastAsia"/>
                      <w:color w:val="auto"/>
                      <w:sz w:val="21"/>
                      <w:szCs w:val="21"/>
                      <w:lang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olor w:val="auto"/>
                <w:sz w:val="24"/>
              </w:rPr>
            </w:pPr>
            <w:bookmarkStart w:id="15" w:name="_Toc18666_WPSOffice_Level1"/>
            <w:bookmarkStart w:id="16" w:name="_Toc20433_WPSOffice_Level1"/>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lang w:val="en-US" w:eastAsia="zh-CN"/>
              </w:rPr>
              <w:t>3</w:t>
            </w:r>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rPr>
              <w:t>噪声排放</w:t>
            </w:r>
            <w:bookmarkEnd w:id="15"/>
            <w:bookmarkEnd w:id="16"/>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highlight w:val="none"/>
              </w:rPr>
            </w:pPr>
            <w:r>
              <w:rPr>
                <w:rFonts w:hint="eastAsia" w:ascii="Times New Roman" w:hAnsi="Times New Roman" w:cs="Times New Roman" w:eastAsiaTheme="minorEastAsia"/>
                <w:color w:val="auto"/>
                <w:sz w:val="24"/>
                <w:highlight w:val="none"/>
                <w:lang w:eastAsia="zh-CN"/>
              </w:rPr>
              <w:t>项目南侧</w:t>
            </w:r>
            <w:r>
              <w:rPr>
                <w:rFonts w:hint="default" w:ascii="Times New Roman" w:hAnsi="Times New Roman" w:cs="Times New Roman" w:eastAsiaTheme="minorEastAsia"/>
                <w:color w:val="auto"/>
                <w:sz w:val="24"/>
                <w:highlight w:val="none"/>
              </w:rPr>
              <w:t>、</w:t>
            </w:r>
            <w:r>
              <w:rPr>
                <w:rFonts w:hint="eastAsia" w:ascii="Times New Roman" w:hAnsi="Times New Roman" w:cs="Times New Roman" w:eastAsiaTheme="minorEastAsia"/>
                <w:color w:val="auto"/>
                <w:sz w:val="24"/>
                <w:highlight w:val="none"/>
                <w:lang w:eastAsia="zh-CN"/>
              </w:rPr>
              <w:t>北侧和</w:t>
            </w:r>
            <w:r>
              <w:rPr>
                <w:rFonts w:hint="default" w:ascii="Times New Roman" w:hAnsi="Times New Roman" w:cs="Times New Roman" w:eastAsiaTheme="minorEastAsia"/>
                <w:color w:val="auto"/>
                <w:sz w:val="24"/>
                <w:highlight w:val="none"/>
              </w:rPr>
              <w:t>西侧</w:t>
            </w:r>
            <w:r>
              <w:rPr>
                <w:rFonts w:hint="eastAsia" w:ascii="Times New Roman" w:hAnsi="Times New Roman" w:cs="Times New Roman" w:eastAsiaTheme="minorEastAsia"/>
                <w:color w:val="auto"/>
                <w:sz w:val="24"/>
                <w:highlight w:val="none"/>
                <w:lang w:eastAsia="zh-CN"/>
              </w:rPr>
              <w:t>厂界噪声</w:t>
            </w:r>
            <w:r>
              <w:rPr>
                <w:rFonts w:hint="default" w:ascii="Times New Roman" w:hAnsi="Times New Roman" w:cs="Times New Roman" w:eastAsiaTheme="minorEastAsia"/>
                <w:color w:val="auto"/>
                <w:sz w:val="24"/>
                <w:highlight w:val="none"/>
              </w:rPr>
              <w:t>执行《工业企业厂界环境噪声排放标准》（GB12348-2008）中</w:t>
            </w:r>
            <w:r>
              <w:rPr>
                <w:rFonts w:hint="eastAsia" w:ascii="Times New Roman" w:hAnsi="Times New Roman" w:cs="Times New Roman" w:eastAsiaTheme="minorEastAsia"/>
                <w:color w:val="auto"/>
                <w:sz w:val="24"/>
                <w:highlight w:val="none"/>
                <w:lang w:val="en-US" w:eastAsia="zh-CN"/>
              </w:rPr>
              <w:t>4</w:t>
            </w:r>
            <w:r>
              <w:rPr>
                <w:rFonts w:hint="default" w:ascii="Times New Roman" w:hAnsi="Times New Roman" w:cs="Times New Roman" w:eastAsiaTheme="minorEastAsia"/>
                <w:color w:val="auto"/>
                <w:sz w:val="24"/>
                <w:highlight w:val="none"/>
              </w:rPr>
              <w:t>类标准，</w:t>
            </w:r>
            <w:r>
              <w:rPr>
                <w:rFonts w:hint="eastAsia" w:ascii="Times New Roman" w:hAnsi="Times New Roman" w:cs="Times New Roman" w:eastAsiaTheme="minorEastAsia"/>
                <w:color w:val="auto"/>
                <w:sz w:val="24"/>
                <w:highlight w:val="none"/>
                <w:lang w:eastAsia="zh-CN"/>
              </w:rPr>
              <w:t>东侧厂界噪声</w:t>
            </w:r>
            <w:r>
              <w:rPr>
                <w:rFonts w:hint="default" w:ascii="Times New Roman" w:hAnsi="Times New Roman" w:cs="Times New Roman" w:eastAsiaTheme="minorEastAsia"/>
                <w:color w:val="auto"/>
                <w:sz w:val="24"/>
                <w:highlight w:val="none"/>
              </w:rPr>
              <w:t>执行《工业企业厂界环境噪声排放标准》（GB12348-2008）中</w:t>
            </w:r>
            <w:r>
              <w:rPr>
                <w:rFonts w:hint="eastAsia" w:ascii="Times New Roman" w:hAnsi="Times New Roman" w:cs="Times New Roman" w:eastAsiaTheme="minorEastAsia"/>
                <w:color w:val="auto"/>
                <w:sz w:val="24"/>
                <w:highlight w:val="none"/>
                <w:lang w:val="en-US" w:eastAsia="zh-CN"/>
              </w:rPr>
              <w:t>2</w:t>
            </w:r>
            <w:r>
              <w:rPr>
                <w:rFonts w:hint="default" w:ascii="Times New Roman" w:hAnsi="Times New Roman" w:cs="Times New Roman" w:eastAsiaTheme="minorEastAsia"/>
                <w:color w:val="auto"/>
                <w:sz w:val="24"/>
                <w:highlight w:val="none"/>
              </w:rPr>
              <w:t>类标准。</w:t>
            </w:r>
          </w:p>
          <w:p>
            <w:pPr>
              <w:keepLines w:val="0"/>
              <w:pageBreakBefore w:val="0"/>
              <w:kinsoku/>
              <w:overflowPunct/>
              <w:topLinePunct w:val="0"/>
              <w:bidi w:val="0"/>
              <w:spacing w:after="0" w:line="360" w:lineRule="auto"/>
              <w:jc w:val="center"/>
              <w:outlineLvl w:val="9"/>
              <w:rPr>
                <w:rFonts w:hint="default" w:ascii="Times New Roman" w:hAnsi="Times New Roman" w:cs="Times New Roman" w:eastAsiaTheme="minorEastAsia"/>
                <w:b/>
                <w:color w:val="auto"/>
                <w:sz w:val="21"/>
                <w:szCs w:val="21"/>
              </w:rPr>
            </w:pPr>
            <w:bookmarkStart w:id="17" w:name="_Toc27426_WPSOffice_Level2"/>
            <w:bookmarkStart w:id="18" w:name="_Toc9670_WPSOffice_Level2"/>
            <w:r>
              <w:rPr>
                <w:rFonts w:hint="default" w:ascii="Times New Roman" w:hAnsi="Times New Roman" w:cs="Times New Roman" w:eastAsiaTheme="minorEastAsia"/>
                <w:b/>
                <w:color w:val="auto"/>
                <w:sz w:val="21"/>
                <w:szCs w:val="21"/>
              </w:rPr>
              <w:t>表</w:t>
            </w:r>
            <w:r>
              <w:rPr>
                <w:rFonts w:hint="eastAsia" w:ascii="Times New Roman" w:hAnsi="Times New Roman" w:cs="Times New Roman" w:eastAsiaTheme="minorEastAsia"/>
                <w:b/>
                <w:color w:val="auto"/>
                <w:sz w:val="21"/>
                <w:szCs w:val="21"/>
                <w:lang w:val="en-US" w:eastAsia="zh-CN"/>
              </w:rPr>
              <w:t>1-3</w:t>
            </w:r>
            <w:r>
              <w:rPr>
                <w:rFonts w:hint="default" w:ascii="Times New Roman" w:hAnsi="Times New Roman" w:cs="Times New Roman" w:eastAsiaTheme="minorEastAsia"/>
                <w:b/>
                <w:color w:val="auto"/>
                <w:sz w:val="21"/>
                <w:szCs w:val="21"/>
                <w:lang w:val="en-US" w:eastAsia="zh-CN"/>
              </w:rPr>
              <w:t xml:space="preserve">  </w:t>
            </w:r>
            <w:r>
              <w:rPr>
                <w:rFonts w:hint="default" w:ascii="Times New Roman" w:hAnsi="Times New Roman" w:cs="Times New Roman" w:eastAsiaTheme="minorEastAsia"/>
                <w:b/>
                <w:color w:val="auto"/>
                <w:sz w:val="21"/>
                <w:szCs w:val="21"/>
              </w:rPr>
              <w:t>工业企业厂界环境噪声排放标准（dB（A））</w:t>
            </w:r>
            <w:bookmarkEnd w:id="17"/>
            <w:bookmarkEnd w:id="18"/>
          </w:p>
          <w:tbl>
            <w:tblPr>
              <w:tblStyle w:val="16"/>
              <w:tblW w:w="7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7"/>
              <w:gridCol w:w="2655"/>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57"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类别</w:t>
                  </w:r>
                </w:p>
              </w:tc>
              <w:tc>
                <w:tcPr>
                  <w:tcW w:w="2655"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昼间</w:t>
                  </w:r>
                </w:p>
              </w:tc>
              <w:tc>
                <w:tcPr>
                  <w:tcW w:w="2656"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57"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2类</w:t>
                  </w:r>
                </w:p>
              </w:tc>
              <w:tc>
                <w:tcPr>
                  <w:tcW w:w="2655"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60</w:t>
                  </w:r>
                </w:p>
              </w:tc>
              <w:tc>
                <w:tcPr>
                  <w:tcW w:w="2656"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57"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4类</w:t>
                  </w:r>
                </w:p>
              </w:tc>
              <w:tc>
                <w:tcPr>
                  <w:tcW w:w="2655"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70</w:t>
                  </w:r>
                </w:p>
              </w:tc>
              <w:tc>
                <w:tcPr>
                  <w:tcW w:w="2656"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55</w:t>
                  </w:r>
                </w:p>
              </w:tc>
            </w:tr>
          </w:tbl>
          <w:p>
            <w:pPr>
              <w:pStyle w:val="20"/>
              <w:numPr>
                <w:ilvl w:val="0"/>
                <w:numId w:val="2"/>
              </w:numPr>
              <w:spacing w:before="0" w:line="360" w:lineRule="auto"/>
              <w:ind w:left="120" w:leftChars="0" w:right="-29" w:rightChars="0" w:firstLine="0" w:firstLineChars="0"/>
              <w:jc w:val="both"/>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固废</w:t>
            </w:r>
          </w:p>
          <w:p>
            <w:pPr>
              <w:pStyle w:val="20"/>
              <w:numPr>
                <w:ilvl w:val="0"/>
                <w:numId w:val="0"/>
              </w:numPr>
              <w:spacing w:before="0" w:line="360" w:lineRule="auto"/>
              <w:ind w:right="-29" w:rightChars="0" w:firstLine="480" w:firstLineChars="200"/>
              <w:jc w:val="both"/>
              <w:rPr>
                <w:rFonts w:hint="eastAsia" w:ascii="Times New Roman" w:hAnsi="Times New Roman" w:eastAsia="宋体" w:cs="Times New Roman"/>
                <w:color w:val="auto"/>
                <w:sz w:val="24"/>
                <w:szCs w:val="24"/>
                <w:highlight w:val="none"/>
                <w:lang w:val="en-US" w:eastAsia="zh-CN"/>
              </w:rPr>
            </w:pPr>
            <w:r>
              <w:rPr>
                <w:rFonts w:ascii="Times New Roman" w:hAnsi="Times New Roman" w:eastAsia="宋体" w:cs="Times New Roman"/>
                <w:snapToGrid w:val="0"/>
                <w:kern w:val="0"/>
                <w:sz w:val="24"/>
                <w:szCs w:val="24"/>
              </w:rPr>
              <w:t>一般固体废物执行《一般工业固体废物贮存、处置场污染控制标准》（GB18599-2001）及其2013年修改单中的相关规定；危险</w:t>
            </w:r>
            <w:r>
              <w:rPr>
                <w:rFonts w:hint="eastAsia" w:ascii="Times New Roman" w:hAnsi="Times New Roman" w:eastAsia="宋体" w:cs="Times New Roman"/>
                <w:snapToGrid w:val="0"/>
                <w:kern w:val="0"/>
                <w:sz w:val="24"/>
                <w:szCs w:val="24"/>
                <w:lang w:eastAsia="zh-CN"/>
              </w:rPr>
              <w:t>废物</w:t>
            </w:r>
            <w:r>
              <w:rPr>
                <w:rFonts w:ascii="Times New Roman" w:hAnsi="Times New Roman" w:eastAsia="宋体" w:cs="Times New Roman"/>
                <w:snapToGrid w:val="0"/>
                <w:kern w:val="0"/>
                <w:sz w:val="24"/>
                <w:szCs w:val="24"/>
              </w:rPr>
              <w:t>执行《危险废物贮存污染控制标准》（GB18597-2001）及其2013年修改单中的相关规定</w:t>
            </w:r>
            <w:r>
              <w:rPr>
                <w:rFonts w:hint="eastAsia" w:ascii="Times New Roman" w:hAnsi="Times New Roman" w:eastAsia="宋体" w:cs="Times New Roman"/>
                <w:snapToGrid w:val="0"/>
                <w:kern w:val="0"/>
                <w:sz w:val="24"/>
                <w:szCs w:val="24"/>
                <w:lang w:eastAsia="zh-CN"/>
              </w:rPr>
              <w:t>。</w:t>
            </w:r>
          </w:p>
        </w:tc>
      </w:tr>
    </w:tbl>
    <w:p>
      <w:pPr>
        <w:rPr>
          <w:rFonts w:hint="eastAsia"/>
          <w:lang w:val="en-US" w:eastAsia="zh-CN"/>
        </w:rPr>
      </w:pPr>
      <w:r>
        <w:rPr>
          <w:rFonts w:hint="eastAsia"/>
          <w:lang w:val="en-US" w:eastAsia="zh-CN"/>
        </w:rPr>
        <w:br w:type="page"/>
      </w:r>
    </w:p>
    <w:p>
      <w:pPr>
        <w:pStyle w:val="6"/>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t>表 2 建设项目工程概况</w:t>
      </w:r>
    </w:p>
    <w:tbl>
      <w:tblPr>
        <w:tblStyle w:val="16"/>
        <w:tblW w:w="950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5" w:hRule="atLeast"/>
          <w:jc w:val="center"/>
        </w:trPr>
        <w:tc>
          <w:tcPr>
            <w:tcW w:w="9507" w:type="dxa"/>
            <w:vAlign w:val="top"/>
          </w:tcPr>
          <w:p>
            <w:pPr>
              <w:pStyle w:val="20"/>
              <w:spacing w:before="80"/>
              <w:ind w:left="107"/>
              <w:rPr>
                <w:rFonts w:hint="default" w:ascii="Times New Roman" w:hAnsi="Times New Roman" w:cs="Times New Roman"/>
                <w:b/>
                <w:sz w:val="24"/>
              </w:rPr>
            </w:pPr>
            <w:r>
              <w:rPr>
                <w:rFonts w:hint="default" w:ascii="Times New Roman" w:hAnsi="Times New Roman" w:cs="Times New Roman"/>
                <w:b/>
                <w:sz w:val="24"/>
              </w:rPr>
              <w:t>一、建设项目基本情况</w:t>
            </w:r>
          </w:p>
          <w:p>
            <w:pPr>
              <w:pStyle w:val="20"/>
              <w:keepNext w:val="0"/>
              <w:keepLines w:val="0"/>
              <w:pageBreakBefore w:val="0"/>
              <w:widowControl w:val="0"/>
              <w:kinsoku/>
              <w:wordWrap/>
              <w:overflowPunct/>
              <w:topLinePunct w:val="0"/>
              <w:autoSpaceDE w:val="0"/>
              <w:autoSpaceDN w:val="0"/>
              <w:bidi w:val="0"/>
              <w:adjustRightInd/>
              <w:snapToGrid/>
              <w:spacing w:before="120" w:after="0" w:afterLines="50"/>
              <w:ind w:left="108"/>
              <w:textAlignment w:val="auto"/>
              <w:rPr>
                <w:rFonts w:hint="default" w:ascii="Times New Roman" w:hAnsi="Times New Roman" w:cs="Times New Roman"/>
                <w:sz w:val="24"/>
              </w:rPr>
            </w:pPr>
            <w:r>
              <w:rPr>
                <w:rFonts w:hint="default" w:ascii="Times New Roman" w:hAnsi="Times New Roman" w:eastAsia="Times New Roman" w:cs="Times New Roman"/>
                <w:sz w:val="24"/>
              </w:rPr>
              <w:t>1</w:t>
            </w:r>
            <w:r>
              <w:rPr>
                <w:rFonts w:hint="default" w:ascii="Times New Roman" w:hAnsi="Times New Roman" w:cs="Times New Roman"/>
                <w:sz w:val="24"/>
              </w:rPr>
              <w:t>、项目基本情况</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108" w:right="96" w:firstLine="482"/>
              <w:jc w:val="both"/>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项目名称：</w:t>
            </w:r>
            <w:r>
              <w:rPr>
                <w:rFonts w:hint="default" w:ascii="Times New Roman" w:hAnsi="Times New Roman" w:eastAsia="宋体" w:cs="Times New Roman"/>
                <w:spacing w:val="-11"/>
                <w:sz w:val="24"/>
                <w:lang w:val="en-US" w:eastAsia="zh-CN"/>
              </w:rPr>
              <w:t>陕西省石油化工工业贸易公司泾阳服务区</w:t>
            </w:r>
            <w:r>
              <w:rPr>
                <w:rFonts w:hint="eastAsia" w:ascii="Times New Roman" w:hAnsi="Times New Roman" w:cs="Times New Roman"/>
                <w:spacing w:val="-11"/>
                <w:sz w:val="24"/>
                <w:lang w:val="en-US" w:eastAsia="zh-CN"/>
              </w:rPr>
              <w:t>南</w:t>
            </w:r>
            <w:r>
              <w:rPr>
                <w:rFonts w:hint="default" w:ascii="Times New Roman" w:hAnsi="Times New Roman" w:eastAsia="宋体" w:cs="Times New Roman"/>
                <w:spacing w:val="-11"/>
                <w:sz w:val="24"/>
                <w:lang w:val="en-US" w:eastAsia="zh-CN"/>
              </w:rPr>
              <w:t>加油站建设项目</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108" w:right="96" w:firstLine="482"/>
              <w:jc w:val="both"/>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建设单位：</w:t>
            </w:r>
            <w:r>
              <w:rPr>
                <w:rFonts w:hint="default" w:ascii="Times New Roman" w:hAnsi="Times New Roman" w:eastAsia="宋体" w:cs="Times New Roman"/>
                <w:spacing w:val="-11"/>
                <w:sz w:val="24"/>
                <w:lang w:val="en-US" w:eastAsia="zh-CN"/>
              </w:rPr>
              <w:t>陕西省石油化工工业贸易公司泾阳服务区</w:t>
            </w:r>
            <w:r>
              <w:rPr>
                <w:rFonts w:hint="eastAsia" w:ascii="Times New Roman" w:hAnsi="Times New Roman" w:cs="Times New Roman"/>
                <w:spacing w:val="-11"/>
                <w:sz w:val="24"/>
                <w:lang w:val="en-US" w:eastAsia="zh-CN"/>
              </w:rPr>
              <w:t>南</w:t>
            </w:r>
            <w:r>
              <w:rPr>
                <w:rFonts w:hint="default" w:ascii="Times New Roman" w:hAnsi="Times New Roman" w:eastAsia="宋体" w:cs="Times New Roman"/>
                <w:spacing w:val="-11"/>
                <w:sz w:val="24"/>
                <w:lang w:val="en-US" w:eastAsia="zh-CN"/>
              </w:rPr>
              <w:t>加油站</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108" w:right="96" w:firstLine="482"/>
              <w:jc w:val="both"/>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项目性质：新建</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108" w:right="96" w:firstLine="482"/>
              <w:jc w:val="both"/>
              <w:textAlignment w:val="auto"/>
              <w:rPr>
                <w:rFonts w:hint="default" w:ascii="Times New Roman" w:hAnsi="Times New Roman" w:cs="Times New Roman"/>
                <w:sz w:val="24"/>
              </w:rPr>
            </w:pPr>
            <w:r>
              <w:rPr>
                <w:rFonts w:hint="default" w:ascii="Times New Roman" w:hAnsi="Times New Roman" w:cs="Times New Roman"/>
                <w:spacing w:val="-11"/>
                <w:sz w:val="24"/>
              </w:rPr>
              <w:t>建设地点：</w:t>
            </w:r>
            <w:r>
              <w:rPr>
                <w:rFonts w:hint="default" w:ascii="Times New Roman" w:hAnsi="Times New Roman" w:cs="Times New Roman"/>
                <w:sz w:val="24"/>
              </w:rPr>
              <w:t>本项目位于</w:t>
            </w:r>
            <w:r>
              <w:rPr>
                <w:rFonts w:hint="eastAsia" w:ascii="Times New Roman" w:hAnsi="Times New Roman" w:eastAsia="宋体" w:cs="Times New Roman"/>
                <w:sz w:val="24"/>
                <w:szCs w:val="24"/>
                <w:lang w:eastAsia="zh-CN"/>
              </w:rPr>
              <w:t>陕西省咸阳市泾阳县西咸北环</w:t>
            </w:r>
            <w:r>
              <w:rPr>
                <w:rFonts w:hint="default" w:ascii="Times New Roman" w:hAnsi="Times New Roman" w:eastAsia="宋体" w:cs="Times New Roman"/>
                <w:sz w:val="24"/>
                <w:szCs w:val="24"/>
              </w:rPr>
              <w:t>高速</w:t>
            </w:r>
            <w:r>
              <w:rPr>
                <w:rFonts w:hint="eastAsia" w:ascii="Times New Roman" w:hAnsi="Times New Roman" w:eastAsia="宋体" w:cs="Times New Roman"/>
                <w:sz w:val="24"/>
                <w:szCs w:val="24"/>
                <w:lang w:eastAsia="zh-CN"/>
              </w:rPr>
              <w:t>公路泾阳</w:t>
            </w:r>
            <w:r>
              <w:rPr>
                <w:rFonts w:hint="default" w:ascii="Times New Roman" w:hAnsi="Times New Roman" w:eastAsia="宋体" w:cs="Times New Roman"/>
                <w:sz w:val="24"/>
                <w:szCs w:val="24"/>
              </w:rPr>
              <w:t>服务区</w:t>
            </w:r>
            <w:r>
              <w:rPr>
                <w:rFonts w:hint="eastAsia" w:ascii="Times New Roman" w:hAnsi="Times New Roman" w:cs="Times New Roman"/>
                <w:sz w:val="24"/>
                <w:szCs w:val="24"/>
                <w:lang w:eastAsia="zh-CN"/>
              </w:rPr>
              <w:t>南</w:t>
            </w:r>
            <w:r>
              <w:rPr>
                <w:rFonts w:hint="default" w:ascii="Times New Roman" w:hAnsi="Times New Roman" w:eastAsia="宋体" w:cs="Times New Roman"/>
                <w:sz w:val="24"/>
                <w:szCs w:val="24"/>
              </w:rPr>
              <w:t>区</w:t>
            </w:r>
            <w:r>
              <w:rPr>
                <w:rFonts w:hint="eastAsia" w:ascii="Times New Roman" w:hAnsi="Times New Roman" w:eastAsia="宋体" w:cs="Times New Roman"/>
                <w:color w:val="000000"/>
                <w:sz w:val="24"/>
                <w:szCs w:val="24"/>
                <w:lang w:eastAsia="zh-CN"/>
              </w:rPr>
              <w:t>，具体</w:t>
            </w:r>
            <w:r>
              <w:rPr>
                <w:rFonts w:hint="default" w:ascii="Times New Roman" w:hAnsi="Times New Roman" w:eastAsia="宋体" w:cs="Times New Roman"/>
                <w:color w:val="000000"/>
                <w:sz w:val="24"/>
                <w:szCs w:val="24"/>
                <w:lang w:val="en-US" w:eastAsia="zh-CN"/>
              </w:rPr>
              <w:t>地理坐标为</w:t>
            </w:r>
            <w:r>
              <w:rPr>
                <w:rFonts w:hint="default" w:ascii="Times New Roman" w:hAnsi="Times New Roman" w:eastAsia="宋体" w:cs="Times New Roman"/>
                <w:color w:val="auto"/>
                <w:sz w:val="24"/>
                <w:szCs w:val="24"/>
                <w:lang w:val="en-US" w:eastAsia="zh-CN"/>
              </w:rPr>
              <w:t>E</w:t>
            </w:r>
            <w:r>
              <w:rPr>
                <w:rFonts w:hint="eastAsia" w:ascii="Times New Roman" w:hAnsi="Times New Roman" w:eastAsia="宋体" w:cs="Times New Roman"/>
                <w:color w:val="auto"/>
                <w:sz w:val="24"/>
                <w:szCs w:val="24"/>
                <w:lang w:val="en-US" w:eastAsia="zh-CN"/>
              </w:rPr>
              <w:t>108.770368</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lang w:val="en-US" w:eastAsia="zh-CN"/>
              </w:rPr>
              <w:t>34.529586</w:t>
            </w:r>
            <w:r>
              <w:rPr>
                <w:rFonts w:hint="default" w:ascii="Times New Roman" w:hAnsi="Times New Roman" w:cs="Times New Roman"/>
                <w:spacing w:val="-11"/>
                <w:sz w:val="24"/>
              </w:rPr>
              <w:t>。</w:t>
            </w:r>
            <w:r>
              <w:rPr>
                <w:rFonts w:hint="eastAsia" w:ascii="Times New Roman" w:hAnsi="Times New Roman" w:eastAsia="宋体" w:cs="Times New Roman"/>
                <w:sz w:val="24"/>
                <w:highlight w:val="none"/>
                <w:lang w:eastAsia="zh-CN"/>
              </w:rPr>
              <w:t>西临</w:t>
            </w:r>
            <w:r>
              <w:rPr>
                <w:rFonts w:hint="default" w:ascii="Times New Roman" w:hAnsi="Times New Roman" w:eastAsia="宋体" w:cs="Times New Roman"/>
                <w:sz w:val="24"/>
                <w:highlight w:val="none"/>
              </w:rPr>
              <w:t>西咸北环线高速路</w:t>
            </w:r>
            <w:r>
              <w:rPr>
                <w:rFonts w:hint="eastAsia" w:ascii="Times New Roman" w:hAnsi="Times New Roman" w:eastAsia="宋体" w:cs="Times New Roman"/>
                <w:sz w:val="24"/>
                <w:highlight w:val="none"/>
                <w:lang w:eastAsia="zh-CN"/>
              </w:rPr>
              <w:t>，东边为农田，北侧、南侧均为空地，西南侧与服务区停车场相邻</w:t>
            </w:r>
            <w:r>
              <w:rPr>
                <w:rFonts w:hint="eastAsia" w:ascii="Times New Roman" w:hAnsi="Times New Roman" w:cs="Times New Roman"/>
                <w:sz w:val="24"/>
                <w:highlight w:val="none"/>
                <w:lang w:eastAsia="zh-CN"/>
              </w:rPr>
              <w:t>。</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spacing w:val="-5"/>
                <w:sz w:val="24"/>
              </w:rPr>
              <w:t>地理位置详见附图</w:t>
            </w:r>
            <w:r>
              <w:rPr>
                <w:rFonts w:hint="default" w:ascii="Times New Roman" w:hAnsi="Times New Roman" w:eastAsia="Times New Roman" w:cs="Times New Roman"/>
                <w:sz w:val="24"/>
              </w:rPr>
              <w:t>1</w:t>
            </w:r>
            <w:r>
              <w:rPr>
                <w:rFonts w:hint="eastAsia" w:ascii="Times New Roman" w:hAnsi="Times New Roman" w:eastAsia="宋体" w:cs="Times New Roman"/>
                <w:sz w:val="24"/>
                <w:lang w:eastAsia="zh-CN"/>
              </w:rPr>
              <w:t>，</w:t>
            </w:r>
            <w:r>
              <w:rPr>
                <w:rFonts w:hint="default" w:ascii="Times New Roman" w:hAnsi="Times New Roman" w:cs="Times New Roman" w:eastAsiaTheme="minorEastAsia"/>
                <w:color w:val="auto"/>
                <w:sz w:val="24"/>
                <w:szCs w:val="24"/>
                <w:lang w:val="en-US" w:eastAsia="zh-CN"/>
              </w:rPr>
              <w:t>站区平面布置详见附图2。</w:t>
            </w:r>
          </w:p>
          <w:p>
            <w:pPr>
              <w:pStyle w:val="20"/>
              <w:spacing w:before="80"/>
              <w:ind w:left="107"/>
              <w:rPr>
                <w:rFonts w:hint="default" w:ascii="Times New Roman" w:hAnsi="Times New Roman" w:eastAsia="宋体" w:cs="Times New Roman"/>
                <w:b/>
                <w:sz w:val="24"/>
              </w:rPr>
            </w:pPr>
            <w:r>
              <w:rPr>
                <w:rFonts w:hint="default" w:ascii="Times New Roman" w:hAnsi="Times New Roman" w:eastAsia="宋体" w:cs="Times New Roman"/>
                <w:b/>
                <w:sz w:val="24"/>
              </w:rPr>
              <w:t>二、建设内容</w:t>
            </w:r>
          </w:p>
          <w:p>
            <w:pPr>
              <w:pStyle w:val="20"/>
              <w:spacing w:before="160" w:line="364" w:lineRule="auto"/>
              <w:ind w:left="107" w:right="95" w:firstLine="48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项目总投资567.75万元，项目占地面积</w:t>
            </w:r>
            <w:r>
              <w:rPr>
                <w:rFonts w:hint="eastAsia" w:ascii="Times New Roman" w:hAnsi="Times New Roman" w:cs="Times New Roman"/>
                <w:color w:val="000000"/>
                <w:sz w:val="24"/>
                <w:szCs w:val="24"/>
                <w:lang w:val="en-US" w:eastAsia="zh-CN"/>
              </w:rPr>
              <w:t>4800</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2</w:t>
            </w:r>
            <w:r>
              <w:rPr>
                <w:rFonts w:hint="default" w:ascii="Times New Roman" w:hAnsi="Times New Roman" w:cs="Times New Roman" w:eastAsiaTheme="minorEastAsia"/>
                <w:color w:val="auto"/>
                <w:sz w:val="24"/>
                <w:szCs w:val="24"/>
                <w:lang w:val="en-US" w:eastAsia="zh-CN"/>
              </w:rPr>
              <w:t>，项目环评及批复建设内容与实际建设内容一览表见表</w:t>
            </w:r>
            <w:r>
              <w:rPr>
                <w:rFonts w:hint="eastAsia" w:ascii="Times New Roman" w:hAnsi="Times New Roman" w:cs="Times New Roman" w:eastAsiaTheme="minorEastAsia"/>
                <w:color w:val="auto"/>
                <w:sz w:val="24"/>
                <w:szCs w:val="24"/>
                <w:lang w:val="en-US" w:eastAsia="zh-CN"/>
              </w:rPr>
              <w:t>2-1</w:t>
            </w:r>
            <w:r>
              <w:rPr>
                <w:rFonts w:hint="default" w:ascii="Times New Roman" w:hAnsi="Times New Roman" w:cs="Times New Roman" w:eastAsiaTheme="minorEastAsia"/>
                <w:color w:val="auto"/>
                <w:sz w:val="24"/>
                <w:szCs w:val="24"/>
                <w:lang w:val="en-US" w:eastAsia="zh-CN"/>
              </w:rPr>
              <w:t>所示。</w:t>
            </w:r>
          </w:p>
          <w:p>
            <w:pPr>
              <w:pStyle w:val="4"/>
              <w:keepLines w:val="0"/>
              <w:pageBreakBefore w:val="0"/>
              <w:kinsoku/>
              <w:overflowPunct/>
              <w:topLinePunct w:val="0"/>
              <w:bidi w:val="0"/>
              <w:outlineLvl w:val="9"/>
              <w:rPr>
                <w:rFonts w:hint="default" w:ascii="Times New Roman" w:hAnsi="Times New Roman" w:cs="Times New Roman" w:eastAsiaTheme="minorEastAsia"/>
                <w:color w:val="auto"/>
                <w:lang w:val="en-US" w:eastAsia="zh-CN"/>
              </w:rPr>
            </w:pPr>
            <w:bookmarkStart w:id="19" w:name="_Toc20060_WPSOffice_Level2"/>
            <w:bookmarkStart w:id="20" w:name="_Toc16857"/>
            <w:bookmarkStart w:id="21" w:name="_Toc17286_WPSOffice_Level2"/>
            <w:bookmarkStart w:id="22" w:name="_Toc11255"/>
            <w:bookmarkStart w:id="23" w:name="_Toc31362"/>
            <w:r>
              <w:rPr>
                <w:rFonts w:hint="default" w:ascii="Times New Roman" w:hAnsi="Times New Roman" w:cs="Times New Roman" w:eastAsiaTheme="minorEastAsia"/>
                <w:color w:val="auto"/>
                <w:lang w:val="en-US" w:eastAsia="zh-CN"/>
              </w:rPr>
              <w:t>表</w:t>
            </w:r>
            <w:r>
              <w:rPr>
                <w:rFonts w:hint="eastAsia" w:ascii="Times New Roman" w:hAnsi="Times New Roman" w:cs="Times New Roman" w:eastAsiaTheme="minorEastAsia"/>
                <w:color w:val="auto"/>
                <w:lang w:val="en-US" w:eastAsia="zh-CN"/>
              </w:rPr>
              <w:t>2-</w:t>
            </w:r>
            <w:r>
              <w:rPr>
                <w:rFonts w:hint="default" w:ascii="Times New Roman" w:hAnsi="Times New Roman" w:cs="Times New Roman" w:eastAsiaTheme="minorEastAsia"/>
                <w:color w:val="auto"/>
                <w:lang w:val="en-US" w:eastAsia="zh-CN"/>
              </w:rPr>
              <w:t xml:space="preserve">1 </w:t>
            </w:r>
            <w:bookmarkEnd w:id="19"/>
            <w:bookmarkEnd w:id="20"/>
            <w:bookmarkEnd w:id="21"/>
            <w:bookmarkEnd w:id="22"/>
            <w:bookmarkEnd w:id="23"/>
            <w:r>
              <w:rPr>
                <w:rFonts w:hint="eastAsia" w:ascii="Times New Roman" w:hAnsi="Times New Roman" w:cs="Times New Roman" w:eastAsiaTheme="minorEastAsia"/>
                <w:color w:val="auto"/>
                <w:lang w:val="en-US" w:eastAsia="zh-CN"/>
              </w:rPr>
              <w:t xml:space="preserve"> </w:t>
            </w:r>
            <w:r>
              <w:rPr>
                <w:rFonts w:hint="default" w:ascii="Times New Roman" w:hAnsi="Times New Roman" w:cs="Times New Roman" w:eastAsiaTheme="minorEastAsia"/>
                <w:color w:val="auto"/>
                <w:lang w:val="en-US" w:eastAsia="zh-CN"/>
              </w:rPr>
              <w:t>环评及批复建设内容与实际建设内容一览表</w:t>
            </w:r>
          </w:p>
          <w:tbl>
            <w:tblPr>
              <w:tblStyle w:val="16"/>
              <w:tblW w:w="9354"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444"/>
              <w:gridCol w:w="676"/>
              <w:gridCol w:w="3392"/>
              <w:gridCol w:w="3436"/>
              <w:gridCol w:w="661"/>
              <w:gridCol w:w="74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39" w:hRule="atLeast"/>
                <w:jc w:val="center"/>
              </w:trPr>
              <w:tc>
                <w:tcPr>
                  <w:tcW w:w="1120" w:type="dxa"/>
                  <w:gridSpan w:val="2"/>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名称</w:t>
                  </w:r>
                </w:p>
              </w:tc>
              <w:tc>
                <w:tcPr>
                  <w:tcW w:w="3392"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环评建设内容</w:t>
                  </w:r>
                </w:p>
              </w:tc>
              <w:tc>
                <w:tcPr>
                  <w:tcW w:w="3436"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实际建设内容</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与环评审批的一致性</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cs="Times New Roman"/>
                      <w:sz w:val="21"/>
                      <w:lang w:eastAsia="zh-CN"/>
                    </w:rPr>
                  </w:pPr>
                  <w:r>
                    <w:rPr>
                      <w:rFonts w:hint="eastAsia" w:ascii="Times New Roman" w:hAnsi="Times New Roman" w:cs="Times New Roman"/>
                      <w:sz w:val="21"/>
                      <w:lang w:eastAsia="zh-CN"/>
                    </w:rPr>
                    <w:t>是否有重大变动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120" w:type="dxa"/>
                  <w:gridSpan w:val="2"/>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项目名称</w:t>
                  </w:r>
                </w:p>
              </w:tc>
              <w:tc>
                <w:tcPr>
                  <w:tcW w:w="3392" w:type="dxa"/>
                  <w:tcBorders>
                    <w:tl2br w:val="nil"/>
                    <w:tr2bl w:val="nil"/>
                  </w:tcBorders>
                  <w:vAlign w:val="center"/>
                </w:tcPr>
                <w:p>
                  <w:pPr>
                    <w:pStyle w:val="20"/>
                    <w:widowControl w:val="0"/>
                    <w:autoSpaceDE w:val="0"/>
                    <w:autoSpaceDN w:val="0"/>
                    <w:adjustRightInd/>
                    <w:snapToGrid/>
                    <w:spacing w:before="1" w:after="0" w:afterLines="-2147483648"/>
                    <w:ind w:left="11" w:right="2"/>
                    <w:rPr>
                      <w:rFonts w:ascii="Times New Roman" w:hAnsi="Times New Roman" w:cs="Times New Roman"/>
                      <w:sz w:val="21"/>
                    </w:rPr>
                  </w:pPr>
                  <w:r>
                    <w:rPr>
                      <w:rFonts w:hint="default" w:ascii="Times New Roman" w:hAnsi="Times New Roman" w:cs="Times New Roman"/>
                      <w:sz w:val="21"/>
                      <w:lang w:val="en-US" w:eastAsia="zh-CN"/>
                    </w:rPr>
                    <w:t>陕西省石油化工工业贸易公司泾阳服务区</w:t>
                  </w:r>
                  <w:r>
                    <w:rPr>
                      <w:rFonts w:hint="eastAsia" w:ascii="Times New Roman" w:hAnsi="Times New Roman" w:cs="Times New Roman"/>
                      <w:sz w:val="21"/>
                      <w:lang w:val="en-US" w:eastAsia="zh-CN"/>
                    </w:rPr>
                    <w:t>南</w:t>
                  </w:r>
                  <w:r>
                    <w:rPr>
                      <w:rFonts w:hint="default" w:ascii="Times New Roman" w:hAnsi="Times New Roman" w:cs="Times New Roman"/>
                      <w:sz w:val="21"/>
                      <w:lang w:val="en-US" w:eastAsia="zh-CN"/>
                    </w:rPr>
                    <w:t>加油站</w:t>
                  </w:r>
                  <w:r>
                    <w:rPr>
                      <w:rFonts w:hint="eastAsia" w:ascii="Times New Roman" w:hAnsi="Times New Roman" w:cs="Times New Roman"/>
                      <w:sz w:val="21"/>
                      <w:lang w:val="en-US" w:eastAsia="zh-CN"/>
                    </w:rPr>
                    <w:t>建设</w:t>
                  </w:r>
                  <w:r>
                    <w:rPr>
                      <w:rFonts w:hint="default" w:ascii="Times New Roman" w:hAnsi="Times New Roman" w:cs="Times New Roman"/>
                      <w:sz w:val="21"/>
                      <w:lang w:val="en-US" w:eastAsia="zh-CN"/>
                    </w:rPr>
                    <w:t>项目</w:t>
                  </w:r>
                </w:p>
              </w:tc>
              <w:tc>
                <w:tcPr>
                  <w:tcW w:w="3436" w:type="dxa"/>
                  <w:tcBorders>
                    <w:tl2br w:val="nil"/>
                    <w:tr2bl w:val="nil"/>
                  </w:tcBorders>
                  <w:vAlign w:val="center"/>
                </w:tcPr>
                <w:p>
                  <w:pPr>
                    <w:pStyle w:val="20"/>
                    <w:widowControl w:val="0"/>
                    <w:autoSpaceDE w:val="0"/>
                    <w:autoSpaceDN w:val="0"/>
                    <w:adjustRightInd/>
                    <w:snapToGrid/>
                    <w:spacing w:before="1" w:after="0" w:afterLines="-2147483648"/>
                    <w:ind w:left="11" w:right="2"/>
                    <w:rPr>
                      <w:rFonts w:ascii="Times New Roman" w:hAnsi="Times New Roman" w:cs="Times New Roman"/>
                      <w:sz w:val="21"/>
                    </w:rPr>
                  </w:pPr>
                  <w:r>
                    <w:rPr>
                      <w:rFonts w:hint="default" w:ascii="Times New Roman" w:hAnsi="Times New Roman" w:cs="Times New Roman"/>
                      <w:sz w:val="21"/>
                      <w:lang w:val="en-US" w:eastAsia="zh-CN"/>
                    </w:rPr>
                    <w:t>陕西省石油化工工业贸易公司泾阳服务区</w:t>
                  </w:r>
                  <w:r>
                    <w:rPr>
                      <w:rFonts w:hint="eastAsia" w:ascii="Times New Roman" w:hAnsi="Times New Roman" w:cs="Times New Roman"/>
                      <w:sz w:val="21"/>
                      <w:lang w:val="en-US" w:eastAsia="zh-CN"/>
                    </w:rPr>
                    <w:t>南</w:t>
                  </w:r>
                  <w:r>
                    <w:rPr>
                      <w:rFonts w:hint="default" w:ascii="Times New Roman" w:hAnsi="Times New Roman" w:cs="Times New Roman"/>
                      <w:sz w:val="21"/>
                      <w:lang w:val="en-US" w:eastAsia="zh-CN"/>
                    </w:rPr>
                    <w:t>加油站</w:t>
                  </w:r>
                  <w:r>
                    <w:rPr>
                      <w:rFonts w:hint="eastAsia" w:ascii="Times New Roman" w:hAnsi="Times New Roman" w:cs="Times New Roman"/>
                      <w:sz w:val="21"/>
                      <w:lang w:val="en-US" w:eastAsia="zh-CN"/>
                    </w:rPr>
                    <w:t>建设</w:t>
                  </w:r>
                  <w:r>
                    <w:rPr>
                      <w:rFonts w:hint="default" w:ascii="Times New Roman" w:hAnsi="Times New Roman" w:cs="Times New Roman"/>
                      <w:sz w:val="21"/>
                      <w:lang w:val="en-US" w:eastAsia="zh-CN"/>
                    </w:rPr>
                    <w:t>项目</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120" w:type="dxa"/>
                  <w:gridSpan w:val="2"/>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投资规模</w:t>
                  </w:r>
                </w:p>
              </w:tc>
              <w:tc>
                <w:tcPr>
                  <w:tcW w:w="3392"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default" w:ascii="Times New Roman" w:hAnsi="Times New Roman" w:cs="Times New Roman"/>
                      <w:sz w:val="21"/>
                      <w:lang w:val="en-US" w:eastAsia="zh-CN"/>
                    </w:rPr>
                    <w:t>567.75</w:t>
                  </w:r>
                  <w:r>
                    <w:rPr>
                      <w:rFonts w:ascii="Times New Roman" w:hAnsi="Times New Roman" w:cs="Times New Roman"/>
                      <w:sz w:val="21"/>
                    </w:rPr>
                    <w:t>万元</w:t>
                  </w:r>
                </w:p>
              </w:tc>
              <w:tc>
                <w:tcPr>
                  <w:tcW w:w="3436"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default" w:ascii="Times New Roman" w:hAnsi="Times New Roman" w:cs="Times New Roman"/>
                      <w:sz w:val="21"/>
                      <w:lang w:val="en-US" w:eastAsia="zh-CN"/>
                    </w:rPr>
                    <w:t>567.75</w:t>
                  </w:r>
                  <w:r>
                    <w:rPr>
                      <w:rFonts w:ascii="Times New Roman" w:hAnsi="Times New Roman" w:cs="Times New Roman"/>
                      <w:sz w:val="21"/>
                    </w:rPr>
                    <w:t>万元</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120" w:type="dxa"/>
                  <w:gridSpan w:val="2"/>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占地面积</w:t>
                  </w:r>
                </w:p>
              </w:tc>
              <w:tc>
                <w:tcPr>
                  <w:tcW w:w="3392"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eastAsia" w:ascii="Times New Roman" w:hAnsi="Times New Roman" w:cs="Times New Roman"/>
                      <w:sz w:val="21"/>
                      <w:lang w:val="en-US" w:eastAsia="zh-CN"/>
                    </w:rPr>
                    <w:t>4800</w:t>
                  </w:r>
                  <w:r>
                    <w:rPr>
                      <w:rFonts w:hint="default" w:ascii="Times New Roman" w:hAnsi="Times New Roman" w:cs="Times New Roman"/>
                      <w:sz w:val="21"/>
                    </w:rPr>
                    <w:t>m</w:t>
                  </w:r>
                  <w:r>
                    <w:rPr>
                      <w:rFonts w:hint="default" w:ascii="Times New Roman" w:hAnsi="Times New Roman" w:cs="Times New Roman"/>
                      <w:sz w:val="21"/>
                      <w:vertAlign w:val="superscript"/>
                    </w:rPr>
                    <w:t>2</w:t>
                  </w:r>
                </w:p>
              </w:tc>
              <w:tc>
                <w:tcPr>
                  <w:tcW w:w="3436"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eastAsia" w:ascii="Times New Roman" w:hAnsi="Times New Roman" w:cs="Times New Roman"/>
                      <w:sz w:val="21"/>
                      <w:lang w:val="en-US" w:eastAsia="zh-CN"/>
                    </w:rPr>
                    <w:t>4800</w:t>
                  </w:r>
                  <w:r>
                    <w:rPr>
                      <w:rFonts w:hint="default" w:ascii="Times New Roman" w:hAnsi="Times New Roman" w:cs="Times New Roman"/>
                      <w:sz w:val="21"/>
                    </w:rPr>
                    <w:t>m</w:t>
                  </w:r>
                  <w:r>
                    <w:rPr>
                      <w:rFonts w:hint="default" w:ascii="Times New Roman" w:hAnsi="Times New Roman" w:cs="Times New Roman"/>
                      <w:sz w:val="21"/>
                      <w:vertAlign w:val="superscript"/>
                    </w:rPr>
                    <w:t>2</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1120" w:type="dxa"/>
                  <w:gridSpan w:val="2"/>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销售规模及产品</w:t>
                  </w:r>
                </w:p>
              </w:tc>
              <w:tc>
                <w:tcPr>
                  <w:tcW w:w="3392" w:type="dxa"/>
                  <w:tcBorders>
                    <w:tl2br w:val="nil"/>
                    <w:tr2bl w:val="nil"/>
                  </w:tcBorders>
                  <w:vAlign w:val="center"/>
                </w:tcPr>
                <w:p>
                  <w:pPr>
                    <w:pStyle w:val="20"/>
                    <w:widowControl w:val="0"/>
                    <w:autoSpaceDE w:val="0"/>
                    <w:autoSpaceDN w:val="0"/>
                    <w:adjustRightInd/>
                    <w:snapToGrid/>
                    <w:spacing w:before="1" w:after="0" w:afterLines="-2147483648"/>
                    <w:ind w:left="11" w:right="2"/>
                    <w:rPr>
                      <w:rFonts w:ascii="Times New Roman" w:hAnsi="Times New Roman" w:cs="Times New Roman"/>
                      <w:sz w:val="21"/>
                    </w:rPr>
                  </w:pPr>
                  <w:r>
                    <w:rPr>
                      <w:rFonts w:ascii="Times New Roman" w:hAnsi="Times New Roman" w:cs="Times New Roman"/>
                      <w:sz w:val="21"/>
                    </w:rPr>
                    <w:t>年销售</w:t>
                  </w:r>
                  <w:r>
                    <w:rPr>
                      <w:rFonts w:hint="eastAsia" w:ascii="Times New Roman" w:hAnsi="Times New Roman" w:cs="Times New Roman"/>
                      <w:sz w:val="21"/>
                      <w:lang w:eastAsia="zh-CN"/>
                    </w:rPr>
                    <w:t>油品</w:t>
                  </w:r>
                  <w:r>
                    <w:rPr>
                      <w:rFonts w:hint="eastAsia" w:ascii="Times New Roman" w:hAnsi="Times New Roman" w:cs="Times New Roman"/>
                      <w:sz w:val="21"/>
                      <w:lang w:val="en-US" w:eastAsia="zh-CN"/>
                    </w:rPr>
                    <w:t>3000t，其中10</w:t>
                  </w:r>
                  <w:r>
                    <w:rPr>
                      <w:rFonts w:ascii="Times New Roman" w:hAnsi="Times New Roman" w:eastAsia="Times New Roman" w:cs="Times New Roman"/>
                      <w:sz w:val="21"/>
                    </w:rPr>
                    <w:t>00t</w:t>
                  </w:r>
                  <w:r>
                    <w:rPr>
                      <w:rFonts w:ascii="Times New Roman" w:hAnsi="Times New Roman" w:cs="Times New Roman"/>
                      <w:sz w:val="21"/>
                    </w:rPr>
                    <w:t>汽油、</w:t>
                  </w:r>
                  <w:r>
                    <w:rPr>
                      <w:rFonts w:hint="eastAsia" w:ascii="Times New Roman" w:hAnsi="Times New Roman" w:cs="Times New Roman"/>
                      <w:sz w:val="21"/>
                      <w:lang w:val="en-US" w:eastAsia="zh-CN"/>
                    </w:rPr>
                    <w:t>20</w:t>
                  </w:r>
                  <w:r>
                    <w:rPr>
                      <w:rFonts w:ascii="Times New Roman" w:hAnsi="Times New Roman" w:eastAsia="Times New Roman" w:cs="Times New Roman"/>
                      <w:sz w:val="21"/>
                    </w:rPr>
                    <w:t>00t</w:t>
                  </w:r>
                  <w:r>
                    <w:rPr>
                      <w:rFonts w:ascii="Times New Roman" w:hAnsi="Times New Roman" w:cs="Times New Roman"/>
                      <w:sz w:val="21"/>
                    </w:rPr>
                    <w:t>柴油</w:t>
                  </w:r>
                  <w:r>
                    <w:rPr>
                      <w:rFonts w:hint="eastAsia" w:ascii="Times New Roman" w:hAnsi="Times New Roman" w:cs="Times New Roman"/>
                      <w:sz w:val="21"/>
                      <w:lang w:eastAsia="zh-CN"/>
                    </w:rPr>
                    <w:t>；</w:t>
                  </w:r>
                  <w:r>
                    <w:rPr>
                      <w:rFonts w:hint="eastAsia" w:ascii="Times New Roman" w:hAnsi="Times New Roman" w:cs="Times New Roman"/>
                      <w:sz w:val="21"/>
                      <w:szCs w:val="21"/>
                      <w:lang w:eastAsia="zh-CN"/>
                    </w:rPr>
                    <w:t>汽油：</w:t>
                  </w:r>
                  <w:r>
                    <w:rPr>
                      <w:rFonts w:hint="default" w:ascii="Times New Roman" w:hAnsi="Times New Roman" w:eastAsia="宋体" w:cs="Times New Roman"/>
                      <w:sz w:val="21"/>
                      <w:szCs w:val="21"/>
                    </w:rPr>
                    <w:t>92#、95#</w:t>
                  </w:r>
                  <w:r>
                    <w:rPr>
                      <w:rFonts w:hint="eastAsia" w:ascii="Times New Roman" w:hAnsi="Times New Roman" w:cs="Times New Roman"/>
                      <w:sz w:val="21"/>
                      <w:szCs w:val="21"/>
                      <w:lang w:eastAsia="zh-CN"/>
                    </w:rPr>
                    <w:t>；柴油：</w:t>
                  </w:r>
                  <w:r>
                    <w:rPr>
                      <w:rFonts w:hint="eastAsia" w:ascii="Times New Roman" w:hAnsi="Times New Roman" w:cs="Times New Roman"/>
                      <w:sz w:val="21"/>
                      <w:szCs w:val="21"/>
                      <w:lang w:val="en-US" w:eastAsia="zh-CN"/>
                    </w:rPr>
                    <w:t>0#、-10#</w:t>
                  </w:r>
                </w:p>
              </w:tc>
              <w:tc>
                <w:tcPr>
                  <w:tcW w:w="3436" w:type="dxa"/>
                  <w:tcBorders>
                    <w:tl2br w:val="nil"/>
                    <w:tr2bl w:val="nil"/>
                  </w:tcBorders>
                  <w:vAlign w:val="center"/>
                </w:tcPr>
                <w:p>
                  <w:pPr>
                    <w:pStyle w:val="20"/>
                    <w:widowControl w:val="0"/>
                    <w:autoSpaceDE w:val="0"/>
                    <w:autoSpaceDN w:val="0"/>
                    <w:adjustRightInd/>
                    <w:snapToGrid/>
                    <w:spacing w:before="1" w:after="0" w:afterLines="-2147483648"/>
                    <w:ind w:left="11" w:right="2"/>
                    <w:rPr>
                      <w:rFonts w:ascii="Times New Roman" w:hAnsi="Times New Roman" w:cs="Times New Roman"/>
                      <w:sz w:val="21"/>
                    </w:rPr>
                  </w:pPr>
                  <w:r>
                    <w:rPr>
                      <w:rFonts w:ascii="Times New Roman" w:hAnsi="Times New Roman" w:cs="Times New Roman"/>
                      <w:sz w:val="21"/>
                    </w:rPr>
                    <w:t>年销售</w:t>
                  </w:r>
                  <w:r>
                    <w:rPr>
                      <w:rFonts w:hint="eastAsia" w:ascii="Times New Roman" w:hAnsi="Times New Roman" w:cs="Times New Roman"/>
                      <w:sz w:val="21"/>
                      <w:lang w:eastAsia="zh-CN"/>
                    </w:rPr>
                    <w:t>油品</w:t>
                  </w:r>
                  <w:r>
                    <w:rPr>
                      <w:rFonts w:hint="eastAsia" w:ascii="Times New Roman" w:hAnsi="Times New Roman" w:cs="Times New Roman"/>
                      <w:sz w:val="21"/>
                      <w:lang w:val="en-US" w:eastAsia="zh-CN"/>
                    </w:rPr>
                    <w:t>3000t，其中10</w:t>
                  </w:r>
                  <w:r>
                    <w:rPr>
                      <w:rFonts w:ascii="Times New Roman" w:hAnsi="Times New Roman" w:eastAsia="Times New Roman" w:cs="Times New Roman"/>
                      <w:sz w:val="21"/>
                    </w:rPr>
                    <w:t>00t</w:t>
                  </w:r>
                  <w:r>
                    <w:rPr>
                      <w:rFonts w:ascii="Times New Roman" w:hAnsi="Times New Roman" w:cs="Times New Roman"/>
                      <w:sz w:val="21"/>
                    </w:rPr>
                    <w:t>汽油、</w:t>
                  </w:r>
                  <w:r>
                    <w:rPr>
                      <w:rFonts w:hint="eastAsia" w:ascii="Times New Roman" w:hAnsi="Times New Roman" w:cs="Times New Roman"/>
                      <w:sz w:val="21"/>
                      <w:lang w:val="en-US" w:eastAsia="zh-CN"/>
                    </w:rPr>
                    <w:t>20</w:t>
                  </w:r>
                  <w:r>
                    <w:rPr>
                      <w:rFonts w:ascii="Times New Roman" w:hAnsi="Times New Roman" w:eastAsia="Times New Roman" w:cs="Times New Roman"/>
                      <w:sz w:val="21"/>
                    </w:rPr>
                    <w:t>00t</w:t>
                  </w:r>
                  <w:r>
                    <w:rPr>
                      <w:rFonts w:ascii="Times New Roman" w:hAnsi="Times New Roman" w:cs="Times New Roman"/>
                      <w:sz w:val="21"/>
                    </w:rPr>
                    <w:t>柴油</w:t>
                  </w:r>
                  <w:r>
                    <w:rPr>
                      <w:rFonts w:hint="eastAsia" w:ascii="Times New Roman" w:hAnsi="Times New Roman" w:cs="Times New Roman"/>
                      <w:sz w:val="21"/>
                      <w:lang w:eastAsia="zh-CN"/>
                    </w:rPr>
                    <w:t>；</w:t>
                  </w:r>
                  <w:r>
                    <w:rPr>
                      <w:rFonts w:hint="eastAsia" w:ascii="Times New Roman" w:hAnsi="Times New Roman" w:cs="Times New Roman"/>
                      <w:sz w:val="21"/>
                      <w:szCs w:val="21"/>
                      <w:lang w:eastAsia="zh-CN"/>
                    </w:rPr>
                    <w:t>汽油：</w:t>
                  </w:r>
                  <w:r>
                    <w:rPr>
                      <w:rFonts w:hint="default" w:ascii="Times New Roman" w:hAnsi="Times New Roman" w:eastAsia="宋体" w:cs="Times New Roman"/>
                      <w:sz w:val="21"/>
                      <w:szCs w:val="21"/>
                    </w:rPr>
                    <w:t>92#、95#</w:t>
                  </w:r>
                  <w:r>
                    <w:rPr>
                      <w:rFonts w:hint="eastAsia" w:ascii="Times New Roman" w:hAnsi="Times New Roman" w:cs="Times New Roman"/>
                      <w:sz w:val="21"/>
                      <w:szCs w:val="21"/>
                      <w:lang w:eastAsia="zh-CN"/>
                    </w:rPr>
                    <w:t>；柴油：</w:t>
                  </w:r>
                  <w:r>
                    <w:rPr>
                      <w:rFonts w:hint="eastAsia" w:ascii="Times New Roman" w:hAnsi="Times New Roman" w:cs="Times New Roman"/>
                      <w:sz w:val="21"/>
                      <w:szCs w:val="21"/>
                      <w:lang w:val="en-US" w:eastAsia="zh-CN"/>
                    </w:rPr>
                    <w:t>0#、-10#</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jc w:val="center"/>
              </w:trPr>
              <w:tc>
                <w:tcPr>
                  <w:tcW w:w="1120" w:type="dxa"/>
                  <w:gridSpan w:val="2"/>
                  <w:vMerge w:val="restart"/>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主体工程</w:t>
                  </w:r>
                </w:p>
              </w:tc>
              <w:tc>
                <w:tcPr>
                  <w:tcW w:w="339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hint="eastAsia" w:ascii="Times New Roman" w:hAnsi="Times New Roman" w:cs="Times New Roman"/>
                      <w:color w:val="auto"/>
                      <w:sz w:val="21"/>
                      <w:szCs w:val="21"/>
                      <w:lang w:eastAsia="zh-CN"/>
                    </w:rPr>
                    <w:t>加油机</w:t>
                  </w:r>
                  <w:r>
                    <w:rPr>
                      <w:rFonts w:hint="default" w:ascii="Times New Roman" w:hAnsi="Times New Roman" w:cs="Times New Roman"/>
                      <w:color w:val="auto"/>
                      <w:sz w:val="21"/>
                      <w:szCs w:val="21"/>
                    </w:rPr>
                    <w:t>6</w:t>
                  </w:r>
                  <w:r>
                    <w:rPr>
                      <w:rFonts w:ascii="Times New Roman" w:hAnsi="Times New Roman" w:cs="Times New Roman"/>
                      <w:color w:val="auto"/>
                      <w:sz w:val="21"/>
                      <w:szCs w:val="21"/>
                    </w:rPr>
                    <w:t>座；双枪</w:t>
                  </w:r>
                  <w:r>
                    <w:rPr>
                      <w:rFonts w:hint="eastAsia" w:ascii="Times New Roman" w:hAnsi="Times New Roman" w:cs="Times New Roman"/>
                      <w:color w:val="auto"/>
                      <w:sz w:val="21"/>
                      <w:szCs w:val="21"/>
                      <w:lang w:eastAsia="zh-CN"/>
                    </w:rPr>
                    <w:t>柴油</w:t>
                  </w:r>
                  <w:r>
                    <w:rPr>
                      <w:rFonts w:ascii="Times New Roman" w:hAnsi="Times New Roman" w:cs="Times New Roman"/>
                      <w:color w:val="auto"/>
                      <w:sz w:val="21"/>
                      <w:szCs w:val="21"/>
                    </w:rPr>
                    <w:t>加油机</w:t>
                  </w:r>
                  <w:r>
                    <w:rPr>
                      <w:rFonts w:hint="eastAsia" w:ascii="Times New Roman" w:hAnsi="Times New Roman" w:cs="Times New Roman"/>
                      <w:color w:val="auto"/>
                      <w:sz w:val="21"/>
                      <w:szCs w:val="21"/>
                      <w:lang w:val="en-US" w:eastAsia="zh-CN"/>
                    </w:rPr>
                    <w:t>4</w:t>
                  </w:r>
                  <w:r>
                    <w:rPr>
                      <w:rFonts w:ascii="Times New Roman" w:hAnsi="Times New Roman" w:cs="Times New Roman"/>
                      <w:color w:val="auto"/>
                      <w:sz w:val="21"/>
                      <w:szCs w:val="21"/>
                    </w:rPr>
                    <w:t>台，</w:t>
                  </w:r>
                  <w:r>
                    <w:rPr>
                      <w:rFonts w:hint="eastAsia" w:ascii="Times New Roman" w:hAnsi="Times New Roman" w:cs="Times New Roman"/>
                      <w:color w:val="auto"/>
                      <w:sz w:val="21"/>
                      <w:szCs w:val="21"/>
                      <w:lang w:eastAsia="zh-CN"/>
                    </w:rPr>
                    <w:t>四</w:t>
                  </w:r>
                  <w:r>
                    <w:rPr>
                      <w:rFonts w:ascii="Times New Roman" w:hAnsi="Times New Roman" w:cs="Times New Roman"/>
                      <w:color w:val="auto"/>
                      <w:sz w:val="21"/>
                      <w:szCs w:val="21"/>
                    </w:rPr>
                    <w:t>枪</w:t>
                  </w:r>
                  <w:r>
                    <w:rPr>
                      <w:rFonts w:hint="eastAsia" w:ascii="Times New Roman" w:hAnsi="Times New Roman" w:cs="Times New Roman"/>
                      <w:color w:val="auto"/>
                      <w:sz w:val="21"/>
                      <w:szCs w:val="21"/>
                      <w:lang w:eastAsia="zh-CN"/>
                    </w:rPr>
                    <w:t>汽油</w:t>
                  </w:r>
                  <w:r>
                    <w:rPr>
                      <w:rFonts w:ascii="Times New Roman" w:hAnsi="Times New Roman" w:cs="Times New Roman"/>
                      <w:color w:val="auto"/>
                      <w:sz w:val="21"/>
                      <w:szCs w:val="21"/>
                    </w:rPr>
                    <w:t>加油机</w:t>
                  </w:r>
                  <w:r>
                    <w:rPr>
                      <w:rFonts w:hint="eastAsia" w:ascii="Times New Roman" w:hAnsi="Times New Roman" w:cs="Times New Roman"/>
                      <w:color w:val="auto"/>
                      <w:sz w:val="21"/>
                      <w:szCs w:val="21"/>
                      <w:lang w:val="en-US" w:eastAsia="zh-CN"/>
                    </w:rPr>
                    <w:t>2</w:t>
                  </w:r>
                  <w:r>
                    <w:rPr>
                      <w:rFonts w:ascii="Times New Roman" w:hAnsi="Times New Roman" w:cs="Times New Roman"/>
                      <w:color w:val="auto"/>
                      <w:sz w:val="21"/>
                      <w:szCs w:val="21"/>
                    </w:rPr>
                    <w:t>台</w:t>
                  </w:r>
                  <w:r>
                    <w:rPr>
                      <w:rFonts w:hint="eastAsia" w:ascii="Times New Roman" w:hAnsi="Times New Roman" w:cs="Times New Roman"/>
                      <w:color w:val="auto"/>
                      <w:sz w:val="21"/>
                      <w:szCs w:val="21"/>
                      <w:lang w:eastAsia="zh-CN"/>
                    </w:rPr>
                    <w:t>；</w:t>
                  </w:r>
                  <w:r>
                    <w:rPr>
                      <w:rFonts w:ascii="Times New Roman" w:hAnsi="Times New Roman" w:cs="Times New Roman"/>
                      <w:color w:val="auto"/>
                      <w:sz w:val="21"/>
                      <w:szCs w:val="21"/>
                    </w:rPr>
                    <w:t>采用潜油泵式加油方式。</w:t>
                  </w:r>
                  <w:r>
                    <w:rPr>
                      <w:rFonts w:hint="default" w:ascii="Times New Roman" w:hAnsi="Times New Roman" w:cs="Times New Roman"/>
                      <w:color w:val="auto"/>
                      <w:sz w:val="21"/>
                      <w:szCs w:val="21"/>
                    </w:rPr>
                    <w:t>设加油油气回收系统、卸油油气回收系统和油气排放处理装置</w:t>
                  </w:r>
                </w:p>
              </w:tc>
              <w:tc>
                <w:tcPr>
                  <w:tcW w:w="343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hint="eastAsia" w:ascii="Times New Roman" w:hAnsi="Times New Roman" w:cs="Times New Roman"/>
                      <w:color w:val="auto"/>
                      <w:sz w:val="21"/>
                      <w:szCs w:val="21"/>
                      <w:lang w:eastAsia="zh-CN"/>
                    </w:rPr>
                    <w:t>加油机</w:t>
                  </w:r>
                  <w:r>
                    <w:rPr>
                      <w:rFonts w:hint="default" w:ascii="Times New Roman" w:hAnsi="Times New Roman" w:cs="Times New Roman"/>
                      <w:color w:val="auto"/>
                      <w:sz w:val="21"/>
                      <w:szCs w:val="21"/>
                    </w:rPr>
                    <w:t>6</w:t>
                  </w:r>
                  <w:r>
                    <w:rPr>
                      <w:rFonts w:ascii="Times New Roman" w:hAnsi="Times New Roman" w:cs="Times New Roman"/>
                      <w:color w:val="auto"/>
                      <w:sz w:val="21"/>
                      <w:szCs w:val="21"/>
                    </w:rPr>
                    <w:t>座；双枪</w:t>
                  </w:r>
                  <w:r>
                    <w:rPr>
                      <w:rFonts w:hint="eastAsia" w:ascii="Times New Roman" w:hAnsi="Times New Roman" w:cs="Times New Roman"/>
                      <w:color w:val="auto"/>
                      <w:sz w:val="21"/>
                      <w:szCs w:val="21"/>
                      <w:lang w:eastAsia="zh-CN"/>
                    </w:rPr>
                    <w:t>柴油</w:t>
                  </w:r>
                  <w:r>
                    <w:rPr>
                      <w:rFonts w:ascii="Times New Roman" w:hAnsi="Times New Roman" w:cs="Times New Roman"/>
                      <w:color w:val="auto"/>
                      <w:sz w:val="21"/>
                      <w:szCs w:val="21"/>
                    </w:rPr>
                    <w:t>加油机</w:t>
                  </w:r>
                  <w:r>
                    <w:rPr>
                      <w:rFonts w:hint="eastAsia" w:ascii="Times New Roman" w:hAnsi="Times New Roman" w:cs="Times New Roman"/>
                      <w:color w:val="auto"/>
                      <w:sz w:val="21"/>
                      <w:szCs w:val="21"/>
                      <w:lang w:val="en-US" w:eastAsia="zh-CN"/>
                    </w:rPr>
                    <w:t>4</w:t>
                  </w:r>
                  <w:r>
                    <w:rPr>
                      <w:rFonts w:ascii="Times New Roman" w:hAnsi="Times New Roman" w:cs="Times New Roman"/>
                      <w:color w:val="auto"/>
                      <w:sz w:val="21"/>
                      <w:szCs w:val="21"/>
                    </w:rPr>
                    <w:t>台，</w:t>
                  </w:r>
                  <w:r>
                    <w:rPr>
                      <w:rFonts w:hint="eastAsia" w:ascii="Times New Roman" w:hAnsi="Times New Roman" w:cs="Times New Roman"/>
                      <w:color w:val="auto"/>
                      <w:sz w:val="21"/>
                      <w:szCs w:val="21"/>
                      <w:lang w:eastAsia="zh-CN"/>
                    </w:rPr>
                    <w:t>四</w:t>
                  </w:r>
                  <w:r>
                    <w:rPr>
                      <w:rFonts w:ascii="Times New Roman" w:hAnsi="Times New Roman" w:cs="Times New Roman"/>
                      <w:color w:val="auto"/>
                      <w:sz w:val="21"/>
                      <w:szCs w:val="21"/>
                    </w:rPr>
                    <w:t>枪</w:t>
                  </w:r>
                  <w:r>
                    <w:rPr>
                      <w:rFonts w:hint="eastAsia" w:ascii="Times New Roman" w:hAnsi="Times New Roman" w:cs="Times New Roman"/>
                      <w:color w:val="auto"/>
                      <w:sz w:val="21"/>
                      <w:szCs w:val="21"/>
                      <w:lang w:eastAsia="zh-CN"/>
                    </w:rPr>
                    <w:t>汽油</w:t>
                  </w:r>
                  <w:r>
                    <w:rPr>
                      <w:rFonts w:ascii="Times New Roman" w:hAnsi="Times New Roman" w:cs="Times New Roman"/>
                      <w:color w:val="auto"/>
                      <w:sz w:val="21"/>
                      <w:szCs w:val="21"/>
                    </w:rPr>
                    <w:t>加油机</w:t>
                  </w:r>
                  <w:r>
                    <w:rPr>
                      <w:rFonts w:hint="eastAsia" w:ascii="Times New Roman" w:hAnsi="Times New Roman" w:cs="Times New Roman"/>
                      <w:color w:val="auto"/>
                      <w:sz w:val="21"/>
                      <w:szCs w:val="21"/>
                      <w:lang w:val="en-US" w:eastAsia="zh-CN"/>
                    </w:rPr>
                    <w:t>2</w:t>
                  </w:r>
                  <w:r>
                    <w:rPr>
                      <w:rFonts w:ascii="Times New Roman" w:hAnsi="Times New Roman" w:cs="Times New Roman"/>
                      <w:color w:val="auto"/>
                      <w:sz w:val="21"/>
                      <w:szCs w:val="21"/>
                    </w:rPr>
                    <w:t>台</w:t>
                  </w:r>
                  <w:r>
                    <w:rPr>
                      <w:rFonts w:hint="eastAsia" w:ascii="Times New Roman" w:hAnsi="Times New Roman" w:cs="Times New Roman"/>
                      <w:color w:val="auto"/>
                      <w:sz w:val="21"/>
                      <w:szCs w:val="21"/>
                      <w:lang w:eastAsia="zh-CN"/>
                    </w:rPr>
                    <w:t>；</w:t>
                  </w:r>
                  <w:r>
                    <w:rPr>
                      <w:rFonts w:ascii="Times New Roman" w:hAnsi="Times New Roman" w:cs="Times New Roman"/>
                      <w:color w:val="auto"/>
                      <w:sz w:val="21"/>
                      <w:szCs w:val="21"/>
                    </w:rPr>
                    <w:t>采用潜油泵式加油方式。</w:t>
                  </w:r>
                  <w:r>
                    <w:rPr>
                      <w:rFonts w:hint="default" w:ascii="Times New Roman" w:hAnsi="Times New Roman" w:cs="Times New Roman"/>
                      <w:color w:val="auto"/>
                      <w:sz w:val="21"/>
                      <w:szCs w:val="21"/>
                    </w:rPr>
                    <w:t>设加油油气回收系统、卸油油气回收系统和油气排放处理装置</w:t>
                  </w:r>
                </w:p>
              </w:tc>
              <w:tc>
                <w:tcPr>
                  <w:tcW w:w="661"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一致</w:t>
                  </w:r>
                </w:p>
              </w:tc>
              <w:tc>
                <w:tcPr>
                  <w:tcW w:w="745" w:type="dxa"/>
                  <w:tcBorders>
                    <w:tl2br w:val="nil"/>
                    <w:tr2bl w:val="nil"/>
                  </w:tcBorders>
                  <w:vAlign w:val="center"/>
                </w:tcPr>
                <w:p>
                  <w:pPr>
                    <w:bidi w:val="0"/>
                    <w:jc w:val="center"/>
                    <w:rPr>
                      <w:rFonts w:hint="eastAsia" w:eastAsia="宋体"/>
                      <w:lang w:eastAsia="zh-CN"/>
                    </w:rPr>
                  </w:pPr>
                  <w:r>
                    <w:rPr>
                      <w:rFonts w:hint="eastAsia"/>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jc w:val="center"/>
              </w:trPr>
              <w:tc>
                <w:tcPr>
                  <w:tcW w:w="1120" w:type="dxa"/>
                  <w:gridSpan w:val="2"/>
                  <w:vMerge w:val="continue"/>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339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hint="eastAsia" w:ascii="Times New Roman" w:hAnsi="Times New Roman" w:eastAsia="宋体" w:cs="Times New Roman"/>
                      <w:sz w:val="21"/>
                      <w:lang w:eastAsia="zh-CN"/>
                    </w:rPr>
                  </w:pPr>
                  <w:r>
                    <w:rPr>
                      <w:rFonts w:hint="default" w:ascii="Times New Roman" w:hAnsi="Times New Roman" w:cs="Times New Roman"/>
                      <w:sz w:val="21"/>
                      <w:szCs w:val="21"/>
                    </w:rPr>
                    <w:t>卧</w:t>
                  </w:r>
                  <w:r>
                    <w:rPr>
                      <w:rFonts w:ascii="Times New Roman" w:hAnsi="Times New Roman" w:cs="Times New Roman"/>
                      <w:sz w:val="21"/>
                      <w:szCs w:val="21"/>
                    </w:rPr>
                    <w:t>式</w:t>
                  </w:r>
                  <w:r>
                    <w:rPr>
                      <w:rFonts w:hint="default" w:ascii="Times New Roman" w:hAnsi="Times New Roman" w:cs="Times New Roman"/>
                      <w:sz w:val="21"/>
                      <w:szCs w:val="21"/>
                    </w:rPr>
                    <w:t>5</w:t>
                  </w:r>
                  <w:r>
                    <w:rPr>
                      <w:rFonts w:ascii="Times New Roman" w:hAnsi="Times New Roman" w:cs="Times New Roman"/>
                      <w:sz w:val="21"/>
                      <w:szCs w:val="21"/>
                    </w:rPr>
                    <w:t>0m</w:t>
                  </w:r>
                  <w:r>
                    <w:rPr>
                      <w:rFonts w:ascii="Times New Roman" w:hAnsi="Times New Roman" w:cs="Times New Roman"/>
                      <w:sz w:val="21"/>
                      <w:szCs w:val="21"/>
                      <w:vertAlign w:val="superscript"/>
                    </w:rPr>
                    <w:t>3</w:t>
                  </w:r>
                  <w:r>
                    <w:rPr>
                      <w:rFonts w:ascii="Times New Roman" w:hAnsi="Times New Roman" w:cs="Times New Roman"/>
                      <w:sz w:val="21"/>
                      <w:szCs w:val="21"/>
                    </w:rPr>
                    <w:t>SF双层油罐</w:t>
                  </w:r>
                  <w:r>
                    <w:rPr>
                      <w:rFonts w:hint="default" w:ascii="Times New Roman" w:hAnsi="Times New Roman" w:cs="Times New Roman"/>
                      <w:sz w:val="21"/>
                      <w:szCs w:val="21"/>
                    </w:rPr>
                    <w:t>5个</w:t>
                  </w:r>
                  <w:r>
                    <w:rPr>
                      <w:rFonts w:ascii="Times New Roman" w:hAnsi="Times New Roman" w:cs="Times New Roman"/>
                      <w:sz w:val="21"/>
                      <w:szCs w:val="21"/>
                    </w:rPr>
                    <w:t>（</w:t>
                  </w:r>
                  <w:r>
                    <w:rPr>
                      <w:rFonts w:hint="default" w:ascii="Times New Roman" w:hAnsi="Times New Roman" w:cs="Times New Roman"/>
                      <w:sz w:val="21"/>
                      <w:szCs w:val="21"/>
                    </w:rPr>
                    <w:t>2</w:t>
                  </w:r>
                  <w:r>
                    <w:rPr>
                      <w:rFonts w:ascii="Times New Roman" w:hAnsi="Times New Roman" w:cs="Times New Roman"/>
                      <w:sz w:val="21"/>
                      <w:szCs w:val="21"/>
                    </w:rPr>
                    <w:t>汽油</w:t>
                  </w:r>
                  <w:r>
                    <w:rPr>
                      <w:rFonts w:hint="default" w:ascii="Times New Roman" w:hAnsi="Times New Roman" w:cs="Times New Roman"/>
                      <w:sz w:val="21"/>
                      <w:szCs w:val="21"/>
                    </w:rPr>
                    <w:t>3</w:t>
                  </w:r>
                  <w:r>
                    <w:rPr>
                      <w:rFonts w:ascii="Times New Roman" w:hAnsi="Times New Roman" w:cs="Times New Roman"/>
                      <w:sz w:val="21"/>
                      <w:szCs w:val="21"/>
                    </w:rPr>
                    <w:t>柴油</w:t>
                  </w:r>
                  <w:r>
                    <w:rPr>
                      <w:rFonts w:hint="eastAsia" w:ascii="Times New Roman" w:hAnsi="Times New Roman" w:cs="Times New Roman"/>
                      <w:sz w:val="21"/>
                      <w:szCs w:val="21"/>
                      <w:lang w:eastAsia="zh-CN"/>
                    </w:rPr>
                    <w:t>）</w:t>
                  </w:r>
                </w:p>
              </w:tc>
              <w:tc>
                <w:tcPr>
                  <w:tcW w:w="343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hint="default" w:ascii="Times New Roman" w:hAnsi="Times New Roman" w:cs="Times New Roman"/>
                      <w:sz w:val="21"/>
                      <w:szCs w:val="21"/>
                    </w:rPr>
                    <w:t>卧</w:t>
                  </w:r>
                  <w:r>
                    <w:rPr>
                      <w:rFonts w:ascii="Times New Roman" w:hAnsi="Times New Roman" w:cs="Times New Roman"/>
                      <w:sz w:val="21"/>
                      <w:szCs w:val="21"/>
                    </w:rPr>
                    <w:t>式</w:t>
                  </w:r>
                  <w:r>
                    <w:rPr>
                      <w:rFonts w:hint="default" w:ascii="Times New Roman" w:hAnsi="Times New Roman" w:cs="Times New Roman"/>
                      <w:sz w:val="21"/>
                      <w:szCs w:val="21"/>
                    </w:rPr>
                    <w:t>5</w:t>
                  </w:r>
                  <w:r>
                    <w:rPr>
                      <w:rFonts w:ascii="Times New Roman" w:hAnsi="Times New Roman" w:cs="Times New Roman"/>
                      <w:sz w:val="21"/>
                      <w:szCs w:val="21"/>
                    </w:rPr>
                    <w:t>0m</w:t>
                  </w:r>
                  <w:r>
                    <w:rPr>
                      <w:rFonts w:ascii="Times New Roman" w:hAnsi="Times New Roman" w:cs="Times New Roman"/>
                      <w:sz w:val="21"/>
                      <w:szCs w:val="21"/>
                      <w:vertAlign w:val="superscript"/>
                    </w:rPr>
                    <w:t>3</w:t>
                  </w:r>
                  <w:r>
                    <w:rPr>
                      <w:rFonts w:ascii="Times New Roman" w:hAnsi="Times New Roman" w:cs="Times New Roman"/>
                      <w:sz w:val="21"/>
                      <w:szCs w:val="21"/>
                    </w:rPr>
                    <w:t>SF双层油罐</w:t>
                  </w:r>
                  <w:r>
                    <w:rPr>
                      <w:rFonts w:hint="default" w:ascii="Times New Roman" w:hAnsi="Times New Roman" w:cs="Times New Roman"/>
                      <w:sz w:val="21"/>
                      <w:szCs w:val="21"/>
                    </w:rPr>
                    <w:t>5个</w:t>
                  </w:r>
                  <w:r>
                    <w:rPr>
                      <w:rFonts w:ascii="Times New Roman" w:hAnsi="Times New Roman" w:cs="Times New Roman"/>
                      <w:sz w:val="21"/>
                      <w:szCs w:val="21"/>
                    </w:rPr>
                    <w:t>（</w:t>
                  </w:r>
                  <w:r>
                    <w:rPr>
                      <w:rFonts w:hint="default" w:ascii="Times New Roman" w:hAnsi="Times New Roman" w:cs="Times New Roman"/>
                      <w:sz w:val="21"/>
                      <w:szCs w:val="21"/>
                    </w:rPr>
                    <w:t>2</w:t>
                  </w:r>
                  <w:r>
                    <w:rPr>
                      <w:rFonts w:ascii="Times New Roman" w:hAnsi="Times New Roman" w:cs="Times New Roman"/>
                      <w:sz w:val="21"/>
                      <w:szCs w:val="21"/>
                    </w:rPr>
                    <w:t>汽油</w:t>
                  </w:r>
                  <w:r>
                    <w:rPr>
                      <w:rFonts w:hint="default" w:ascii="Times New Roman" w:hAnsi="Times New Roman" w:cs="Times New Roman"/>
                      <w:sz w:val="21"/>
                      <w:szCs w:val="21"/>
                    </w:rPr>
                    <w:t>3</w:t>
                  </w:r>
                  <w:r>
                    <w:rPr>
                      <w:rFonts w:ascii="Times New Roman" w:hAnsi="Times New Roman" w:cs="Times New Roman"/>
                      <w:sz w:val="21"/>
                      <w:szCs w:val="21"/>
                    </w:rPr>
                    <w:t>柴油）</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120" w:type="dxa"/>
                  <w:gridSpan w:val="2"/>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辅助工程</w:t>
                  </w:r>
                </w:p>
              </w:tc>
              <w:tc>
                <w:tcPr>
                  <w:tcW w:w="3392" w:type="dxa"/>
                  <w:tcBorders>
                    <w:tl2br w:val="nil"/>
                    <w:tr2bl w:val="nil"/>
                  </w:tcBorders>
                  <w:vAlign w:val="center"/>
                </w:tcPr>
                <w:p>
                  <w:pPr>
                    <w:pStyle w:val="20"/>
                    <w:widowControl w:val="0"/>
                    <w:autoSpaceDE w:val="0"/>
                    <w:autoSpaceDN w:val="0"/>
                    <w:adjustRightInd/>
                    <w:snapToGrid/>
                    <w:spacing w:before="1" w:after="0" w:afterLines="-2147483648"/>
                    <w:ind w:left="11" w:right="2"/>
                    <w:rPr>
                      <w:rFonts w:hint="default" w:ascii="Times New Roman" w:hAnsi="Times New Roman" w:eastAsia="宋体" w:cs="Times New Roman"/>
                      <w:sz w:val="21"/>
                      <w:lang w:val="en-US"/>
                    </w:rPr>
                  </w:pPr>
                  <w:r>
                    <w:rPr>
                      <w:rFonts w:ascii="Times New Roman" w:hAnsi="Times New Roman" w:cs="Times New Roman"/>
                      <w:sz w:val="21"/>
                    </w:rPr>
                    <w:t>站房建筑面积</w:t>
                  </w:r>
                  <w:r>
                    <w:rPr>
                      <w:rFonts w:hint="default" w:ascii="Times New Roman" w:hAnsi="Times New Roman" w:cs="Times New Roman"/>
                      <w:sz w:val="21"/>
                    </w:rPr>
                    <w:t>1</w:t>
                  </w:r>
                  <w:r>
                    <w:rPr>
                      <w:rFonts w:hint="eastAsia" w:ascii="Times New Roman" w:hAnsi="Times New Roman" w:cs="Times New Roman"/>
                      <w:sz w:val="21"/>
                      <w:lang w:val="en-US" w:eastAsia="zh-CN"/>
                    </w:rPr>
                    <w:t>12.86</w:t>
                  </w:r>
                  <w:r>
                    <w:rPr>
                      <w:rFonts w:ascii="Times New Roman" w:hAnsi="Times New Roman" w:eastAsia="Times New Roman" w:cs="Times New Roman"/>
                      <w:sz w:val="21"/>
                    </w:rPr>
                    <w:t>m</w:t>
                  </w:r>
                  <w:r>
                    <w:rPr>
                      <w:rFonts w:ascii="Times New Roman" w:hAnsi="Times New Roman" w:eastAsia="宋体" w:cs="Times New Roman"/>
                      <w:position w:val="0"/>
                      <w:sz w:val="21"/>
                      <w:vertAlign w:val="superscript"/>
                    </w:rPr>
                    <w:t>2</w:t>
                  </w:r>
                  <w:r>
                    <w:rPr>
                      <w:rFonts w:ascii="Times New Roman" w:hAnsi="Times New Roman" w:cs="Times New Roman"/>
                      <w:sz w:val="21"/>
                      <w:szCs w:val="21"/>
                    </w:rPr>
                    <w:t>，1F，砖混结构</w:t>
                  </w:r>
                </w:p>
              </w:tc>
              <w:tc>
                <w:tcPr>
                  <w:tcW w:w="3436" w:type="dxa"/>
                  <w:tcBorders>
                    <w:tl2br w:val="nil"/>
                    <w:tr2bl w:val="nil"/>
                  </w:tcBorders>
                  <w:vAlign w:val="center"/>
                </w:tcPr>
                <w:p>
                  <w:pPr>
                    <w:pStyle w:val="20"/>
                    <w:widowControl w:val="0"/>
                    <w:autoSpaceDE w:val="0"/>
                    <w:autoSpaceDN w:val="0"/>
                    <w:adjustRightInd/>
                    <w:snapToGrid/>
                    <w:spacing w:before="1" w:after="0" w:afterLines="-2147483648"/>
                    <w:ind w:left="11" w:right="2"/>
                    <w:rPr>
                      <w:rFonts w:ascii="Times New Roman" w:hAnsi="Times New Roman" w:eastAsia="宋体" w:cs="Times New Roman"/>
                      <w:sz w:val="21"/>
                    </w:rPr>
                  </w:pPr>
                  <w:r>
                    <w:rPr>
                      <w:rFonts w:ascii="Times New Roman" w:hAnsi="Times New Roman" w:cs="Times New Roman"/>
                      <w:sz w:val="21"/>
                    </w:rPr>
                    <w:t>站房建筑面积</w:t>
                  </w:r>
                  <w:r>
                    <w:rPr>
                      <w:rFonts w:hint="default" w:ascii="Times New Roman" w:hAnsi="Times New Roman" w:cs="Times New Roman"/>
                      <w:sz w:val="21"/>
                    </w:rPr>
                    <w:t>1</w:t>
                  </w:r>
                  <w:r>
                    <w:rPr>
                      <w:rFonts w:hint="eastAsia" w:ascii="Times New Roman" w:hAnsi="Times New Roman" w:cs="Times New Roman"/>
                      <w:sz w:val="21"/>
                      <w:lang w:val="en-US" w:eastAsia="zh-CN"/>
                    </w:rPr>
                    <w:t>12.86</w:t>
                  </w:r>
                  <w:r>
                    <w:rPr>
                      <w:rFonts w:ascii="Times New Roman" w:hAnsi="Times New Roman" w:eastAsia="Times New Roman" w:cs="Times New Roman"/>
                      <w:sz w:val="21"/>
                    </w:rPr>
                    <w:t>m</w:t>
                  </w:r>
                  <w:r>
                    <w:rPr>
                      <w:rFonts w:ascii="Times New Roman" w:hAnsi="Times New Roman" w:eastAsia="宋体" w:cs="Times New Roman"/>
                      <w:position w:val="0"/>
                      <w:sz w:val="21"/>
                      <w:vertAlign w:val="superscript"/>
                    </w:rPr>
                    <w:t>2</w:t>
                  </w:r>
                  <w:r>
                    <w:rPr>
                      <w:rFonts w:ascii="Times New Roman" w:hAnsi="Times New Roman" w:cs="Times New Roman"/>
                      <w:sz w:val="21"/>
                      <w:szCs w:val="21"/>
                    </w:rPr>
                    <w:t>，1F，砖混结构</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642" w:hRule="atLeast"/>
                <w:jc w:val="center"/>
              </w:trPr>
              <w:tc>
                <w:tcPr>
                  <w:tcW w:w="444" w:type="dxa"/>
                  <w:vMerge w:val="restart"/>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环保工程</w:t>
                  </w:r>
                </w:p>
              </w:tc>
              <w:tc>
                <w:tcPr>
                  <w:tcW w:w="67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废水治理</w:t>
                  </w:r>
                </w:p>
              </w:tc>
              <w:tc>
                <w:tcPr>
                  <w:tcW w:w="339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firstLine="0"/>
                    <w:jc w:val="left"/>
                    <w:rPr>
                      <w:rFonts w:hint="default" w:ascii="Times New Roman" w:hAnsi="Times New Roman" w:cs="Times New Roman"/>
                      <w:sz w:val="21"/>
                      <w:lang w:val="en-US"/>
                    </w:rPr>
                  </w:pPr>
                  <w:r>
                    <w:rPr>
                      <w:rFonts w:hint="default" w:ascii="Times New Roman" w:hAnsi="Times New Roman" w:eastAsia="宋体" w:cs="Times New Roman"/>
                      <w:color w:val="auto"/>
                      <w:sz w:val="21"/>
                      <w:szCs w:val="21"/>
                      <w:highlight w:val="none"/>
                      <w:lang w:eastAsia="zh-CN"/>
                    </w:rPr>
                    <w:t>站内生活污水</w:t>
                  </w:r>
                  <w:r>
                    <w:rPr>
                      <w:rFonts w:hint="eastAsia" w:ascii="Times New Roman" w:hAnsi="Times New Roman" w:eastAsia="宋体" w:cs="Times New Roman"/>
                      <w:color w:val="auto"/>
                      <w:sz w:val="21"/>
                      <w:szCs w:val="21"/>
                      <w:highlight w:val="none"/>
                      <w:lang w:eastAsia="zh-CN"/>
                    </w:rPr>
                    <w:t>依托泾阳服务区污水处理系统处理后回用，不外排</w:t>
                  </w:r>
                  <w:r>
                    <w:rPr>
                      <w:rFonts w:ascii="Times New Roman" w:hAnsi="Times New Roman" w:cs="Times New Roman"/>
                      <w:sz w:val="21"/>
                      <w:szCs w:val="21"/>
                    </w:rPr>
                    <w:t>。</w:t>
                  </w:r>
                </w:p>
              </w:tc>
              <w:tc>
                <w:tcPr>
                  <w:tcW w:w="343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hint="eastAsia" w:ascii="Times New Roman" w:hAnsi="Times New Roman" w:eastAsia="宋体" w:cs="Times New Roman"/>
                      <w:sz w:val="21"/>
                      <w:lang w:eastAsia="zh-CN"/>
                    </w:rPr>
                  </w:pPr>
                  <w:r>
                    <w:rPr>
                      <w:rFonts w:hint="default" w:ascii="Times New Roman" w:hAnsi="Times New Roman" w:eastAsia="宋体" w:cs="Times New Roman"/>
                      <w:color w:val="auto"/>
                      <w:sz w:val="21"/>
                      <w:szCs w:val="21"/>
                      <w:highlight w:val="none"/>
                      <w:lang w:eastAsia="zh-CN"/>
                    </w:rPr>
                    <w:t>站内生活污水</w:t>
                  </w:r>
                  <w:r>
                    <w:rPr>
                      <w:rFonts w:hint="eastAsia" w:ascii="Times New Roman" w:hAnsi="Times New Roman" w:eastAsia="宋体" w:cs="Times New Roman"/>
                      <w:color w:val="auto"/>
                      <w:sz w:val="21"/>
                      <w:szCs w:val="21"/>
                      <w:highlight w:val="none"/>
                      <w:lang w:eastAsia="zh-CN"/>
                    </w:rPr>
                    <w:t>依托泾阳服务区污水处理系统处理后回用，不外排</w:t>
                  </w:r>
                  <w:r>
                    <w:rPr>
                      <w:rFonts w:hint="eastAsia" w:ascii="Times New Roman" w:hAnsi="Times New Roman" w:cs="Times New Roman"/>
                      <w:sz w:val="21"/>
                      <w:lang w:eastAsia="zh-CN"/>
                    </w:rPr>
                    <w:t>。</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695" w:hRule="atLeast"/>
                <w:jc w:val="center"/>
              </w:trPr>
              <w:tc>
                <w:tcPr>
                  <w:tcW w:w="444" w:type="dxa"/>
                  <w:vMerge w:val="continue"/>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67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废气治理</w:t>
                  </w:r>
                </w:p>
              </w:tc>
              <w:tc>
                <w:tcPr>
                  <w:tcW w:w="339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hint="default" w:ascii="Times New Roman" w:hAnsi="Times New Roman" w:eastAsia="宋体" w:cs="Times New Roman"/>
                      <w:color w:val="auto"/>
                      <w:sz w:val="21"/>
                      <w:szCs w:val="21"/>
                      <w:highlight w:val="none"/>
                    </w:rPr>
                    <w:t>油罐采用地埋设计，卸油</w:t>
                  </w:r>
                  <w:r>
                    <w:rPr>
                      <w:rFonts w:hint="eastAsia" w:ascii="Times New Roman" w:hAnsi="Times New Roman" w:eastAsia="宋体" w:cs="Times New Roman"/>
                      <w:color w:val="auto"/>
                      <w:sz w:val="21"/>
                      <w:szCs w:val="21"/>
                      <w:highlight w:val="none"/>
                      <w:lang w:eastAsia="zh-CN"/>
                    </w:rPr>
                    <w:t>、储油、</w:t>
                  </w:r>
                  <w:r>
                    <w:rPr>
                      <w:rFonts w:hint="default" w:ascii="Times New Roman" w:hAnsi="Times New Roman" w:eastAsia="宋体" w:cs="Times New Roman"/>
                      <w:color w:val="auto"/>
                      <w:sz w:val="21"/>
                      <w:szCs w:val="21"/>
                      <w:highlight w:val="none"/>
                    </w:rPr>
                    <w:t>加油机安装</w:t>
                  </w:r>
                  <w:r>
                    <w:rPr>
                      <w:rFonts w:hint="eastAsia" w:ascii="Times New Roman" w:hAnsi="Times New Roman" w:eastAsia="宋体" w:cs="Times New Roman"/>
                      <w:color w:val="auto"/>
                      <w:sz w:val="21"/>
                      <w:szCs w:val="21"/>
                      <w:highlight w:val="none"/>
                      <w:lang w:eastAsia="zh-CN"/>
                    </w:rPr>
                    <w:t>三级油气回收系统</w:t>
                  </w:r>
                  <w:r>
                    <w:rPr>
                      <w:rFonts w:hint="default" w:ascii="Times New Roman" w:hAnsi="Times New Roman" w:eastAsia="宋体" w:cs="Times New Roman"/>
                      <w:color w:val="auto"/>
                      <w:sz w:val="21"/>
                      <w:szCs w:val="21"/>
                      <w:highlight w:val="none"/>
                      <w:lang w:eastAsia="zh-CN"/>
                    </w:rPr>
                    <w:t>；汽车尾气经自然扩散，并加强管理</w:t>
                  </w:r>
                </w:p>
              </w:tc>
              <w:tc>
                <w:tcPr>
                  <w:tcW w:w="343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hint="default" w:ascii="Times New Roman" w:hAnsi="Times New Roman" w:eastAsia="宋体" w:cs="Times New Roman"/>
                      <w:color w:val="auto"/>
                      <w:sz w:val="21"/>
                      <w:szCs w:val="21"/>
                      <w:highlight w:val="none"/>
                    </w:rPr>
                    <w:t>油罐采用地埋设计，卸油</w:t>
                  </w:r>
                  <w:r>
                    <w:rPr>
                      <w:rFonts w:hint="eastAsia" w:ascii="Times New Roman" w:hAnsi="Times New Roman" w:eastAsia="宋体" w:cs="Times New Roman"/>
                      <w:color w:val="auto"/>
                      <w:sz w:val="21"/>
                      <w:szCs w:val="21"/>
                      <w:highlight w:val="none"/>
                      <w:lang w:eastAsia="zh-CN"/>
                    </w:rPr>
                    <w:t>、储油、</w:t>
                  </w:r>
                  <w:r>
                    <w:rPr>
                      <w:rFonts w:hint="default" w:ascii="Times New Roman" w:hAnsi="Times New Roman" w:eastAsia="宋体" w:cs="Times New Roman"/>
                      <w:color w:val="auto"/>
                      <w:sz w:val="21"/>
                      <w:szCs w:val="21"/>
                      <w:highlight w:val="none"/>
                    </w:rPr>
                    <w:t>加油机安装</w:t>
                  </w:r>
                  <w:r>
                    <w:rPr>
                      <w:rFonts w:hint="eastAsia" w:ascii="Times New Roman" w:hAnsi="Times New Roman" w:eastAsia="宋体" w:cs="Times New Roman"/>
                      <w:color w:val="auto"/>
                      <w:sz w:val="21"/>
                      <w:szCs w:val="21"/>
                      <w:highlight w:val="none"/>
                      <w:lang w:eastAsia="zh-CN"/>
                    </w:rPr>
                    <w:t>三级油气回收系统</w:t>
                  </w:r>
                  <w:r>
                    <w:rPr>
                      <w:rFonts w:hint="default" w:ascii="Times New Roman" w:hAnsi="Times New Roman" w:eastAsia="宋体" w:cs="Times New Roman"/>
                      <w:color w:val="auto"/>
                      <w:sz w:val="21"/>
                      <w:szCs w:val="21"/>
                      <w:highlight w:val="none"/>
                      <w:lang w:eastAsia="zh-CN"/>
                    </w:rPr>
                    <w:t>；汽车尾气经自然扩散，并加强管理</w:t>
                  </w:r>
                </w:p>
              </w:tc>
              <w:tc>
                <w:tcPr>
                  <w:tcW w:w="661"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hint="default" w:ascii="Times New Roman" w:hAnsi="Times New Roman" w:cs="Times New Roman"/>
                      <w:sz w:val="21"/>
                    </w:rPr>
                  </w:pPr>
                  <w:r>
                    <w:rPr>
                      <w:rFonts w:hint="default" w:ascii="Times New Roman" w:hAnsi="Times New Roman" w:cs="Times New Roman"/>
                      <w:sz w:val="21"/>
                      <w:lang w:val="en-US" w:eastAsia="zh-CN"/>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695" w:hRule="atLeast"/>
                <w:jc w:val="center"/>
              </w:trPr>
              <w:tc>
                <w:tcPr>
                  <w:tcW w:w="444" w:type="dxa"/>
                  <w:vMerge w:val="continue"/>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67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噪声治理</w:t>
                  </w:r>
                </w:p>
              </w:tc>
              <w:tc>
                <w:tcPr>
                  <w:tcW w:w="339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ascii="Times New Roman" w:hAnsi="Times New Roman" w:cs="Times New Roman"/>
                      <w:snapToGrid w:val="0"/>
                      <w:kern w:val="0"/>
                      <w:sz w:val="21"/>
                      <w:szCs w:val="21"/>
                    </w:rPr>
                  </w:pPr>
                  <w:r>
                    <w:rPr>
                      <w:rFonts w:hint="default" w:ascii="Times New Roman" w:hAnsi="Times New Roman" w:eastAsia="宋体" w:cs="Times New Roman"/>
                      <w:color w:val="auto"/>
                      <w:sz w:val="21"/>
                      <w:szCs w:val="21"/>
                      <w:highlight w:val="none"/>
                    </w:rPr>
                    <w:t>高噪声设备采用隔音、减振等措施；对进出站内机动车辆采取禁止鸣笛措施管理</w:t>
                  </w:r>
                </w:p>
              </w:tc>
              <w:tc>
                <w:tcPr>
                  <w:tcW w:w="343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ascii="Times New Roman" w:hAnsi="Times New Roman" w:cs="Times New Roman"/>
                      <w:snapToGrid w:val="0"/>
                      <w:kern w:val="0"/>
                      <w:sz w:val="21"/>
                      <w:szCs w:val="21"/>
                    </w:rPr>
                  </w:pPr>
                  <w:r>
                    <w:rPr>
                      <w:rFonts w:hint="default" w:ascii="Times New Roman" w:hAnsi="Times New Roman" w:eastAsia="宋体" w:cs="Times New Roman"/>
                      <w:color w:val="auto"/>
                      <w:sz w:val="21"/>
                      <w:szCs w:val="21"/>
                      <w:highlight w:val="none"/>
                    </w:rPr>
                    <w:t>高噪声设备采用隔音、减振等措施；对进出站内机动车辆采取禁止鸣笛措施管理</w:t>
                  </w:r>
                </w:p>
              </w:tc>
              <w:tc>
                <w:tcPr>
                  <w:tcW w:w="661"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hint="eastAsia" w:ascii="Times New Roman" w:hAnsi="Times New Roman" w:cs="Times New Roman"/>
                      <w:sz w:val="21"/>
                      <w:lang w:val="en-US" w:eastAsia="zh-CN"/>
                    </w:rPr>
                  </w:pPr>
                  <w:r>
                    <w:rPr>
                      <w:rFonts w:hint="eastAsia" w:ascii="Times New Roman" w:hAnsi="Times New Roman" w:cs="Times New Roman"/>
                      <w:sz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943" w:hRule="atLeast"/>
                <w:jc w:val="center"/>
              </w:trPr>
              <w:tc>
                <w:tcPr>
                  <w:tcW w:w="444" w:type="dxa"/>
                  <w:vMerge w:val="continue"/>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67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pacing w:val="0"/>
                      <w:sz w:val="21"/>
                    </w:rPr>
                    <w:t>一般</w:t>
                  </w:r>
                  <w:r>
                    <w:rPr>
                      <w:rFonts w:ascii="Times New Roman" w:hAnsi="Times New Roman" w:cs="Times New Roman"/>
                      <w:spacing w:val="0"/>
                      <w:w w:val="100"/>
                      <w:sz w:val="21"/>
                    </w:rPr>
                    <w:t>固废</w:t>
                  </w:r>
                </w:p>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pacing w:val="0"/>
                      <w:w w:val="100"/>
                      <w:sz w:val="21"/>
                    </w:rPr>
                    <w:t>处置</w:t>
                  </w:r>
                </w:p>
              </w:tc>
              <w:tc>
                <w:tcPr>
                  <w:tcW w:w="339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firstLine="0"/>
                    <w:jc w:val="left"/>
                    <w:rPr>
                      <w:rFonts w:ascii="Times New Roman" w:hAnsi="Times New Roman" w:cs="Times New Roman"/>
                      <w:sz w:val="21"/>
                    </w:rPr>
                  </w:pPr>
                  <w:r>
                    <w:rPr>
                      <w:rFonts w:hint="default" w:ascii="Times New Roman" w:hAnsi="Times New Roman" w:eastAsia="宋体" w:cs="Times New Roman"/>
                      <w:sz w:val="21"/>
                      <w:szCs w:val="21"/>
                      <w:highlight w:val="none"/>
                    </w:rPr>
                    <w:t>设置垃圾箱分类收集，交由</w:t>
                  </w:r>
                  <w:r>
                    <w:rPr>
                      <w:rFonts w:hint="eastAsia" w:ascii="Times New Roman" w:hAnsi="Times New Roman" w:eastAsia="宋体" w:cs="Times New Roman"/>
                      <w:sz w:val="21"/>
                      <w:szCs w:val="21"/>
                      <w:highlight w:val="none"/>
                      <w:lang w:eastAsia="zh-CN"/>
                    </w:rPr>
                    <w:t>泾阳</w:t>
                  </w:r>
                  <w:r>
                    <w:rPr>
                      <w:rFonts w:hint="default" w:ascii="Times New Roman" w:hAnsi="Times New Roman" w:eastAsia="宋体" w:cs="Times New Roman"/>
                      <w:sz w:val="21"/>
                      <w:szCs w:val="21"/>
                      <w:highlight w:val="none"/>
                    </w:rPr>
                    <w:t>服务区统一处置</w:t>
                  </w:r>
                </w:p>
              </w:tc>
              <w:tc>
                <w:tcPr>
                  <w:tcW w:w="343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firstLine="0"/>
                    <w:jc w:val="left"/>
                    <w:rPr>
                      <w:rFonts w:ascii="Times New Roman" w:hAnsi="Times New Roman" w:cs="Times New Roman"/>
                      <w:sz w:val="21"/>
                    </w:rPr>
                  </w:pPr>
                  <w:r>
                    <w:rPr>
                      <w:rFonts w:hint="default" w:ascii="Times New Roman" w:hAnsi="Times New Roman" w:eastAsia="宋体" w:cs="Times New Roman"/>
                      <w:sz w:val="21"/>
                      <w:szCs w:val="21"/>
                      <w:highlight w:val="none"/>
                    </w:rPr>
                    <w:t>设置垃圾箱分类收集，交由</w:t>
                  </w:r>
                  <w:r>
                    <w:rPr>
                      <w:rFonts w:hint="eastAsia" w:ascii="Times New Roman" w:hAnsi="Times New Roman" w:eastAsia="宋体" w:cs="Times New Roman"/>
                      <w:sz w:val="21"/>
                      <w:szCs w:val="21"/>
                      <w:highlight w:val="none"/>
                      <w:lang w:eastAsia="zh-CN"/>
                    </w:rPr>
                    <w:t>泾阳</w:t>
                  </w:r>
                  <w:r>
                    <w:rPr>
                      <w:rFonts w:hint="default" w:ascii="Times New Roman" w:hAnsi="Times New Roman" w:eastAsia="宋体" w:cs="Times New Roman"/>
                      <w:sz w:val="21"/>
                      <w:szCs w:val="21"/>
                      <w:highlight w:val="none"/>
                    </w:rPr>
                    <w:t>服务区统一处置</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45" w:type="dxa"/>
                  <w:tcBorders>
                    <w:tl2br w:val="nil"/>
                    <w:tr2bl w:val="nil"/>
                  </w:tcBorders>
                  <w:vAlign w:val="center"/>
                </w:tcPr>
                <w:p>
                  <w:pPr>
                    <w:pStyle w:val="20"/>
                    <w:widowControl w:val="0"/>
                    <w:tabs>
                      <w:tab w:val="left" w:pos="286"/>
                    </w:tabs>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943" w:hRule="atLeast"/>
                <w:jc w:val="center"/>
              </w:trPr>
              <w:tc>
                <w:tcPr>
                  <w:tcW w:w="444" w:type="dxa"/>
                  <w:vMerge w:val="continue"/>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67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hint="eastAsia" w:ascii="Times New Roman" w:hAnsi="Times New Roman" w:eastAsia="宋体" w:cs="Times New Roman"/>
                      <w:spacing w:val="0"/>
                      <w:w w:val="100"/>
                      <w:sz w:val="21"/>
                      <w:lang w:eastAsia="zh-CN"/>
                    </w:rPr>
                  </w:pPr>
                  <w:r>
                    <w:rPr>
                      <w:rFonts w:hint="eastAsia" w:ascii="Times New Roman" w:hAnsi="Times New Roman" w:cs="Times New Roman"/>
                      <w:spacing w:val="0"/>
                      <w:w w:val="100"/>
                      <w:sz w:val="21"/>
                      <w:lang w:eastAsia="zh-CN"/>
                    </w:rPr>
                    <w:t>危险废物处置</w:t>
                  </w:r>
                </w:p>
              </w:tc>
              <w:tc>
                <w:tcPr>
                  <w:tcW w:w="339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firstLine="0"/>
                    <w:jc w:val="left"/>
                    <w:rPr>
                      <w:rFonts w:ascii="Times New Roman" w:hAnsi="Times New Roman" w:cs="Times New Roman"/>
                      <w:w w:val="100"/>
                      <w:sz w:val="21"/>
                    </w:rPr>
                  </w:pPr>
                  <w:r>
                    <w:rPr>
                      <w:rFonts w:hint="eastAsia" w:ascii="Times New Roman" w:hAnsi="Times New Roman" w:cs="Times New Roman"/>
                      <w:sz w:val="21"/>
                      <w:szCs w:val="21"/>
                      <w:highlight w:val="none"/>
                      <w:lang w:eastAsia="zh-CN"/>
                    </w:rPr>
                    <w:t>废润滑油、</w:t>
                  </w:r>
                  <w:r>
                    <w:rPr>
                      <w:rFonts w:hint="eastAsia" w:ascii="Times New Roman" w:hAnsi="Times New Roman" w:eastAsia="宋体" w:cs="Times New Roman"/>
                      <w:sz w:val="21"/>
                      <w:szCs w:val="21"/>
                      <w:lang w:eastAsia="zh-CN"/>
                    </w:rPr>
                    <w:t>废含油棉纱、废手套</w:t>
                  </w:r>
                  <w:r>
                    <w:rPr>
                      <w:rFonts w:hint="eastAsia" w:ascii="Times New Roman" w:hAnsi="Times New Roman" w:cs="Times New Roman"/>
                      <w:sz w:val="21"/>
                      <w:szCs w:val="21"/>
                      <w:lang w:eastAsia="zh-CN"/>
                    </w:rPr>
                    <w:t>、废油沙</w:t>
                  </w:r>
                  <w:r>
                    <w:rPr>
                      <w:rFonts w:hint="eastAsia" w:ascii="Times New Roman" w:hAnsi="Times New Roman" w:eastAsia="宋体" w:cs="Times New Roman"/>
                      <w:sz w:val="21"/>
                      <w:szCs w:val="21"/>
                      <w:highlight w:val="none"/>
                      <w:lang w:eastAsia="zh-CN"/>
                    </w:rPr>
                    <w:t>暂存于危废暂存箱，定期交由陕西明瑞资源再生有限公司处置</w:t>
                  </w:r>
                  <w:r>
                    <w:rPr>
                      <w:rFonts w:hint="eastAsia" w:ascii="Times New Roman" w:hAnsi="Times New Roman" w:cs="Times New Roman"/>
                      <w:sz w:val="21"/>
                      <w:szCs w:val="21"/>
                      <w:highlight w:val="none"/>
                      <w:lang w:eastAsia="zh-CN"/>
                    </w:rPr>
                    <w:t>；油罐清洗污泥交由</w:t>
                  </w:r>
                  <w:r>
                    <w:rPr>
                      <w:rFonts w:hint="eastAsia" w:ascii="Times New Roman" w:hAnsi="Times New Roman" w:eastAsia="宋体" w:cs="Times New Roman"/>
                      <w:sz w:val="21"/>
                      <w:szCs w:val="21"/>
                      <w:lang w:eastAsia="zh-CN"/>
                    </w:rPr>
                    <w:t>清罐单位直接拉走处置</w:t>
                  </w:r>
                  <w:r>
                    <w:rPr>
                      <w:rFonts w:hint="eastAsia" w:ascii="Times New Roman" w:hAnsi="Times New Roman" w:cs="Times New Roman"/>
                      <w:sz w:val="21"/>
                      <w:szCs w:val="21"/>
                      <w:lang w:eastAsia="zh-CN"/>
                    </w:rPr>
                    <w:t>。</w:t>
                  </w:r>
                </w:p>
              </w:tc>
              <w:tc>
                <w:tcPr>
                  <w:tcW w:w="343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firstLine="0"/>
                    <w:jc w:val="left"/>
                    <w:rPr>
                      <w:rFonts w:ascii="Times New Roman" w:hAnsi="Times New Roman" w:cs="Times New Roman"/>
                      <w:spacing w:val="0"/>
                      <w:sz w:val="21"/>
                    </w:rPr>
                  </w:pPr>
                  <w:r>
                    <w:rPr>
                      <w:rFonts w:hint="eastAsia" w:ascii="Times New Roman" w:hAnsi="Times New Roman" w:cs="Times New Roman"/>
                      <w:sz w:val="21"/>
                      <w:szCs w:val="21"/>
                      <w:highlight w:val="none"/>
                      <w:lang w:eastAsia="zh-CN"/>
                    </w:rPr>
                    <w:t>本项目站区内已建设1座危险废物暂存箱，危废暂存箱采用防渗漏混凝土地台，地台四周进行防水层处理，内部刷涂环氧树脂地坪漆，危险废物按类分区储存；废润滑油、</w:t>
                  </w:r>
                  <w:r>
                    <w:rPr>
                      <w:rFonts w:hint="eastAsia" w:ascii="Times New Roman" w:hAnsi="Times New Roman" w:eastAsia="宋体" w:cs="Times New Roman"/>
                      <w:sz w:val="21"/>
                      <w:szCs w:val="21"/>
                      <w:lang w:eastAsia="zh-CN"/>
                    </w:rPr>
                    <w:t>废含油棉纱、废手套</w:t>
                  </w:r>
                  <w:r>
                    <w:rPr>
                      <w:rFonts w:hint="eastAsia" w:ascii="Times New Roman" w:hAnsi="Times New Roman" w:cs="Times New Roman"/>
                      <w:sz w:val="21"/>
                      <w:szCs w:val="21"/>
                      <w:lang w:eastAsia="zh-CN"/>
                    </w:rPr>
                    <w:t>、废消防沙</w:t>
                  </w:r>
                  <w:r>
                    <w:rPr>
                      <w:rFonts w:hint="eastAsia" w:ascii="Times New Roman" w:hAnsi="Times New Roman" w:eastAsia="宋体" w:cs="Times New Roman"/>
                      <w:sz w:val="21"/>
                      <w:szCs w:val="21"/>
                      <w:highlight w:val="none"/>
                      <w:lang w:eastAsia="zh-CN"/>
                    </w:rPr>
                    <w:t>暂存于危废暂存箱，定期交由陕西明瑞资源再生有限公司处置</w:t>
                  </w:r>
                  <w:r>
                    <w:rPr>
                      <w:rFonts w:hint="eastAsia" w:ascii="Times New Roman" w:hAnsi="Times New Roman" w:cs="Times New Roman"/>
                      <w:sz w:val="21"/>
                      <w:szCs w:val="21"/>
                      <w:highlight w:val="none"/>
                      <w:lang w:eastAsia="zh-CN"/>
                    </w:rPr>
                    <w:t>；油罐清洗污泥交由</w:t>
                  </w:r>
                  <w:r>
                    <w:rPr>
                      <w:rFonts w:hint="eastAsia" w:ascii="Times New Roman" w:hAnsi="Times New Roman" w:eastAsia="宋体" w:cs="Times New Roman"/>
                      <w:sz w:val="21"/>
                      <w:szCs w:val="21"/>
                      <w:lang w:eastAsia="zh-CN"/>
                    </w:rPr>
                    <w:t>清罐单位直接拉走处置</w:t>
                  </w:r>
                  <w:r>
                    <w:rPr>
                      <w:rFonts w:hint="eastAsia" w:ascii="Times New Roman" w:hAnsi="Times New Roman" w:cs="Times New Roman"/>
                      <w:sz w:val="21"/>
                      <w:szCs w:val="21"/>
                      <w:lang w:eastAsia="zh-CN"/>
                    </w:rPr>
                    <w:t>。</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815" w:hRule="atLeast"/>
                <w:jc w:val="center"/>
              </w:trPr>
              <w:tc>
                <w:tcPr>
                  <w:tcW w:w="1120" w:type="dxa"/>
                  <w:gridSpan w:val="2"/>
                  <w:tcBorders>
                    <w:tl2br w:val="nil"/>
                    <w:tr2bl w:val="nil"/>
                  </w:tcBorders>
                  <w:vAlign w:val="center"/>
                </w:tcPr>
                <w:p>
                  <w:pPr>
                    <w:widowControl w:val="0"/>
                    <w:adjustRightInd/>
                    <w:spacing w:after="0" w:line="240" w:lineRule="auto"/>
                    <w:ind w:left="0" w:right="0" w:firstLine="0"/>
                    <w:jc w:val="center"/>
                    <w:outlineLvl w:val="9"/>
                    <w:rPr>
                      <w:rFonts w:hint="default" w:ascii="Times New Roman" w:hAnsi="Times New Roman" w:eastAsia="宋体" w:cs="Times New Roman"/>
                      <w:color w:val="000000"/>
                      <w:spacing w:val="0"/>
                      <w:w w:val="100"/>
                      <w:sz w:val="21"/>
                      <w:szCs w:val="21"/>
                    </w:rPr>
                  </w:pPr>
                  <w:r>
                    <w:rPr>
                      <w:rFonts w:hint="default" w:ascii="Times New Roman" w:hAnsi="Times New Roman" w:eastAsia="宋体" w:cs="Times New Roman"/>
                      <w:color w:val="000000"/>
                      <w:sz w:val="21"/>
                      <w:szCs w:val="21"/>
                      <w:highlight w:val="none"/>
                    </w:rPr>
                    <w:t>风险防范措施</w:t>
                  </w:r>
                </w:p>
              </w:tc>
              <w:tc>
                <w:tcPr>
                  <w:tcW w:w="339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firstLine="0"/>
                    <w:jc w:val="left"/>
                    <w:rPr>
                      <w:rFonts w:hint="eastAsia" w:ascii="Times New Roman" w:hAnsi="Times New Roman" w:eastAsia="宋体" w:cs="Times New Roman"/>
                      <w:sz w:val="21"/>
                      <w:szCs w:val="21"/>
                      <w:highlight w:val="yellow"/>
                      <w:lang w:val="en-US" w:eastAsia="zh-CN"/>
                    </w:rPr>
                  </w:pPr>
                  <w:r>
                    <w:rPr>
                      <w:rFonts w:hint="default" w:ascii="Times New Roman" w:hAnsi="Times New Roman" w:cs="Times New Roman"/>
                      <w:sz w:val="21"/>
                      <w:szCs w:val="21"/>
                      <w:highlight w:val="none"/>
                      <w:lang w:eastAsia="zh-CN"/>
                    </w:rPr>
                    <w:t>每1台加油机配置</w:t>
                  </w:r>
                  <w:r>
                    <w:rPr>
                      <w:rFonts w:hint="eastAsia" w:ascii="Times New Roman" w:hAnsi="Times New Roman" w:cs="Times New Roman"/>
                      <w:sz w:val="21"/>
                      <w:szCs w:val="21"/>
                      <w:highlight w:val="none"/>
                      <w:lang w:val="en-US" w:eastAsia="zh-CN"/>
                    </w:rPr>
                    <w:t>1</w:t>
                  </w:r>
                  <w:r>
                    <w:rPr>
                      <w:rFonts w:hint="default" w:ascii="Times New Roman" w:hAnsi="Times New Roman" w:cs="Times New Roman"/>
                      <w:sz w:val="21"/>
                      <w:szCs w:val="21"/>
                      <w:highlight w:val="none"/>
                      <w:lang w:eastAsia="zh-CN"/>
                    </w:rPr>
                    <w:t>具4kg手提式干粉灭火器，</w:t>
                  </w:r>
                  <w:r>
                    <w:rPr>
                      <w:rFonts w:hint="eastAsia" w:ascii="Times New Roman" w:hAnsi="Times New Roman" w:cs="Times New Roman"/>
                      <w:sz w:val="21"/>
                      <w:szCs w:val="21"/>
                      <w:highlight w:val="none"/>
                      <w:lang w:eastAsia="zh-CN"/>
                    </w:rPr>
                    <w:t>每个加油机配置灭火毯1块；</w:t>
                  </w:r>
                  <w:r>
                    <w:rPr>
                      <w:rFonts w:hint="default" w:ascii="Times New Roman" w:hAnsi="Times New Roman" w:cs="Times New Roman"/>
                      <w:sz w:val="21"/>
                      <w:szCs w:val="21"/>
                      <w:highlight w:val="none"/>
                      <w:lang w:eastAsia="zh-CN"/>
                    </w:rPr>
                    <w:t>地下储罐配置1台35kg推车式干粉灭火器</w:t>
                  </w:r>
                  <w:r>
                    <w:rPr>
                      <w:rFonts w:hint="eastAsia" w:ascii="Times New Roman" w:hAnsi="Times New Roman" w:cs="Times New Roman"/>
                      <w:sz w:val="21"/>
                      <w:szCs w:val="21"/>
                      <w:highlight w:val="none"/>
                      <w:lang w:eastAsia="zh-CN"/>
                    </w:rPr>
                    <w:t>、消防</w:t>
                  </w:r>
                  <w:r>
                    <w:rPr>
                      <w:rFonts w:hint="default" w:ascii="Times New Roman" w:hAnsi="Times New Roman" w:cs="Times New Roman"/>
                      <w:sz w:val="21"/>
                      <w:szCs w:val="21"/>
                      <w:highlight w:val="none"/>
                      <w:lang w:eastAsia="zh-CN"/>
                    </w:rPr>
                    <w:t>沙2m3</w:t>
                  </w:r>
                  <w:r>
                    <w:rPr>
                      <w:rFonts w:hint="eastAsia" w:ascii="Times New Roman" w:hAnsi="Times New Roman" w:cs="Times New Roman"/>
                      <w:sz w:val="21"/>
                      <w:szCs w:val="21"/>
                      <w:highlight w:val="none"/>
                      <w:lang w:val="en-US" w:eastAsia="zh-CN"/>
                    </w:rPr>
                    <w:t xml:space="preserve"> ；配电室配置</w:t>
                  </w:r>
                  <w:r>
                    <w:rPr>
                      <w:rFonts w:hint="eastAsia" w:ascii="Times New Roman" w:hAnsi="Times New Roman" w:cs="Times New Roman"/>
                      <w:sz w:val="21"/>
                      <w:szCs w:val="21"/>
                      <w:highlight w:val="none"/>
                      <w:lang w:eastAsia="zh-CN"/>
                    </w:rPr>
                    <w:t>3kg二氧化碳灭火器。</w:t>
                  </w:r>
                </w:p>
              </w:tc>
              <w:tc>
                <w:tcPr>
                  <w:tcW w:w="343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firstLine="0"/>
                    <w:jc w:val="left"/>
                    <w:rPr>
                      <w:rFonts w:hint="default" w:ascii="Times New Roman" w:hAnsi="Times New Roman" w:eastAsia="宋体" w:cs="Times New Roman"/>
                      <w:sz w:val="21"/>
                      <w:szCs w:val="21"/>
                      <w:highlight w:val="yellow"/>
                      <w:lang w:eastAsia="zh-CN"/>
                    </w:rPr>
                  </w:pPr>
                  <w:r>
                    <w:rPr>
                      <w:rFonts w:hint="default" w:ascii="Times New Roman" w:hAnsi="Times New Roman" w:cs="Times New Roman"/>
                      <w:sz w:val="21"/>
                      <w:szCs w:val="21"/>
                      <w:highlight w:val="none"/>
                      <w:lang w:eastAsia="zh-CN"/>
                    </w:rPr>
                    <w:t>每1台加油机配置</w:t>
                  </w:r>
                  <w:r>
                    <w:rPr>
                      <w:rFonts w:hint="eastAsia" w:ascii="Times New Roman" w:hAnsi="Times New Roman" w:cs="Times New Roman"/>
                      <w:sz w:val="21"/>
                      <w:szCs w:val="21"/>
                      <w:highlight w:val="none"/>
                      <w:lang w:val="en-US" w:eastAsia="zh-CN"/>
                    </w:rPr>
                    <w:t>1</w:t>
                  </w:r>
                  <w:r>
                    <w:rPr>
                      <w:rFonts w:hint="default" w:ascii="Times New Roman" w:hAnsi="Times New Roman" w:cs="Times New Roman"/>
                      <w:sz w:val="21"/>
                      <w:szCs w:val="21"/>
                      <w:highlight w:val="none"/>
                      <w:lang w:eastAsia="zh-CN"/>
                    </w:rPr>
                    <w:t>具4kg手提式干粉灭火器，每个加油机配置灭火毯1块</w:t>
                  </w:r>
                  <w:r>
                    <w:rPr>
                      <w:rFonts w:hint="eastAsia"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eastAsia="zh-CN"/>
                    </w:rPr>
                    <w:t>地下储罐配置1台35kg推车式干粉灭火器</w:t>
                  </w:r>
                  <w:r>
                    <w:rPr>
                      <w:rFonts w:hint="eastAsia" w:ascii="Times New Roman" w:hAnsi="Times New Roman" w:cs="Times New Roman"/>
                      <w:sz w:val="21"/>
                      <w:szCs w:val="21"/>
                      <w:highlight w:val="none"/>
                      <w:lang w:eastAsia="zh-CN"/>
                    </w:rPr>
                    <w:t>、消防</w:t>
                  </w:r>
                  <w:r>
                    <w:rPr>
                      <w:rFonts w:hint="default" w:ascii="Times New Roman" w:hAnsi="Times New Roman" w:cs="Times New Roman"/>
                      <w:sz w:val="21"/>
                      <w:szCs w:val="21"/>
                      <w:highlight w:val="none"/>
                      <w:lang w:eastAsia="zh-CN"/>
                    </w:rPr>
                    <w:t>沙2m3</w:t>
                  </w:r>
                  <w:r>
                    <w:rPr>
                      <w:rFonts w:hint="eastAsia" w:ascii="Times New Roman" w:hAnsi="Times New Roman" w:cs="Times New Roman"/>
                      <w:sz w:val="21"/>
                      <w:szCs w:val="21"/>
                      <w:highlight w:val="none"/>
                      <w:lang w:val="en-US" w:eastAsia="zh-CN"/>
                    </w:rPr>
                    <w:t xml:space="preserve"> ；配电室配置</w:t>
                  </w:r>
                  <w:r>
                    <w:rPr>
                      <w:rFonts w:hint="default" w:ascii="Times New Roman" w:hAnsi="Times New Roman" w:cs="Times New Roman"/>
                      <w:sz w:val="21"/>
                      <w:szCs w:val="21"/>
                      <w:highlight w:val="none"/>
                      <w:lang w:eastAsia="zh-CN"/>
                    </w:rPr>
                    <w:t>3kg二氧化碳灭火器</w:t>
                  </w:r>
                  <w:r>
                    <w:rPr>
                      <w:rFonts w:hint="eastAsia" w:ascii="Times New Roman" w:hAnsi="Times New Roman" w:cs="Times New Roman"/>
                      <w:sz w:val="21"/>
                      <w:szCs w:val="21"/>
                      <w:highlight w:val="none"/>
                      <w:lang w:eastAsia="zh-CN"/>
                    </w:rPr>
                    <w:t>。</w:t>
                  </w:r>
                </w:p>
              </w:tc>
              <w:tc>
                <w:tcPr>
                  <w:tcW w:w="661" w:type="dxa"/>
                  <w:tcBorders>
                    <w:tl2br w:val="nil"/>
                    <w:tr2bl w:val="nil"/>
                  </w:tcBorders>
                  <w:vAlign w:val="center"/>
                </w:tcPr>
                <w:p>
                  <w:pPr>
                    <w:widowControl w:val="0"/>
                    <w:adjustRightInd/>
                    <w:spacing w:after="0"/>
                    <w:ind w:left="0" w:right="0"/>
                    <w:jc w:val="center"/>
                    <w:outlineLvl w:val="9"/>
                    <w:rPr>
                      <w:rFonts w:hint="default" w:ascii="Times New Roman" w:hAnsi="Times New Roman" w:eastAsia="宋体" w:cs="Times New Roman"/>
                      <w:color w:val="000000"/>
                      <w:sz w:val="21"/>
                      <w:szCs w:val="21"/>
                    </w:rPr>
                  </w:pPr>
                  <w:r>
                    <w:rPr>
                      <w:rFonts w:hint="eastAsia" w:ascii="Times New Roman" w:hAnsi="Times New Roman" w:cs="Times New Roman"/>
                      <w:color w:val="000000"/>
                      <w:sz w:val="21"/>
                      <w:szCs w:val="21"/>
                      <w:lang w:val="en-US" w:eastAsia="zh-CN"/>
                    </w:rPr>
                    <w:t>一致</w:t>
                  </w:r>
                </w:p>
              </w:tc>
              <w:tc>
                <w:tcPr>
                  <w:tcW w:w="745" w:type="dxa"/>
                  <w:tcBorders>
                    <w:tl2br w:val="nil"/>
                    <w:tr2bl w:val="nil"/>
                  </w:tcBorders>
                  <w:vAlign w:val="center"/>
                </w:tcPr>
                <w:p>
                  <w:pPr>
                    <w:widowControl w:val="0"/>
                    <w:adjustRightInd/>
                    <w:spacing w:after="0"/>
                    <w:ind w:left="0" w:right="0"/>
                    <w:jc w:val="center"/>
                    <w:outlineLvl w:val="9"/>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否</w:t>
                  </w:r>
                </w:p>
              </w:tc>
            </w:tr>
          </w:tbl>
          <w:p>
            <w:pPr>
              <w:pStyle w:val="20"/>
              <w:spacing w:before="1" w:line="364" w:lineRule="auto"/>
              <w:ind w:left="0" w:right="95" w:firstLine="0"/>
              <w:jc w:val="both"/>
              <w:rPr>
                <w:rFonts w:hint="default" w:ascii="Times New Roman" w:hAnsi="Times New Roman" w:cs="Times New Roman"/>
                <w:sz w:val="24"/>
              </w:rPr>
            </w:pPr>
            <w:r>
              <w:rPr>
                <w:rFonts w:hint="default" w:ascii="Times New Roman" w:hAnsi="Times New Roman" w:eastAsia="宋体" w:cs="Times New Roman"/>
                <w:b/>
                <w:color w:val="auto"/>
                <w:sz w:val="24"/>
                <w:szCs w:val="22"/>
                <w:lang w:val="en-US" w:eastAsia="zh-CN"/>
              </w:rPr>
              <w:t>三、主要设备设施</w:t>
            </w:r>
          </w:p>
          <w:p>
            <w:pPr>
              <w:pStyle w:val="4"/>
              <w:keepLines w:val="0"/>
              <w:pageBreakBefore w:val="0"/>
              <w:kinsoku/>
              <w:overflowPunct/>
              <w:topLinePunct w:val="0"/>
              <w:bidi w:val="0"/>
              <w:spacing w:line="360" w:lineRule="auto"/>
              <w:ind w:firstLine="480" w:firstLineChars="200"/>
              <w:jc w:val="left"/>
              <w:outlineLvl w:val="9"/>
              <w:rPr>
                <w:rFonts w:hint="default" w:ascii="Times New Roman" w:hAnsi="Times New Roman" w:cs="Times New Roman" w:eastAsiaTheme="minorEastAsia"/>
                <w:b w:val="0"/>
                <w:color w:val="auto"/>
                <w:sz w:val="24"/>
                <w:szCs w:val="24"/>
                <w:lang w:val="en-US" w:eastAsia="zh-CN" w:bidi="ar-SA"/>
              </w:rPr>
            </w:pPr>
            <w:r>
              <w:rPr>
                <w:rFonts w:hint="default" w:ascii="Times New Roman" w:hAnsi="Times New Roman" w:cs="Times New Roman" w:eastAsiaTheme="minorEastAsia"/>
                <w:b w:val="0"/>
                <w:color w:val="auto"/>
                <w:sz w:val="24"/>
                <w:szCs w:val="24"/>
                <w:lang w:val="en-US" w:eastAsia="zh-CN" w:bidi="ar-SA"/>
              </w:rPr>
              <w:t>项目主要设备情况见下表2</w:t>
            </w:r>
            <w:r>
              <w:rPr>
                <w:rFonts w:hint="eastAsia" w:ascii="Times New Roman" w:hAnsi="Times New Roman" w:cs="Times New Roman" w:eastAsiaTheme="minorEastAsia"/>
                <w:b w:val="0"/>
                <w:color w:val="auto"/>
                <w:sz w:val="24"/>
                <w:szCs w:val="24"/>
                <w:lang w:val="en-US" w:eastAsia="zh-CN" w:bidi="ar-SA"/>
              </w:rPr>
              <w:t>-2</w:t>
            </w:r>
            <w:r>
              <w:rPr>
                <w:rFonts w:hint="default" w:ascii="Times New Roman" w:hAnsi="Times New Roman" w:cs="Times New Roman" w:eastAsiaTheme="minorEastAsia"/>
                <w:b w:val="0"/>
                <w:color w:val="auto"/>
                <w:sz w:val="24"/>
                <w:szCs w:val="24"/>
                <w:lang w:val="en-US" w:eastAsia="zh-CN" w:bidi="ar-SA"/>
              </w:rPr>
              <w:t>。</w:t>
            </w:r>
          </w:p>
          <w:p>
            <w:pPr>
              <w:pStyle w:val="4"/>
              <w:keepLines w:val="0"/>
              <w:pageBreakBefore w:val="0"/>
              <w:kinsoku/>
              <w:overflowPunct/>
              <w:topLinePunct w:val="0"/>
              <w:bidi w:val="0"/>
              <w:ind w:firstLine="0" w:firstLineChars="0"/>
              <w:jc w:val="center"/>
              <w:outlineLvl w:val="9"/>
              <w:rPr>
                <w:rFonts w:hint="default" w:ascii="Times New Roman" w:hAnsi="Times New Roman" w:cs="Times New Roman" w:eastAsiaTheme="minorEastAsia"/>
                <w:color w:val="auto"/>
                <w:sz w:val="21"/>
                <w:szCs w:val="22"/>
                <w:lang w:val="en-US" w:eastAsia="zh-CN"/>
              </w:rPr>
            </w:pPr>
            <w:r>
              <w:rPr>
                <w:rFonts w:hint="default" w:ascii="Times New Roman" w:hAnsi="Times New Roman" w:cs="Times New Roman" w:eastAsiaTheme="minorEastAsia"/>
                <w:color w:val="auto"/>
                <w:sz w:val="21"/>
                <w:szCs w:val="22"/>
                <w:lang w:val="en-US" w:eastAsia="zh-CN"/>
              </w:rPr>
              <w:t>表2</w:t>
            </w:r>
            <w:r>
              <w:rPr>
                <w:rFonts w:hint="eastAsia" w:ascii="Times New Roman" w:hAnsi="Times New Roman" w:cs="Times New Roman" w:eastAsiaTheme="minorEastAsia"/>
                <w:color w:val="auto"/>
                <w:sz w:val="21"/>
                <w:szCs w:val="22"/>
                <w:lang w:val="en-US" w:eastAsia="zh-CN"/>
              </w:rPr>
              <w:t>-2</w:t>
            </w:r>
            <w:r>
              <w:rPr>
                <w:rFonts w:hint="default" w:ascii="Times New Roman" w:hAnsi="Times New Roman" w:cs="Times New Roman" w:eastAsiaTheme="minorEastAsia"/>
                <w:color w:val="auto"/>
                <w:sz w:val="21"/>
                <w:szCs w:val="22"/>
                <w:lang w:val="en-US" w:eastAsia="zh-CN"/>
              </w:rPr>
              <w:t xml:space="preserve">  建设项目主要设备一览表</w:t>
            </w:r>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618"/>
              <w:gridCol w:w="999"/>
              <w:gridCol w:w="1419"/>
              <w:gridCol w:w="511"/>
              <w:gridCol w:w="511"/>
              <w:gridCol w:w="637"/>
              <w:gridCol w:w="930"/>
              <w:gridCol w:w="1501"/>
              <w:gridCol w:w="446"/>
              <w:gridCol w:w="496"/>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1" w:type="dxa"/>
                  <w:vMerge w:val="restart"/>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序号</w:t>
                  </w:r>
                </w:p>
              </w:tc>
              <w:tc>
                <w:tcPr>
                  <w:tcW w:w="4058" w:type="dxa"/>
                  <w:gridSpan w:val="5"/>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环评阶段</w:t>
                  </w:r>
                </w:p>
              </w:tc>
              <w:tc>
                <w:tcPr>
                  <w:tcW w:w="4010" w:type="dxa"/>
                  <w:gridSpan w:val="5"/>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实际工程</w:t>
                  </w:r>
                </w:p>
              </w:tc>
              <w:tc>
                <w:tcPr>
                  <w:tcW w:w="725" w:type="dxa"/>
                  <w:vMerge w:val="restart"/>
                  <w:vAlign w:val="center"/>
                </w:tcPr>
                <w:p>
                  <w:pPr>
                    <w:autoSpaceDE w:val="0"/>
                    <w:autoSpaceDN w:val="0"/>
                    <w:adjustRightInd w:val="0"/>
                    <w:snapToGrid w:val="0"/>
                    <w:spacing w:before="0"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1"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p>
              </w:tc>
              <w:tc>
                <w:tcPr>
                  <w:tcW w:w="1617"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设备名称</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规格</w:t>
                  </w:r>
                  <w:r>
                    <w:rPr>
                      <w:rFonts w:hint="default" w:ascii="Times New Roman" w:hAnsi="Times New Roman" w:eastAsia="宋体" w:cs="Times New Roman"/>
                      <w:sz w:val="21"/>
                      <w:szCs w:val="21"/>
                    </w:rPr>
                    <w:t>及型号</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单位</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数量</w:t>
                  </w:r>
                </w:p>
              </w:tc>
              <w:tc>
                <w:tcPr>
                  <w:tcW w:w="156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规格</w:t>
                  </w:r>
                  <w:r>
                    <w:rPr>
                      <w:rFonts w:hint="default" w:ascii="Times New Roman" w:hAnsi="Times New Roman" w:eastAsia="宋体" w:cs="Times New Roman"/>
                      <w:sz w:val="21"/>
                      <w:szCs w:val="21"/>
                    </w:rPr>
                    <w:t>及型号</w:t>
                  </w:r>
                </w:p>
              </w:tc>
              <w:tc>
                <w:tcPr>
                  <w:tcW w:w="4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725" w:type="dxa"/>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1" w:type="dxa"/>
                  <w:vMerge w:val="restart"/>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617" w:type="dxa"/>
                  <w:gridSpan w:val="2"/>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加油机</w:t>
                  </w:r>
                </w:p>
              </w:tc>
              <w:tc>
                <w:tcPr>
                  <w:tcW w:w="141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ascii="Times New Roman" w:hAnsi="Times New Roman" w:eastAsia="宋体" w:cs="Times New Roman"/>
                      <w:sz w:val="21"/>
                      <w:szCs w:val="21"/>
                    </w:rPr>
                    <w:t>双枪柴油加油机</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台</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c>
                <w:tcPr>
                  <w:tcW w:w="1567" w:type="dxa"/>
                  <w:gridSpan w:val="2"/>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加油机</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ascii="Times New Roman" w:hAnsi="Times New Roman" w:eastAsia="宋体" w:cs="Times New Roman"/>
                      <w:sz w:val="21"/>
                      <w:szCs w:val="21"/>
                    </w:rPr>
                    <w:t>双枪柴油加油机</w:t>
                  </w:r>
                </w:p>
              </w:tc>
              <w:tc>
                <w:tcPr>
                  <w:tcW w:w="4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4</w:t>
                  </w:r>
                </w:p>
              </w:tc>
              <w:tc>
                <w:tcPr>
                  <w:tcW w:w="72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1" w:type="dxa"/>
                  <w:vMerge w:val="continue"/>
                  <w:vAlign w:val="center"/>
                </w:tcPr>
                <w:p>
                  <w:pPr>
                    <w:autoSpaceDE w:val="0"/>
                    <w:autoSpaceDN w:val="0"/>
                    <w:adjustRightInd w:val="0"/>
                    <w:snapToGrid w:val="0"/>
                    <w:spacing w:before="0" w:after="0"/>
                    <w:jc w:val="center"/>
                    <w:rPr>
                      <w:rFonts w:hint="eastAsia" w:ascii="Times New Roman" w:hAnsi="Times New Roman" w:cs="Times New Roman"/>
                      <w:sz w:val="21"/>
                      <w:szCs w:val="21"/>
                      <w:lang w:val="en-US" w:eastAsia="zh-CN"/>
                    </w:rPr>
                  </w:pPr>
                </w:p>
              </w:tc>
              <w:tc>
                <w:tcPr>
                  <w:tcW w:w="1617" w:type="dxa"/>
                  <w:gridSpan w:val="2"/>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p>
              </w:tc>
              <w:tc>
                <w:tcPr>
                  <w:tcW w:w="141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ascii="Times New Roman" w:hAnsi="Times New Roman" w:eastAsia="宋体" w:cs="Times New Roman"/>
                      <w:sz w:val="21"/>
                      <w:szCs w:val="21"/>
                    </w:rPr>
                    <w:t>四枪汽油加油机</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1567" w:type="dxa"/>
                  <w:gridSpan w:val="2"/>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ascii="Times New Roman" w:hAnsi="Times New Roman" w:eastAsia="宋体" w:cs="Times New Roman"/>
                      <w:sz w:val="21"/>
                      <w:szCs w:val="21"/>
                    </w:rPr>
                    <w:t>四枪汽油加油机</w:t>
                  </w:r>
                </w:p>
              </w:tc>
              <w:tc>
                <w:tcPr>
                  <w:tcW w:w="4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2</w:t>
                  </w:r>
                </w:p>
              </w:tc>
              <w:tc>
                <w:tcPr>
                  <w:tcW w:w="72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61" w:type="dxa"/>
                  <w:vMerge w:val="restart"/>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618" w:type="dxa"/>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柴油储罐</w:t>
                  </w:r>
                </w:p>
              </w:tc>
              <w:tc>
                <w:tcPr>
                  <w:tcW w:w="99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511" w:type="dxa"/>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个</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p>
              </w:tc>
              <w:tc>
                <w:tcPr>
                  <w:tcW w:w="637"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柴油储罐</w:t>
                  </w:r>
                </w:p>
              </w:tc>
              <w:tc>
                <w:tcPr>
                  <w:tcW w:w="930"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地埋式SF双层油罐</w:t>
                  </w:r>
                </w:p>
              </w:tc>
              <w:tc>
                <w:tcPr>
                  <w:tcW w:w="446"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25"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61" w:type="dxa"/>
                  <w:vMerge w:val="continue"/>
                  <w:vAlign w:val="center"/>
                </w:tcPr>
                <w:p>
                  <w:pPr>
                    <w:autoSpaceDE w:val="0"/>
                    <w:autoSpaceDN w:val="0"/>
                    <w:adjustRightInd w:val="0"/>
                    <w:snapToGrid w:val="0"/>
                    <w:spacing w:before="0" w:after="0"/>
                    <w:jc w:val="center"/>
                  </w:pPr>
                </w:p>
              </w:tc>
              <w:tc>
                <w:tcPr>
                  <w:tcW w:w="618" w:type="dxa"/>
                  <w:vMerge w:val="continue"/>
                  <w:vAlign w:val="center"/>
                </w:tcPr>
                <w:p>
                  <w:pPr>
                    <w:autoSpaceDE w:val="0"/>
                    <w:autoSpaceDN w:val="0"/>
                    <w:adjustRightInd w:val="0"/>
                    <w:snapToGrid w:val="0"/>
                    <w:spacing w:before="0" w:after="0"/>
                    <w:ind w:left="0" w:leftChars="0" w:right="0" w:rightChars="0"/>
                    <w:jc w:val="center"/>
                  </w:pPr>
                </w:p>
              </w:tc>
              <w:tc>
                <w:tcPr>
                  <w:tcW w:w="99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w:t>
                  </w:r>
                </w:p>
              </w:tc>
              <w:tc>
                <w:tcPr>
                  <w:tcW w:w="1419" w:type="dxa"/>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511"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color w:val="auto"/>
                      <w:sz w:val="21"/>
                      <w:szCs w:val="21"/>
                      <w:lang w:val="en-US" w:eastAsia="zh-CN"/>
                    </w:rPr>
                  </w:pPr>
                </w:p>
              </w:tc>
              <w:tc>
                <w:tcPr>
                  <w:tcW w:w="511" w:type="dxa"/>
                  <w:vAlign w:val="center"/>
                </w:tcPr>
                <w:p>
                  <w:pPr>
                    <w:autoSpaceDE w:val="0"/>
                    <w:autoSpaceDN w:val="0"/>
                    <w:adjustRightInd w:val="0"/>
                    <w:snapToGrid w:val="0"/>
                    <w:spacing w:before="0"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637"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p>
              </w:tc>
              <w:tc>
                <w:tcPr>
                  <w:tcW w:w="93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w:t>
                  </w:r>
                </w:p>
              </w:tc>
              <w:tc>
                <w:tcPr>
                  <w:tcW w:w="150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地埋式SF双层油罐</w:t>
                  </w:r>
                </w:p>
              </w:tc>
              <w:tc>
                <w:tcPr>
                  <w:tcW w:w="446"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25"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61" w:type="dxa"/>
                  <w:vMerge w:val="restart"/>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618" w:type="dxa"/>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汽油储罐</w:t>
                  </w:r>
                </w:p>
              </w:tc>
              <w:tc>
                <w:tcPr>
                  <w:tcW w:w="99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92#</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511" w:type="dxa"/>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个</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637"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汽油储罐</w:t>
                  </w:r>
                </w:p>
              </w:tc>
              <w:tc>
                <w:tcPr>
                  <w:tcW w:w="930"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92#</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地埋式SF双层油罐</w:t>
                  </w:r>
                </w:p>
              </w:tc>
              <w:tc>
                <w:tcPr>
                  <w:tcW w:w="446"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25"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61" w:type="dxa"/>
                  <w:vMerge w:val="continue"/>
                  <w:vAlign w:val="center"/>
                </w:tcPr>
                <w:p>
                  <w:pPr>
                    <w:autoSpaceDE w:val="0"/>
                    <w:autoSpaceDN w:val="0"/>
                    <w:adjustRightInd w:val="0"/>
                    <w:snapToGrid w:val="0"/>
                    <w:spacing w:before="0" w:after="0"/>
                    <w:jc w:val="center"/>
                  </w:pPr>
                </w:p>
              </w:tc>
              <w:tc>
                <w:tcPr>
                  <w:tcW w:w="618" w:type="dxa"/>
                  <w:vMerge w:val="continue"/>
                  <w:vAlign w:val="center"/>
                </w:tcPr>
                <w:p>
                  <w:pPr>
                    <w:autoSpaceDE w:val="0"/>
                    <w:autoSpaceDN w:val="0"/>
                    <w:adjustRightInd w:val="0"/>
                    <w:snapToGrid w:val="0"/>
                    <w:spacing w:before="0" w:after="0"/>
                    <w:ind w:left="0" w:leftChars="0" w:right="0" w:rightChars="0"/>
                    <w:jc w:val="center"/>
                  </w:pPr>
                </w:p>
              </w:tc>
              <w:tc>
                <w:tcPr>
                  <w:tcW w:w="99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95#</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511"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color w:val="auto"/>
                      <w:sz w:val="21"/>
                      <w:szCs w:val="21"/>
                      <w:lang w:val="en-US" w:eastAsia="zh-CN"/>
                    </w:rPr>
                  </w:pPr>
                </w:p>
              </w:tc>
              <w:tc>
                <w:tcPr>
                  <w:tcW w:w="511" w:type="dxa"/>
                  <w:vAlign w:val="center"/>
                </w:tcPr>
                <w:p>
                  <w:pPr>
                    <w:autoSpaceDE w:val="0"/>
                    <w:autoSpaceDN w:val="0"/>
                    <w:adjustRightInd w:val="0"/>
                    <w:snapToGrid w:val="0"/>
                    <w:spacing w:before="0"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637"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p>
              </w:tc>
              <w:tc>
                <w:tcPr>
                  <w:tcW w:w="93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95#</w:t>
                  </w:r>
                </w:p>
              </w:tc>
              <w:tc>
                <w:tcPr>
                  <w:tcW w:w="150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地埋式SF双层油罐</w:t>
                  </w:r>
                </w:p>
              </w:tc>
              <w:tc>
                <w:tcPr>
                  <w:tcW w:w="446"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25"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1" w:type="dxa"/>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1617"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消防沙箱</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座</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56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消防沙箱</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2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61" w:type="dxa"/>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1617"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消防器材</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处</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156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消防器材</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w:t>
                  </w:r>
                </w:p>
              </w:tc>
              <w:tc>
                <w:tcPr>
                  <w:tcW w:w="496"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2</w:t>
                  </w:r>
                </w:p>
              </w:tc>
              <w:tc>
                <w:tcPr>
                  <w:tcW w:w="72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1" w:type="dxa"/>
                  <w:vAlign w:val="center"/>
                </w:tcPr>
                <w:p>
                  <w:pPr>
                    <w:autoSpaceDE w:val="0"/>
                    <w:autoSpaceDN w:val="0"/>
                    <w:adjustRightInd w:val="0"/>
                    <w:snapToGrid w:val="0"/>
                    <w:spacing w:before="0" w:after="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617"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高液位报警装置</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套</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p>
              </w:tc>
              <w:tc>
                <w:tcPr>
                  <w:tcW w:w="1567"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高液位报警装置</w:t>
                  </w:r>
                </w:p>
              </w:tc>
              <w:tc>
                <w:tcPr>
                  <w:tcW w:w="150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446"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套</w:t>
                  </w:r>
                </w:p>
              </w:tc>
              <w:tc>
                <w:tcPr>
                  <w:tcW w:w="496"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2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561" w:type="dxa"/>
                  <w:vAlign w:val="center"/>
                </w:tcPr>
                <w:p>
                  <w:pPr>
                    <w:autoSpaceDE w:val="0"/>
                    <w:autoSpaceDN w:val="0"/>
                    <w:adjustRightInd w:val="0"/>
                    <w:snapToGrid w:val="0"/>
                    <w:spacing w:before="0" w:after="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617"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防漏监测仪</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套</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p>
              </w:tc>
              <w:tc>
                <w:tcPr>
                  <w:tcW w:w="156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防漏监测仪</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96"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5</w:t>
                  </w:r>
                </w:p>
              </w:tc>
              <w:tc>
                <w:tcPr>
                  <w:tcW w:w="72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1" w:type="dxa"/>
                  <w:vAlign w:val="center"/>
                </w:tcPr>
                <w:p>
                  <w:pPr>
                    <w:autoSpaceDE w:val="0"/>
                    <w:autoSpaceDN w:val="0"/>
                    <w:adjustRightInd w:val="0"/>
                    <w:snapToGrid w:val="0"/>
                    <w:spacing w:before="0" w:after="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617"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潜油泵</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1.0HP</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p>
              </w:tc>
              <w:tc>
                <w:tcPr>
                  <w:tcW w:w="156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潜油泵</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1.0HP</w:t>
                  </w:r>
                </w:p>
              </w:tc>
              <w:tc>
                <w:tcPr>
                  <w:tcW w:w="4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72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1" w:type="dxa"/>
                  <w:vAlign w:val="center"/>
                </w:tcPr>
                <w:p>
                  <w:pPr>
                    <w:autoSpaceDE w:val="0"/>
                    <w:autoSpaceDN w:val="0"/>
                    <w:adjustRightInd w:val="0"/>
                    <w:snapToGrid w:val="0"/>
                    <w:spacing w:before="0" w:after="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1617"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空调</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台</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3</w:t>
                  </w:r>
                </w:p>
              </w:tc>
              <w:tc>
                <w:tcPr>
                  <w:tcW w:w="156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空调</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4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台</w:t>
                  </w:r>
                </w:p>
              </w:tc>
              <w:tc>
                <w:tcPr>
                  <w:tcW w:w="496"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w:t>
                  </w:r>
                </w:p>
              </w:tc>
              <w:tc>
                <w:tcPr>
                  <w:tcW w:w="72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无变化</w:t>
                  </w:r>
                </w:p>
              </w:tc>
            </w:tr>
          </w:tbl>
          <w:p>
            <w:pPr>
              <w:pStyle w:val="20"/>
              <w:numPr>
                <w:ilvl w:val="0"/>
                <w:numId w:val="3"/>
              </w:numPr>
              <w:spacing w:before="161" w:line="364" w:lineRule="auto"/>
              <w:ind w:left="0" w:right="93" w:firstLine="0"/>
              <w:rPr>
                <w:rFonts w:hint="eastAsia" w:ascii="Times New Roman" w:hAnsi="Times New Roman" w:cs="Times New Roman"/>
                <w:b/>
                <w:spacing w:val="0"/>
                <w:sz w:val="24"/>
                <w:lang w:val="en-US" w:eastAsia="zh-CN"/>
              </w:rPr>
            </w:pPr>
            <w:r>
              <w:rPr>
                <w:rFonts w:hint="eastAsia" w:ascii="Times New Roman" w:hAnsi="Times New Roman" w:cs="Times New Roman"/>
                <w:b/>
                <w:spacing w:val="0"/>
                <w:sz w:val="24"/>
                <w:lang w:val="en-US" w:eastAsia="zh-CN"/>
              </w:rPr>
              <w:t>主要原辅材料及燃料</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黑体" w:cs="Times New Roman"/>
                <w:lang w:val="en-US" w:eastAsia="zh-CN"/>
              </w:rPr>
            </w:pPr>
            <w:r>
              <w:rPr>
                <w:rFonts w:ascii="Times New Roman" w:hAnsi="Times New Roman" w:cs="Times New Roman" w:eastAsiaTheme="minorEastAsia"/>
                <w:bCs/>
                <w:color w:val="auto"/>
                <w:kern w:val="2"/>
                <w:sz w:val="24"/>
                <w:szCs w:val="24"/>
              </w:rPr>
              <w:t>项目主要原辅材料用量见表</w:t>
            </w:r>
            <w:r>
              <w:rPr>
                <w:rFonts w:hint="eastAsia" w:ascii="Times New Roman" w:hAnsi="Times New Roman" w:cs="Times New Roman" w:eastAsiaTheme="minorEastAsia"/>
                <w:bCs/>
                <w:color w:val="auto"/>
                <w:kern w:val="2"/>
                <w:sz w:val="24"/>
                <w:szCs w:val="24"/>
                <w:lang w:val="en-US" w:eastAsia="zh-CN"/>
              </w:rPr>
              <w:t>2-</w:t>
            </w:r>
            <w:r>
              <w:rPr>
                <w:rFonts w:ascii="Times New Roman" w:hAnsi="Times New Roman" w:cs="Times New Roman" w:eastAsiaTheme="minorEastAsia"/>
                <w:bCs/>
                <w:color w:val="auto"/>
                <w:kern w:val="2"/>
                <w:sz w:val="24"/>
                <w:szCs w:val="24"/>
              </w:rPr>
              <w:t>3所示。</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sz w:val="21"/>
                <w:szCs w:val="21"/>
                <w:lang w:val="en-US" w:eastAsia="zh-CN"/>
              </w:rPr>
              <w:t>表</w:t>
            </w:r>
            <w:r>
              <w:rPr>
                <w:rFonts w:hint="eastAsia" w:ascii="Times New Roman" w:hAnsi="Times New Roman" w:cs="Times New Roman" w:eastAsiaTheme="minorEastAsia"/>
                <w:b/>
                <w:bCs/>
                <w:sz w:val="21"/>
                <w:szCs w:val="21"/>
                <w:lang w:val="en-US" w:eastAsia="zh-CN"/>
              </w:rPr>
              <w:t>2-</w:t>
            </w:r>
            <w:r>
              <w:rPr>
                <w:rFonts w:hint="default" w:ascii="Times New Roman" w:hAnsi="Times New Roman" w:cs="Times New Roman" w:eastAsiaTheme="minorEastAsia"/>
                <w:b/>
                <w:bCs/>
                <w:sz w:val="21"/>
                <w:szCs w:val="21"/>
                <w:lang w:val="en-US" w:eastAsia="zh-CN"/>
              </w:rPr>
              <w:t xml:space="preserve">3  </w:t>
            </w:r>
            <w:r>
              <w:rPr>
                <w:rFonts w:hint="default" w:ascii="Times New Roman" w:hAnsi="Times New Roman" w:cs="Times New Roman" w:eastAsiaTheme="minorEastAsia"/>
                <w:b/>
                <w:bCs/>
                <w:sz w:val="21"/>
                <w:szCs w:val="21"/>
              </w:rPr>
              <w:t>项目实际主要原辅材料及能源使用一览表</w:t>
            </w:r>
          </w:p>
          <w:tbl>
            <w:tblPr>
              <w:tblStyle w:val="16"/>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1432"/>
              <w:gridCol w:w="2189"/>
              <w:gridCol w:w="1746"/>
              <w:gridCol w:w="2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9" w:type="dxa"/>
                  <w:tcBorders>
                    <w:tl2br w:val="nil"/>
                    <w:tr2bl w:val="nil"/>
                  </w:tcBorders>
                  <w:vAlign w:val="center"/>
                </w:tcPr>
                <w:p>
                  <w:pPr>
                    <w:keepNext w:val="0"/>
                    <w:keepLines w:val="0"/>
                    <w:pageBreakBefore w:val="0"/>
                    <w:widowControl/>
                    <w:kinsoku/>
                    <w:wordWrap/>
                    <w:overflowPunct/>
                    <w:topLinePunct w:val="0"/>
                    <w:autoSpaceDE w:val="0"/>
                    <w:autoSpaceDN w:val="0"/>
                    <w:bidi w:val="0"/>
                    <w:snapToGrid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序号</w:t>
                  </w:r>
                </w:p>
              </w:tc>
              <w:tc>
                <w:tcPr>
                  <w:tcW w:w="1432"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产品名称</w:t>
                  </w:r>
                </w:p>
              </w:tc>
              <w:tc>
                <w:tcPr>
                  <w:tcW w:w="2189"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规格</w:t>
                  </w:r>
                </w:p>
              </w:tc>
              <w:tc>
                <w:tcPr>
                  <w:tcW w:w="1746"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年销售量t/a</w:t>
                  </w:r>
                </w:p>
              </w:tc>
              <w:tc>
                <w:tcPr>
                  <w:tcW w:w="2798" w:type="dxa"/>
                  <w:tcBorders>
                    <w:tl2br w:val="nil"/>
                    <w:tr2bl w:val="nil"/>
                  </w:tcBorders>
                  <w:vAlign w:val="center"/>
                </w:tcPr>
                <w:p>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9" w:type="dxa"/>
                  <w:tcBorders>
                    <w:tl2br w:val="nil"/>
                    <w:tr2bl w:val="nil"/>
                  </w:tcBorders>
                  <w:vAlign w:val="center"/>
                </w:tcPr>
                <w:p>
                  <w:pPr>
                    <w:keepNext w:val="0"/>
                    <w:keepLines w:val="0"/>
                    <w:pageBreakBefore w:val="0"/>
                    <w:widowControl/>
                    <w:kinsoku/>
                    <w:wordWrap/>
                    <w:overflowPunct/>
                    <w:topLinePunct w:val="0"/>
                    <w:autoSpaceDE w:val="0"/>
                    <w:autoSpaceDN w:val="0"/>
                    <w:bidi w:val="0"/>
                    <w:snapToGrid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1432"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汽油</w:t>
                  </w:r>
                </w:p>
              </w:tc>
              <w:tc>
                <w:tcPr>
                  <w:tcW w:w="2189"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92#、95#</w:t>
                  </w:r>
                </w:p>
              </w:tc>
              <w:tc>
                <w:tcPr>
                  <w:tcW w:w="1746"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1000</w:t>
                  </w:r>
                </w:p>
              </w:tc>
              <w:tc>
                <w:tcPr>
                  <w:tcW w:w="27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与环评一致</w:t>
                  </w:r>
                </w:p>
                <w:p>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不同型号产品数量根据市场的需求进行调整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9"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2</w:t>
                  </w:r>
                </w:p>
              </w:tc>
              <w:tc>
                <w:tcPr>
                  <w:tcW w:w="1432"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柴油</w:t>
                  </w:r>
                </w:p>
              </w:tc>
              <w:tc>
                <w:tcPr>
                  <w:tcW w:w="2189"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0#、-10#</w:t>
                  </w:r>
                </w:p>
              </w:tc>
              <w:tc>
                <w:tcPr>
                  <w:tcW w:w="1746"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2000</w:t>
                  </w:r>
                </w:p>
              </w:tc>
              <w:tc>
                <w:tcPr>
                  <w:tcW w:w="2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r>
          </w:tbl>
          <w:p>
            <w:pPr>
              <w:pStyle w:val="20"/>
              <w:numPr>
                <w:ilvl w:val="0"/>
                <w:numId w:val="3"/>
              </w:numPr>
              <w:spacing w:before="161" w:line="364" w:lineRule="auto"/>
              <w:ind w:left="0" w:right="93" w:firstLine="0"/>
              <w:rPr>
                <w:rFonts w:hint="default" w:ascii="Times New Roman" w:hAnsi="Times New Roman" w:eastAsia="宋体" w:cs="Times New Roman"/>
                <w:b/>
                <w:spacing w:val="0"/>
                <w:sz w:val="24"/>
                <w:lang w:val="en-US" w:eastAsia="zh-CN"/>
              </w:rPr>
            </w:pPr>
            <w:r>
              <w:rPr>
                <w:rFonts w:hint="eastAsia" w:ascii="Times New Roman" w:hAnsi="Times New Roman" w:eastAsia="宋体" w:cs="Times New Roman"/>
                <w:b/>
                <w:spacing w:val="0"/>
                <w:sz w:val="24"/>
                <w:lang w:val="en-US" w:eastAsia="zh-CN"/>
              </w:rPr>
              <w:t>劳动定员及工作制度</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t>本项目站场劳动定员设计为</w:t>
            </w:r>
            <w:r>
              <w:rPr>
                <w:rFonts w:hint="eastAsia" w:ascii="Times New Roman" w:hAnsi="Times New Roman" w:cs="Times New Roman" w:eastAsiaTheme="minorEastAsia"/>
                <w:b w:val="0"/>
                <w:bCs/>
                <w:color w:val="auto"/>
                <w:kern w:val="2"/>
                <w:sz w:val="24"/>
                <w:szCs w:val="24"/>
                <w:lang w:val="en-US" w:eastAsia="zh-CN" w:bidi="ar-SA"/>
              </w:rPr>
              <w:t>7</w:t>
            </w:r>
            <w:r>
              <w:rPr>
                <w:rFonts w:hint="default" w:ascii="Times New Roman" w:hAnsi="Times New Roman" w:cs="Times New Roman" w:eastAsiaTheme="minorEastAsia"/>
                <w:b w:val="0"/>
                <w:bCs/>
                <w:color w:val="auto"/>
                <w:kern w:val="2"/>
                <w:sz w:val="24"/>
                <w:szCs w:val="24"/>
                <w:lang w:val="en-US" w:eastAsia="zh-CN" w:bidi="ar-SA"/>
              </w:rPr>
              <w:t>人，</w:t>
            </w:r>
            <w:r>
              <w:rPr>
                <w:rFonts w:ascii="Times New Roman" w:hAnsi="Times New Roman" w:cs="Times New Roman" w:eastAsiaTheme="minorEastAsia"/>
                <w:bCs/>
                <w:snapToGrid/>
                <w:color w:val="auto"/>
                <w:kern w:val="2"/>
                <w:sz w:val="24"/>
                <w:highlight w:val="none"/>
                <w:lang w:val="en-US" w:bidi="ar-SA"/>
              </w:rPr>
              <w:t>其中</w:t>
            </w:r>
            <w:r>
              <w:rPr>
                <w:rFonts w:hint="default" w:ascii="Times New Roman" w:hAnsi="Times New Roman" w:cs="Times New Roman" w:eastAsiaTheme="minorEastAsia"/>
                <w:bCs/>
                <w:snapToGrid/>
                <w:color w:val="auto"/>
                <w:kern w:val="2"/>
                <w:sz w:val="24"/>
                <w:highlight w:val="none"/>
                <w:lang w:val="en-US" w:eastAsia="zh-CN" w:bidi="ar-SA"/>
              </w:rPr>
              <w:t>管理人员</w:t>
            </w:r>
            <w:r>
              <w:rPr>
                <w:rFonts w:hint="eastAsia" w:ascii="Times New Roman" w:hAnsi="Times New Roman" w:cs="Times New Roman" w:eastAsiaTheme="minorEastAsia"/>
                <w:bCs/>
                <w:snapToGrid/>
                <w:color w:val="auto"/>
                <w:kern w:val="2"/>
                <w:sz w:val="24"/>
                <w:highlight w:val="none"/>
                <w:lang w:val="en-US" w:eastAsia="zh-CN" w:bidi="ar-SA"/>
              </w:rPr>
              <w:t>1</w:t>
            </w:r>
            <w:r>
              <w:rPr>
                <w:rFonts w:hint="default" w:ascii="Times New Roman" w:hAnsi="Times New Roman" w:cs="Times New Roman" w:eastAsiaTheme="minorEastAsia"/>
                <w:bCs/>
                <w:snapToGrid/>
                <w:color w:val="auto"/>
                <w:kern w:val="2"/>
                <w:sz w:val="24"/>
                <w:highlight w:val="none"/>
                <w:lang w:val="en-US" w:eastAsia="zh-CN" w:bidi="ar-SA"/>
              </w:rPr>
              <w:t>人，员工</w:t>
            </w:r>
            <w:r>
              <w:rPr>
                <w:rFonts w:hint="eastAsia" w:ascii="Times New Roman" w:hAnsi="Times New Roman" w:cs="Times New Roman" w:eastAsiaTheme="minorEastAsia"/>
                <w:bCs/>
                <w:snapToGrid/>
                <w:color w:val="auto"/>
                <w:kern w:val="2"/>
                <w:sz w:val="24"/>
                <w:highlight w:val="none"/>
                <w:lang w:val="en-US" w:eastAsia="zh-CN" w:bidi="ar-SA"/>
              </w:rPr>
              <w:t>6</w:t>
            </w:r>
            <w:r>
              <w:rPr>
                <w:rFonts w:ascii="Times New Roman" w:hAnsi="Times New Roman" w:cs="Times New Roman" w:eastAsiaTheme="minorEastAsia"/>
                <w:bCs/>
                <w:snapToGrid/>
                <w:color w:val="auto"/>
                <w:kern w:val="2"/>
                <w:sz w:val="24"/>
                <w:highlight w:val="none"/>
                <w:lang w:val="en-US" w:bidi="ar-SA"/>
              </w:rPr>
              <w:t>人</w:t>
            </w:r>
            <w:r>
              <w:rPr>
                <w:rFonts w:hint="eastAsia" w:ascii="Times New Roman" w:hAnsi="Times New Roman" w:cs="Times New Roman" w:eastAsiaTheme="minorEastAsia"/>
                <w:b w:val="0"/>
                <w:bCs/>
                <w:color w:val="auto"/>
                <w:kern w:val="2"/>
                <w:sz w:val="24"/>
                <w:szCs w:val="24"/>
                <w:lang w:val="en-US" w:eastAsia="zh-CN" w:bidi="ar-SA"/>
              </w:rPr>
              <w:t>。</w:t>
            </w:r>
            <w:r>
              <w:rPr>
                <w:rFonts w:hint="default" w:ascii="Times New Roman" w:hAnsi="Times New Roman" w:cs="Times New Roman" w:eastAsiaTheme="minorEastAsia"/>
                <w:b w:val="0"/>
                <w:bCs/>
                <w:color w:val="auto"/>
                <w:kern w:val="2"/>
                <w:sz w:val="24"/>
                <w:szCs w:val="24"/>
                <w:lang w:val="en-US" w:eastAsia="zh-CN" w:bidi="ar-SA"/>
              </w:rPr>
              <w:t>该站营运期每年工作日为365天，采用三班制，每班工作8小时。</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olor w:val="auto"/>
                <w:kern w:val="2"/>
                <w:sz w:val="24"/>
                <w:szCs w:val="24"/>
                <w:lang w:val="en-US" w:eastAsia="zh-CN" w:bidi="ar-SA"/>
              </w:rPr>
            </w:pPr>
            <w:r>
              <w:rPr>
                <w:rFonts w:hint="eastAsia" w:ascii="Times New Roman" w:hAnsi="Times New Roman" w:cs="Times New Roman" w:eastAsiaTheme="minorEastAsia"/>
                <w:b w:val="0"/>
                <w:bCs/>
                <w:color w:val="auto"/>
                <w:kern w:val="2"/>
                <w:sz w:val="24"/>
                <w:szCs w:val="24"/>
                <w:lang w:val="en-US" w:eastAsia="zh-CN" w:bidi="ar-SA"/>
              </w:rPr>
              <w:t>本项目实际工作制度与环评阶段一致。</w:t>
            </w:r>
          </w:p>
          <w:p>
            <w:pPr>
              <w:pStyle w:val="20"/>
              <w:numPr>
                <w:ilvl w:val="0"/>
                <w:numId w:val="3"/>
              </w:numPr>
              <w:spacing w:before="161" w:line="364" w:lineRule="auto"/>
              <w:ind w:left="0" w:right="93" w:firstLine="0"/>
              <w:rPr>
                <w:rFonts w:hint="eastAsia" w:ascii="Times New Roman" w:hAnsi="Times New Roman" w:eastAsia="宋体" w:cs="Times New Roman"/>
                <w:b/>
                <w:spacing w:val="0"/>
                <w:sz w:val="24"/>
                <w:lang w:val="en-US" w:eastAsia="zh-CN"/>
              </w:rPr>
            </w:pPr>
            <w:r>
              <w:rPr>
                <w:rFonts w:hint="eastAsia" w:ascii="Times New Roman" w:hAnsi="Times New Roman" w:eastAsia="宋体" w:cs="Times New Roman"/>
                <w:b/>
                <w:spacing w:val="0"/>
                <w:sz w:val="24"/>
                <w:lang w:val="en-US" w:eastAsia="zh-CN"/>
              </w:rPr>
              <w:t>敏感点</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480" w:firstLineChars="200"/>
              <w:textAlignment w:val="auto"/>
              <w:rPr>
                <w:rFonts w:hint="eastAsia" w:ascii="Times New Roman" w:hAnsi="Times New Roman" w:cs="Times New Roman" w:eastAsiaTheme="minorEastAsia"/>
                <w:b w:val="0"/>
                <w:bCs/>
                <w:color w:val="auto"/>
                <w:kern w:val="2"/>
                <w:sz w:val="24"/>
                <w:szCs w:val="24"/>
                <w:lang w:val="en-US" w:eastAsia="zh-CN" w:bidi="ar-SA"/>
              </w:rPr>
            </w:pPr>
            <w:r>
              <w:rPr>
                <w:rFonts w:hint="eastAsia" w:ascii="Times New Roman" w:hAnsi="Times New Roman" w:cs="Times New Roman" w:eastAsiaTheme="minorEastAsia"/>
                <w:b w:val="0"/>
                <w:bCs/>
                <w:color w:val="auto"/>
                <w:kern w:val="2"/>
                <w:sz w:val="24"/>
                <w:szCs w:val="24"/>
                <w:lang w:val="en-US" w:eastAsia="zh-CN" w:bidi="ar-SA"/>
              </w:rPr>
              <w:t>根据现场调查情况，本项目环境保护目标主要涉及空气，结合工程建设规模，各环境要素主要保护对象及目标见表2-4及附图4。与环评阶段相比，项目评价范围未发生变化。</w:t>
            </w:r>
          </w:p>
          <w:p>
            <w:pPr>
              <w:pStyle w:val="21"/>
              <w:numPr>
                <w:ilvl w:val="-1"/>
                <w:numId w:val="0"/>
              </w:numPr>
              <w:tabs>
                <w:tab w:val="left" w:pos="1319"/>
              </w:tabs>
              <w:spacing w:before="0" w:after="0" w:line="360" w:lineRule="auto"/>
              <w:ind w:left="0" w:right="0" w:firstLine="0" w:firstLineChars="0"/>
              <w:jc w:val="center"/>
              <w:rPr>
                <w:rFonts w:hint="eastAsia" w:ascii="Times New Roman" w:hAnsi="Times New Roman" w:cs="Times New Roman" w:eastAsiaTheme="minorEastAsia"/>
                <w:b/>
                <w:bCs w:val="0"/>
                <w:color w:val="auto"/>
                <w:spacing w:val="0"/>
                <w:kern w:val="2"/>
                <w:sz w:val="21"/>
                <w:szCs w:val="21"/>
                <w:lang w:val="en-US" w:eastAsia="zh-CN" w:bidi="ar-SA"/>
              </w:rPr>
            </w:pPr>
            <w:r>
              <w:rPr>
                <w:rFonts w:hint="eastAsia" w:ascii="Times New Roman" w:hAnsi="Times New Roman" w:cs="Times New Roman" w:eastAsiaTheme="minorEastAsia"/>
                <w:b/>
                <w:bCs w:val="0"/>
                <w:color w:val="auto"/>
                <w:spacing w:val="0"/>
                <w:kern w:val="2"/>
                <w:sz w:val="21"/>
                <w:szCs w:val="21"/>
                <w:lang w:val="en-US" w:eastAsia="zh-CN" w:bidi="ar-SA"/>
              </w:rPr>
              <w:t>表2-4  项目周边敏感点一览表</w:t>
            </w:r>
          </w:p>
          <w:tbl>
            <w:tblPr>
              <w:tblStyle w:val="16"/>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347"/>
              <w:gridCol w:w="1286"/>
              <w:gridCol w:w="1570"/>
              <w:gridCol w:w="779"/>
              <w:gridCol w:w="1074"/>
              <w:gridCol w:w="1049"/>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环境</w:t>
                  </w:r>
                </w:p>
                <w:p>
                  <w:pPr>
                    <w:spacing w:line="24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要素</w:t>
                  </w:r>
                </w:p>
              </w:tc>
              <w:tc>
                <w:tcPr>
                  <w:tcW w:w="2633"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rPr>
                    <w:t>坐标</w:t>
                  </w:r>
                  <w:r>
                    <w:rPr>
                      <w:rFonts w:hint="eastAsia" w:ascii="Times New Roman" w:hAnsi="Times New Roman" w:eastAsia="宋体" w:cs="Times New Roman"/>
                      <w:color w:val="auto"/>
                      <w:highlight w:val="none"/>
                      <w:shd w:val="clear" w:color="auto" w:fill="auto"/>
                      <w:lang w:val="en-US" w:eastAsia="zh-CN"/>
                    </w:rPr>
                    <w:t>/m</w:t>
                  </w:r>
                </w:p>
              </w:tc>
              <w:tc>
                <w:tcPr>
                  <w:tcW w:w="1570"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保护对象</w:t>
                  </w:r>
                </w:p>
              </w:tc>
              <w:tc>
                <w:tcPr>
                  <w:tcW w:w="779"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保护内容</w:t>
                  </w:r>
                </w:p>
              </w:tc>
              <w:tc>
                <w:tcPr>
                  <w:tcW w:w="1074"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环境功能区</w:t>
                  </w:r>
                </w:p>
              </w:tc>
              <w:tc>
                <w:tcPr>
                  <w:tcW w:w="1049"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相对项目方位</w:t>
                  </w:r>
                </w:p>
              </w:tc>
              <w:tc>
                <w:tcPr>
                  <w:tcW w:w="1184"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相对项目场界距离/m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X</w:t>
                  </w:r>
                </w:p>
              </w:tc>
              <w:tc>
                <w:tcPr>
                  <w:tcW w:w="1286"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Y</w:t>
                  </w:r>
                </w:p>
              </w:tc>
              <w:tc>
                <w:tcPr>
                  <w:tcW w:w="157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18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环境</w:t>
                  </w:r>
                </w:p>
                <w:p>
                  <w:pPr>
                    <w:spacing w:line="24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空气</w:t>
                  </w: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294813.29</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3823128.27</w:t>
                  </w:r>
                </w:p>
              </w:tc>
              <w:tc>
                <w:tcPr>
                  <w:tcW w:w="1570"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eastAsia="zh-CN"/>
                    </w:rPr>
                  </w:pPr>
                  <w:r>
                    <w:rPr>
                      <w:rFonts w:hint="eastAsia" w:ascii="Times New Roman" w:hAnsi="Times New Roman" w:eastAsia="宋体" w:cs="Times New Roman"/>
                      <w:color w:val="auto"/>
                      <w:highlight w:val="none"/>
                      <w:shd w:val="clear" w:color="auto" w:fill="auto"/>
                      <w:lang w:eastAsia="zh-CN"/>
                    </w:rPr>
                    <w:t>杜家村</w:t>
                  </w:r>
                </w:p>
              </w:tc>
              <w:tc>
                <w:tcPr>
                  <w:tcW w:w="779"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人群健康、</w:t>
                  </w:r>
                </w:p>
                <w:p>
                  <w:pPr>
                    <w:spacing w:line="24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环境空气质量</w:t>
                  </w:r>
                </w:p>
              </w:tc>
              <w:tc>
                <w:tcPr>
                  <w:tcW w:w="1074"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二类环境空气功能区</w:t>
                  </w: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294712.85</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3823349.25</w:t>
                  </w:r>
                </w:p>
              </w:tc>
              <w:tc>
                <w:tcPr>
                  <w:tcW w:w="1570"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eastAsia="zh-CN"/>
                    </w:rPr>
                  </w:pPr>
                  <w:r>
                    <w:rPr>
                      <w:rFonts w:hint="eastAsia" w:ascii="Times New Roman" w:hAnsi="Times New Roman" w:eastAsia="宋体" w:cs="Times New Roman"/>
                      <w:color w:val="auto"/>
                      <w:highlight w:val="none"/>
                      <w:shd w:val="clear" w:color="auto" w:fill="auto"/>
                      <w:lang w:eastAsia="zh-CN"/>
                    </w:rPr>
                    <w:t>梁家堡</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294541.49</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3823541.99</w:t>
                  </w:r>
                </w:p>
              </w:tc>
              <w:tc>
                <w:tcPr>
                  <w:tcW w:w="1570"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eastAsia="zh-CN"/>
                    </w:rPr>
                  </w:pPr>
                  <w:r>
                    <w:rPr>
                      <w:rFonts w:hint="eastAsia" w:ascii="Times New Roman" w:hAnsi="Times New Roman" w:eastAsia="宋体" w:cs="Times New Roman"/>
                      <w:color w:val="auto"/>
                      <w:highlight w:val="none"/>
                      <w:shd w:val="clear" w:color="auto" w:fill="auto"/>
                      <w:lang w:eastAsia="zh-CN"/>
                    </w:rPr>
                    <w:t>官道村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NW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295074.71</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3822747.42</w:t>
                  </w:r>
                </w:p>
              </w:tc>
              <w:tc>
                <w:tcPr>
                  <w:tcW w:w="1570"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eastAsia="zh-CN"/>
                    </w:rPr>
                  </w:pPr>
                  <w:r>
                    <w:rPr>
                      <w:rFonts w:hint="eastAsia" w:ascii="Times New Roman" w:hAnsi="Times New Roman" w:eastAsia="宋体" w:cs="Times New Roman"/>
                      <w:color w:val="auto"/>
                      <w:highlight w:val="none"/>
                      <w:shd w:val="clear" w:color="auto" w:fill="auto"/>
                      <w:lang w:eastAsia="zh-CN"/>
                    </w:rPr>
                    <w:t>东南村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S</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294517.67</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3822804.76</w:t>
                  </w:r>
                </w:p>
              </w:tc>
              <w:tc>
                <w:tcPr>
                  <w:tcW w:w="1570"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虎窝村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SW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295417.98</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3823429.83</w:t>
                  </w:r>
                </w:p>
              </w:tc>
              <w:tc>
                <w:tcPr>
                  <w:tcW w:w="1570"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西焦村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295939.39</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3823410.68</w:t>
                  </w:r>
                </w:p>
              </w:tc>
              <w:tc>
                <w:tcPr>
                  <w:tcW w:w="1570"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东焦村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296627.59</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3823082.48</w:t>
                  </w:r>
                </w:p>
              </w:tc>
              <w:tc>
                <w:tcPr>
                  <w:tcW w:w="1570"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马村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296633.27</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3823887.37</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石塔庄村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297623.53</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3823112.20</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居联村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297725.44</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3823923.85</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付家村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295727.62</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3821613.10</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西韩村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SE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296047.64</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3821813.54</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张家村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SE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296516.22</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3821551.91</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宋家村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SE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296694.93</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3821182.94</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罗堡村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SE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297124.99</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3820952.48</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关庙村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SE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296998.70</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3825165.30</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第家庄</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296259.80</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3824765.34</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新庄</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296686.12</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3825362.30</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师家村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295955.99</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3824710.09</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南太古村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295657.10</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3824742.12</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中张镇</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295367.30</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3825119.23</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中张中学</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295039.10</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3825221.40</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红旗村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294202.29</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3825335.54</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千夫堡</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293794.95</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3825322.71</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周家道村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eastAsia="zh-CN"/>
                    </w:rPr>
                  </w:pPr>
                  <w:r>
                    <w:rPr>
                      <w:rFonts w:hint="eastAsia" w:ascii="Times New Roman" w:hAnsi="Times New Roman" w:eastAsia="宋体" w:cs="Times New Roman"/>
                      <w:color w:val="auto"/>
                      <w:highlight w:val="none"/>
                      <w:shd w:val="clear" w:color="auto" w:fill="auto"/>
                      <w:lang w:val="en-US" w:eastAsia="zh-CN"/>
                    </w:rPr>
                    <w:t>293705.96</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3824869.36</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湾子村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NW</w:t>
                  </w:r>
                </w:p>
              </w:tc>
              <w:tc>
                <w:tcPr>
                  <w:tcW w:w="1184" w:type="dxa"/>
                  <w:tcBorders>
                    <w:tl2br w:val="nil"/>
                    <w:tr2bl w:val="nil"/>
                  </w:tcBorders>
                  <w:vAlign w:val="center"/>
                </w:tcPr>
                <w:p>
                  <w:pPr>
                    <w:tabs>
                      <w:tab w:val="left" w:pos="431"/>
                    </w:tabs>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294135.67</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3824346.94</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大湾村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294738.21</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3824182.22</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卢家村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295434.36</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3823955.49</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南牛村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293001.74</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3824948.41</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王浩村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293083.36</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3821690.39</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陈员湾村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SW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292876.98</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3820737.10</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竹范村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SW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297635.13</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3821381.10</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深道村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SE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297426.04</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3825525.30</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楼子村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298136.98</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3825358.17</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大王村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NE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295061.52</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3823186.40</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服务区北区</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SW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295291.75</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3822947.87</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服务区南区</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S</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55</w:t>
                  </w:r>
                </w:p>
              </w:tc>
            </w:tr>
          </w:tbl>
          <w:p>
            <w:pPr>
              <w:pStyle w:val="20"/>
              <w:numPr>
                <w:ilvl w:val="0"/>
                <w:numId w:val="0"/>
              </w:numPr>
              <w:spacing w:before="161" w:line="364" w:lineRule="auto"/>
              <w:ind w:leftChars="0" w:right="93" w:rightChars="0"/>
              <w:rPr>
                <w:rFonts w:hint="default" w:ascii="Times New Roman" w:hAnsi="Times New Roman" w:eastAsia="宋体" w:cs="Times New Roman"/>
                <w:b/>
                <w:spacing w:val="0"/>
                <w:sz w:val="24"/>
                <w:lang w:val="en-US" w:eastAsia="zh-CN"/>
              </w:rPr>
            </w:pPr>
            <w:r>
              <w:rPr>
                <w:rFonts w:hint="eastAsia" w:ascii="Times New Roman" w:hAnsi="Times New Roman" w:cs="Times New Roman"/>
                <w:b/>
                <w:spacing w:val="0"/>
                <w:sz w:val="24"/>
                <w:lang w:val="en-US" w:eastAsia="zh-CN"/>
              </w:rPr>
              <w:t>七、</w:t>
            </w:r>
            <w:r>
              <w:rPr>
                <w:rFonts w:hint="eastAsia" w:ascii="Times New Roman" w:hAnsi="Times New Roman" w:eastAsia="宋体" w:cs="Times New Roman"/>
                <w:b/>
                <w:spacing w:val="0"/>
                <w:sz w:val="24"/>
                <w:lang w:val="en-US" w:eastAsia="zh-CN"/>
              </w:rPr>
              <w:t>水源及水平衡</w:t>
            </w:r>
          </w:p>
          <w:p>
            <w:pPr>
              <w:pStyle w:val="21"/>
              <w:numPr>
                <w:ilvl w:val="-1"/>
                <w:numId w:val="0"/>
              </w:numPr>
              <w:tabs>
                <w:tab w:val="left" w:pos="1319"/>
              </w:tabs>
              <w:spacing w:before="0" w:after="0" w:line="360" w:lineRule="auto"/>
              <w:ind w:left="0" w:right="0" w:firstLine="480" w:firstLineChars="200"/>
              <w:jc w:val="left"/>
              <w:rPr>
                <w:rFonts w:hint="eastAsia" w:ascii="Times New Roman" w:hAnsi="Times New Roman" w:cs="Times New Roman" w:eastAsiaTheme="minorEastAsia"/>
                <w:bCs/>
                <w:color w:val="auto"/>
                <w:spacing w:val="0"/>
                <w:kern w:val="2"/>
                <w:sz w:val="24"/>
                <w:szCs w:val="24"/>
                <w:lang w:val="en-US" w:eastAsia="zh-CN" w:bidi="ar-SA"/>
              </w:rPr>
            </w:pPr>
            <w:r>
              <w:rPr>
                <w:rFonts w:hint="eastAsia" w:ascii="Times New Roman" w:hAnsi="Times New Roman" w:cs="Times New Roman" w:eastAsiaTheme="minorEastAsia"/>
                <w:bCs/>
                <w:color w:val="auto"/>
                <w:spacing w:val="0"/>
                <w:kern w:val="2"/>
                <w:sz w:val="24"/>
                <w:szCs w:val="24"/>
                <w:lang w:val="en-US" w:eastAsia="zh-CN" w:bidi="ar-SA"/>
              </w:rPr>
              <w:t>根据实际调查，项目污水主要为员工生活用水和顾客盥洗用水，项目</w:t>
            </w:r>
            <w:r>
              <w:rPr>
                <w:rFonts w:ascii="Times New Roman" w:hAnsi="Times New Roman" w:cs="Times New Roman" w:eastAsiaTheme="minorEastAsia"/>
                <w:bCs/>
                <w:color w:val="auto"/>
                <w:spacing w:val="0"/>
                <w:kern w:val="2"/>
                <w:sz w:val="24"/>
                <w:szCs w:val="24"/>
                <w:lang w:val="en-US" w:bidi="ar-SA"/>
              </w:rPr>
              <w:t>用水量为</w:t>
            </w:r>
            <w:r>
              <w:rPr>
                <w:rFonts w:hint="eastAsia" w:ascii="Times New Roman" w:hAnsi="Times New Roman" w:cs="Times New Roman"/>
                <w:sz w:val="24"/>
                <w:lang w:val="en-US" w:eastAsia="zh-CN"/>
              </w:rPr>
              <w:t>377.8</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/a</w:t>
            </w:r>
            <w:r>
              <w:rPr>
                <w:rFonts w:ascii="Times New Roman" w:hAnsi="Times New Roman" w:cs="Times New Roman" w:eastAsiaTheme="minorEastAsia"/>
                <w:bCs/>
                <w:color w:val="auto"/>
                <w:kern w:val="2"/>
                <w:sz w:val="24"/>
                <w:szCs w:val="24"/>
                <w:lang w:val="en-US" w:bidi="ar-SA"/>
              </w:rPr>
              <w:t>，由</w:t>
            </w:r>
            <w:r>
              <w:rPr>
                <w:rFonts w:hint="default" w:ascii="Times New Roman" w:hAnsi="Times New Roman" w:cs="Times New Roman" w:eastAsiaTheme="minorEastAsia"/>
                <w:bCs/>
                <w:color w:val="auto"/>
                <w:kern w:val="2"/>
                <w:sz w:val="24"/>
                <w:szCs w:val="24"/>
                <w:lang w:val="en-US" w:eastAsia="zh-CN" w:bidi="ar-SA"/>
              </w:rPr>
              <w:t>西咸北环线</w:t>
            </w:r>
            <w:r>
              <w:rPr>
                <w:rFonts w:hint="eastAsia" w:ascii="Times New Roman" w:hAnsi="Times New Roman" w:cs="Times New Roman" w:eastAsiaTheme="minorEastAsia"/>
                <w:bCs/>
                <w:color w:val="auto"/>
                <w:kern w:val="2"/>
                <w:sz w:val="24"/>
                <w:szCs w:val="24"/>
                <w:lang w:val="en-US" w:eastAsia="zh-CN" w:bidi="ar-SA"/>
              </w:rPr>
              <w:t>高速公路泾阳</w:t>
            </w:r>
            <w:r>
              <w:rPr>
                <w:rFonts w:hint="default" w:ascii="Times New Roman" w:hAnsi="Times New Roman" w:cs="Times New Roman" w:eastAsiaTheme="minorEastAsia"/>
                <w:bCs/>
                <w:color w:val="auto"/>
                <w:kern w:val="2"/>
                <w:sz w:val="24"/>
                <w:szCs w:val="24"/>
                <w:lang w:val="en-US" w:eastAsia="zh-CN" w:bidi="ar-SA"/>
              </w:rPr>
              <w:t>服务区</w:t>
            </w:r>
            <w:r>
              <w:rPr>
                <w:rFonts w:ascii="Times New Roman" w:hAnsi="Times New Roman" w:cs="Times New Roman" w:eastAsiaTheme="minorEastAsia"/>
                <w:bCs/>
                <w:color w:val="auto"/>
                <w:kern w:val="2"/>
                <w:sz w:val="24"/>
                <w:szCs w:val="24"/>
                <w:lang w:val="en-US" w:bidi="ar-SA"/>
              </w:rPr>
              <w:t>提供，可以满足项目需求。</w:t>
            </w:r>
            <w:r>
              <w:rPr>
                <w:rFonts w:ascii="Times New Roman" w:hAnsi="Times New Roman" w:cs="Times New Roman" w:eastAsiaTheme="minorEastAsia"/>
                <w:bCs/>
                <w:color w:val="auto"/>
                <w:spacing w:val="0"/>
                <w:kern w:val="2"/>
                <w:sz w:val="24"/>
                <w:szCs w:val="24"/>
                <w:lang w:val="en-US" w:bidi="ar-SA"/>
              </w:rPr>
              <w:t>项目污水量约</w:t>
            </w:r>
            <w:r>
              <w:rPr>
                <w:rFonts w:hint="eastAsia" w:ascii="Times New Roman" w:hAnsi="Times New Roman" w:cs="Times New Roman"/>
                <w:sz w:val="24"/>
                <w:lang w:val="en-US" w:eastAsia="zh-CN"/>
              </w:rPr>
              <w:t>302.24</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/a</w:t>
            </w:r>
            <w:r>
              <w:rPr>
                <w:rFonts w:ascii="Times New Roman" w:hAnsi="Times New Roman" w:cs="Times New Roman" w:eastAsiaTheme="minorEastAsia"/>
                <w:bCs/>
                <w:color w:val="auto"/>
                <w:spacing w:val="0"/>
                <w:kern w:val="2"/>
                <w:sz w:val="24"/>
                <w:szCs w:val="24"/>
                <w:lang w:val="en-US" w:bidi="ar-SA"/>
              </w:rPr>
              <w:t>，</w:t>
            </w:r>
            <w:r>
              <w:rPr>
                <w:snapToGrid w:val="0"/>
                <w:color w:val="auto"/>
                <w:kern w:val="0"/>
                <w:sz w:val="24"/>
              </w:rPr>
              <w:t>项目</w:t>
            </w:r>
            <w:r>
              <w:rPr>
                <w:rFonts w:hint="eastAsia"/>
                <w:snapToGrid w:val="0"/>
                <w:color w:val="auto"/>
                <w:kern w:val="0"/>
                <w:sz w:val="24"/>
                <w:szCs w:val="24"/>
              </w:rPr>
              <w:t>站内废水依托服务区内一体化埋地式中水回用膜处理设备处理后，</w:t>
            </w:r>
            <w:r>
              <w:rPr>
                <w:rFonts w:hint="default" w:ascii="Times New Roman" w:hAnsi="Times New Roman" w:eastAsia="宋体" w:cs="Times New Roman"/>
                <w:color w:val="auto"/>
                <w:kern w:val="0"/>
                <w:sz w:val="24"/>
                <w:lang w:eastAsia="zh-CN"/>
              </w:rPr>
              <w:t>用于</w:t>
            </w:r>
            <w:r>
              <w:rPr>
                <w:rFonts w:hint="eastAsia" w:ascii="Times New Roman" w:hAnsi="Times New Roman" w:eastAsia="宋体" w:cs="Times New Roman"/>
                <w:color w:val="auto"/>
                <w:kern w:val="0"/>
                <w:sz w:val="24"/>
                <w:lang w:eastAsia="zh-CN"/>
              </w:rPr>
              <w:t>服务区</w:t>
            </w:r>
            <w:r>
              <w:rPr>
                <w:rFonts w:hint="default" w:ascii="Times New Roman" w:hAnsi="Times New Roman" w:eastAsia="宋体" w:cs="Times New Roman"/>
                <w:color w:val="auto"/>
                <w:kern w:val="0"/>
                <w:sz w:val="24"/>
                <w:lang w:eastAsia="zh-CN"/>
              </w:rPr>
              <w:t>厕所用水及场区绿化用水</w:t>
            </w:r>
            <w:r>
              <w:rPr>
                <w:rFonts w:hint="eastAsia" w:ascii="Times New Roman" w:hAnsi="Times New Roman" w:eastAsia="宋体" w:cs="Times New Roman"/>
                <w:color w:val="auto"/>
                <w:kern w:val="0"/>
                <w:sz w:val="24"/>
                <w:lang w:eastAsia="zh-CN"/>
              </w:rPr>
              <w:t>，</w:t>
            </w:r>
            <w:r>
              <w:rPr>
                <w:rFonts w:hint="eastAsia"/>
                <w:snapToGrid w:val="0"/>
                <w:color w:val="auto"/>
                <w:kern w:val="0"/>
                <w:sz w:val="24"/>
                <w:szCs w:val="24"/>
              </w:rPr>
              <w:t>不外排</w:t>
            </w:r>
            <w:r>
              <w:rPr>
                <w:rFonts w:hint="eastAsia"/>
                <w:snapToGrid w:val="0"/>
                <w:color w:val="auto"/>
                <w:kern w:val="0"/>
                <w:sz w:val="24"/>
                <w:lang w:eastAsia="zh-CN"/>
              </w:rPr>
              <w:t>。</w:t>
            </w:r>
            <w:r>
              <w:rPr>
                <w:rFonts w:hint="eastAsia" w:ascii="Times New Roman" w:hAnsi="Times New Roman" w:cs="Times New Roman" w:eastAsiaTheme="minorEastAsia"/>
                <w:bCs/>
                <w:color w:val="auto"/>
                <w:spacing w:val="0"/>
                <w:kern w:val="2"/>
                <w:sz w:val="24"/>
                <w:szCs w:val="24"/>
                <w:lang w:val="en-US" w:eastAsia="zh-CN" w:bidi="ar-SA"/>
              </w:rPr>
              <w:t>项目用水量估算表见表2-5、图1所示。</w:t>
            </w:r>
          </w:p>
          <w:p>
            <w:pPr>
              <w:pStyle w:val="21"/>
              <w:numPr>
                <w:ilvl w:val="-1"/>
                <w:numId w:val="0"/>
              </w:numPr>
              <w:tabs>
                <w:tab w:val="left" w:pos="1319"/>
              </w:tabs>
              <w:spacing w:before="0" w:after="0" w:line="360" w:lineRule="auto"/>
              <w:ind w:left="0" w:right="0" w:firstLine="0" w:firstLineChars="0"/>
              <w:jc w:val="center"/>
              <w:rPr>
                <w:rFonts w:hint="eastAsia" w:ascii="Times New Roman" w:hAnsi="Times New Roman" w:cs="Times New Roman" w:eastAsiaTheme="minorEastAsia"/>
                <w:b/>
                <w:bCs w:val="0"/>
                <w:color w:val="auto"/>
                <w:spacing w:val="0"/>
                <w:kern w:val="2"/>
                <w:sz w:val="21"/>
                <w:szCs w:val="21"/>
                <w:lang w:val="en-US" w:eastAsia="zh-CN" w:bidi="ar-SA"/>
              </w:rPr>
            </w:pPr>
            <w:r>
              <w:rPr>
                <w:rFonts w:hint="eastAsia" w:ascii="Times New Roman" w:hAnsi="Times New Roman" w:cs="Times New Roman" w:eastAsiaTheme="minorEastAsia"/>
                <w:b/>
                <w:bCs w:val="0"/>
                <w:color w:val="auto"/>
                <w:spacing w:val="0"/>
                <w:kern w:val="2"/>
                <w:sz w:val="21"/>
                <w:szCs w:val="21"/>
                <w:lang w:val="en-US" w:eastAsia="zh-CN" w:bidi="ar-SA"/>
              </w:rPr>
              <w:t>表2-5  项目用水量估算表</w:t>
            </w:r>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667"/>
              <w:gridCol w:w="726"/>
              <w:gridCol w:w="1254"/>
              <w:gridCol w:w="1255"/>
              <w:gridCol w:w="1254"/>
              <w:gridCol w:w="1254"/>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9" w:type="dxa"/>
                  <w:vMerge w:val="restart"/>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序号</w:t>
                  </w:r>
                </w:p>
              </w:tc>
              <w:tc>
                <w:tcPr>
                  <w:tcW w:w="1667" w:type="dxa"/>
                  <w:vMerge w:val="restart"/>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用水项目</w:t>
                  </w:r>
                </w:p>
              </w:tc>
              <w:tc>
                <w:tcPr>
                  <w:tcW w:w="726" w:type="dxa"/>
                  <w:vMerge w:val="restart"/>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人数</w:t>
                  </w:r>
                </w:p>
              </w:tc>
              <w:tc>
                <w:tcPr>
                  <w:tcW w:w="2509" w:type="dxa"/>
                  <w:gridSpan w:val="2"/>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环评阶段</w:t>
                  </w:r>
                </w:p>
              </w:tc>
              <w:tc>
                <w:tcPr>
                  <w:tcW w:w="2508" w:type="dxa"/>
                  <w:gridSpan w:val="2"/>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实际工程</w:t>
                  </w:r>
                </w:p>
              </w:tc>
              <w:tc>
                <w:tcPr>
                  <w:tcW w:w="1185" w:type="dxa"/>
                  <w:vMerge w:val="restart"/>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9" w:type="dxa"/>
                  <w:vMerge w:val="continue"/>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p>
              </w:tc>
              <w:tc>
                <w:tcPr>
                  <w:tcW w:w="1667" w:type="dxa"/>
                  <w:vMerge w:val="continue"/>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p>
              </w:tc>
              <w:tc>
                <w:tcPr>
                  <w:tcW w:w="726" w:type="dxa"/>
                  <w:vMerge w:val="continue"/>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p>
              </w:tc>
              <w:tc>
                <w:tcPr>
                  <w:tcW w:w="1254"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用水标准</w:t>
                  </w:r>
                </w:p>
              </w:tc>
              <w:tc>
                <w:tcPr>
                  <w:tcW w:w="1255"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用水量</w:t>
                  </w:r>
                </w:p>
              </w:tc>
              <w:tc>
                <w:tcPr>
                  <w:tcW w:w="1254"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用水标准</w:t>
                  </w:r>
                </w:p>
              </w:tc>
              <w:tc>
                <w:tcPr>
                  <w:tcW w:w="1254"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用水量</w:t>
                  </w:r>
                </w:p>
              </w:tc>
              <w:tc>
                <w:tcPr>
                  <w:tcW w:w="1185" w:type="dxa"/>
                  <w:vMerge w:val="continue"/>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9"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1</w:t>
                  </w:r>
                </w:p>
              </w:tc>
              <w:tc>
                <w:tcPr>
                  <w:tcW w:w="1667"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员工生活用水</w:t>
                  </w:r>
                </w:p>
              </w:tc>
              <w:tc>
                <w:tcPr>
                  <w:tcW w:w="726"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7</w:t>
                  </w:r>
                </w:p>
              </w:tc>
              <w:tc>
                <w:tcPr>
                  <w:tcW w:w="1254"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40</w:t>
                  </w:r>
                  <w:r>
                    <w:rPr>
                      <w:rFonts w:hint="default" w:ascii="Times New Roman" w:hAnsi="Times New Roman" w:eastAsia="宋体" w:cs="Times New Roman"/>
                      <w:bCs w:val="0"/>
                      <w:spacing w:val="0"/>
                      <w:kern w:val="0"/>
                      <w:sz w:val="21"/>
                      <w:szCs w:val="21"/>
                      <w:vertAlign w:val="baseline"/>
                      <w:lang w:val="en-US" w:eastAsia="zh-CN" w:bidi="ar-SA"/>
                    </w:rPr>
                    <w:t>L/人·</w:t>
                  </w:r>
                  <w:r>
                    <w:rPr>
                      <w:rFonts w:hint="eastAsia" w:ascii="Times New Roman" w:hAnsi="Times New Roman" w:cs="Times New Roman"/>
                      <w:bCs w:val="0"/>
                      <w:spacing w:val="0"/>
                      <w:kern w:val="0"/>
                      <w:sz w:val="21"/>
                      <w:szCs w:val="21"/>
                      <w:vertAlign w:val="baseline"/>
                      <w:lang w:val="en-US" w:eastAsia="zh-CN" w:bidi="ar-SA"/>
                    </w:rPr>
                    <w:t>班</w:t>
                  </w:r>
                </w:p>
              </w:tc>
              <w:tc>
                <w:tcPr>
                  <w:tcW w:w="1255"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306.6m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254"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35</w:t>
                  </w:r>
                  <w:r>
                    <w:rPr>
                      <w:rFonts w:hint="default" w:ascii="Times New Roman" w:hAnsi="Times New Roman" w:eastAsia="宋体" w:cs="Times New Roman"/>
                      <w:bCs w:val="0"/>
                      <w:spacing w:val="0"/>
                      <w:kern w:val="0"/>
                      <w:sz w:val="21"/>
                      <w:szCs w:val="21"/>
                      <w:vertAlign w:val="baseline"/>
                      <w:lang w:val="en-US" w:eastAsia="zh-CN" w:bidi="ar-SA"/>
                    </w:rPr>
                    <w:t>L/人·</w:t>
                  </w:r>
                  <w:r>
                    <w:rPr>
                      <w:rFonts w:hint="eastAsia" w:ascii="Times New Roman" w:hAnsi="Times New Roman" w:cs="Times New Roman"/>
                      <w:bCs w:val="0"/>
                      <w:spacing w:val="0"/>
                      <w:kern w:val="0"/>
                      <w:sz w:val="21"/>
                      <w:szCs w:val="21"/>
                      <w:vertAlign w:val="baseline"/>
                      <w:lang w:val="en-US" w:eastAsia="zh-CN" w:bidi="ar-SA"/>
                    </w:rPr>
                    <w:t>班</w:t>
                  </w:r>
                </w:p>
              </w:tc>
              <w:tc>
                <w:tcPr>
                  <w:tcW w:w="1254"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268.3</w:t>
                  </w:r>
                  <w:r>
                    <w:rPr>
                      <w:rFonts w:hint="default" w:ascii="Times New Roman" w:hAnsi="Times New Roman" w:eastAsia="宋体" w:cs="Times New Roman"/>
                      <w:bCs w:val="0"/>
                      <w:spacing w:val="0"/>
                      <w:kern w:val="0"/>
                      <w:sz w:val="21"/>
                      <w:szCs w:val="21"/>
                      <w:vertAlign w:val="baseline"/>
                      <w:lang w:val="en-US" w:eastAsia="zh-CN" w:bidi="ar-SA"/>
                    </w:rPr>
                    <w:t>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185"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与环评</w:t>
                  </w:r>
                  <w:r>
                    <w:rPr>
                      <w:rFonts w:hint="eastAsia" w:ascii="Times New Roman" w:hAnsi="Times New Roman" w:cs="Times New Roman"/>
                      <w:bCs w:val="0"/>
                      <w:spacing w:val="0"/>
                      <w:kern w:val="0"/>
                      <w:sz w:val="21"/>
                      <w:szCs w:val="21"/>
                      <w:vertAlign w:val="baseline"/>
                      <w:lang w:val="en-US" w:eastAsia="zh-CN" w:bidi="ar-SA"/>
                    </w:rPr>
                    <w:t>不</w:t>
                  </w:r>
                  <w:r>
                    <w:rPr>
                      <w:rFonts w:hint="default" w:ascii="Times New Roman" w:hAnsi="Times New Roman" w:eastAsia="宋体" w:cs="Times New Roman"/>
                      <w:bCs w:val="0"/>
                      <w:spacing w:val="0"/>
                      <w:kern w:val="0"/>
                      <w:sz w:val="21"/>
                      <w:szCs w:val="21"/>
                      <w:vertAlign w:val="baseline"/>
                      <w:lang w:val="en-US" w:eastAsia="zh-CN" w:bidi="ar-SA"/>
                    </w:rPr>
                    <w:t>一致</w:t>
                  </w:r>
                  <w:r>
                    <w:rPr>
                      <w:rFonts w:hint="eastAsia" w:ascii="Times New Roman" w:hAnsi="Times New Roman" w:cs="Times New Roman"/>
                      <w:bCs w:val="0"/>
                      <w:spacing w:val="0"/>
                      <w:kern w:val="0"/>
                      <w:sz w:val="21"/>
                      <w:szCs w:val="21"/>
                      <w:vertAlign w:val="baseline"/>
                      <w:lang w:val="en-US" w:eastAsia="zh-CN" w:bidi="ar-SA"/>
                    </w:rPr>
                    <w:t>（少于环评）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9"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2</w:t>
                  </w:r>
                </w:p>
              </w:tc>
              <w:tc>
                <w:tcPr>
                  <w:tcW w:w="1667"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顾客盥洗用水</w:t>
                  </w:r>
                </w:p>
              </w:tc>
              <w:tc>
                <w:tcPr>
                  <w:tcW w:w="726"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100</w:t>
                  </w:r>
                </w:p>
              </w:tc>
              <w:tc>
                <w:tcPr>
                  <w:tcW w:w="1254"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sz w:val="21"/>
                      <w:szCs w:val="21"/>
                      <w:lang w:val="en-US" w:eastAsia="zh-CN" w:bidi="ar-SA"/>
                    </w:rPr>
                    <w:t>5</w:t>
                  </w:r>
                  <w:r>
                    <w:rPr>
                      <w:rFonts w:hint="eastAsia" w:ascii="Times New Roman" w:hAnsi="Times New Roman" w:eastAsia="宋体" w:cs="Times New Roman"/>
                      <w:sz w:val="21"/>
                      <w:szCs w:val="21"/>
                      <w:lang w:val="en-US" w:bidi="ar-SA"/>
                    </w:rPr>
                    <w:t>L/人</w:t>
                  </w:r>
                  <w:r>
                    <w:rPr>
                      <w:rFonts w:hint="default" w:ascii="Times New Roman" w:hAnsi="Times New Roman" w:eastAsia="宋体" w:cs="Times New Roman"/>
                      <w:bCs w:val="0"/>
                      <w:spacing w:val="0"/>
                      <w:kern w:val="0"/>
                      <w:sz w:val="21"/>
                      <w:szCs w:val="21"/>
                      <w:vertAlign w:val="baseline"/>
                      <w:lang w:val="en-US" w:eastAsia="zh-CN" w:bidi="ar-SA"/>
                    </w:rPr>
                    <w:t>·</w:t>
                  </w:r>
                  <w:r>
                    <w:rPr>
                      <w:rFonts w:hint="eastAsia" w:ascii="Times New Roman" w:hAnsi="Times New Roman" w:eastAsia="宋体" w:cs="Times New Roman"/>
                      <w:sz w:val="21"/>
                      <w:szCs w:val="21"/>
                      <w:lang w:val="en-US" w:bidi="ar-SA"/>
                    </w:rPr>
                    <w:t>次</w:t>
                  </w:r>
                </w:p>
              </w:tc>
              <w:tc>
                <w:tcPr>
                  <w:tcW w:w="1255" w:type="dxa"/>
                  <w:vAlign w:val="center"/>
                </w:tcPr>
                <w:p>
                  <w:pPr>
                    <w:widowControl/>
                    <w:spacing w:line="240" w:lineRule="auto"/>
                    <w:ind w:left="0" w:firstLine="0"/>
                    <w:jc w:val="center"/>
                    <w:outlineLvl w:val="9"/>
                    <w:rPr>
                      <w:rFonts w:hint="eastAsia"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182.5m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254" w:type="dxa"/>
                  <w:vAlign w:val="center"/>
                </w:tcPr>
                <w:p>
                  <w:pPr>
                    <w:widowControl/>
                    <w:spacing w:line="240" w:lineRule="auto"/>
                    <w:ind w:left="0" w:leftChars="0" w:right="0" w:rightChars="0" w:firstLine="0" w:firstLineChars="0"/>
                    <w:jc w:val="center"/>
                    <w:outlineLvl w:val="9"/>
                    <w:rPr>
                      <w:rFonts w:hint="eastAsia" w:ascii="Times New Roman" w:hAnsi="Times New Roman" w:eastAsia="宋体" w:cs="Times New Roman"/>
                      <w:sz w:val="21"/>
                      <w:szCs w:val="21"/>
                      <w:lang w:val="en-US" w:bidi="ar-SA"/>
                    </w:rPr>
                  </w:pPr>
                  <w:r>
                    <w:rPr>
                      <w:rFonts w:hint="eastAsia" w:ascii="Times New Roman" w:hAnsi="Times New Roman" w:cs="Times New Roman"/>
                      <w:sz w:val="21"/>
                      <w:szCs w:val="21"/>
                      <w:lang w:val="en-US" w:eastAsia="zh-CN" w:bidi="ar-SA"/>
                    </w:rPr>
                    <w:t>3</w:t>
                  </w:r>
                  <w:r>
                    <w:rPr>
                      <w:rFonts w:hint="eastAsia" w:ascii="Times New Roman" w:hAnsi="Times New Roman" w:eastAsia="宋体" w:cs="Times New Roman"/>
                      <w:sz w:val="21"/>
                      <w:szCs w:val="21"/>
                      <w:lang w:val="en-US" w:bidi="ar-SA"/>
                    </w:rPr>
                    <w:t>L/人</w:t>
                  </w:r>
                  <w:r>
                    <w:rPr>
                      <w:rFonts w:hint="default" w:ascii="Times New Roman" w:hAnsi="Times New Roman" w:eastAsia="宋体" w:cs="Times New Roman"/>
                      <w:bCs w:val="0"/>
                      <w:spacing w:val="0"/>
                      <w:kern w:val="0"/>
                      <w:sz w:val="21"/>
                      <w:szCs w:val="21"/>
                      <w:vertAlign w:val="baseline"/>
                      <w:lang w:val="en-US" w:eastAsia="zh-CN" w:bidi="ar-SA"/>
                    </w:rPr>
                    <w:t>·</w:t>
                  </w:r>
                  <w:r>
                    <w:rPr>
                      <w:rFonts w:hint="eastAsia" w:ascii="Times New Roman" w:hAnsi="Times New Roman" w:eastAsia="宋体" w:cs="Times New Roman"/>
                      <w:sz w:val="21"/>
                      <w:szCs w:val="21"/>
                      <w:lang w:val="en-US" w:bidi="ar-SA"/>
                    </w:rPr>
                    <w:t>次</w:t>
                  </w:r>
                </w:p>
              </w:tc>
              <w:tc>
                <w:tcPr>
                  <w:tcW w:w="1254"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109.5</w:t>
                  </w:r>
                  <w:r>
                    <w:rPr>
                      <w:rFonts w:hint="default" w:ascii="Times New Roman" w:hAnsi="Times New Roman" w:eastAsia="宋体" w:cs="Times New Roman"/>
                      <w:bCs w:val="0"/>
                      <w:spacing w:val="0"/>
                      <w:kern w:val="0"/>
                      <w:sz w:val="21"/>
                      <w:szCs w:val="21"/>
                      <w:vertAlign w:val="baseline"/>
                      <w:lang w:val="en-US" w:eastAsia="zh-CN" w:bidi="ar-SA"/>
                    </w:rPr>
                    <w:t>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185"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与环评</w:t>
                  </w:r>
                  <w:r>
                    <w:rPr>
                      <w:rFonts w:hint="eastAsia" w:ascii="Times New Roman" w:hAnsi="Times New Roman" w:cs="Times New Roman"/>
                      <w:bCs w:val="0"/>
                      <w:spacing w:val="0"/>
                      <w:kern w:val="0"/>
                      <w:sz w:val="21"/>
                      <w:szCs w:val="21"/>
                      <w:vertAlign w:val="baseline"/>
                      <w:lang w:val="en-US" w:eastAsia="zh-CN" w:bidi="ar-SA"/>
                    </w:rPr>
                    <w:t>不</w:t>
                  </w:r>
                  <w:r>
                    <w:rPr>
                      <w:rFonts w:hint="default" w:ascii="Times New Roman" w:hAnsi="Times New Roman" w:eastAsia="宋体" w:cs="Times New Roman"/>
                      <w:bCs w:val="0"/>
                      <w:spacing w:val="0"/>
                      <w:kern w:val="0"/>
                      <w:sz w:val="21"/>
                      <w:szCs w:val="21"/>
                      <w:vertAlign w:val="baseline"/>
                      <w:lang w:val="en-US" w:eastAsia="zh-CN" w:bidi="ar-SA"/>
                    </w:rPr>
                    <w:t>一致</w:t>
                  </w:r>
                  <w:r>
                    <w:rPr>
                      <w:rFonts w:hint="eastAsia" w:ascii="Times New Roman" w:hAnsi="Times New Roman" w:cs="Times New Roman"/>
                      <w:bCs w:val="0"/>
                      <w:spacing w:val="0"/>
                      <w:kern w:val="0"/>
                      <w:sz w:val="21"/>
                      <w:szCs w:val="21"/>
                      <w:vertAlign w:val="baseline"/>
                      <w:lang w:val="en-US" w:eastAsia="zh-CN" w:bidi="ar-SA"/>
                    </w:rPr>
                    <w:t>（少于环评）</w:t>
                  </w:r>
                </w:p>
              </w:tc>
            </w:tr>
          </w:tbl>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ascii="Times New Roman" w:hAnsi="Times New Roman" w:cs="Times New Roman" w:eastAsiaTheme="minorEastAsia"/>
                <w:bCs/>
                <w:color w:val="auto"/>
                <w:kern w:val="2"/>
                <w:sz w:val="24"/>
                <w:szCs w:val="24"/>
              </w:rPr>
            </w:pPr>
            <w:r>
              <w:rPr>
                <w:rFonts w:ascii="Times New Roman" w:hAnsi="Times New Roman" w:cs="Times New Roman" w:eastAsiaTheme="minorEastAsia"/>
                <w:bCs/>
                <w:color w:val="auto"/>
                <w:kern w:val="2"/>
                <w:sz w:val="24"/>
                <w:szCs w:val="24"/>
              </w:rPr>
              <w:t>本次工程用排水平衡见图</w:t>
            </w:r>
            <w:r>
              <w:rPr>
                <w:rFonts w:hint="eastAsia" w:ascii="Times New Roman" w:hAnsi="Times New Roman" w:cs="Times New Roman" w:eastAsiaTheme="minorEastAsia"/>
                <w:bCs/>
                <w:color w:val="auto"/>
                <w:kern w:val="2"/>
                <w:sz w:val="24"/>
                <w:szCs w:val="24"/>
                <w:lang w:val="en-US" w:eastAsia="zh-CN"/>
              </w:rPr>
              <w:t>2-</w:t>
            </w:r>
            <w:r>
              <w:rPr>
                <w:rFonts w:ascii="Times New Roman" w:hAnsi="Times New Roman" w:cs="Times New Roman" w:eastAsiaTheme="minorEastAsia"/>
                <w:bCs/>
                <w:color w:val="auto"/>
                <w:kern w:val="2"/>
                <w:sz w:val="24"/>
                <w:szCs w:val="24"/>
              </w:rPr>
              <w:t>1。</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kern w:val="2"/>
                <w:sz w:val="24"/>
                <w:szCs w:val="24"/>
                <w:lang w:val="en-US" w:eastAsia="zh-CN" w:bidi="ar-SA"/>
              </w:rPr>
            </w:pPr>
            <w:r>
              <w:drawing>
                <wp:inline distT="0" distB="0" distL="114300" distR="114300">
                  <wp:extent cx="5476875" cy="2291080"/>
                  <wp:effectExtent l="0" t="0" r="9525" b="1397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2"/>
                          <a:stretch>
                            <a:fillRect/>
                          </a:stretch>
                        </pic:blipFill>
                        <pic:spPr>
                          <a:xfrm>
                            <a:off x="0" y="0"/>
                            <a:ext cx="5476875" cy="2291080"/>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val="0"/>
                <w:color w:val="auto"/>
                <w:kern w:val="2"/>
                <w:sz w:val="21"/>
                <w:szCs w:val="21"/>
                <w:highlight w:val="none"/>
                <w:lang w:val="en-US" w:eastAsia="zh-CN" w:bidi="ar-SA"/>
              </w:rPr>
            </w:pPr>
            <w:r>
              <w:rPr>
                <w:rFonts w:hint="eastAsia" w:ascii="Times New Roman" w:hAnsi="Times New Roman" w:cs="Times New Roman" w:eastAsiaTheme="minorEastAsia"/>
                <w:b/>
                <w:bCs w:val="0"/>
                <w:color w:val="auto"/>
                <w:kern w:val="2"/>
                <w:sz w:val="21"/>
                <w:szCs w:val="21"/>
                <w:highlight w:val="none"/>
                <w:lang w:val="en-US" w:eastAsia="zh-CN" w:bidi="ar-SA"/>
              </w:rPr>
              <w:t xml:space="preserve">图2-1  </w:t>
            </w:r>
            <w:r>
              <w:rPr>
                <w:rFonts w:ascii="Times New Roman" w:hAnsi="Times New Roman" w:cs="Times New Roman" w:eastAsiaTheme="minorEastAsia"/>
                <w:b/>
                <w:bCs w:val="0"/>
                <w:color w:val="auto"/>
                <w:kern w:val="2"/>
                <w:sz w:val="21"/>
                <w:szCs w:val="21"/>
                <w:highlight w:val="none"/>
              </w:rPr>
              <w:t>工程用排水平衡</w:t>
            </w:r>
            <w:r>
              <w:rPr>
                <w:rFonts w:hint="eastAsia" w:ascii="Times New Roman" w:hAnsi="Times New Roman" w:cs="Times New Roman" w:eastAsiaTheme="minorEastAsia"/>
                <w:b/>
                <w:bCs w:val="0"/>
                <w:color w:val="auto"/>
                <w:kern w:val="2"/>
                <w:sz w:val="21"/>
                <w:szCs w:val="21"/>
                <w:highlight w:val="none"/>
                <w:lang w:eastAsia="zh-CN"/>
              </w:rPr>
              <w:t>图</w:t>
            </w:r>
            <w:r>
              <w:rPr>
                <w:rFonts w:hint="eastAsia" w:ascii="Times New Roman" w:hAnsi="Times New Roman" w:cs="Times New Roman" w:eastAsiaTheme="minorEastAsia"/>
                <w:b/>
                <w:bCs w:val="0"/>
                <w:color w:val="auto"/>
                <w:kern w:val="2"/>
                <w:sz w:val="21"/>
                <w:szCs w:val="21"/>
                <w:highlight w:val="none"/>
                <w:lang w:val="en-US" w:eastAsia="zh-CN"/>
              </w:rPr>
              <w:t xml:space="preserve">    单位：m</w:t>
            </w:r>
            <w:r>
              <w:rPr>
                <w:rFonts w:hint="eastAsia" w:ascii="Times New Roman" w:hAnsi="Times New Roman" w:cs="Times New Roman" w:eastAsiaTheme="minorEastAsia"/>
                <w:b/>
                <w:bCs w:val="0"/>
                <w:color w:val="auto"/>
                <w:kern w:val="2"/>
                <w:sz w:val="21"/>
                <w:szCs w:val="21"/>
                <w:highlight w:val="none"/>
                <w:vertAlign w:val="superscript"/>
                <w:lang w:val="en-US" w:eastAsia="zh-CN"/>
              </w:rPr>
              <w:t>3</w:t>
            </w:r>
            <w:r>
              <w:rPr>
                <w:rFonts w:hint="eastAsia" w:ascii="Times New Roman" w:hAnsi="Times New Roman" w:cs="Times New Roman" w:eastAsiaTheme="minorEastAsia"/>
                <w:b/>
                <w:bCs w:val="0"/>
                <w:color w:val="auto"/>
                <w:kern w:val="2"/>
                <w:sz w:val="21"/>
                <w:szCs w:val="21"/>
                <w:highlight w:val="none"/>
                <w:lang w:val="en-US" w:eastAsia="zh-CN"/>
              </w:rPr>
              <w:t>/a</w:t>
            </w:r>
          </w:p>
          <w:p>
            <w:pPr>
              <w:pStyle w:val="20"/>
              <w:numPr>
                <w:ilvl w:val="0"/>
                <w:numId w:val="3"/>
              </w:numPr>
              <w:spacing w:before="161" w:line="364" w:lineRule="auto"/>
              <w:ind w:left="0" w:right="93" w:firstLine="0"/>
              <w:rPr>
                <w:rFonts w:hint="eastAsia" w:ascii="Times New Roman" w:hAnsi="Times New Roman" w:eastAsia="宋体" w:cs="Times New Roman"/>
                <w:b/>
                <w:spacing w:val="0"/>
                <w:sz w:val="24"/>
                <w:lang w:val="en-US" w:eastAsia="zh-CN"/>
              </w:rPr>
            </w:pPr>
            <w:r>
              <w:rPr>
                <w:rFonts w:hint="eastAsia" w:ascii="Times New Roman" w:hAnsi="Times New Roman" w:eastAsia="宋体" w:cs="Times New Roman"/>
                <w:b/>
                <w:spacing w:val="0"/>
                <w:sz w:val="24"/>
                <w:lang w:val="en-US" w:eastAsia="zh-CN"/>
              </w:rPr>
              <w:t>运营期加油站总工艺流程及产污环节图</w:t>
            </w:r>
          </w:p>
          <w:p>
            <w:pPr>
              <w:keepLines w:val="0"/>
              <w:pageBreakBefore w:val="0"/>
              <w:numPr>
                <w:ilvl w:val="0"/>
                <w:numId w:val="0"/>
              </w:numPr>
              <w:kinsoku/>
              <w:overflowPunct/>
              <w:topLinePunct w:val="0"/>
              <w:bidi w:val="0"/>
              <w:adjustRightInd w:val="0"/>
              <w:snapToGrid w:val="0"/>
              <w:spacing w:line="360" w:lineRule="auto"/>
              <w:ind w:left="480" w:leftChars="0" w:right="0" w:rightChars="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加油站总工艺流程及产污环节见图</w:t>
            </w:r>
            <w:r>
              <w:rPr>
                <w:rFonts w:hint="eastAsia" w:ascii="Times New Roman" w:hAnsi="Times New Roman"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w:t>
            </w:r>
          </w:p>
          <w:p>
            <w:pPr>
              <w:keepLines w:val="0"/>
              <w:pageBreakBefore w:val="0"/>
              <w:numPr>
                <w:ilvl w:val="0"/>
                <w:numId w:val="0"/>
              </w:numPr>
              <w:kinsoku/>
              <w:overflowPunct/>
              <w:topLinePunct w:val="0"/>
              <w:bidi w:val="0"/>
              <w:adjustRightInd w:val="0"/>
              <w:snapToGrid w:val="0"/>
              <w:spacing w:line="360" w:lineRule="auto"/>
              <w:ind w:right="0" w:rightChars="0"/>
              <w:jc w:val="center"/>
              <w:outlineLvl w:val="9"/>
              <w:rPr>
                <w:rFonts w:hint="default" w:ascii="Times New Roman" w:hAnsi="Times New Roman" w:eastAsia="宋体" w:cs="Times New Roman"/>
                <w:color w:val="auto"/>
                <w:sz w:val="24"/>
                <w:szCs w:val="24"/>
                <w:lang w:val="en-US" w:eastAsia="zh-CN"/>
              </w:rPr>
            </w:pPr>
            <w:r>
              <w:drawing>
                <wp:inline distT="0" distB="0" distL="114300" distR="114300">
                  <wp:extent cx="5401945" cy="2297430"/>
                  <wp:effectExtent l="0" t="0" r="8255" b="762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3"/>
                          <a:stretch>
                            <a:fillRect/>
                          </a:stretch>
                        </pic:blipFill>
                        <pic:spPr>
                          <a:xfrm>
                            <a:off x="0" y="0"/>
                            <a:ext cx="5401945" cy="2297430"/>
                          </a:xfrm>
                          <a:prstGeom prst="rect">
                            <a:avLst/>
                          </a:prstGeom>
                          <a:noFill/>
                          <a:ln>
                            <a:noFill/>
                          </a:ln>
                        </pic:spPr>
                      </pic:pic>
                    </a:graphicData>
                  </a:graphic>
                </wp:inline>
              </w:drawing>
            </w:r>
          </w:p>
          <w:p>
            <w:pPr>
              <w:keepLines w:val="0"/>
              <w:pageBreakBefore w:val="0"/>
              <w:numPr>
                <w:ilvl w:val="0"/>
                <w:numId w:val="0"/>
              </w:numPr>
              <w:kinsoku/>
              <w:overflowPunct/>
              <w:topLinePunct w:val="0"/>
              <w:bidi w:val="0"/>
              <w:adjustRightInd w:val="0"/>
              <w:snapToGrid w:val="0"/>
              <w:spacing w:line="360" w:lineRule="auto"/>
              <w:ind w:right="0" w:rightChars="0"/>
              <w:jc w:val="center"/>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sz w:val="21"/>
                <w:szCs w:val="21"/>
                <w:lang w:val="en-US" w:eastAsia="zh-CN"/>
              </w:rPr>
              <w:t>图</w:t>
            </w:r>
            <w:r>
              <w:rPr>
                <w:rFonts w:hint="eastAsia" w:ascii="Times New Roman" w:hAnsi="Times New Roman" w:cs="Times New Roman"/>
                <w:b/>
                <w:bCs/>
                <w:sz w:val="21"/>
                <w:szCs w:val="21"/>
                <w:lang w:val="en-US" w:eastAsia="zh-CN"/>
              </w:rPr>
              <w:t>2-2</w:t>
            </w:r>
            <w:r>
              <w:rPr>
                <w:rFonts w:hint="default" w:ascii="Times New Roman" w:hAnsi="Times New Roman" w:cs="Times New Roman"/>
                <w:b/>
                <w:bCs/>
                <w:sz w:val="21"/>
                <w:szCs w:val="21"/>
                <w:lang w:val="en-US" w:eastAsia="zh-CN"/>
              </w:rPr>
              <w:t xml:space="preserve">  </w:t>
            </w:r>
            <w:r>
              <w:rPr>
                <w:rFonts w:hint="default" w:ascii="Times New Roman" w:hAnsi="Times New Roman" w:eastAsia="宋体" w:cs="Times New Roman"/>
                <w:b/>
                <w:bCs/>
                <w:color w:val="auto"/>
                <w:sz w:val="21"/>
                <w:szCs w:val="21"/>
                <w:lang w:val="en-US" w:eastAsia="zh-CN"/>
              </w:rPr>
              <w:t>加油站总工艺流程及产污环节图</w:t>
            </w:r>
          </w:p>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工艺流程及产污环节简述：</w:t>
            </w:r>
          </w:p>
          <w:p>
            <w:pPr>
              <w:pStyle w:val="5"/>
              <w:keepLines w:val="0"/>
              <w:pageBreakBefore w:val="0"/>
              <w:numPr>
                <w:ilvl w:val="0"/>
                <w:numId w:val="4"/>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卸油</w:t>
            </w:r>
          </w:p>
          <w:p>
            <w:pPr>
              <w:pStyle w:val="5"/>
              <w:keepLines w:val="0"/>
              <w:pageBreakBefore w:val="0"/>
              <w:numPr>
                <w:ilvl w:val="-1"/>
                <w:numId w:val="0"/>
              </w:numPr>
              <w:kinsoku/>
              <w:overflowPunct/>
              <w:topLinePunct w:val="0"/>
              <w:autoSpaceDE/>
              <w:autoSpaceDN/>
              <w:bidi w:val="0"/>
              <w:adjustRightInd/>
              <w:snapToGrid/>
              <w:spacing w:afterLines="0" w:line="360" w:lineRule="auto"/>
              <w:ind w:left="0" w:leftChars="0" w:right="0" w:rightChars="0" w:firstLine="480" w:firstLineChars="200"/>
              <w:outlineLvl w:val="9"/>
              <w:rPr>
                <w:rFonts w:hint="default"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油罐车将成品油运至加油站处，本项目储油罐均为埋地式，采用浸没式密闭卸油方式，将成品油分别卸到个储油罐中。在卸油过程中，由于机械力的作用，加剧了油品的挥发程度，产生了油气。而储油罐中的气体空间随着油品的液位升高而减少，气体压力增大。为保持压力的平衡，一部分气体通过呼吸阀排出，形成了“大呼吸”的油气排放。</w:t>
            </w:r>
          </w:p>
          <w:p>
            <w:pPr>
              <w:pStyle w:val="5"/>
              <w:keepLines w:val="0"/>
              <w:pageBreakBefore w:val="0"/>
              <w:numPr>
                <w:ilvl w:val="0"/>
                <w:numId w:val="4"/>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储油</w:t>
            </w:r>
          </w:p>
          <w:p>
            <w:pPr>
              <w:pStyle w:val="5"/>
              <w:keepLines w:val="0"/>
              <w:pageBreakBefore w:val="0"/>
              <w:numPr>
                <w:ilvl w:val="-1"/>
                <w:numId w:val="0"/>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成品油在储罐内静置储存过程中，储油罐内的温度昼夜有规律变化。白天温度升高，热量使油气膨胀，压力增高，造成油气的挥发；晚间温度降低，罐内气体压力降低，吸入新鲜空气，为平衡蒸气压，油气从液相中蒸发，至止油面上的气体达到新的饱和蒸气压，造成油气的挥发。上述过程昼夜交替进行，形成了“小呼吸”的油气排放。</w:t>
            </w:r>
          </w:p>
          <w:p>
            <w:pPr>
              <w:pStyle w:val="5"/>
              <w:keepLines w:val="0"/>
              <w:pageBreakBefore w:val="0"/>
              <w:numPr>
                <w:ilvl w:val="0"/>
                <w:numId w:val="4"/>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加油</w:t>
            </w:r>
          </w:p>
          <w:p>
            <w:pPr>
              <w:pStyle w:val="5"/>
              <w:keepLines w:val="0"/>
              <w:pageBreakBefore w:val="0"/>
              <w:numPr>
                <w:ilvl w:val="-1"/>
                <w:numId w:val="0"/>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在用车向油箱加油时，先通过加油机本身自带的压力泵将埋地罐中的成品油送至加油机计量系统进行计量，然后再通过与加油机连接点加油枪将油品送至车用油箱中，每个加油枪设单独管线吸油。此时，若不进行油气回收，产生的油气在车用油箱的加油口处无组织排放。</w:t>
            </w:r>
          </w:p>
          <w:p>
            <w:pPr>
              <w:pStyle w:val="7"/>
              <w:spacing w:before="0" w:line="360" w:lineRule="auto"/>
              <w:ind w:left="0" w:firstLine="480" w:firstLineChars="200"/>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项目安装分散式油气回收系统回收汽油加油、储油、卸油过程中产生的油气进行密闭收集、储存和回收处理，抑制油气无组织逸散挥发，达到保护环境及顾客、员工身体健康的目的。</w:t>
            </w:r>
          </w:p>
          <w:p>
            <w:pPr>
              <w:numPr>
                <w:ilvl w:val="0"/>
                <w:numId w:val="4"/>
              </w:numPr>
              <w:spacing w:line="360" w:lineRule="auto"/>
              <w:ind w:firstLine="480" w:firstLineChars="200"/>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三次油气回收装置工艺</w:t>
            </w:r>
          </w:p>
          <w:p>
            <w:pPr>
              <w:tabs>
                <w:tab w:val="left" w:pos="924"/>
              </w:tabs>
              <w:adjustRightInd w:val="0"/>
              <w:snapToGrid w:val="0"/>
              <w:spacing w:line="360" w:lineRule="auto"/>
              <w:ind w:firstLine="480" w:firstLineChars="200"/>
              <w:rPr>
                <w:snapToGrid w:val="0"/>
                <w:color w:val="auto"/>
                <w:kern w:val="0"/>
                <w:sz w:val="24"/>
                <w:szCs w:val="24"/>
              </w:rPr>
            </w:pPr>
            <w:r>
              <w:rPr>
                <w:rFonts w:hint="eastAsia"/>
                <w:snapToGrid w:val="0"/>
                <w:color w:val="auto"/>
                <w:kern w:val="0"/>
                <w:sz w:val="24"/>
                <w:szCs w:val="24"/>
                <w:lang w:eastAsia="zh-CN"/>
              </w:rPr>
              <w:t>本项目</w:t>
            </w:r>
            <w:r>
              <w:rPr>
                <w:snapToGrid w:val="0"/>
                <w:color w:val="auto"/>
                <w:kern w:val="0"/>
                <w:sz w:val="24"/>
                <w:szCs w:val="24"/>
              </w:rPr>
              <w:t>使用冷凝+吸附的方法进行第三次油气回收。</w:t>
            </w:r>
          </w:p>
          <w:p>
            <w:pPr>
              <w:tabs>
                <w:tab w:val="left" w:pos="924"/>
              </w:tabs>
              <w:adjustRightInd w:val="0"/>
              <w:snapToGrid w:val="0"/>
              <w:spacing w:line="360" w:lineRule="auto"/>
              <w:ind w:firstLine="480" w:firstLineChars="200"/>
              <w:rPr>
                <w:snapToGrid w:val="0"/>
                <w:color w:val="auto"/>
                <w:kern w:val="0"/>
                <w:sz w:val="24"/>
                <w:szCs w:val="24"/>
              </w:rPr>
            </w:pPr>
            <w:r>
              <w:rPr>
                <w:snapToGrid w:val="0"/>
                <w:color w:val="auto"/>
                <w:kern w:val="0"/>
                <w:sz w:val="24"/>
                <w:szCs w:val="24"/>
              </w:rPr>
              <w:t>冷凝法：是利用油气在不同温度和压力下具有不同的饱和蒸气压，通过降低温度或增加压力，使油气首先凝结出来。</w:t>
            </w:r>
          </w:p>
          <w:p>
            <w:pPr>
              <w:tabs>
                <w:tab w:val="left" w:pos="924"/>
              </w:tabs>
              <w:adjustRightInd w:val="0"/>
              <w:snapToGrid w:val="0"/>
              <w:spacing w:line="360" w:lineRule="auto"/>
              <w:ind w:firstLine="480" w:firstLineChars="200"/>
              <w:rPr>
                <w:snapToGrid w:val="0"/>
                <w:color w:val="auto"/>
                <w:kern w:val="0"/>
                <w:sz w:val="24"/>
                <w:szCs w:val="24"/>
              </w:rPr>
            </w:pPr>
            <w:r>
              <w:rPr>
                <w:snapToGrid w:val="0"/>
                <w:color w:val="auto"/>
                <w:kern w:val="0"/>
                <w:sz w:val="24"/>
                <w:szCs w:val="24"/>
              </w:rPr>
              <w:t>吸附法：是利用油气中各组分与吸附剂(活性炭、活性炭纤维、硅胶、分子筛等)间结合力不同，实现难吸附组分与易吸附组分的分离。因为所用吸附剂价廉易得，处理效果好，所以应用最为广泛。</w:t>
            </w:r>
          </w:p>
          <w:p>
            <w:pPr>
              <w:tabs>
                <w:tab w:val="left" w:pos="924"/>
              </w:tabs>
              <w:adjustRightInd w:val="0"/>
              <w:snapToGrid w:val="0"/>
              <w:spacing w:line="360" w:lineRule="auto"/>
              <w:ind w:firstLine="480" w:firstLineChars="200"/>
              <w:rPr>
                <w:rFonts w:hint="eastAsia"/>
                <w:lang w:val="en-US" w:eastAsia="zh-CN"/>
              </w:rPr>
            </w:pPr>
            <w:r>
              <w:rPr>
                <w:bCs/>
                <w:snapToGrid w:val="0"/>
                <w:color w:val="auto"/>
                <w:kern w:val="0"/>
                <w:sz w:val="24"/>
                <w:szCs w:val="24"/>
              </w:rPr>
              <w:t>先采用二级冷凝将油气冷凝到-40度至-50度，通过二级冷凝后85%以上的油气都液化了，未冷凝为液态的浓度较低的油气再通过一个吸附系统，对油气进行富集，使油气浓度大大提高，同时体积大大减小了，这时富集的油气再进入三级冷凝系统深度冷凝，此时三级冷凝器的功率就大大的减小了。</w:t>
            </w:r>
          </w:p>
          <w:p>
            <w:pPr>
              <w:pStyle w:val="20"/>
              <w:numPr>
                <w:ilvl w:val="0"/>
                <w:numId w:val="3"/>
              </w:numPr>
              <w:spacing w:before="161" w:line="364" w:lineRule="auto"/>
              <w:ind w:left="0" w:right="93" w:firstLine="0"/>
              <w:rPr>
                <w:rFonts w:hint="eastAsia" w:ascii="Times New Roman" w:hAnsi="Times New Roman" w:eastAsia="宋体" w:cs="Times New Roman"/>
                <w:b/>
                <w:spacing w:val="0"/>
                <w:sz w:val="24"/>
                <w:lang w:val="en-US" w:eastAsia="zh-CN"/>
              </w:rPr>
            </w:pPr>
            <w:r>
              <w:rPr>
                <w:rFonts w:hint="eastAsia" w:ascii="Times New Roman" w:hAnsi="Times New Roman" w:eastAsia="宋体" w:cs="Times New Roman"/>
                <w:b/>
                <w:spacing w:val="0"/>
                <w:sz w:val="24"/>
                <w:lang w:val="en-US" w:eastAsia="zh-CN"/>
              </w:rPr>
              <w:t>项目变动情况</w:t>
            </w:r>
          </w:p>
          <w:p>
            <w:pPr>
              <w:keepNext w:val="0"/>
              <w:keepLines w:val="0"/>
              <w:pageBreakBefore w:val="0"/>
              <w:widowControl/>
              <w:numPr>
                <w:ilvl w:val="-1"/>
                <w:numId w:val="0"/>
              </w:numPr>
              <w:kinsoku/>
              <w:wordWrap/>
              <w:overflowPunct/>
              <w:topLinePunct w:val="0"/>
              <w:autoSpaceDE/>
              <w:autoSpaceDN/>
              <w:bidi w:val="0"/>
              <w:adjustRightInd w:val="0"/>
              <w:snapToGrid w:val="0"/>
              <w:spacing w:after="0" w:afterLines="0" w:line="360" w:lineRule="auto"/>
              <w:ind w:firstLine="480" w:firstLineChars="200"/>
              <w:textAlignment w:val="auto"/>
              <w:outlineLvl w:val="9"/>
              <w:rPr>
                <w:rFonts w:hint="default" w:ascii="Times New Roman" w:hAnsi="Times New Roman" w:cs="Times New Roman" w:eastAsiaTheme="minorEastAsia"/>
                <w:b w:val="0"/>
                <w:color w:val="auto"/>
                <w:sz w:val="24"/>
                <w:szCs w:val="24"/>
              </w:rPr>
            </w:pPr>
            <w:r>
              <w:rPr>
                <w:rFonts w:hint="default" w:ascii="Times New Roman" w:hAnsi="Times New Roman" w:cs="Times New Roman" w:eastAsiaTheme="minorEastAsia"/>
                <w:b w:val="0"/>
                <w:color w:val="000000"/>
                <w:sz w:val="24"/>
                <w:szCs w:val="24"/>
              </w:rPr>
              <w:t>根据现场调查，本项目实际建设情况及原环评内容变化情况见表</w:t>
            </w:r>
            <w:r>
              <w:rPr>
                <w:rFonts w:hint="eastAsia" w:ascii="Times New Roman" w:hAnsi="Times New Roman" w:cs="Times New Roman" w:eastAsiaTheme="minorEastAsia"/>
                <w:b w:val="0"/>
                <w:color w:val="000000"/>
                <w:sz w:val="24"/>
                <w:szCs w:val="24"/>
                <w:lang w:val="en-US" w:eastAsia="zh-CN"/>
              </w:rPr>
              <w:t>2-</w:t>
            </w:r>
            <w:r>
              <w:rPr>
                <w:rFonts w:hint="eastAsia" w:ascii="Times New Roman" w:hAnsi="Times New Roman" w:cs="Times New Roman" w:eastAsiaTheme="minorEastAsia"/>
                <w:b w:val="0"/>
                <w:color w:val="auto"/>
                <w:sz w:val="24"/>
                <w:szCs w:val="24"/>
                <w:lang w:val="en-US" w:eastAsia="zh-CN"/>
              </w:rPr>
              <w:t>6</w:t>
            </w:r>
            <w:r>
              <w:rPr>
                <w:rFonts w:hint="default" w:ascii="Times New Roman" w:hAnsi="Times New Roman" w:cs="Times New Roman" w:eastAsiaTheme="minorEastAsia"/>
                <w:b w:val="0"/>
                <w:color w:val="auto"/>
                <w:sz w:val="24"/>
                <w:szCs w:val="24"/>
              </w:rPr>
              <w:t>。</w:t>
            </w:r>
          </w:p>
          <w:p>
            <w:pPr>
              <w:keepNext w:val="0"/>
              <w:keepLines w:val="0"/>
              <w:pageBreakBefore w:val="0"/>
              <w:widowControl/>
              <w:numPr>
                <w:ilvl w:val="-1"/>
                <w:numId w:val="0"/>
              </w:numPr>
              <w:kinsoku/>
              <w:wordWrap/>
              <w:overflowPunct/>
              <w:topLinePunct w:val="0"/>
              <w:autoSpaceDE/>
              <w:autoSpaceDN/>
              <w:bidi w:val="0"/>
              <w:adjustRightInd w:val="0"/>
              <w:snapToGrid w:val="0"/>
              <w:spacing w:after="0" w:afterLines="0" w:line="360" w:lineRule="auto"/>
              <w:ind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auto"/>
                <w:sz w:val="21"/>
                <w:szCs w:val="21"/>
                <w:lang w:val="en-US" w:eastAsia="zh-CN"/>
              </w:rPr>
              <w:t>表</w:t>
            </w:r>
            <w:r>
              <w:rPr>
                <w:rFonts w:hint="eastAsia" w:ascii="Times New Roman" w:hAnsi="Times New Roman" w:cs="Times New Roman" w:eastAsiaTheme="minorEastAsia"/>
                <w:b/>
                <w:bCs/>
                <w:color w:val="auto"/>
                <w:sz w:val="21"/>
                <w:szCs w:val="21"/>
                <w:lang w:val="en-US" w:eastAsia="zh-CN"/>
              </w:rPr>
              <w:t>2-6</w:t>
            </w:r>
            <w:r>
              <w:rPr>
                <w:rFonts w:hint="default" w:ascii="Times New Roman" w:hAnsi="Times New Roman" w:cs="Times New Roman" w:eastAsiaTheme="minorEastAsia"/>
                <w:b/>
                <w:bCs/>
                <w:color w:val="auto"/>
                <w:sz w:val="21"/>
                <w:szCs w:val="21"/>
                <w:lang w:val="en-US" w:eastAsia="zh-CN"/>
              </w:rPr>
              <w:t xml:space="preserve">  </w:t>
            </w:r>
            <w:r>
              <w:rPr>
                <w:rFonts w:hint="default" w:ascii="Times New Roman" w:hAnsi="Times New Roman" w:cs="Times New Roman" w:eastAsiaTheme="minorEastAsia"/>
                <w:b/>
                <w:bCs/>
                <w:sz w:val="21"/>
                <w:szCs w:val="21"/>
              </w:rPr>
              <w:t>项目变动情况一览表</w:t>
            </w:r>
          </w:p>
          <w:tbl>
            <w:tblPr>
              <w:tblStyle w:val="16"/>
              <w:tblW w:w="9354"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73"/>
              <w:gridCol w:w="622"/>
              <w:gridCol w:w="2960"/>
              <w:gridCol w:w="16"/>
              <w:gridCol w:w="2982"/>
              <w:gridCol w:w="855"/>
              <w:gridCol w:w="571"/>
              <w:gridCol w:w="6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jc w:val="center"/>
              </w:trPr>
              <w:tc>
                <w:tcPr>
                  <w:tcW w:w="1295" w:type="dxa"/>
                  <w:gridSpan w:val="2"/>
                  <w:vMerge w:val="restart"/>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分类</w:t>
                  </w:r>
                </w:p>
              </w:tc>
              <w:tc>
                <w:tcPr>
                  <w:tcW w:w="5958" w:type="dxa"/>
                  <w:gridSpan w:val="3"/>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内容及规模</w:t>
                  </w:r>
                </w:p>
              </w:tc>
              <w:tc>
                <w:tcPr>
                  <w:tcW w:w="855" w:type="dxa"/>
                  <w:vMerge w:val="restart"/>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变动情况</w:t>
                  </w:r>
                </w:p>
              </w:tc>
              <w:tc>
                <w:tcPr>
                  <w:tcW w:w="571" w:type="dxa"/>
                  <w:vMerge w:val="restart"/>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变动原因</w:t>
                  </w:r>
                </w:p>
              </w:tc>
              <w:tc>
                <w:tcPr>
                  <w:tcW w:w="675" w:type="dxa"/>
                  <w:vMerge w:val="restart"/>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pacing w:val="0"/>
                      <w:sz w:val="21"/>
                      <w:szCs w:val="21"/>
                    </w:rPr>
                    <w:t>是否属于</w:t>
                  </w:r>
                  <w:r>
                    <w:rPr>
                      <w:rFonts w:ascii="Times New Roman" w:hAnsi="Times New Roman" w:eastAsia="宋体" w:cs="Times New Roman"/>
                      <w:spacing w:val="0"/>
                      <w:w w:val="100"/>
                      <w:sz w:val="21"/>
                      <w:szCs w:val="21"/>
                    </w:rPr>
                    <w:t>重大</w:t>
                  </w:r>
                </w:p>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pacing w:val="0"/>
                      <w:w w:val="100"/>
                      <w:sz w:val="21"/>
                      <w:szCs w:val="21"/>
                    </w:rPr>
                    <w:t>变动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95" w:type="dxa"/>
                  <w:gridSpan w:val="2"/>
                  <w:vMerge w:val="continue"/>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p>
              </w:tc>
              <w:tc>
                <w:tcPr>
                  <w:tcW w:w="2960"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环评</w:t>
                  </w:r>
                  <w:r>
                    <w:rPr>
                      <w:rFonts w:hint="eastAsia" w:ascii="Times New Roman" w:hAnsi="Times New Roman" w:cs="Times New Roman"/>
                      <w:sz w:val="21"/>
                      <w:szCs w:val="21"/>
                      <w:lang w:eastAsia="zh-CN"/>
                    </w:rPr>
                    <w:t>报告</w:t>
                  </w:r>
                  <w:r>
                    <w:rPr>
                      <w:rFonts w:ascii="Times New Roman" w:hAnsi="Times New Roman" w:eastAsia="宋体" w:cs="Times New Roman"/>
                      <w:sz w:val="21"/>
                      <w:szCs w:val="21"/>
                    </w:rPr>
                    <w:t>建设内容</w:t>
                  </w:r>
                </w:p>
              </w:tc>
              <w:tc>
                <w:tcPr>
                  <w:tcW w:w="2998" w:type="dxa"/>
                  <w:gridSpan w:val="2"/>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实际建设内容</w:t>
                  </w:r>
                </w:p>
              </w:tc>
              <w:tc>
                <w:tcPr>
                  <w:tcW w:w="855"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571"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675"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95" w:type="dxa"/>
                  <w:gridSpan w:val="2"/>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建设地点</w:t>
                  </w:r>
                </w:p>
              </w:tc>
              <w:tc>
                <w:tcPr>
                  <w:tcW w:w="2960" w:type="dxa"/>
                  <w:tcBorders>
                    <w:tl2br w:val="nil"/>
                    <w:tr2bl w:val="nil"/>
                  </w:tcBorders>
                  <w:vAlign w:val="center"/>
                </w:tcPr>
                <w:p>
                  <w:pPr>
                    <w:pStyle w:val="20"/>
                    <w:widowControl w:val="0"/>
                    <w:autoSpaceDE w:val="0"/>
                    <w:autoSpaceDN w:val="0"/>
                    <w:adjustRightInd/>
                    <w:snapToGrid/>
                    <w:spacing w:before="1" w:after="0" w:afterLines="-2147483648"/>
                    <w:ind w:left="11" w:leftChars="0" w:right="2" w:rightChars="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陕西省咸阳市泾阳县西咸北环高速公路泾阳服务区</w:t>
                  </w:r>
                  <w:r>
                    <w:rPr>
                      <w:rFonts w:hint="eastAsia" w:ascii="Times New Roman" w:hAnsi="Times New Roman" w:cs="Times New Roman"/>
                      <w:sz w:val="21"/>
                      <w:szCs w:val="21"/>
                      <w:lang w:val="en-US" w:eastAsia="zh-CN"/>
                    </w:rPr>
                    <w:t>南</w:t>
                  </w:r>
                  <w:r>
                    <w:rPr>
                      <w:rFonts w:hint="eastAsia" w:ascii="Times New Roman" w:hAnsi="Times New Roman" w:eastAsia="宋体" w:cs="Times New Roman"/>
                      <w:sz w:val="21"/>
                      <w:szCs w:val="21"/>
                      <w:lang w:val="en-US" w:eastAsia="zh-CN"/>
                    </w:rPr>
                    <w:t>区</w:t>
                  </w:r>
                </w:p>
              </w:tc>
              <w:tc>
                <w:tcPr>
                  <w:tcW w:w="2998" w:type="dxa"/>
                  <w:gridSpan w:val="2"/>
                  <w:tcBorders>
                    <w:tl2br w:val="nil"/>
                    <w:tr2bl w:val="nil"/>
                  </w:tcBorders>
                  <w:vAlign w:val="center"/>
                </w:tcPr>
                <w:p>
                  <w:pPr>
                    <w:pStyle w:val="20"/>
                    <w:widowControl w:val="0"/>
                    <w:autoSpaceDE w:val="0"/>
                    <w:autoSpaceDN w:val="0"/>
                    <w:adjustRightInd/>
                    <w:snapToGrid/>
                    <w:spacing w:before="1" w:after="0" w:afterLines="-2147483648"/>
                    <w:ind w:left="11" w:leftChars="0" w:right="2" w:rightChars="0"/>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陕西省咸阳市泾阳县西咸北环</w:t>
                  </w:r>
                  <w:r>
                    <w:rPr>
                      <w:rFonts w:hint="default" w:ascii="Times New Roman" w:hAnsi="Times New Roman" w:eastAsia="宋体" w:cs="Times New Roman"/>
                      <w:sz w:val="21"/>
                      <w:szCs w:val="21"/>
                    </w:rPr>
                    <w:t>高速</w:t>
                  </w:r>
                  <w:r>
                    <w:rPr>
                      <w:rFonts w:hint="eastAsia" w:ascii="Times New Roman" w:hAnsi="Times New Roman" w:eastAsia="宋体" w:cs="Times New Roman"/>
                      <w:sz w:val="21"/>
                      <w:szCs w:val="21"/>
                      <w:lang w:eastAsia="zh-CN"/>
                    </w:rPr>
                    <w:t>公路泾阳</w:t>
                  </w:r>
                  <w:r>
                    <w:rPr>
                      <w:rFonts w:hint="default" w:ascii="Times New Roman" w:hAnsi="Times New Roman" w:eastAsia="宋体" w:cs="Times New Roman"/>
                      <w:sz w:val="21"/>
                      <w:szCs w:val="21"/>
                    </w:rPr>
                    <w:t>服务区</w:t>
                  </w:r>
                  <w:r>
                    <w:rPr>
                      <w:rFonts w:hint="eastAsia" w:ascii="Times New Roman" w:hAnsi="Times New Roman" w:cs="Times New Roman"/>
                      <w:sz w:val="21"/>
                      <w:szCs w:val="21"/>
                      <w:lang w:eastAsia="zh-CN"/>
                    </w:rPr>
                    <w:t>南</w:t>
                  </w:r>
                  <w:r>
                    <w:rPr>
                      <w:rFonts w:hint="default" w:ascii="Times New Roman" w:hAnsi="Times New Roman" w:eastAsia="宋体" w:cs="Times New Roman"/>
                      <w:sz w:val="21"/>
                      <w:szCs w:val="21"/>
                    </w:rPr>
                    <w:t>区</w:t>
                  </w:r>
                </w:p>
              </w:tc>
              <w:tc>
                <w:tcPr>
                  <w:tcW w:w="85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未变化</w:t>
                  </w:r>
                </w:p>
              </w:tc>
              <w:tc>
                <w:tcPr>
                  <w:tcW w:w="571"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w:t>
                  </w:r>
                </w:p>
              </w:tc>
              <w:tc>
                <w:tcPr>
                  <w:tcW w:w="67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jc w:val="center"/>
              </w:trPr>
              <w:tc>
                <w:tcPr>
                  <w:tcW w:w="1295" w:type="dxa"/>
                  <w:gridSpan w:val="2"/>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highlight w:val="none"/>
                    </w:rPr>
                    <w:t>平面布置</w:t>
                  </w:r>
                </w:p>
              </w:tc>
              <w:tc>
                <w:tcPr>
                  <w:tcW w:w="2960" w:type="dxa"/>
                  <w:tcBorders>
                    <w:tl2br w:val="nil"/>
                    <w:tr2bl w:val="nil"/>
                  </w:tcBorders>
                  <w:vAlign w:val="center"/>
                </w:tcPr>
                <w:p>
                  <w:pPr>
                    <w:autoSpaceDE w:val="0"/>
                    <w:autoSpaceDN w:val="0"/>
                    <w:spacing w:before="0" w:after="0"/>
                    <w:jc w:val="both"/>
                    <w:rPr>
                      <w:rFonts w:ascii="Times New Roman" w:hAnsi="Times New Roman" w:eastAsia="宋体" w:cs="Times New Roman"/>
                      <w:sz w:val="21"/>
                      <w:szCs w:val="21"/>
                    </w:rPr>
                  </w:pPr>
                  <w:r>
                    <w:rPr>
                      <w:rFonts w:ascii="Times New Roman" w:hAnsi="Times New Roman" w:eastAsia="宋体" w:cs="Times New Roman"/>
                      <w:w w:val="100"/>
                      <w:sz w:val="21"/>
                      <w:szCs w:val="21"/>
                    </w:rPr>
                    <w:t>站房在</w:t>
                  </w:r>
                  <w:r>
                    <w:rPr>
                      <w:rFonts w:hint="eastAsia" w:ascii="Times New Roman" w:hAnsi="Times New Roman" w:cs="Times New Roman"/>
                      <w:w w:val="100"/>
                      <w:sz w:val="21"/>
                      <w:szCs w:val="21"/>
                      <w:lang w:eastAsia="zh-CN"/>
                    </w:rPr>
                    <w:t>站区中侧</w:t>
                  </w:r>
                  <w:r>
                    <w:rPr>
                      <w:rFonts w:ascii="Times New Roman" w:hAnsi="Times New Roman" w:eastAsia="宋体" w:cs="Times New Roman"/>
                      <w:w w:val="100"/>
                      <w:sz w:val="21"/>
                      <w:szCs w:val="21"/>
                    </w:rPr>
                    <w:t>，储罐区在</w:t>
                  </w:r>
                  <w:r>
                    <w:rPr>
                      <w:rFonts w:hint="eastAsia" w:ascii="Times New Roman" w:hAnsi="Times New Roman" w:cs="Times New Roman"/>
                      <w:w w:val="100"/>
                      <w:sz w:val="21"/>
                      <w:szCs w:val="21"/>
                      <w:lang w:eastAsia="zh-CN"/>
                    </w:rPr>
                    <w:t>站区西北侧</w:t>
                  </w:r>
                  <w:r>
                    <w:rPr>
                      <w:rFonts w:ascii="Times New Roman" w:hAnsi="Times New Roman" w:eastAsia="宋体" w:cs="Times New Roman"/>
                      <w:w w:val="100"/>
                      <w:sz w:val="21"/>
                      <w:szCs w:val="21"/>
                    </w:rPr>
                    <w:t>，加油区布置在</w:t>
                  </w:r>
                  <w:r>
                    <w:rPr>
                      <w:rFonts w:hint="eastAsia" w:ascii="Times New Roman" w:hAnsi="Times New Roman" w:cs="Times New Roman"/>
                      <w:w w:val="100"/>
                      <w:sz w:val="21"/>
                      <w:szCs w:val="21"/>
                      <w:lang w:eastAsia="zh-CN"/>
                    </w:rPr>
                    <w:t>站区</w:t>
                  </w:r>
                  <w:r>
                    <w:rPr>
                      <w:rFonts w:hint="eastAsia" w:ascii="Times New Roman" w:hAnsi="Times New Roman" w:eastAsia="宋体" w:cs="Times New Roman"/>
                      <w:w w:val="100"/>
                      <w:sz w:val="21"/>
                      <w:szCs w:val="21"/>
                      <w:lang w:eastAsia="zh-CN"/>
                    </w:rPr>
                    <w:t>南</w:t>
                  </w:r>
                  <w:r>
                    <w:rPr>
                      <w:rFonts w:ascii="Times New Roman" w:hAnsi="Times New Roman" w:eastAsia="宋体" w:cs="Times New Roman"/>
                      <w:w w:val="100"/>
                      <w:sz w:val="21"/>
                      <w:szCs w:val="21"/>
                    </w:rPr>
                    <w:t>部</w:t>
                  </w:r>
                </w:p>
              </w:tc>
              <w:tc>
                <w:tcPr>
                  <w:tcW w:w="2998" w:type="dxa"/>
                  <w:gridSpan w:val="2"/>
                  <w:tcBorders>
                    <w:tl2br w:val="nil"/>
                    <w:tr2bl w:val="nil"/>
                  </w:tcBorders>
                  <w:vAlign w:val="center"/>
                </w:tcPr>
                <w:p>
                  <w:pPr>
                    <w:autoSpaceDE w:val="0"/>
                    <w:autoSpaceDN w:val="0"/>
                    <w:spacing w:before="0" w:after="0"/>
                    <w:jc w:val="both"/>
                    <w:rPr>
                      <w:rFonts w:hint="eastAsia" w:ascii="Times New Roman" w:hAnsi="Times New Roman" w:eastAsia="宋体" w:cs="Times New Roman"/>
                      <w:sz w:val="21"/>
                      <w:szCs w:val="21"/>
                      <w:lang w:eastAsia="zh-CN"/>
                    </w:rPr>
                  </w:pPr>
                  <w:r>
                    <w:rPr>
                      <w:rFonts w:ascii="Times New Roman" w:hAnsi="Times New Roman" w:eastAsia="宋体" w:cs="Times New Roman"/>
                      <w:w w:val="100"/>
                      <w:sz w:val="21"/>
                      <w:szCs w:val="21"/>
                    </w:rPr>
                    <w:t>站房在</w:t>
                  </w:r>
                  <w:r>
                    <w:rPr>
                      <w:rFonts w:hint="eastAsia" w:ascii="Times New Roman" w:hAnsi="Times New Roman" w:cs="Times New Roman"/>
                      <w:w w:val="100"/>
                      <w:sz w:val="21"/>
                      <w:szCs w:val="21"/>
                      <w:lang w:eastAsia="zh-CN"/>
                    </w:rPr>
                    <w:t>站区中侧</w:t>
                  </w:r>
                  <w:r>
                    <w:rPr>
                      <w:rFonts w:ascii="Times New Roman" w:hAnsi="Times New Roman" w:eastAsia="宋体" w:cs="Times New Roman"/>
                      <w:w w:val="100"/>
                      <w:sz w:val="21"/>
                      <w:szCs w:val="21"/>
                    </w:rPr>
                    <w:t>，储罐区在</w:t>
                  </w:r>
                  <w:r>
                    <w:rPr>
                      <w:rFonts w:hint="eastAsia" w:ascii="Times New Roman" w:hAnsi="Times New Roman" w:cs="Times New Roman"/>
                      <w:w w:val="100"/>
                      <w:sz w:val="21"/>
                      <w:szCs w:val="21"/>
                      <w:lang w:eastAsia="zh-CN"/>
                    </w:rPr>
                    <w:t>站区西北侧</w:t>
                  </w:r>
                  <w:r>
                    <w:rPr>
                      <w:rFonts w:ascii="Times New Roman" w:hAnsi="Times New Roman" w:eastAsia="宋体" w:cs="Times New Roman"/>
                      <w:w w:val="100"/>
                      <w:sz w:val="21"/>
                      <w:szCs w:val="21"/>
                    </w:rPr>
                    <w:t>，加油区布置在</w:t>
                  </w:r>
                  <w:r>
                    <w:rPr>
                      <w:rFonts w:hint="eastAsia" w:ascii="Times New Roman" w:hAnsi="Times New Roman" w:cs="Times New Roman"/>
                      <w:w w:val="100"/>
                      <w:sz w:val="21"/>
                      <w:szCs w:val="21"/>
                      <w:lang w:eastAsia="zh-CN"/>
                    </w:rPr>
                    <w:t>站区</w:t>
                  </w:r>
                  <w:r>
                    <w:rPr>
                      <w:rFonts w:hint="eastAsia" w:ascii="Times New Roman" w:hAnsi="Times New Roman" w:eastAsia="宋体" w:cs="Times New Roman"/>
                      <w:w w:val="100"/>
                      <w:sz w:val="21"/>
                      <w:szCs w:val="21"/>
                      <w:lang w:eastAsia="zh-CN"/>
                    </w:rPr>
                    <w:t>南</w:t>
                  </w:r>
                  <w:r>
                    <w:rPr>
                      <w:rFonts w:ascii="Times New Roman" w:hAnsi="Times New Roman" w:eastAsia="宋体" w:cs="Times New Roman"/>
                      <w:w w:val="100"/>
                      <w:sz w:val="21"/>
                      <w:szCs w:val="21"/>
                    </w:rPr>
                    <w:t>部</w:t>
                  </w:r>
                </w:p>
              </w:tc>
              <w:tc>
                <w:tcPr>
                  <w:tcW w:w="855"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未变化</w:t>
                  </w:r>
                </w:p>
              </w:tc>
              <w:tc>
                <w:tcPr>
                  <w:tcW w:w="571"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w:t>
                  </w:r>
                </w:p>
              </w:tc>
              <w:tc>
                <w:tcPr>
                  <w:tcW w:w="675"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280" w:hRule="atLeast"/>
                <w:jc w:val="center"/>
              </w:trPr>
              <w:tc>
                <w:tcPr>
                  <w:tcW w:w="1295" w:type="dxa"/>
                  <w:gridSpan w:val="2"/>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工程内容</w:t>
                  </w:r>
                </w:p>
              </w:tc>
              <w:tc>
                <w:tcPr>
                  <w:tcW w:w="2960" w:type="dxa"/>
                  <w:tcBorders>
                    <w:tl2br w:val="nil"/>
                    <w:tr2bl w:val="nil"/>
                  </w:tcBorders>
                  <w:vAlign w:val="center"/>
                </w:tcPr>
                <w:p>
                  <w:pPr>
                    <w:autoSpaceDE w:val="0"/>
                    <w:autoSpaceDN w:val="0"/>
                    <w:spacing w:before="0" w:after="0"/>
                    <w:jc w:val="left"/>
                    <w:rPr>
                      <w:rFonts w:ascii="Times New Roman" w:hAnsi="Times New Roman" w:eastAsia="宋体" w:cs="Times New Roman"/>
                      <w:sz w:val="21"/>
                      <w:szCs w:val="21"/>
                    </w:rPr>
                  </w:pPr>
                  <w:r>
                    <w:rPr>
                      <w:rFonts w:hint="eastAsia" w:ascii="Times New Roman" w:hAnsi="Times New Roman" w:eastAsia="宋体" w:cs="Times New Roman"/>
                      <w:w w:val="100"/>
                      <w:sz w:val="21"/>
                      <w:szCs w:val="21"/>
                    </w:rPr>
                    <w:t>含防撞柱的加油岛6座；</w:t>
                  </w:r>
                  <w:r>
                    <w:rPr>
                      <w:rFonts w:hint="default" w:ascii="Times New Roman" w:hAnsi="Times New Roman" w:eastAsia="宋体" w:cs="Times New Roman"/>
                      <w:w w:val="100"/>
                      <w:sz w:val="21"/>
                      <w:szCs w:val="21"/>
                    </w:rPr>
                    <w:t>税控燃油加油机</w:t>
                  </w:r>
                  <w:r>
                    <w:rPr>
                      <w:rFonts w:hint="default" w:ascii="Times New Roman" w:hAnsi="Times New Roman" w:eastAsia="宋体" w:cs="Times New Roman"/>
                      <w:w w:val="100"/>
                      <w:sz w:val="21"/>
                      <w:szCs w:val="21"/>
                      <w:lang w:val="en-US" w:eastAsia="zh-CN"/>
                    </w:rPr>
                    <w:t>6</w:t>
                  </w:r>
                  <w:r>
                    <w:rPr>
                      <w:rFonts w:hint="default" w:ascii="Times New Roman" w:hAnsi="Times New Roman" w:eastAsia="宋体" w:cs="Times New Roman"/>
                      <w:w w:val="100"/>
                      <w:sz w:val="21"/>
                      <w:szCs w:val="21"/>
                    </w:rPr>
                    <w:t>台</w:t>
                  </w:r>
                  <w:r>
                    <w:rPr>
                      <w:rFonts w:hint="eastAsia" w:ascii="Times New Roman" w:hAnsi="Times New Roman" w:eastAsia="宋体" w:cs="Times New Roman"/>
                      <w:w w:val="100"/>
                      <w:sz w:val="21"/>
                      <w:szCs w:val="21"/>
                    </w:rPr>
                    <w:t>，其中：双枪</w:t>
                  </w:r>
                  <w:r>
                    <w:rPr>
                      <w:rFonts w:ascii="Times New Roman" w:hAnsi="Times New Roman" w:eastAsia="宋体" w:cs="Times New Roman"/>
                      <w:w w:val="100"/>
                      <w:sz w:val="21"/>
                      <w:szCs w:val="21"/>
                    </w:rPr>
                    <w:t>柴油加油机</w:t>
                  </w:r>
                  <w:r>
                    <w:rPr>
                      <w:rFonts w:hint="eastAsia" w:ascii="Times New Roman" w:hAnsi="Times New Roman" w:eastAsia="宋体" w:cs="Times New Roman"/>
                      <w:w w:val="100"/>
                      <w:sz w:val="21"/>
                      <w:szCs w:val="21"/>
                      <w:lang w:val="en-US" w:eastAsia="zh-CN"/>
                    </w:rPr>
                    <w:t>4台</w:t>
                  </w:r>
                  <w:r>
                    <w:rPr>
                      <w:rFonts w:hint="eastAsia" w:ascii="Times New Roman" w:hAnsi="Times New Roman" w:eastAsia="宋体" w:cs="Times New Roman"/>
                      <w:w w:val="100"/>
                      <w:sz w:val="21"/>
                      <w:szCs w:val="21"/>
                    </w:rPr>
                    <w:t>；</w:t>
                  </w:r>
                  <w:r>
                    <w:rPr>
                      <w:rFonts w:ascii="Times New Roman" w:hAnsi="Times New Roman" w:eastAsia="宋体" w:cs="Times New Roman"/>
                      <w:w w:val="100"/>
                      <w:sz w:val="21"/>
                      <w:szCs w:val="21"/>
                    </w:rPr>
                    <w:t>四枪汽油加油机</w:t>
                  </w:r>
                  <w:r>
                    <w:rPr>
                      <w:rFonts w:hint="eastAsia" w:ascii="Times New Roman" w:hAnsi="Times New Roman" w:eastAsia="宋体" w:cs="Times New Roman"/>
                      <w:w w:val="100"/>
                      <w:sz w:val="21"/>
                      <w:szCs w:val="21"/>
                      <w:lang w:val="en-US" w:eastAsia="zh-CN"/>
                    </w:rPr>
                    <w:t>2台</w:t>
                  </w:r>
                  <w:r>
                    <w:rPr>
                      <w:rFonts w:hint="eastAsia" w:ascii="Times New Roman" w:hAnsi="Times New Roman" w:eastAsia="宋体" w:cs="Times New Roman"/>
                      <w:w w:val="100"/>
                      <w:sz w:val="21"/>
                      <w:szCs w:val="21"/>
                    </w:rPr>
                    <w:t>；采用潜油泵式加油方式。设加油油气回收系统、卸油油气回收系统和油气排放处理装置</w:t>
                  </w:r>
                </w:p>
              </w:tc>
              <w:tc>
                <w:tcPr>
                  <w:tcW w:w="2998" w:type="dxa"/>
                  <w:gridSpan w:val="2"/>
                  <w:tcBorders>
                    <w:tl2br w:val="nil"/>
                    <w:tr2bl w:val="nil"/>
                  </w:tcBorders>
                  <w:vAlign w:val="center"/>
                </w:tcPr>
                <w:p>
                  <w:pPr>
                    <w:autoSpaceDE w:val="0"/>
                    <w:autoSpaceDN w:val="0"/>
                    <w:spacing w:before="0" w:after="0"/>
                    <w:jc w:val="left"/>
                    <w:rPr>
                      <w:rFonts w:ascii="Times New Roman" w:hAnsi="Times New Roman" w:eastAsia="宋体" w:cs="Times New Roman"/>
                      <w:sz w:val="21"/>
                      <w:szCs w:val="21"/>
                    </w:rPr>
                  </w:pPr>
                  <w:r>
                    <w:rPr>
                      <w:rFonts w:hint="eastAsia" w:ascii="Times New Roman" w:hAnsi="Times New Roman" w:eastAsia="宋体" w:cs="Times New Roman"/>
                      <w:w w:val="100"/>
                      <w:sz w:val="21"/>
                      <w:szCs w:val="21"/>
                    </w:rPr>
                    <w:t>含防撞柱的加油岛6座；</w:t>
                  </w:r>
                  <w:r>
                    <w:rPr>
                      <w:rFonts w:hint="default" w:ascii="Times New Roman" w:hAnsi="Times New Roman" w:eastAsia="宋体" w:cs="Times New Roman"/>
                      <w:w w:val="100"/>
                      <w:sz w:val="21"/>
                      <w:szCs w:val="21"/>
                    </w:rPr>
                    <w:t>税控燃油加油机</w:t>
                  </w:r>
                  <w:r>
                    <w:rPr>
                      <w:rFonts w:hint="default" w:ascii="Times New Roman" w:hAnsi="Times New Roman" w:eastAsia="宋体" w:cs="Times New Roman"/>
                      <w:w w:val="100"/>
                      <w:sz w:val="21"/>
                      <w:szCs w:val="21"/>
                      <w:lang w:val="en-US" w:eastAsia="zh-CN"/>
                    </w:rPr>
                    <w:t>6</w:t>
                  </w:r>
                  <w:r>
                    <w:rPr>
                      <w:rFonts w:hint="default" w:ascii="Times New Roman" w:hAnsi="Times New Roman" w:eastAsia="宋体" w:cs="Times New Roman"/>
                      <w:w w:val="100"/>
                      <w:sz w:val="21"/>
                      <w:szCs w:val="21"/>
                    </w:rPr>
                    <w:t>台</w:t>
                  </w:r>
                  <w:r>
                    <w:rPr>
                      <w:rFonts w:hint="eastAsia" w:ascii="Times New Roman" w:hAnsi="Times New Roman" w:eastAsia="宋体" w:cs="Times New Roman"/>
                      <w:w w:val="100"/>
                      <w:sz w:val="21"/>
                      <w:szCs w:val="21"/>
                    </w:rPr>
                    <w:t>，其中：双枪</w:t>
                  </w:r>
                  <w:r>
                    <w:rPr>
                      <w:rFonts w:ascii="Times New Roman" w:hAnsi="Times New Roman" w:eastAsia="宋体" w:cs="Times New Roman"/>
                      <w:w w:val="100"/>
                      <w:sz w:val="21"/>
                      <w:szCs w:val="21"/>
                    </w:rPr>
                    <w:t>柴油加油机</w:t>
                  </w:r>
                  <w:r>
                    <w:rPr>
                      <w:rFonts w:hint="eastAsia" w:ascii="Times New Roman" w:hAnsi="Times New Roman" w:eastAsia="宋体" w:cs="Times New Roman"/>
                      <w:w w:val="100"/>
                      <w:sz w:val="21"/>
                      <w:szCs w:val="21"/>
                      <w:lang w:val="en-US" w:eastAsia="zh-CN"/>
                    </w:rPr>
                    <w:t>4台</w:t>
                  </w:r>
                  <w:r>
                    <w:rPr>
                      <w:rFonts w:hint="eastAsia" w:ascii="Times New Roman" w:hAnsi="Times New Roman" w:eastAsia="宋体" w:cs="Times New Roman"/>
                      <w:w w:val="100"/>
                      <w:sz w:val="21"/>
                      <w:szCs w:val="21"/>
                    </w:rPr>
                    <w:t>；</w:t>
                  </w:r>
                  <w:r>
                    <w:rPr>
                      <w:rFonts w:ascii="Times New Roman" w:hAnsi="Times New Roman" w:eastAsia="宋体" w:cs="Times New Roman"/>
                      <w:w w:val="100"/>
                      <w:sz w:val="21"/>
                      <w:szCs w:val="21"/>
                    </w:rPr>
                    <w:t>四枪汽油加油机</w:t>
                  </w:r>
                  <w:r>
                    <w:rPr>
                      <w:rFonts w:hint="eastAsia" w:ascii="Times New Roman" w:hAnsi="Times New Roman" w:eastAsia="宋体" w:cs="Times New Roman"/>
                      <w:w w:val="100"/>
                      <w:sz w:val="21"/>
                      <w:szCs w:val="21"/>
                      <w:lang w:val="en-US" w:eastAsia="zh-CN"/>
                    </w:rPr>
                    <w:t>2台</w:t>
                  </w:r>
                  <w:r>
                    <w:rPr>
                      <w:rFonts w:hint="eastAsia" w:ascii="Times New Roman" w:hAnsi="Times New Roman" w:eastAsia="宋体" w:cs="Times New Roman"/>
                      <w:w w:val="100"/>
                      <w:sz w:val="21"/>
                      <w:szCs w:val="21"/>
                    </w:rPr>
                    <w:t>；采用潜油泵式加油方式。设加油油气回收系统、卸油油气回收系统和油气排放处理装置</w:t>
                  </w:r>
                </w:p>
              </w:tc>
              <w:tc>
                <w:tcPr>
                  <w:tcW w:w="85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未变化</w:t>
                  </w:r>
                </w:p>
              </w:tc>
              <w:tc>
                <w:tcPr>
                  <w:tcW w:w="571"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满足安全要求</w:t>
                  </w:r>
                </w:p>
              </w:tc>
              <w:tc>
                <w:tcPr>
                  <w:tcW w:w="675"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1295" w:type="dxa"/>
                  <w:gridSpan w:val="2"/>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设备清单</w:t>
                  </w:r>
                </w:p>
              </w:tc>
              <w:tc>
                <w:tcPr>
                  <w:tcW w:w="2960" w:type="dxa"/>
                  <w:tcBorders>
                    <w:tl2br w:val="nil"/>
                    <w:tr2bl w:val="nil"/>
                  </w:tcBorders>
                  <w:vAlign w:val="center"/>
                </w:tcPr>
                <w:p>
                  <w:pPr>
                    <w:autoSpaceDE w:val="0"/>
                    <w:autoSpaceDN w:val="0"/>
                    <w:spacing w:before="0" w:after="0"/>
                    <w:jc w:val="left"/>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卧式50m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SF双层油罐5个（2汽油3柴油）</w:t>
                  </w:r>
                </w:p>
              </w:tc>
              <w:tc>
                <w:tcPr>
                  <w:tcW w:w="2998" w:type="dxa"/>
                  <w:gridSpan w:val="2"/>
                  <w:tcBorders>
                    <w:tl2br w:val="nil"/>
                    <w:tr2bl w:val="nil"/>
                  </w:tcBorders>
                  <w:vAlign w:val="center"/>
                </w:tcPr>
                <w:p>
                  <w:pPr>
                    <w:autoSpaceDE w:val="0"/>
                    <w:autoSpaceDN w:val="0"/>
                    <w:spacing w:before="0" w:after="0"/>
                    <w:jc w:val="left"/>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卧式50m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SF双层油罐5个（2汽油3柴油）</w:t>
                  </w:r>
                </w:p>
              </w:tc>
              <w:tc>
                <w:tcPr>
                  <w:tcW w:w="85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未变化</w:t>
                  </w:r>
                </w:p>
              </w:tc>
              <w:tc>
                <w:tcPr>
                  <w:tcW w:w="571"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w:t>
                  </w:r>
                </w:p>
              </w:tc>
              <w:tc>
                <w:tcPr>
                  <w:tcW w:w="67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1295" w:type="dxa"/>
                  <w:gridSpan w:val="2"/>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生产工艺</w:t>
                  </w:r>
                </w:p>
              </w:tc>
              <w:tc>
                <w:tcPr>
                  <w:tcW w:w="2960"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ascii="Times New Roman" w:hAnsi="Times New Roman" w:cs="Times New Roman"/>
                      <w:sz w:val="21"/>
                      <w:szCs w:val="21"/>
                    </w:rPr>
                    <w:t>油罐车</w:t>
                  </w:r>
                  <w:r>
                    <w:rPr>
                      <w:rFonts w:ascii="Times New Roman" w:hAnsi="Times New Roman" w:eastAsia="宋体" w:cs="Times New Roman"/>
                      <w:sz w:val="21"/>
                      <w:szCs w:val="21"/>
                    </w:rPr>
                    <w:t>-</w:t>
                  </w:r>
                  <w:r>
                    <w:rPr>
                      <w:rFonts w:ascii="Times New Roman" w:hAnsi="Times New Roman" w:cs="Times New Roman"/>
                      <w:sz w:val="21"/>
                      <w:szCs w:val="21"/>
                    </w:rPr>
                    <w:t>卸油</w:t>
                  </w:r>
                  <w:r>
                    <w:rPr>
                      <w:rFonts w:ascii="Times New Roman" w:hAnsi="Times New Roman" w:eastAsia="宋体" w:cs="Times New Roman"/>
                      <w:sz w:val="21"/>
                      <w:szCs w:val="21"/>
                    </w:rPr>
                    <w:t>-</w:t>
                  </w:r>
                  <w:r>
                    <w:rPr>
                      <w:rFonts w:ascii="Times New Roman" w:hAnsi="Times New Roman" w:cs="Times New Roman"/>
                      <w:sz w:val="21"/>
                      <w:szCs w:val="21"/>
                    </w:rPr>
                    <w:t>储油</w:t>
                  </w:r>
                  <w:r>
                    <w:rPr>
                      <w:rFonts w:ascii="Times New Roman" w:hAnsi="Times New Roman" w:eastAsia="宋体" w:cs="Times New Roman"/>
                      <w:sz w:val="21"/>
                      <w:szCs w:val="21"/>
                    </w:rPr>
                    <w:t>-</w:t>
                  </w:r>
                  <w:r>
                    <w:rPr>
                      <w:rFonts w:ascii="Times New Roman" w:hAnsi="Times New Roman" w:cs="Times New Roman"/>
                      <w:sz w:val="21"/>
                      <w:szCs w:val="21"/>
                    </w:rPr>
                    <w:t>加油机</w:t>
                  </w:r>
                  <w:r>
                    <w:rPr>
                      <w:rFonts w:ascii="Times New Roman" w:hAnsi="Times New Roman" w:eastAsia="宋体" w:cs="Times New Roman"/>
                      <w:sz w:val="21"/>
                      <w:szCs w:val="21"/>
                    </w:rPr>
                    <w:t>-</w:t>
                  </w:r>
                  <w:r>
                    <w:rPr>
                      <w:rFonts w:ascii="Times New Roman" w:hAnsi="Times New Roman" w:cs="Times New Roman"/>
                      <w:sz w:val="21"/>
                      <w:szCs w:val="21"/>
                    </w:rPr>
                    <w:t>加油枪</w:t>
                  </w:r>
                  <w:r>
                    <w:rPr>
                      <w:rFonts w:ascii="Times New Roman" w:hAnsi="Times New Roman" w:eastAsia="宋体" w:cs="Times New Roman"/>
                      <w:sz w:val="21"/>
                      <w:szCs w:val="21"/>
                    </w:rPr>
                    <w:t>-</w:t>
                  </w:r>
                  <w:r>
                    <w:rPr>
                      <w:rFonts w:ascii="Times New Roman" w:hAnsi="Times New Roman" w:cs="Times New Roman"/>
                      <w:sz w:val="21"/>
                      <w:szCs w:val="21"/>
                    </w:rPr>
                    <w:t>机动车</w:t>
                  </w:r>
                </w:p>
              </w:tc>
              <w:tc>
                <w:tcPr>
                  <w:tcW w:w="2998" w:type="dxa"/>
                  <w:gridSpan w:val="2"/>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ascii="Times New Roman" w:hAnsi="Times New Roman" w:cs="Times New Roman"/>
                      <w:sz w:val="21"/>
                      <w:szCs w:val="21"/>
                    </w:rPr>
                    <w:t>油罐车</w:t>
                  </w:r>
                  <w:r>
                    <w:rPr>
                      <w:rFonts w:ascii="Times New Roman" w:hAnsi="Times New Roman" w:eastAsia="宋体" w:cs="Times New Roman"/>
                      <w:sz w:val="21"/>
                      <w:szCs w:val="21"/>
                    </w:rPr>
                    <w:t>-</w:t>
                  </w:r>
                  <w:r>
                    <w:rPr>
                      <w:rFonts w:ascii="Times New Roman" w:hAnsi="Times New Roman" w:cs="Times New Roman"/>
                      <w:sz w:val="21"/>
                      <w:szCs w:val="21"/>
                    </w:rPr>
                    <w:t>卸油</w:t>
                  </w:r>
                  <w:r>
                    <w:rPr>
                      <w:rFonts w:ascii="Times New Roman" w:hAnsi="Times New Roman" w:eastAsia="宋体" w:cs="Times New Roman"/>
                      <w:sz w:val="21"/>
                      <w:szCs w:val="21"/>
                    </w:rPr>
                    <w:t>-</w:t>
                  </w:r>
                  <w:r>
                    <w:rPr>
                      <w:rFonts w:ascii="Times New Roman" w:hAnsi="Times New Roman" w:cs="Times New Roman"/>
                      <w:sz w:val="21"/>
                      <w:szCs w:val="21"/>
                    </w:rPr>
                    <w:t>储油</w:t>
                  </w:r>
                  <w:r>
                    <w:rPr>
                      <w:rFonts w:ascii="Times New Roman" w:hAnsi="Times New Roman" w:eastAsia="宋体" w:cs="Times New Roman"/>
                      <w:sz w:val="21"/>
                      <w:szCs w:val="21"/>
                    </w:rPr>
                    <w:t>-</w:t>
                  </w:r>
                  <w:r>
                    <w:rPr>
                      <w:rFonts w:ascii="Times New Roman" w:hAnsi="Times New Roman" w:cs="Times New Roman"/>
                      <w:sz w:val="21"/>
                      <w:szCs w:val="21"/>
                    </w:rPr>
                    <w:t>加油机</w:t>
                  </w:r>
                  <w:r>
                    <w:rPr>
                      <w:rFonts w:ascii="Times New Roman" w:hAnsi="Times New Roman" w:eastAsia="宋体" w:cs="Times New Roman"/>
                      <w:sz w:val="21"/>
                      <w:szCs w:val="21"/>
                    </w:rPr>
                    <w:t>-</w:t>
                  </w:r>
                  <w:r>
                    <w:rPr>
                      <w:rFonts w:ascii="Times New Roman" w:hAnsi="Times New Roman" w:cs="Times New Roman"/>
                      <w:sz w:val="21"/>
                      <w:szCs w:val="21"/>
                    </w:rPr>
                    <w:t>加油枪</w:t>
                  </w:r>
                  <w:r>
                    <w:rPr>
                      <w:rFonts w:ascii="Times New Roman" w:hAnsi="Times New Roman" w:eastAsia="宋体" w:cs="Times New Roman"/>
                      <w:sz w:val="21"/>
                      <w:szCs w:val="21"/>
                    </w:rPr>
                    <w:t>-</w:t>
                  </w:r>
                  <w:r>
                    <w:rPr>
                      <w:rFonts w:ascii="Times New Roman" w:hAnsi="Times New Roman" w:cs="Times New Roman"/>
                      <w:sz w:val="21"/>
                      <w:szCs w:val="21"/>
                    </w:rPr>
                    <w:t>机动车</w:t>
                  </w:r>
                </w:p>
              </w:tc>
              <w:tc>
                <w:tcPr>
                  <w:tcW w:w="855" w:type="dxa"/>
                  <w:tcBorders>
                    <w:tl2br w:val="nil"/>
                    <w:tr2bl w:val="nil"/>
                  </w:tcBorders>
                  <w:vAlign w:val="center"/>
                </w:tcPr>
                <w:p>
                  <w:pPr>
                    <w:pStyle w:val="20"/>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未变化</w:t>
                  </w:r>
                </w:p>
              </w:tc>
              <w:tc>
                <w:tcPr>
                  <w:tcW w:w="571" w:type="dxa"/>
                  <w:tcBorders>
                    <w:tl2br w:val="nil"/>
                    <w:tr2bl w:val="nil"/>
                  </w:tcBorders>
                  <w:vAlign w:val="center"/>
                </w:tcPr>
                <w:p>
                  <w:pPr>
                    <w:pStyle w:val="20"/>
                    <w:widowControl w:val="0"/>
                    <w:autoSpaceDE w:val="0"/>
                    <w:autoSpaceDN w:val="0"/>
                    <w:adjustRightInd/>
                    <w:snapToGrid/>
                    <w:spacing w:before="1" w:after="0" w:afterLines="-2147483648"/>
                    <w:ind w:left="11" w:leftChars="0" w:right="2"/>
                    <w:jc w:val="center"/>
                    <w:rPr>
                      <w:rFonts w:ascii="Times New Roman" w:hAnsi="Times New Roman" w:eastAsia="宋体" w:cs="Times New Roman"/>
                      <w:w w:val="100"/>
                      <w:sz w:val="21"/>
                      <w:szCs w:val="21"/>
                    </w:rPr>
                  </w:pPr>
                  <w:r>
                    <w:rPr>
                      <w:rFonts w:ascii="Times New Roman" w:hAnsi="Times New Roman" w:cs="Times New Roman"/>
                      <w:w w:val="100"/>
                      <w:sz w:val="21"/>
                      <w:szCs w:val="21"/>
                    </w:rPr>
                    <w:t>/</w:t>
                  </w:r>
                </w:p>
              </w:tc>
              <w:tc>
                <w:tcPr>
                  <w:tcW w:w="675" w:type="dxa"/>
                  <w:tcBorders>
                    <w:tl2br w:val="nil"/>
                    <w:tr2bl w:val="nil"/>
                  </w:tcBorders>
                  <w:vAlign w:val="center"/>
                </w:tcPr>
                <w:p>
                  <w:pPr>
                    <w:pStyle w:val="20"/>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673" w:type="dxa"/>
                  <w:vMerge w:val="restart"/>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622"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snapToGrid w:val="0"/>
                      <w:kern w:val="0"/>
                      <w:sz w:val="21"/>
                      <w:szCs w:val="21"/>
                      <w:lang w:val="en-US" w:eastAsia="zh-CN" w:bidi="zh-CN"/>
                    </w:rPr>
                  </w:pPr>
                  <w:r>
                    <w:rPr>
                      <w:rFonts w:hint="default" w:ascii="Times New Roman" w:hAnsi="Times New Roman" w:eastAsia="宋体" w:cs="Times New Roman"/>
                      <w:snapToGrid w:val="0"/>
                      <w:kern w:val="0"/>
                      <w:sz w:val="21"/>
                      <w:szCs w:val="21"/>
                      <w:lang w:val="en-US" w:eastAsia="zh-CN" w:bidi="zh-CN"/>
                    </w:rPr>
                    <w:t>废水治理</w:t>
                  </w:r>
                </w:p>
              </w:tc>
              <w:tc>
                <w:tcPr>
                  <w:tcW w:w="2960" w:type="dxa"/>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auto"/>
                    <w:textAlignment w:val="auto"/>
                    <w:rPr>
                      <w:rFonts w:hint="eastAsia" w:ascii="Times New Roman" w:hAnsi="Times New Roman" w:eastAsia="宋体" w:cs="Times New Roman"/>
                      <w:snapToGrid w:val="0"/>
                      <w:kern w:val="0"/>
                      <w:sz w:val="21"/>
                      <w:szCs w:val="21"/>
                      <w:lang w:val="zh-CN" w:eastAsia="zh-CN" w:bidi="zh-CN"/>
                    </w:rPr>
                  </w:pPr>
                  <w:r>
                    <w:rPr>
                      <w:rFonts w:hint="eastAsia" w:ascii="Times New Roman" w:hAnsi="Times New Roman" w:eastAsia="宋体" w:cs="Times New Roman"/>
                      <w:snapToGrid w:val="0"/>
                      <w:kern w:val="0"/>
                      <w:sz w:val="21"/>
                      <w:szCs w:val="21"/>
                      <w:lang w:val="zh-CN" w:eastAsia="zh-CN" w:bidi="zh-CN"/>
                    </w:rPr>
                    <w:t>项目站内废水依托服务区内一体化埋地式中水回用膜处理设备处理后，出水回用于服务区厕所用水和服务区绿化用水，不外排。</w:t>
                  </w:r>
                </w:p>
              </w:tc>
              <w:tc>
                <w:tcPr>
                  <w:tcW w:w="2998" w:type="dxa"/>
                  <w:gridSpan w:val="2"/>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hint="eastAsia" w:ascii="Times New Roman" w:hAnsi="Times New Roman" w:eastAsia="宋体" w:cs="Times New Roman"/>
                      <w:snapToGrid w:val="0"/>
                      <w:kern w:val="0"/>
                      <w:sz w:val="21"/>
                      <w:szCs w:val="21"/>
                      <w:lang w:val="zh-CN" w:eastAsia="zh-CN" w:bidi="zh-CN"/>
                    </w:rPr>
                    <w:t>项目站内废水依托服务区内一体化埋地式中水回用膜处理设备处理后，出水回用于服务区厕所用水和服务区绿化用水，不外排。</w:t>
                  </w:r>
                </w:p>
              </w:tc>
              <w:tc>
                <w:tcPr>
                  <w:tcW w:w="855" w:type="dxa"/>
                  <w:tcBorders>
                    <w:tl2br w:val="nil"/>
                    <w:tr2bl w:val="nil"/>
                  </w:tcBorders>
                  <w:vAlign w:val="center"/>
                </w:tcPr>
                <w:p>
                  <w:pPr>
                    <w:pStyle w:val="20"/>
                    <w:widowControl w:val="0"/>
                    <w:autoSpaceDE w:val="0"/>
                    <w:autoSpaceDN w:val="0"/>
                    <w:adjustRightInd/>
                    <w:snapToGrid/>
                    <w:spacing w:before="1" w:after="0" w:afterLines="-2147483648"/>
                    <w:ind w:left="11" w:leftChars="0" w:right="2" w:rightChars="0"/>
                    <w:jc w:val="center"/>
                    <w:rPr>
                      <w:rFonts w:hint="default" w:ascii="Times New Roman" w:hAnsi="Times New Roman" w:eastAsia="宋体" w:cs="Times New Roman"/>
                      <w:w w:val="100"/>
                      <w:sz w:val="21"/>
                      <w:szCs w:val="21"/>
                      <w:lang w:val="en-US" w:eastAsia="zh-CN"/>
                    </w:rPr>
                  </w:pPr>
                  <w:r>
                    <w:rPr>
                      <w:rFonts w:hint="eastAsia" w:ascii="Times New Roman" w:hAnsi="Times New Roman" w:cs="Times New Roman"/>
                      <w:sz w:val="21"/>
                      <w:lang w:eastAsia="zh-CN"/>
                    </w:rPr>
                    <w:t>未变化</w:t>
                  </w:r>
                </w:p>
              </w:tc>
              <w:tc>
                <w:tcPr>
                  <w:tcW w:w="571"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eastAsia" w:ascii="Times New Roman" w:hAnsi="Times New Roman" w:cs="Times New Roman"/>
                      <w:w w:val="100"/>
                      <w:sz w:val="21"/>
                      <w:szCs w:val="21"/>
                      <w:lang w:val="en-US" w:eastAsia="zh-CN"/>
                    </w:rPr>
                    <w:t>/</w:t>
                  </w:r>
                </w:p>
              </w:tc>
              <w:tc>
                <w:tcPr>
                  <w:tcW w:w="675"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673"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622"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废气治理</w:t>
                  </w:r>
                </w:p>
              </w:tc>
              <w:tc>
                <w:tcPr>
                  <w:tcW w:w="2960"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油罐采用地埋设计，卸油</w:t>
                  </w:r>
                  <w:r>
                    <w:rPr>
                      <w:rFonts w:hint="eastAsia" w:ascii="Times New Roman" w:hAnsi="Times New Roman" w:eastAsia="宋体" w:cs="Times New Roman"/>
                      <w:color w:val="auto"/>
                      <w:sz w:val="21"/>
                      <w:szCs w:val="21"/>
                      <w:highlight w:val="none"/>
                      <w:lang w:eastAsia="zh-CN"/>
                    </w:rPr>
                    <w:t>、储油、</w:t>
                  </w:r>
                  <w:r>
                    <w:rPr>
                      <w:rFonts w:hint="default" w:ascii="Times New Roman" w:hAnsi="Times New Roman" w:eastAsia="宋体" w:cs="Times New Roman"/>
                      <w:color w:val="auto"/>
                      <w:sz w:val="21"/>
                      <w:szCs w:val="21"/>
                      <w:highlight w:val="none"/>
                    </w:rPr>
                    <w:t>加油机安装</w:t>
                  </w:r>
                  <w:r>
                    <w:rPr>
                      <w:rFonts w:hint="eastAsia" w:ascii="Times New Roman" w:hAnsi="Times New Roman" w:eastAsia="宋体" w:cs="Times New Roman"/>
                      <w:color w:val="auto"/>
                      <w:sz w:val="21"/>
                      <w:szCs w:val="21"/>
                      <w:highlight w:val="none"/>
                      <w:lang w:eastAsia="zh-CN"/>
                    </w:rPr>
                    <w:t>三级油气回收系统</w:t>
                  </w:r>
                </w:p>
              </w:tc>
              <w:tc>
                <w:tcPr>
                  <w:tcW w:w="2998" w:type="dxa"/>
                  <w:gridSpan w:val="2"/>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油罐采用地埋设计，卸油</w:t>
                  </w:r>
                  <w:r>
                    <w:rPr>
                      <w:rFonts w:hint="eastAsia" w:ascii="Times New Roman" w:hAnsi="Times New Roman" w:eastAsia="宋体" w:cs="Times New Roman"/>
                      <w:color w:val="auto"/>
                      <w:sz w:val="21"/>
                      <w:szCs w:val="21"/>
                      <w:highlight w:val="none"/>
                      <w:lang w:eastAsia="zh-CN"/>
                    </w:rPr>
                    <w:t>、储油、</w:t>
                  </w:r>
                  <w:r>
                    <w:rPr>
                      <w:rFonts w:hint="default" w:ascii="Times New Roman" w:hAnsi="Times New Roman" w:eastAsia="宋体" w:cs="Times New Roman"/>
                      <w:color w:val="auto"/>
                      <w:sz w:val="21"/>
                      <w:szCs w:val="21"/>
                      <w:highlight w:val="none"/>
                    </w:rPr>
                    <w:t>加油机安装</w:t>
                  </w:r>
                  <w:r>
                    <w:rPr>
                      <w:rFonts w:hint="eastAsia" w:ascii="Times New Roman" w:hAnsi="Times New Roman" w:eastAsia="宋体" w:cs="Times New Roman"/>
                      <w:color w:val="auto"/>
                      <w:sz w:val="21"/>
                      <w:szCs w:val="21"/>
                      <w:highlight w:val="none"/>
                      <w:lang w:eastAsia="zh-CN"/>
                    </w:rPr>
                    <w:t>三级油气回收系统</w:t>
                  </w:r>
                </w:p>
              </w:tc>
              <w:tc>
                <w:tcPr>
                  <w:tcW w:w="855"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未变化</w:t>
                  </w:r>
                </w:p>
              </w:tc>
              <w:tc>
                <w:tcPr>
                  <w:tcW w:w="571"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w:t>
                  </w:r>
                </w:p>
              </w:tc>
              <w:tc>
                <w:tcPr>
                  <w:tcW w:w="675"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673"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62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szCs w:val="21"/>
                    </w:rPr>
                  </w:pPr>
                  <w:r>
                    <w:rPr>
                      <w:rFonts w:ascii="Times New Roman" w:hAnsi="Times New Roman" w:cs="Times New Roman"/>
                      <w:spacing w:val="0"/>
                      <w:sz w:val="21"/>
                      <w:szCs w:val="21"/>
                    </w:rPr>
                    <w:t>一般</w:t>
                  </w:r>
                  <w:r>
                    <w:rPr>
                      <w:rFonts w:ascii="Times New Roman" w:hAnsi="Times New Roman" w:cs="Times New Roman"/>
                      <w:spacing w:val="0"/>
                      <w:w w:val="100"/>
                      <w:sz w:val="21"/>
                      <w:szCs w:val="21"/>
                    </w:rPr>
                    <w:t>固废</w:t>
                  </w:r>
                </w:p>
                <w:p>
                  <w:pPr>
                    <w:pStyle w:val="20"/>
                    <w:widowControl w:val="0"/>
                    <w:autoSpaceDE w:val="0"/>
                    <w:autoSpaceDN w:val="0"/>
                    <w:adjustRightInd/>
                    <w:snapToGrid/>
                    <w:spacing w:before="1" w:after="0" w:afterLines="-2147483648" w:line="240" w:lineRule="auto"/>
                    <w:ind w:left="11" w:leftChars="0" w:right="2"/>
                    <w:jc w:val="center"/>
                    <w:rPr>
                      <w:rFonts w:ascii="Times New Roman" w:hAnsi="Times New Roman" w:eastAsia="宋体" w:cs="Times New Roman"/>
                      <w:sz w:val="21"/>
                      <w:szCs w:val="21"/>
                    </w:rPr>
                  </w:pPr>
                  <w:r>
                    <w:rPr>
                      <w:rFonts w:ascii="Times New Roman" w:hAnsi="Times New Roman" w:cs="Times New Roman"/>
                      <w:spacing w:val="0"/>
                      <w:w w:val="100"/>
                      <w:sz w:val="21"/>
                      <w:szCs w:val="21"/>
                    </w:rPr>
                    <w:t>处置</w:t>
                  </w:r>
                </w:p>
              </w:tc>
              <w:tc>
                <w:tcPr>
                  <w:tcW w:w="2976" w:type="dxa"/>
                  <w:gridSpan w:val="2"/>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firstLine="0" w:firstLineChars="0"/>
                    <w:jc w:val="left"/>
                    <w:rPr>
                      <w:rFonts w:ascii="Times New Roman" w:hAnsi="Times New Roman" w:eastAsia="宋体" w:cs="Times New Roman"/>
                      <w:sz w:val="21"/>
                      <w:szCs w:val="21"/>
                    </w:rPr>
                  </w:pPr>
                  <w:r>
                    <w:rPr>
                      <w:rFonts w:hint="default" w:ascii="Times New Roman" w:hAnsi="Times New Roman" w:eastAsia="宋体" w:cs="Times New Roman"/>
                      <w:sz w:val="21"/>
                      <w:szCs w:val="21"/>
                      <w:highlight w:val="none"/>
                    </w:rPr>
                    <w:t>设置垃圾箱分类收集，交由</w:t>
                  </w:r>
                  <w:r>
                    <w:rPr>
                      <w:rFonts w:hint="eastAsia" w:ascii="Times New Roman" w:hAnsi="Times New Roman" w:eastAsia="宋体" w:cs="Times New Roman"/>
                      <w:sz w:val="21"/>
                      <w:szCs w:val="21"/>
                      <w:highlight w:val="none"/>
                      <w:lang w:eastAsia="zh-CN"/>
                    </w:rPr>
                    <w:t>泾阳</w:t>
                  </w:r>
                  <w:r>
                    <w:rPr>
                      <w:rFonts w:hint="default" w:ascii="Times New Roman" w:hAnsi="Times New Roman" w:eastAsia="宋体" w:cs="Times New Roman"/>
                      <w:sz w:val="21"/>
                      <w:szCs w:val="21"/>
                      <w:highlight w:val="none"/>
                    </w:rPr>
                    <w:t>服务区统一处置</w:t>
                  </w:r>
                </w:p>
              </w:tc>
              <w:tc>
                <w:tcPr>
                  <w:tcW w:w="298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firstLine="0" w:firstLineChars="0"/>
                    <w:jc w:val="left"/>
                    <w:rPr>
                      <w:rFonts w:ascii="Times New Roman" w:hAnsi="Times New Roman" w:eastAsia="宋体" w:cs="Times New Roman"/>
                      <w:sz w:val="21"/>
                      <w:szCs w:val="21"/>
                    </w:rPr>
                  </w:pPr>
                  <w:r>
                    <w:rPr>
                      <w:rFonts w:hint="default" w:ascii="Times New Roman" w:hAnsi="Times New Roman" w:eastAsia="宋体" w:cs="Times New Roman"/>
                      <w:sz w:val="21"/>
                      <w:szCs w:val="21"/>
                      <w:highlight w:val="none"/>
                    </w:rPr>
                    <w:t>设置垃圾箱分类收集，交由</w:t>
                  </w:r>
                  <w:r>
                    <w:rPr>
                      <w:rFonts w:hint="eastAsia" w:ascii="Times New Roman" w:hAnsi="Times New Roman" w:eastAsia="宋体" w:cs="Times New Roman"/>
                      <w:sz w:val="21"/>
                      <w:szCs w:val="21"/>
                      <w:highlight w:val="none"/>
                      <w:lang w:eastAsia="zh-CN"/>
                    </w:rPr>
                    <w:t>泾阳</w:t>
                  </w:r>
                  <w:r>
                    <w:rPr>
                      <w:rFonts w:hint="default" w:ascii="Times New Roman" w:hAnsi="Times New Roman" w:eastAsia="宋体" w:cs="Times New Roman"/>
                      <w:sz w:val="21"/>
                      <w:szCs w:val="21"/>
                      <w:highlight w:val="none"/>
                    </w:rPr>
                    <w:t>服务区统一处置</w:t>
                  </w:r>
                </w:p>
              </w:tc>
              <w:tc>
                <w:tcPr>
                  <w:tcW w:w="855" w:type="dxa"/>
                  <w:tcBorders>
                    <w:tl2br w:val="nil"/>
                    <w:tr2bl w:val="nil"/>
                  </w:tcBorders>
                  <w:vAlign w:val="center"/>
                </w:tcPr>
                <w:p>
                  <w:pPr>
                    <w:pStyle w:val="20"/>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未变化</w:t>
                  </w:r>
                </w:p>
              </w:tc>
              <w:tc>
                <w:tcPr>
                  <w:tcW w:w="571" w:type="dxa"/>
                  <w:tcBorders>
                    <w:tl2br w:val="nil"/>
                    <w:tr2bl w:val="nil"/>
                  </w:tcBorders>
                  <w:vAlign w:val="center"/>
                </w:tcPr>
                <w:p>
                  <w:pPr>
                    <w:pStyle w:val="20"/>
                    <w:ind w:left="0" w:leftChars="0"/>
                    <w:jc w:val="center"/>
                    <w:rPr>
                      <w:rFonts w:ascii="Times New Roman" w:hAnsi="Times New Roman" w:eastAsia="宋体" w:cs="Times New Roman"/>
                      <w:w w:val="100"/>
                      <w:sz w:val="21"/>
                      <w:szCs w:val="21"/>
                    </w:rPr>
                  </w:pPr>
                  <w:r>
                    <w:rPr>
                      <w:rFonts w:ascii="Times New Roman" w:hAnsi="Times New Roman" w:cs="Times New Roman"/>
                      <w:w w:val="99"/>
                      <w:sz w:val="21"/>
                    </w:rPr>
                    <w:t>/</w:t>
                  </w:r>
                </w:p>
              </w:tc>
              <w:tc>
                <w:tcPr>
                  <w:tcW w:w="675" w:type="dxa"/>
                  <w:tcBorders>
                    <w:tl2br w:val="nil"/>
                    <w:tr2bl w:val="nil"/>
                  </w:tcBorders>
                  <w:vAlign w:val="center"/>
                </w:tcPr>
                <w:p>
                  <w:pPr>
                    <w:pStyle w:val="2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673"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62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szCs w:val="21"/>
                    </w:rPr>
                  </w:pPr>
                  <w:r>
                    <w:rPr>
                      <w:rFonts w:ascii="Times New Roman" w:hAnsi="Times New Roman" w:cs="Times New Roman"/>
                      <w:spacing w:val="0"/>
                      <w:w w:val="100"/>
                      <w:sz w:val="21"/>
                      <w:szCs w:val="21"/>
                    </w:rPr>
                    <w:t>危险</w:t>
                  </w:r>
                </w:p>
                <w:p>
                  <w:pPr>
                    <w:pStyle w:val="20"/>
                    <w:widowControl w:val="0"/>
                    <w:autoSpaceDE w:val="0"/>
                    <w:autoSpaceDN w:val="0"/>
                    <w:adjustRightInd/>
                    <w:snapToGrid/>
                    <w:spacing w:before="1" w:after="0" w:afterLines="-2147483648" w:line="240" w:lineRule="auto"/>
                    <w:ind w:left="11" w:leftChars="0" w:right="2" w:rightChars="0"/>
                    <w:jc w:val="center"/>
                    <w:rPr>
                      <w:rFonts w:ascii="Times New Roman" w:hAnsi="Times New Roman" w:eastAsia="宋体" w:cs="Times New Roman"/>
                      <w:sz w:val="21"/>
                      <w:szCs w:val="21"/>
                    </w:rPr>
                  </w:pPr>
                  <w:r>
                    <w:rPr>
                      <w:rFonts w:ascii="Times New Roman" w:hAnsi="Times New Roman" w:cs="Times New Roman"/>
                      <w:spacing w:val="0"/>
                      <w:sz w:val="21"/>
                      <w:szCs w:val="21"/>
                    </w:rPr>
                    <w:t>废物</w:t>
                  </w:r>
                  <w:r>
                    <w:rPr>
                      <w:rFonts w:ascii="Times New Roman" w:hAnsi="Times New Roman" w:cs="Times New Roman"/>
                      <w:spacing w:val="0"/>
                      <w:w w:val="100"/>
                      <w:sz w:val="21"/>
                      <w:szCs w:val="21"/>
                    </w:rPr>
                    <w:t>处置</w:t>
                  </w:r>
                </w:p>
              </w:tc>
              <w:tc>
                <w:tcPr>
                  <w:tcW w:w="2976" w:type="dxa"/>
                  <w:gridSpan w:val="2"/>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firstLine="0" w:firstLineChars="0"/>
                    <w:jc w:val="left"/>
                    <w:rPr>
                      <w:rFonts w:ascii="Times New Roman" w:hAnsi="Times New Roman" w:eastAsia="宋体" w:cs="Times New Roman"/>
                      <w:sz w:val="21"/>
                      <w:szCs w:val="21"/>
                    </w:rPr>
                  </w:pPr>
                  <w:r>
                    <w:rPr>
                      <w:rFonts w:hint="eastAsia" w:ascii="Times New Roman" w:hAnsi="Times New Roman" w:cs="Times New Roman"/>
                      <w:sz w:val="21"/>
                      <w:szCs w:val="21"/>
                      <w:highlight w:val="none"/>
                      <w:lang w:eastAsia="zh-CN"/>
                    </w:rPr>
                    <w:t>废润滑油、</w:t>
                  </w:r>
                  <w:r>
                    <w:rPr>
                      <w:rFonts w:hint="eastAsia" w:ascii="Times New Roman" w:hAnsi="Times New Roman" w:eastAsia="宋体" w:cs="Times New Roman"/>
                      <w:sz w:val="21"/>
                      <w:szCs w:val="21"/>
                      <w:lang w:eastAsia="zh-CN"/>
                    </w:rPr>
                    <w:t>废含油棉纱、废手套</w:t>
                  </w:r>
                  <w:r>
                    <w:rPr>
                      <w:rFonts w:hint="eastAsia" w:ascii="Times New Roman" w:hAnsi="Times New Roman" w:cs="Times New Roman"/>
                      <w:sz w:val="21"/>
                      <w:szCs w:val="21"/>
                      <w:lang w:eastAsia="zh-CN"/>
                    </w:rPr>
                    <w:t>、废油沙</w:t>
                  </w:r>
                  <w:r>
                    <w:rPr>
                      <w:rFonts w:hint="eastAsia" w:ascii="Times New Roman" w:hAnsi="Times New Roman" w:eastAsia="宋体" w:cs="Times New Roman"/>
                      <w:sz w:val="21"/>
                      <w:szCs w:val="21"/>
                      <w:highlight w:val="none"/>
                      <w:lang w:eastAsia="zh-CN"/>
                    </w:rPr>
                    <w:t>暂存于危废暂存箱，定期交由陕西明瑞资源再生有限公司处置</w:t>
                  </w:r>
                  <w:r>
                    <w:rPr>
                      <w:rFonts w:hint="eastAsia" w:ascii="Times New Roman" w:hAnsi="Times New Roman" w:cs="Times New Roman"/>
                      <w:sz w:val="21"/>
                      <w:szCs w:val="21"/>
                      <w:highlight w:val="none"/>
                      <w:lang w:eastAsia="zh-CN"/>
                    </w:rPr>
                    <w:t>；油罐清洗污泥交由</w:t>
                  </w:r>
                  <w:r>
                    <w:rPr>
                      <w:rFonts w:hint="eastAsia" w:ascii="Times New Roman" w:hAnsi="Times New Roman" w:eastAsia="宋体" w:cs="Times New Roman"/>
                      <w:sz w:val="21"/>
                      <w:szCs w:val="21"/>
                      <w:lang w:eastAsia="zh-CN"/>
                    </w:rPr>
                    <w:t>清罐单位直接拉走处置</w:t>
                  </w:r>
                  <w:r>
                    <w:rPr>
                      <w:rFonts w:hint="eastAsia" w:ascii="Times New Roman" w:hAnsi="Times New Roman" w:cs="Times New Roman"/>
                      <w:sz w:val="21"/>
                      <w:szCs w:val="21"/>
                      <w:lang w:eastAsia="zh-CN"/>
                    </w:rPr>
                    <w:t>。</w:t>
                  </w:r>
                </w:p>
              </w:tc>
              <w:tc>
                <w:tcPr>
                  <w:tcW w:w="298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firstLine="0" w:firstLineChars="0"/>
                    <w:jc w:val="left"/>
                    <w:rPr>
                      <w:rFonts w:ascii="Times New Roman" w:hAnsi="Times New Roman" w:eastAsia="宋体" w:cs="Times New Roman"/>
                      <w:sz w:val="21"/>
                      <w:szCs w:val="21"/>
                    </w:rPr>
                  </w:pPr>
                  <w:r>
                    <w:rPr>
                      <w:rFonts w:hint="eastAsia" w:ascii="Times New Roman" w:hAnsi="Times New Roman" w:cs="Times New Roman"/>
                      <w:sz w:val="21"/>
                      <w:szCs w:val="21"/>
                      <w:highlight w:val="none"/>
                      <w:lang w:eastAsia="zh-CN"/>
                    </w:rPr>
                    <w:t>本项目站区内已建设1座危险废物暂存箱，危废暂存箱采用防渗漏混凝土地台，地台四周进行防水层处理，内部刷涂环氧树脂地坪漆，危险废物按类分区储存；废润滑油、</w:t>
                  </w:r>
                  <w:r>
                    <w:rPr>
                      <w:rFonts w:hint="eastAsia" w:ascii="Times New Roman" w:hAnsi="Times New Roman" w:eastAsia="宋体" w:cs="Times New Roman"/>
                      <w:sz w:val="21"/>
                      <w:szCs w:val="21"/>
                      <w:lang w:eastAsia="zh-CN"/>
                    </w:rPr>
                    <w:t>废含油棉纱、废手套</w:t>
                  </w:r>
                  <w:r>
                    <w:rPr>
                      <w:rFonts w:hint="eastAsia" w:ascii="Times New Roman" w:hAnsi="Times New Roman" w:cs="Times New Roman"/>
                      <w:sz w:val="21"/>
                      <w:szCs w:val="21"/>
                      <w:lang w:eastAsia="zh-CN"/>
                    </w:rPr>
                    <w:t>、废油沙</w:t>
                  </w:r>
                  <w:r>
                    <w:rPr>
                      <w:rFonts w:hint="eastAsia" w:ascii="Times New Roman" w:hAnsi="Times New Roman" w:eastAsia="宋体" w:cs="Times New Roman"/>
                      <w:sz w:val="21"/>
                      <w:szCs w:val="21"/>
                      <w:highlight w:val="none"/>
                      <w:lang w:eastAsia="zh-CN"/>
                    </w:rPr>
                    <w:t>暂存于危废暂存箱，定期交由陕西明瑞资源再生有限公司处置</w:t>
                  </w:r>
                  <w:r>
                    <w:rPr>
                      <w:rFonts w:hint="eastAsia" w:ascii="Times New Roman" w:hAnsi="Times New Roman" w:cs="Times New Roman"/>
                      <w:sz w:val="21"/>
                      <w:szCs w:val="21"/>
                      <w:highlight w:val="none"/>
                      <w:lang w:eastAsia="zh-CN"/>
                    </w:rPr>
                    <w:t>；油罐清洗污泥交由</w:t>
                  </w:r>
                  <w:r>
                    <w:rPr>
                      <w:rFonts w:hint="eastAsia" w:ascii="Times New Roman" w:hAnsi="Times New Roman" w:eastAsia="宋体" w:cs="Times New Roman"/>
                      <w:sz w:val="21"/>
                      <w:szCs w:val="21"/>
                      <w:lang w:eastAsia="zh-CN"/>
                    </w:rPr>
                    <w:t>清罐单位直接拉走处置</w:t>
                  </w:r>
                  <w:r>
                    <w:rPr>
                      <w:rFonts w:hint="eastAsia" w:ascii="Times New Roman" w:hAnsi="Times New Roman" w:cs="Times New Roman"/>
                      <w:sz w:val="21"/>
                      <w:szCs w:val="21"/>
                      <w:lang w:eastAsia="zh-CN"/>
                    </w:rPr>
                    <w:t>。</w:t>
                  </w:r>
                </w:p>
              </w:tc>
              <w:tc>
                <w:tcPr>
                  <w:tcW w:w="855" w:type="dxa"/>
                  <w:tcBorders>
                    <w:tl2br w:val="nil"/>
                    <w:tr2bl w:val="nil"/>
                  </w:tcBorders>
                  <w:vAlign w:val="center"/>
                </w:tcPr>
                <w:p>
                  <w:pPr>
                    <w:pStyle w:val="20"/>
                    <w:widowControl w:val="0"/>
                    <w:autoSpaceDE w:val="0"/>
                    <w:autoSpaceDN w:val="0"/>
                    <w:adjustRightInd/>
                    <w:snapToGrid/>
                    <w:spacing w:before="1" w:after="0" w:afterLines="-2147483648"/>
                    <w:ind w:left="11" w:right="2" w:rightChars="0"/>
                    <w:jc w:val="center"/>
                    <w:rPr>
                      <w:rFonts w:hint="eastAsia" w:ascii="Times New Roman" w:hAnsi="Times New Roman" w:eastAsia="宋体" w:cs="Times New Roman"/>
                      <w:w w:val="100"/>
                      <w:sz w:val="21"/>
                      <w:szCs w:val="21"/>
                      <w:lang w:eastAsia="zh-CN"/>
                    </w:rPr>
                  </w:pPr>
                  <w:r>
                    <w:rPr>
                      <w:rFonts w:ascii="Times New Roman" w:hAnsi="Times New Roman" w:cs="Times New Roman"/>
                      <w:w w:val="100"/>
                      <w:sz w:val="21"/>
                      <w:szCs w:val="21"/>
                    </w:rPr>
                    <w:t>未变化</w:t>
                  </w:r>
                </w:p>
              </w:tc>
              <w:tc>
                <w:tcPr>
                  <w:tcW w:w="571" w:type="dxa"/>
                  <w:tcBorders>
                    <w:tl2br w:val="nil"/>
                    <w:tr2bl w:val="nil"/>
                  </w:tcBorders>
                  <w:vAlign w:val="center"/>
                </w:tcPr>
                <w:p>
                  <w:pPr>
                    <w:pStyle w:val="20"/>
                    <w:widowControl w:val="0"/>
                    <w:autoSpaceDE w:val="0"/>
                    <w:autoSpaceDN w:val="0"/>
                    <w:adjustRightInd/>
                    <w:snapToGrid/>
                    <w:spacing w:before="1" w:after="0" w:afterLines="-2147483648"/>
                    <w:ind w:left="11" w:leftChars="0" w:right="2"/>
                    <w:jc w:val="center"/>
                    <w:rPr>
                      <w:rFonts w:ascii="Times New Roman" w:hAnsi="Times New Roman" w:eastAsia="宋体" w:cs="Times New Roman"/>
                      <w:w w:val="100"/>
                      <w:sz w:val="21"/>
                      <w:szCs w:val="21"/>
                    </w:rPr>
                  </w:pPr>
                  <w:r>
                    <w:rPr>
                      <w:rFonts w:ascii="Times New Roman" w:hAnsi="Times New Roman" w:cs="Times New Roman"/>
                      <w:w w:val="100"/>
                      <w:sz w:val="21"/>
                      <w:szCs w:val="21"/>
                    </w:rPr>
                    <w:t>/</w:t>
                  </w:r>
                </w:p>
              </w:tc>
              <w:tc>
                <w:tcPr>
                  <w:tcW w:w="675" w:type="dxa"/>
                  <w:tcBorders>
                    <w:tl2br w:val="nil"/>
                    <w:tr2bl w:val="nil"/>
                  </w:tcBorders>
                  <w:vAlign w:val="center"/>
                </w:tcPr>
                <w:p>
                  <w:pPr>
                    <w:pStyle w:val="20"/>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673"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62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szCs w:val="21"/>
                    </w:rPr>
                  </w:pPr>
                  <w:r>
                    <w:rPr>
                      <w:rFonts w:ascii="Times New Roman" w:hAnsi="Times New Roman" w:cs="Times New Roman"/>
                      <w:spacing w:val="0"/>
                      <w:w w:val="100"/>
                      <w:sz w:val="21"/>
                      <w:szCs w:val="21"/>
                    </w:rPr>
                    <w:t>噪声</w:t>
                  </w:r>
                </w:p>
                <w:p>
                  <w:pPr>
                    <w:pStyle w:val="20"/>
                    <w:widowControl w:val="0"/>
                    <w:autoSpaceDE w:val="0"/>
                    <w:autoSpaceDN w:val="0"/>
                    <w:adjustRightInd/>
                    <w:snapToGrid/>
                    <w:spacing w:before="1" w:after="0" w:afterLines="-2147483648" w:line="240" w:lineRule="auto"/>
                    <w:ind w:left="11" w:leftChars="0" w:right="2"/>
                    <w:jc w:val="center"/>
                    <w:rPr>
                      <w:rFonts w:ascii="Times New Roman" w:hAnsi="Times New Roman" w:eastAsia="宋体" w:cs="Times New Roman"/>
                      <w:sz w:val="21"/>
                      <w:szCs w:val="21"/>
                    </w:rPr>
                  </w:pPr>
                  <w:r>
                    <w:rPr>
                      <w:rFonts w:ascii="Times New Roman" w:hAnsi="Times New Roman" w:cs="Times New Roman"/>
                      <w:spacing w:val="0"/>
                      <w:w w:val="100"/>
                      <w:sz w:val="21"/>
                      <w:szCs w:val="21"/>
                    </w:rPr>
                    <w:t>治理</w:t>
                  </w:r>
                </w:p>
              </w:tc>
              <w:tc>
                <w:tcPr>
                  <w:tcW w:w="2976" w:type="dxa"/>
                  <w:gridSpan w:val="2"/>
                  <w:tcBorders>
                    <w:tl2br w:val="nil"/>
                    <w:tr2bl w:val="nil"/>
                  </w:tcBorders>
                  <w:vAlign w:val="center"/>
                </w:tcPr>
                <w:p>
                  <w:pPr>
                    <w:pStyle w:val="20"/>
                    <w:widowControl w:val="0"/>
                    <w:autoSpaceDE w:val="0"/>
                    <w:autoSpaceDN w:val="0"/>
                    <w:adjustRightInd/>
                    <w:snapToGrid/>
                    <w:spacing w:before="1" w:after="0" w:afterLines="-2147483648"/>
                    <w:ind w:left="11" w:leftChars="0" w:right="2"/>
                    <w:jc w:val="left"/>
                    <w:rPr>
                      <w:rFonts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高噪声设备采用隔音、减振等措施；对进出站内机动车辆采取禁止鸣笛措施管理</w:t>
                  </w:r>
                </w:p>
              </w:tc>
              <w:tc>
                <w:tcPr>
                  <w:tcW w:w="2982" w:type="dxa"/>
                  <w:tcBorders>
                    <w:tl2br w:val="nil"/>
                    <w:tr2bl w:val="nil"/>
                  </w:tcBorders>
                  <w:vAlign w:val="center"/>
                </w:tcPr>
                <w:p>
                  <w:pPr>
                    <w:pStyle w:val="20"/>
                    <w:widowControl w:val="0"/>
                    <w:autoSpaceDE w:val="0"/>
                    <w:autoSpaceDN w:val="0"/>
                    <w:adjustRightInd/>
                    <w:snapToGrid/>
                    <w:spacing w:before="1" w:after="0" w:afterLines="-2147483648"/>
                    <w:ind w:left="11" w:leftChars="0" w:right="2" w:rightChars="0"/>
                    <w:rPr>
                      <w:rFonts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高噪声设备采用隔音、减振等措施；对进出站内机动车辆采取禁止鸣笛措施管理</w:t>
                  </w:r>
                </w:p>
              </w:tc>
              <w:tc>
                <w:tcPr>
                  <w:tcW w:w="855" w:type="dxa"/>
                  <w:tcBorders>
                    <w:tl2br w:val="nil"/>
                    <w:tr2bl w:val="nil"/>
                  </w:tcBorders>
                  <w:vAlign w:val="center"/>
                </w:tcPr>
                <w:p>
                  <w:pPr>
                    <w:pStyle w:val="20"/>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未变化</w:t>
                  </w:r>
                </w:p>
              </w:tc>
              <w:tc>
                <w:tcPr>
                  <w:tcW w:w="571" w:type="dxa"/>
                  <w:tcBorders>
                    <w:tl2br w:val="nil"/>
                    <w:tr2bl w:val="nil"/>
                  </w:tcBorders>
                  <w:vAlign w:val="center"/>
                </w:tcPr>
                <w:p>
                  <w:pPr>
                    <w:pStyle w:val="20"/>
                    <w:widowControl w:val="0"/>
                    <w:autoSpaceDE w:val="0"/>
                    <w:autoSpaceDN w:val="0"/>
                    <w:adjustRightInd/>
                    <w:snapToGrid/>
                    <w:spacing w:before="1" w:after="0" w:afterLines="-2147483648"/>
                    <w:ind w:left="11" w:leftChars="0" w:right="2"/>
                    <w:jc w:val="center"/>
                    <w:rPr>
                      <w:rFonts w:ascii="Times New Roman" w:hAnsi="Times New Roman" w:eastAsia="宋体" w:cs="Times New Roman"/>
                      <w:w w:val="100"/>
                      <w:sz w:val="21"/>
                      <w:szCs w:val="21"/>
                    </w:rPr>
                  </w:pPr>
                  <w:r>
                    <w:rPr>
                      <w:rFonts w:ascii="Times New Roman" w:hAnsi="Times New Roman" w:cs="Times New Roman"/>
                      <w:w w:val="100"/>
                      <w:sz w:val="21"/>
                      <w:szCs w:val="21"/>
                    </w:rPr>
                    <w:t>/</w:t>
                  </w:r>
                </w:p>
              </w:tc>
              <w:tc>
                <w:tcPr>
                  <w:tcW w:w="675" w:type="dxa"/>
                  <w:tcBorders>
                    <w:tl2br w:val="nil"/>
                    <w:tr2bl w:val="nil"/>
                  </w:tcBorders>
                  <w:vAlign w:val="center"/>
                </w:tcPr>
                <w:p>
                  <w:pPr>
                    <w:pStyle w:val="20"/>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1295" w:type="dxa"/>
                  <w:gridSpan w:val="2"/>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lang w:val="en-US" w:eastAsia="zh-CN"/>
                    </w:rPr>
                    <w:t>风险防范措施</w:t>
                  </w:r>
                </w:p>
              </w:tc>
              <w:tc>
                <w:tcPr>
                  <w:tcW w:w="2976" w:type="dxa"/>
                  <w:gridSpan w:val="2"/>
                  <w:tcBorders>
                    <w:tl2br w:val="nil"/>
                    <w:tr2bl w:val="nil"/>
                  </w:tcBorders>
                  <w:vAlign w:val="center"/>
                </w:tcPr>
                <w:p>
                  <w:pPr>
                    <w:widowControl w:val="0"/>
                    <w:adjustRightInd/>
                    <w:spacing w:after="0" w:line="240" w:lineRule="auto"/>
                    <w:ind w:left="0" w:leftChars="0" w:right="0" w:rightChars="0" w:firstLine="0" w:firstLineChars="0"/>
                    <w:jc w:val="left"/>
                    <w:outlineLvl w:val="9"/>
                    <w:rPr>
                      <w:rFonts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每1台加油机配置</w:t>
                  </w:r>
                  <w:r>
                    <w:rPr>
                      <w:rFonts w:hint="eastAsia" w:ascii="Times New Roman" w:hAnsi="Times New Roman" w:cs="Times New Roman"/>
                      <w:sz w:val="21"/>
                      <w:szCs w:val="21"/>
                      <w:highlight w:val="none"/>
                      <w:lang w:val="en-US" w:eastAsia="zh-CN"/>
                    </w:rPr>
                    <w:t>1</w:t>
                  </w:r>
                  <w:r>
                    <w:rPr>
                      <w:rFonts w:hint="default" w:ascii="Times New Roman" w:hAnsi="Times New Roman" w:eastAsia="宋体" w:cs="Times New Roman"/>
                      <w:sz w:val="21"/>
                      <w:szCs w:val="21"/>
                      <w:highlight w:val="none"/>
                      <w:lang w:eastAsia="zh-CN"/>
                    </w:rPr>
                    <w:t>具4kg手提式干粉灭火器，每个加油机配置灭火毯1块</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eastAsia="zh-CN"/>
                    </w:rPr>
                    <w:t>地下储罐配置1台35kg推车式干粉灭火器</w:t>
                  </w:r>
                  <w:r>
                    <w:rPr>
                      <w:rFonts w:hint="eastAsia" w:ascii="Times New Roman" w:hAnsi="Times New Roman" w:eastAsia="宋体" w:cs="Times New Roman"/>
                      <w:sz w:val="21"/>
                      <w:szCs w:val="21"/>
                      <w:highlight w:val="none"/>
                      <w:lang w:eastAsia="zh-CN"/>
                    </w:rPr>
                    <w:t>、消防</w:t>
                  </w:r>
                  <w:r>
                    <w:rPr>
                      <w:rFonts w:hint="default" w:ascii="Times New Roman" w:hAnsi="Times New Roman" w:eastAsia="宋体" w:cs="Times New Roman"/>
                      <w:sz w:val="21"/>
                      <w:szCs w:val="21"/>
                      <w:highlight w:val="none"/>
                      <w:lang w:eastAsia="zh-CN"/>
                    </w:rPr>
                    <w:t>沙2m</w:t>
                  </w:r>
                  <w:r>
                    <w:rPr>
                      <w:rFonts w:hint="default" w:ascii="Times New Roman" w:hAnsi="Times New Roman" w:eastAsia="宋体" w:cs="Times New Roman"/>
                      <w:sz w:val="21"/>
                      <w:szCs w:val="21"/>
                      <w:highlight w:val="none"/>
                      <w:vertAlign w:val="superscript"/>
                      <w:lang w:eastAsia="zh-CN"/>
                    </w:rPr>
                    <w:t>3</w:t>
                  </w:r>
                  <w:r>
                    <w:rPr>
                      <w:rFonts w:hint="eastAsia" w:ascii="Times New Roman" w:hAnsi="Times New Roman" w:eastAsia="宋体" w:cs="Times New Roman"/>
                      <w:sz w:val="21"/>
                      <w:szCs w:val="21"/>
                      <w:highlight w:val="none"/>
                      <w:lang w:val="en-US" w:eastAsia="zh-CN"/>
                    </w:rPr>
                    <w:t xml:space="preserve"> ；配电室配置</w:t>
                  </w:r>
                  <w:r>
                    <w:rPr>
                      <w:rFonts w:hint="default" w:ascii="Times New Roman" w:hAnsi="Times New Roman" w:eastAsia="宋体" w:cs="Times New Roman"/>
                      <w:sz w:val="21"/>
                      <w:szCs w:val="21"/>
                      <w:highlight w:val="none"/>
                      <w:lang w:eastAsia="zh-CN"/>
                    </w:rPr>
                    <w:t>3kg二氧化碳灭火器</w:t>
                  </w:r>
                  <w:r>
                    <w:rPr>
                      <w:rFonts w:hint="eastAsia" w:ascii="Times New Roman" w:hAnsi="Times New Roman" w:eastAsia="宋体" w:cs="Times New Roman"/>
                      <w:sz w:val="21"/>
                      <w:szCs w:val="21"/>
                      <w:highlight w:val="none"/>
                      <w:lang w:eastAsia="zh-CN"/>
                    </w:rPr>
                    <w:t>。</w:t>
                  </w:r>
                </w:p>
              </w:tc>
              <w:tc>
                <w:tcPr>
                  <w:tcW w:w="2982" w:type="dxa"/>
                  <w:tcBorders>
                    <w:tl2br w:val="nil"/>
                    <w:tr2bl w:val="nil"/>
                  </w:tcBorders>
                  <w:vAlign w:val="center"/>
                </w:tcPr>
                <w:p>
                  <w:pPr>
                    <w:widowControl w:val="0"/>
                    <w:adjustRightInd/>
                    <w:spacing w:after="0" w:line="240" w:lineRule="auto"/>
                    <w:ind w:left="0" w:leftChars="0" w:right="0" w:rightChars="0" w:firstLine="0" w:firstLineChars="0"/>
                    <w:jc w:val="left"/>
                    <w:outlineLvl w:val="9"/>
                    <w:rPr>
                      <w:rFonts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每1台加油机配置</w:t>
                  </w:r>
                  <w:r>
                    <w:rPr>
                      <w:rFonts w:hint="eastAsia" w:ascii="Times New Roman" w:hAnsi="Times New Roman" w:cs="Times New Roman"/>
                      <w:sz w:val="21"/>
                      <w:szCs w:val="21"/>
                      <w:highlight w:val="none"/>
                      <w:lang w:val="en-US" w:eastAsia="zh-CN"/>
                    </w:rPr>
                    <w:t>1</w:t>
                  </w:r>
                  <w:r>
                    <w:rPr>
                      <w:rFonts w:hint="default" w:ascii="Times New Roman" w:hAnsi="Times New Roman" w:eastAsia="宋体" w:cs="Times New Roman"/>
                      <w:sz w:val="21"/>
                      <w:szCs w:val="21"/>
                      <w:highlight w:val="none"/>
                      <w:lang w:eastAsia="zh-CN"/>
                    </w:rPr>
                    <w:t>具4kg手提式干粉灭火器，每个加油机配置灭火毯1块</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eastAsia="zh-CN"/>
                    </w:rPr>
                    <w:t>地下储罐配置1台35kg推车式干粉灭火器</w:t>
                  </w:r>
                  <w:r>
                    <w:rPr>
                      <w:rFonts w:hint="eastAsia" w:ascii="Times New Roman" w:hAnsi="Times New Roman" w:cs="Times New Roman"/>
                      <w:sz w:val="21"/>
                      <w:szCs w:val="21"/>
                      <w:highlight w:val="none"/>
                      <w:lang w:eastAsia="zh-CN"/>
                    </w:rPr>
                    <w:t>、</w:t>
                  </w:r>
                  <w:r>
                    <w:rPr>
                      <w:rFonts w:hint="eastAsia" w:ascii="Times New Roman" w:hAnsi="Times New Roman" w:eastAsia="宋体" w:cs="Times New Roman"/>
                      <w:sz w:val="21"/>
                      <w:szCs w:val="21"/>
                      <w:highlight w:val="none"/>
                      <w:lang w:eastAsia="zh-CN"/>
                    </w:rPr>
                    <w:t>消防</w:t>
                  </w:r>
                  <w:r>
                    <w:rPr>
                      <w:rFonts w:hint="default" w:ascii="Times New Roman" w:hAnsi="Times New Roman" w:eastAsia="宋体" w:cs="Times New Roman"/>
                      <w:sz w:val="21"/>
                      <w:szCs w:val="21"/>
                      <w:highlight w:val="none"/>
                      <w:lang w:eastAsia="zh-CN"/>
                    </w:rPr>
                    <w:t>沙2m</w:t>
                  </w:r>
                  <w:r>
                    <w:rPr>
                      <w:rFonts w:hint="default" w:ascii="Times New Roman" w:hAnsi="Times New Roman" w:eastAsia="宋体" w:cs="Times New Roman"/>
                      <w:sz w:val="21"/>
                      <w:szCs w:val="21"/>
                      <w:highlight w:val="none"/>
                      <w:vertAlign w:val="superscript"/>
                      <w:lang w:eastAsia="zh-CN"/>
                    </w:rPr>
                    <w:t>3</w:t>
                  </w:r>
                  <w:r>
                    <w:rPr>
                      <w:rFonts w:hint="eastAsia" w:ascii="Times New Roman" w:hAnsi="Times New Roman" w:cs="Times New Roman"/>
                      <w:sz w:val="21"/>
                      <w:szCs w:val="21"/>
                      <w:highlight w:val="none"/>
                      <w:vertAlign w:val="baseline"/>
                      <w:lang w:val="en-US" w:eastAsia="zh-CN"/>
                    </w:rPr>
                    <w:t xml:space="preserve"> ；配</w:t>
                  </w:r>
                  <w:r>
                    <w:rPr>
                      <w:rFonts w:hint="eastAsia" w:ascii="Times New Roman" w:hAnsi="Times New Roman" w:eastAsia="宋体" w:cs="Times New Roman"/>
                      <w:sz w:val="21"/>
                      <w:szCs w:val="21"/>
                      <w:highlight w:val="none"/>
                      <w:lang w:val="en-US" w:eastAsia="zh-CN"/>
                    </w:rPr>
                    <w:t>电室配置</w:t>
                  </w:r>
                  <w:r>
                    <w:rPr>
                      <w:rFonts w:hint="default" w:ascii="Times New Roman" w:hAnsi="Times New Roman" w:eastAsia="宋体" w:cs="Times New Roman"/>
                      <w:sz w:val="21"/>
                      <w:szCs w:val="21"/>
                      <w:highlight w:val="none"/>
                      <w:lang w:eastAsia="zh-CN"/>
                    </w:rPr>
                    <w:t>3kg二氧化碳灭火器</w:t>
                  </w:r>
                  <w:r>
                    <w:rPr>
                      <w:rFonts w:hint="eastAsia" w:ascii="Times New Roman" w:hAnsi="Times New Roman" w:cs="Times New Roman"/>
                      <w:szCs w:val="21"/>
                      <w:lang w:eastAsia="zh-CN"/>
                    </w:rPr>
                    <w:t>。</w:t>
                  </w:r>
                </w:p>
              </w:tc>
              <w:tc>
                <w:tcPr>
                  <w:tcW w:w="855" w:type="dxa"/>
                  <w:tcBorders>
                    <w:tl2br w:val="nil"/>
                    <w:tr2bl w:val="nil"/>
                  </w:tcBorders>
                  <w:vAlign w:val="center"/>
                </w:tcPr>
                <w:p>
                  <w:pPr>
                    <w:widowControl w:val="0"/>
                    <w:adjustRightInd/>
                    <w:spacing w:after="0"/>
                    <w:ind w:left="0" w:leftChars="0" w:right="0" w:rightChars="0"/>
                    <w:jc w:val="center"/>
                    <w:outlineLvl w:val="9"/>
                    <w:rPr>
                      <w:rFonts w:hint="eastAsia" w:ascii="Times New Roman" w:hAnsi="Times New Roman" w:eastAsia="宋体" w:cs="Times New Roman"/>
                      <w:w w:val="100"/>
                      <w:sz w:val="21"/>
                      <w:szCs w:val="21"/>
                      <w:lang w:val="en-US" w:eastAsia="zh-CN"/>
                    </w:rPr>
                  </w:pPr>
                  <w:r>
                    <w:rPr>
                      <w:rFonts w:hint="eastAsia" w:ascii="Times New Roman" w:hAnsi="Times New Roman" w:cs="Times New Roman"/>
                      <w:w w:val="100"/>
                      <w:sz w:val="21"/>
                      <w:szCs w:val="21"/>
                      <w:lang w:eastAsia="zh-CN"/>
                    </w:rPr>
                    <w:t>未变化</w:t>
                  </w:r>
                </w:p>
              </w:tc>
              <w:tc>
                <w:tcPr>
                  <w:tcW w:w="571"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ascii="Times New Roman" w:hAnsi="Times New Roman" w:eastAsia="宋体" w:cs="Times New Roman"/>
                      <w:sz w:val="21"/>
                      <w:szCs w:val="21"/>
                    </w:rPr>
                    <w:t>满足安全要求</w:t>
                  </w:r>
                </w:p>
              </w:tc>
              <w:tc>
                <w:tcPr>
                  <w:tcW w:w="675"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否</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综上所述，根据《中华人民共和国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spacing w:line="360" w:lineRule="auto"/>
              <w:ind w:firstLine="480" w:firstLineChars="200"/>
              <w:jc w:val="both"/>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cs="Times New Roman"/>
                <w:b w:val="0"/>
                <w:bCs/>
                <w:color w:val="auto"/>
                <w:kern w:val="2"/>
                <w:sz w:val="24"/>
                <w:szCs w:val="24"/>
                <w:highlight w:val="none"/>
                <w:lang w:val="en-US" w:eastAsia="zh-CN" w:bidi="ar-SA"/>
              </w:rPr>
              <w:t>结合</w:t>
            </w:r>
            <w:r>
              <w:rPr>
                <w:rFonts w:hint="default" w:ascii="Times New Roman" w:hAnsi="Times New Roman" w:eastAsia="宋体" w:cs="Times New Roman"/>
                <w:b w:val="0"/>
                <w:bCs/>
                <w:color w:val="auto"/>
                <w:kern w:val="2"/>
                <w:sz w:val="24"/>
                <w:szCs w:val="24"/>
                <w:highlight w:val="none"/>
                <w:lang w:val="en-US" w:eastAsia="zh-CN" w:bidi="ar-SA"/>
              </w:rPr>
              <w:t>本项目实际情况，</w:t>
            </w:r>
            <w:r>
              <w:rPr>
                <w:rFonts w:hint="default" w:ascii="Times New Roman" w:hAnsi="Times New Roman" w:cs="Times New Roman" w:eastAsiaTheme="minorEastAsia"/>
                <w:kern w:val="2"/>
                <w:sz w:val="24"/>
                <w:szCs w:val="24"/>
                <w:lang w:val="en-US" w:eastAsia="zh-CN"/>
              </w:rPr>
              <w:t>项目建设内容与环评及批复文件总体一致，无变动。</w:t>
            </w: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tc>
      </w:tr>
    </w:tbl>
    <w:p>
      <w:pPr>
        <w:rPr>
          <w:rFonts w:hint="eastAsia"/>
          <w:lang w:val="en-US" w:eastAsia="zh-CN"/>
        </w:rPr>
      </w:pPr>
      <w:r>
        <w:rPr>
          <w:rFonts w:hint="eastAsia"/>
          <w:lang w:val="en-US" w:eastAsia="zh-CN"/>
        </w:rPr>
        <w:br w:type="page"/>
      </w:r>
    </w:p>
    <w:p>
      <w:pPr>
        <w:pStyle w:val="6"/>
        <w:spacing w:before="55"/>
        <w:ind w:left="0" w:leftChars="0" w:firstLine="0" w:firstLineChars="0"/>
        <w:rPr>
          <w:rFonts w:hint="default" w:ascii="Times New Roman" w:hAnsi="Times New Roman" w:eastAsia="黑体" w:cs="Times New Roman"/>
        </w:rPr>
      </w:pPr>
      <w:r>
        <w:rPr>
          <w:rFonts w:hint="default" w:ascii="Times New Roman" w:hAnsi="Times New Roman" w:eastAsia="黑体" w:cs="Times New Roman"/>
          <w:spacing w:val="-36"/>
        </w:rPr>
        <w:t xml:space="preserve">表 </w:t>
      </w:r>
      <w:r>
        <w:rPr>
          <w:rFonts w:hint="eastAsia" w:ascii="Times New Roman" w:hAnsi="Times New Roman" w:eastAsia="黑体" w:cs="Times New Roman"/>
          <w:spacing w:val="-36"/>
          <w:lang w:val="en-US" w:eastAsia="zh-CN"/>
        </w:rPr>
        <w:t xml:space="preserve"> </w:t>
      </w:r>
      <w:r>
        <w:rPr>
          <w:rFonts w:hint="default" w:ascii="Times New Roman" w:hAnsi="Times New Roman" w:eastAsia="Times New Roman" w:cs="Times New Roman"/>
        </w:rPr>
        <w:t>3</w:t>
      </w:r>
      <w:r>
        <w:rPr>
          <w:rFonts w:hint="eastAsia" w:ascii="Times New Roman" w:hAnsi="Times New Roman" w:eastAsia="宋体" w:cs="Times New Roman"/>
          <w:lang w:val="en-US" w:eastAsia="zh-CN"/>
        </w:rPr>
        <w:t xml:space="preserve"> </w:t>
      </w:r>
      <w:r>
        <w:rPr>
          <w:rFonts w:hint="default" w:ascii="Times New Roman" w:hAnsi="Times New Roman" w:eastAsia="黑体" w:cs="Times New Roman"/>
          <w:spacing w:val="-3"/>
        </w:rPr>
        <w:t>主要污染源、污染物处理和排放</w:t>
      </w:r>
    </w:p>
    <w:tbl>
      <w:tblPr>
        <w:tblStyle w:val="17"/>
        <w:tblW w:w="95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53" w:hRule="atLeast"/>
          <w:jc w:val="center"/>
        </w:trPr>
        <w:tc>
          <w:tcPr>
            <w:tcW w:w="9507" w:type="dxa"/>
            <w:vAlign w:val="top"/>
          </w:tcPr>
          <w:p>
            <w:pPr>
              <w:numPr>
                <w:ilvl w:val="0"/>
                <w:numId w:val="5"/>
              </w:numPr>
              <w:spacing w:line="360" w:lineRule="auto"/>
              <w:ind w:firstLine="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污染物治理设施</w:t>
            </w:r>
          </w:p>
          <w:p>
            <w:pPr>
              <w:numPr>
                <w:ilvl w:val="-1"/>
                <w:numId w:val="0"/>
              </w:numPr>
              <w:spacing w:line="360" w:lineRule="auto"/>
              <w:ind w:firstLine="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1、废水</w:t>
            </w:r>
          </w:p>
          <w:p>
            <w:pPr>
              <w:numPr>
                <w:ilvl w:val="-1"/>
                <w:numId w:val="0"/>
              </w:numPr>
              <w:spacing w:before="0" w:line="360" w:lineRule="auto"/>
              <w:ind w:left="0"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项目运营期废水主要为生活污水，主要污染因子为：COD、BOD</w:t>
            </w:r>
            <w:r>
              <w:rPr>
                <w:rFonts w:hint="default" w:ascii="Times New Roman" w:hAnsi="Times New Roman" w:eastAsia="宋体" w:cs="Times New Roman"/>
                <w:b w:val="0"/>
                <w:bCs w:val="0"/>
                <w:sz w:val="24"/>
                <w:szCs w:val="24"/>
                <w:vertAlign w:val="subscript"/>
                <w:lang w:val="en-US" w:eastAsia="zh-CN"/>
              </w:rPr>
              <w:t>5</w:t>
            </w:r>
            <w:r>
              <w:rPr>
                <w:rFonts w:hint="default" w:ascii="Times New Roman" w:hAnsi="Times New Roman" w:eastAsia="宋体" w:cs="Times New Roman"/>
                <w:b w:val="0"/>
                <w:bCs w:val="0"/>
                <w:sz w:val="24"/>
                <w:szCs w:val="24"/>
                <w:lang w:val="en-US" w:eastAsia="zh-CN"/>
              </w:rPr>
              <w:t>、SS、氨氮、动植物油等。项目生活污水进入西咸北环</w:t>
            </w:r>
            <w:r>
              <w:rPr>
                <w:rFonts w:hint="eastAsia" w:ascii="Times New Roman" w:hAnsi="Times New Roman" w:cs="Times New Roman"/>
                <w:b w:val="0"/>
                <w:bCs w:val="0"/>
                <w:sz w:val="24"/>
                <w:szCs w:val="24"/>
                <w:lang w:val="en-US" w:eastAsia="zh-CN"/>
              </w:rPr>
              <w:t>高速公路</w:t>
            </w:r>
            <w:r>
              <w:rPr>
                <w:rFonts w:hint="default" w:ascii="Times New Roman" w:hAnsi="Times New Roman" w:eastAsia="宋体" w:cs="Times New Roman"/>
                <w:b w:val="0"/>
                <w:bCs w:val="0"/>
                <w:sz w:val="24"/>
                <w:szCs w:val="24"/>
                <w:lang w:val="en-US" w:eastAsia="zh-CN"/>
              </w:rPr>
              <w:t>泾阳服务区</w:t>
            </w:r>
            <w:r>
              <w:rPr>
                <w:rFonts w:hint="eastAsia" w:ascii="Times New Roman" w:hAnsi="Times New Roman" w:cs="Times New Roman"/>
                <w:b w:val="0"/>
                <w:bCs w:val="0"/>
                <w:sz w:val="24"/>
                <w:szCs w:val="24"/>
                <w:lang w:val="en-US" w:eastAsia="zh-CN"/>
              </w:rPr>
              <w:t>南区</w:t>
            </w:r>
            <w:r>
              <w:rPr>
                <w:rFonts w:hint="default" w:ascii="Times New Roman" w:hAnsi="Times New Roman" w:eastAsia="宋体" w:cs="Times New Roman"/>
                <w:b w:val="0"/>
                <w:bCs w:val="0"/>
                <w:sz w:val="24"/>
                <w:szCs w:val="24"/>
                <w:lang w:val="en-US" w:eastAsia="zh-CN"/>
              </w:rPr>
              <w:t>污水处理系统进行深度处理，出水回用于</w:t>
            </w:r>
            <w:r>
              <w:rPr>
                <w:rFonts w:hint="eastAsia" w:ascii="Times New Roman" w:hAnsi="Times New Roman" w:eastAsia="宋体" w:cs="Times New Roman"/>
                <w:b w:val="0"/>
                <w:bCs w:val="0"/>
                <w:sz w:val="24"/>
                <w:szCs w:val="24"/>
                <w:lang w:val="zh-CN" w:eastAsia="zh-CN"/>
              </w:rPr>
              <w:t>服务区厕所用水和绿化用水，不外排。</w:t>
            </w:r>
            <w:r>
              <w:rPr>
                <w:rFonts w:hint="default" w:ascii="Times New Roman" w:hAnsi="Times New Roman" w:eastAsia="宋体" w:cs="Times New Roman"/>
                <w:b w:val="0"/>
                <w:bCs w:val="0"/>
                <w:sz w:val="24"/>
                <w:szCs w:val="24"/>
                <w:lang w:val="en-US" w:eastAsia="zh-CN"/>
              </w:rPr>
              <w:t>西咸北环</w:t>
            </w:r>
            <w:r>
              <w:rPr>
                <w:rFonts w:hint="eastAsia" w:ascii="Times New Roman" w:hAnsi="Times New Roman" w:cs="Times New Roman"/>
                <w:b w:val="0"/>
                <w:bCs w:val="0"/>
                <w:sz w:val="24"/>
                <w:szCs w:val="24"/>
                <w:lang w:val="en-US" w:eastAsia="zh-CN"/>
              </w:rPr>
              <w:t>高速公路</w:t>
            </w:r>
            <w:r>
              <w:rPr>
                <w:rFonts w:hint="default" w:ascii="Times New Roman" w:hAnsi="Times New Roman" w:eastAsia="宋体" w:cs="Times New Roman"/>
                <w:b w:val="0"/>
                <w:bCs w:val="0"/>
                <w:sz w:val="24"/>
                <w:szCs w:val="24"/>
                <w:lang w:val="en-US" w:eastAsia="zh-CN"/>
              </w:rPr>
              <w:t>泾阳服务区</w:t>
            </w:r>
            <w:r>
              <w:rPr>
                <w:rFonts w:hint="eastAsia" w:ascii="Times New Roman" w:hAnsi="Times New Roman" w:cs="Times New Roman"/>
                <w:b w:val="0"/>
                <w:bCs w:val="0"/>
                <w:sz w:val="24"/>
                <w:szCs w:val="24"/>
                <w:lang w:val="en-US" w:eastAsia="zh-CN"/>
              </w:rPr>
              <w:t>南区</w:t>
            </w:r>
            <w:r>
              <w:rPr>
                <w:rFonts w:hint="default" w:ascii="Times New Roman" w:hAnsi="Times New Roman" w:eastAsia="宋体" w:cs="Times New Roman"/>
                <w:b w:val="0"/>
                <w:bCs w:val="0"/>
                <w:sz w:val="24"/>
                <w:szCs w:val="24"/>
                <w:lang w:val="en-US" w:eastAsia="zh-CN"/>
              </w:rPr>
              <w:t>污水处理系统采取的污水处理工艺为</w:t>
            </w:r>
            <w:r>
              <w:rPr>
                <w:rFonts w:hint="eastAsia" w:ascii="Times New Roman" w:hAnsi="Times New Roman" w:eastAsia="宋体" w:cs="Times New Roman"/>
                <w:kern w:val="0"/>
                <w:sz w:val="24"/>
                <w:szCs w:val="24"/>
              </w:rPr>
              <w:t>化粪池+生物接触氧化池+MBR膜处理工艺</w:t>
            </w:r>
            <w:r>
              <w:rPr>
                <w:rFonts w:ascii="Times New Roman" w:hAnsi="Times New Roman" w:eastAsia="宋体" w:cs="Times New Roman"/>
                <w:kern w:val="0"/>
                <w:sz w:val="24"/>
                <w:szCs w:val="24"/>
              </w:rPr>
              <w:t>，</w:t>
            </w:r>
            <w:r>
              <w:rPr>
                <w:rFonts w:hint="default" w:ascii="Times New Roman" w:hAnsi="Times New Roman" w:eastAsia="宋体" w:cs="Times New Roman"/>
                <w:b w:val="0"/>
                <w:bCs w:val="0"/>
                <w:sz w:val="24"/>
                <w:szCs w:val="24"/>
                <w:lang w:val="en-US" w:eastAsia="zh-CN"/>
              </w:rPr>
              <w:t>其废水处理规模为25m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/d，泾阳服务区</w:t>
            </w:r>
            <w:r>
              <w:rPr>
                <w:rFonts w:hint="eastAsia" w:ascii="Times New Roman" w:hAnsi="Times New Roman" w:cs="Times New Roman"/>
                <w:b w:val="0"/>
                <w:bCs w:val="0"/>
                <w:sz w:val="24"/>
                <w:szCs w:val="24"/>
                <w:lang w:val="en-US" w:eastAsia="zh-CN"/>
              </w:rPr>
              <w:t>南区</w:t>
            </w:r>
            <w:r>
              <w:rPr>
                <w:rFonts w:hint="default" w:ascii="Times New Roman" w:hAnsi="Times New Roman" w:eastAsia="宋体" w:cs="Times New Roman"/>
                <w:b w:val="0"/>
                <w:bCs w:val="0"/>
                <w:sz w:val="24"/>
                <w:szCs w:val="24"/>
                <w:lang w:val="en-US" w:eastAsia="zh-CN"/>
              </w:rPr>
              <w:t>目前污水产生量约为15.0m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/d，本项目产生的废水量</w:t>
            </w:r>
            <w:r>
              <w:rPr>
                <w:rFonts w:hint="eastAsia" w:ascii="Times New Roman" w:hAnsi="Times New Roman" w:cs="Times New Roman"/>
                <w:b w:val="0"/>
                <w:bCs w:val="0"/>
                <w:sz w:val="24"/>
                <w:szCs w:val="24"/>
                <w:lang w:val="en-US" w:eastAsia="zh-CN"/>
              </w:rPr>
              <w:t>最大</w:t>
            </w:r>
            <w:r>
              <w:rPr>
                <w:rFonts w:hint="default" w:ascii="Times New Roman" w:hAnsi="Times New Roman" w:eastAsia="宋体" w:cs="Times New Roman"/>
                <w:b w:val="0"/>
                <w:bCs w:val="0"/>
                <w:sz w:val="24"/>
                <w:szCs w:val="24"/>
                <w:lang w:val="en-US" w:eastAsia="zh-CN"/>
              </w:rPr>
              <w:t>为1.0</w:t>
            </w:r>
            <w:r>
              <w:rPr>
                <w:rFonts w:hint="eastAsia" w:ascii="Times New Roman" w:hAnsi="Times New Roman" w:cs="Times New Roman"/>
                <w:b w:val="0"/>
                <w:bCs w:val="0"/>
                <w:sz w:val="24"/>
                <w:szCs w:val="24"/>
                <w:lang w:val="en-US" w:eastAsia="zh-CN"/>
              </w:rPr>
              <w:t>35</w:t>
            </w:r>
            <w:r>
              <w:rPr>
                <w:rFonts w:hint="default" w:ascii="Times New Roman" w:hAnsi="Times New Roman" w:eastAsia="宋体" w:cs="Times New Roman"/>
                <w:b w:val="0"/>
                <w:bCs w:val="0"/>
                <w:sz w:val="24"/>
                <w:szCs w:val="24"/>
                <w:lang w:val="en-US"/>
              </w:rPr>
              <w:t>m</w:t>
            </w:r>
            <w:r>
              <w:rPr>
                <w:rFonts w:hint="default" w:ascii="Times New Roman" w:hAnsi="Times New Roman" w:eastAsia="宋体" w:cs="Times New Roman"/>
                <w:b w:val="0"/>
                <w:bCs w:val="0"/>
                <w:sz w:val="24"/>
                <w:szCs w:val="24"/>
                <w:vertAlign w:val="superscript"/>
                <w:lang w:val="en-US"/>
              </w:rPr>
              <w:t>3</w:t>
            </w:r>
            <w:r>
              <w:rPr>
                <w:rFonts w:hint="default" w:ascii="Times New Roman" w:hAnsi="Times New Roman" w:eastAsia="宋体" w:cs="Times New Roman"/>
                <w:b w:val="0"/>
                <w:bCs w:val="0"/>
                <w:sz w:val="24"/>
                <w:szCs w:val="24"/>
                <w:lang w:val="en-US"/>
              </w:rPr>
              <w:t>/d</w:t>
            </w:r>
            <w:r>
              <w:rPr>
                <w:rFonts w:hint="default" w:ascii="Times New Roman" w:hAnsi="Times New Roman" w:eastAsia="宋体" w:cs="Times New Roman"/>
                <w:b w:val="0"/>
                <w:bCs w:val="0"/>
                <w:sz w:val="24"/>
                <w:szCs w:val="24"/>
                <w:lang w:val="en-US" w:eastAsia="zh-CN"/>
              </w:rPr>
              <w:t>（3</w:t>
            </w:r>
            <w:r>
              <w:rPr>
                <w:rFonts w:hint="eastAsia" w:ascii="Times New Roman" w:hAnsi="Times New Roman" w:cs="Times New Roman"/>
                <w:b w:val="0"/>
                <w:bCs w:val="0"/>
                <w:sz w:val="24"/>
                <w:szCs w:val="24"/>
                <w:lang w:val="en-US" w:eastAsia="zh-CN"/>
              </w:rPr>
              <w:t>02.24</w:t>
            </w:r>
            <w:r>
              <w:rPr>
                <w:rFonts w:hint="default" w:ascii="Times New Roman" w:hAnsi="Times New Roman" w:eastAsia="宋体" w:cs="Times New Roman"/>
                <w:b w:val="0"/>
                <w:bCs w:val="0"/>
                <w:sz w:val="24"/>
                <w:szCs w:val="24"/>
                <w:lang w:val="en-US"/>
              </w:rPr>
              <w:t>m</w:t>
            </w:r>
            <w:r>
              <w:rPr>
                <w:rFonts w:hint="default" w:ascii="Times New Roman" w:hAnsi="Times New Roman" w:eastAsia="宋体" w:cs="Times New Roman"/>
                <w:b w:val="0"/>
                <w:bCs w:val="0"/>
                <w:sz w:val="24"/>
                <w:szCs w:val="24"/>
                <w:vertAlign w:val="superscript"/>
                <w:lang w:val="en-US"/>
              </w:rPr>
              <w:t>3</w:t>
            </w:r>
            <w:r>
              <w:rPr>
                <w:rFonts w:hint="default" w:ascii="Times New Roman" w:hAnsi="Times New Roman" w:eastAsia="宋体" w:cs="Times New Roman"/>
                <w:b w:val="0"/>
                <w:bCs w:val="0"/>
                <w:sz w:val="24"/>
                <w:szCs w:val="24"/>
                <w:lang w:val="en-US"/>
              </w:rPr>
              <w:t>/a</w:t>
            </w:r>
            <w:r>
              <w:rPr>
                <w:rFonts w:hint="default" w:ascii="Times New Roman" w:hAnsi="Times New Roman" w:eastAsia="宋体" w:cs="Times New Roman"/>
                <w:b w:val="0"/>
                <w:bCs w:val="0"/>
                <w:sz w:val="24"/>
                <w:szCs w:val="24"/>
                <w:lang w:val="en-US" w:eastAsia="zh-CN"/>
              </w:rPr>
              <w:t>），未超出</w:t>
            </w:r>
            <w:r>
              <w:rPr>
                <w:rFonts w:hint="eastAsia" w:ascii="Times New Roman" w:hAnsi="Times New Roman" w:cs="Times New Roman"/>
                <w:b w:val="0"/>
                <w:bCs w:val="0"/>
                <w:sz w:val="24"/>
                <w:szCs w:val="24"/>
                <w:lang w:val="en-US" w:eastAsia="zh-CN"/>
              </w:rPr>
              <w:t>泾阳</w:t>
            </w:r>
            <w:r>
              <w:rPr>
                <w:rFonts w:hint="default" w:ascii="Times New Roman" w:hAnsi="Times New Roman" w:eastAsia="宋体" w:cs="Times New Roman"/>
                <w:b w:val="0"/>
                <w:bCs w:val="0"/>
                <w:sz w:val="24"/>
                <w:szCs w:val="24"/>
                <w:lang w:val="en-US" w:eastAsia="zh-CN"/>
              </w:rPr>
              <w:t>服务区污水处理系统处理量，因此本项目依托</w:t>
            </w:r>
            <w:r>
              <w:rPr>
                <w:rFonts w:hint="eastAsia" w:ascii="Times New Roman" w:hAnsi="Times New Roman" w:cs="Times New Roman"/>
                <w:b w:val="0"/>
                <w:bCs w:val="0"/>
                <w:sz w:val="24"/>
                <w:szCs w:val="24"/>
                <w:lang w:val="en-US" w:eastAsia="zh-CN"/>
              </w:rPr>
              <w:t>泾阳</w:t>
            </w:r>
            <w:r>
              <w:rPr>
                <w:rFonts w:hint="default" w:ascii="Times New Roman" w:hAnsi="Times New Roman" w:eastAsia="宋体" w:cs="Times New Roman"/>
                <w:b w:val="0"/>
                <w:bCs w:val="0"/>
                <w:sz w:val="24"/>
                <w:szCs w:val="24"/>
                <w:lang w:val="en-US" w:eastAsia="zh-CN"/>
              </w:rPr>
              <w:t>服务区污水处理系统可行。</w:t>
            </w:r>
          </w:p>
          <w:p>
            <w:pPr>
              <w:numPr>
                <w:ilvl w:val="-1"/>
                <w:numId w:val="0"/>
              </w:numPr>
              <w:spacing w:before="0" w:line="360" w:lineRule="auto"/>
              <w:ind w:left="0"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废水处理工艺流程见图</w:t>
            </w:r>
            <w:r>
              <w:rPr>
                <w:rFonts w:hint="eastAsia" w:ascii="Times New Roman" w:hAnsi="Times New Roman" w:cs="Times New Roman"/>
                <w:b w:val="0"/>
                <w:bCs w:val="0"/>
                <w:sz w:val="24"/>
                <w:szCs w:val="24"/>
                <w:lang w:val="en-US" w:eastAsia="zh-CN"/>
              </w:rPr>
              <w:t>3-1</w:t>
            </w:r>
            <w:r>
              <w:rPr>
                <w:rFonts w:hint="default" w:ascii="Times New Roman" w:hAnsi="Times New Roman" w:eastAsia="宋体" w:cs="Times New Roman"/>
                <w:b w:val="0"/>
                <w:bCs w:val="0"/>
                <w:sz w:val="24"/>
                <w:szCs w:val="24"/>
                <w:lang w:val="en-US" w:eastAsia="zh-CN"/>
              </w:rPr>
              <w:t>。</w:t>
            </w:r>
          </w:p>
          <w:p>
            <w:pPr>
              <w:numPr>
                <w:ilvl w:val="0"/>
                <w:numId w:val="0"/>
              </w:numPr>
              <w:spacing w:before="0" w:line="360" w:lineRule="auto"/>
              <w:ind w:left="0" w:firstLine="0" w:firstLineChars="0"/>
              <w:jc w:val="center"/>
              <w:rPr>
                <w:rFonts w:hint="default" w:ascii="Times New Roman" w:hAnsi="Times New Roman" w:cs="Times New Roman"/>
                <w:lang w:val="en-US" w:eastAsia="zh-CN"/>
              </w:rPr>
            </w:pPr>
            <w:r>
              <w:rPr>
                <w:rFonts w:ascii="Times New Roman" w:hAnsi="Times New Roman" w:cs="Times New Roman"/>
              </w:rPr>
              <w:drawing>
                <wp:inline distT="0" distB="0" distL="114300" distR="114300">
                  <wp:extent cx="5428615" cy="3418840"/>
                  <wp:effectExtent l="0" t="0" r="635" b="10160"/>
                  <wp:docPr id="13" name="图片 11" descr="说明: QQ图片2017111709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说明: QQ图片20171117095019"/>
                          <pic:cNvPicPr>
                            <a:picLocks noChangeAspect="1"/>
                          </pic:cNvPicPr>
                        </pic:nvPicPr>
                        <pic:blipFill>
                          <a:blip r:embed="rId14"/>
                          <a:srcRect t="2449" r="2461" b="2449"/>
                          <a:stretch>
                            <a:fillRect/>
                          </a:stretch>
                        </pic:blipFill>
                        <pic:spPr>
                          <a:xfrm>
                            <a:off x="0" y="0"/>
                            <a:ext cx="5428615" cy="3418840"/>
                          </a:xfrm>
                          <a:prstGeom prst="rect">
                            <a:avLst/>
                          </a:prstGeom>
                          <a:noFill/>
                          <a:ln>
                            <a:noFill/>
                          </a:ln>
                        </pic:spPr>
                      </pic:pic>
                    </a:graphicData>
                  </a:graphic>
                </wp:inline>
              </w:drawing>
            </w:r>
          </w:p>
          <w:p>
            <w:pPr>
              <w:keepNext w:val="0"/>
              <w:keepLines w:val="0"/>
              <w:pageBreakBefore w:val="0"/>
              <w:widowControl/>
              <w:numPr>
                <w:ilvl w:val="-1"/>
                <w:numId w:val="0"/>
              </w:numPr>
              <w:kinsoku/>
              <w:wordWrap/>
              <w:overflowPunct/>
              <w:topLinePunct w:val="0"/>
              <w:autoSpaceDE/>
              <w:autoSpaceDN/>
              <w:bidi w:val="0"/>
              <w:adjustRightInd w:val="0"/>
              <w:snapToGrid w:val="0"/>
              <w:spacing w:after="0" w:afterLines="0" w:line="360" w:lineRule="auto"/>
              <w:ind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图</w:t>
            </w:r>
            <w:r>
              <w:rPr>
                <w:rFonts w:hint="eastAsia" w:ascii="Times New Roman" w:hAnsi="Times New Roman" w:cs="Times New Roman" w:eastAsiaTheme="minorEastAsia"/>
                <w:b/>
                <w:bCs/>
                <w:sz w:val="21"/>
                <w:szCs w:val="21"/>
                <w:highlight w:val="none"/>
                <w:lang w:val="en-US" w:eastAsia="zh-CN"/>
              </w:rPr>
              <w:t xml:space="preserve">3-1 </w:t>
            </w:r>
            <w:r>
              <w:rPr>
                <w:rFonts w:hint="default" w:ascii="Times New Roman" w:hAnsi="Times New Roman" w:cs="Times New Roman" w:eastAsiaTheme="minorEastAsia"/>
                <w:b/>
                <w:bCs/>
                <w:sz w:val="21"/>
                <w:szCs w:val="21"/>
                <w:highlight w:val="none"/>
                <w:lang w:val="en-US" w:eastAsia="zh-CN"/>
              </w:rPr>
              <w:t>废水处理工艺流程</w:t>
            </w:r>
          </w:p>
          <w:p>
            <w:pPr>
              <w:numPr>
                <w:ilvl w:val="-1"/>
                <w:numId w:val="0"/>
              </w:numPr>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2、废气</w:t>
            </w:r>
          </w:p>
          <w:p>
            <w:pPr>
              <w:numPr>
                <w:ilvl w:val="0"/>
                <w:numId w:val="0"/>
              </w:numPr>
              <w:spacing w:after="0" w:line="360" w:lineRule="auto"/>
              <w:ind w:firstLine="0" w:firstLineChars="0"/>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本项目不设置食堂，员工食宿均依托</w:t>
            </w:r>
            <w:r>
              <w:rPr>
                <w:rFonts w:hint="eastAsia" w:ascii="Times New Roman" w:hAnsi="Times New Roman" w:cs="Times New Roman"/>
                <w:sz w:val="24"/>
                <w:szCs w:val="24"/>
                <w:lang w:val="en-US" w:eastAsia="zh-CN"/>
              </w:rPr>
              <w:t>泾阳</w:t>
            </w:r>
            <w:r>
              <w:rPr>
                <w:rFonts w:hint="default" w:ascii="Times New Roman" w:hAnsi="Times New Roman" w:cs="Times New Roman"/>
                <w:sz w:val="24"/>
                <w:szCs w:val="24"/>
                <w:lang w:val="en-US" w:eastAsia="zh-CN"/>
              </w:rPr>
              <w:t>服务区，故项目运营期产生的大气污染物主要为在油气灌装（卸油）、储存（静储）、加油等过程中挥发产生的油气（非甲烷总烃）。项目已经配备了三次油气回收装置，对周边环境影响不大。项目采用三次油气回收方式，一次、二次</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三次回收装置见图</w:t>
            </w:r>
            <w:r>
              <w:rPr>
                <w:rFonts w:hint="eastAsia" w:ascii="Times New Roman" w:hAnsi="Times New Roman" w:cs="Times New Roman"/>
                <w:sz w:val="24"/>
                <w:szCs w:val="24"/>
                <w:lang w:val="en-US" w:eastAsia="zh-CN"/>
              </w:rPr>
              <w:t>3-2、图3-3</w:t>
            </w:r>
            <w:r>
              <w:rPr>
                <w:rFonts w:hint="default" w:ascii="Times New Roman" w:hAnsi="Times New Roman" w:cs="Times New Roman"/>
                <w:sz w:val="24"/>
                <w:szCs w:val="24"/>
                <w:lang w:val="en-US" w:eastAsia="zh-CN"/>
              </w:rPr>
              <w:t>。</w:t>
            </w:r>
          </w:p>
          <w:tbl>
            <w:tblPr>
              <w:tblStyle w:val="17"/>
              <w:tblpPr w:leftFromText="180" w:rightFromText="180" w:vertAnchor="text" w:horzAnchor="page" w:tblpX="95" w:tblpY="136"/>
              <w:tblOverlap w:val="never"/>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677" w:type="dxa"/>
                  <w:vAlign w:val="top"/>
                </w:tcPr>
                <w:p>
                  <w:pPr>
                    <w:numPr>
                      <w:ilvl w:val="0"/>
                      <w:numId w:val="0"/>
                    </w:numPr>
                    <w:spacing w:line="360" w:lineRule="auto"/>
                    <w:jc w:val="center"/>
                    <w:rPr>
                      <w:rFonts w:hint="default" w:ascii="Times New Roman" w:hAnsi="Times New Roman" w:cs="Times New Roman"/>
                      <w:vertAlign w:val="baseline"/>
                    </w:rPr>
                  </w:pPr>
                  <w:r>
                    <w:rPr>
                      <w:rFonts w:hint="eastAsia"/>
                      <w:color w:val="000000"/>
                      <w:lang w:eastAsia="zh-CN"/>
                    </w:rPr>
                    <w:drawing>
                      <wp:inline distT="0" distB="0" distL="114300" distR="114300">
                        <wp:extent cx="2540635" cy="2160270"/>
                        <wp:effectExtent l="0" t="0" r="12065" b="11430"/>
                        <wp:docPr id="93" name="图片 70" descr="IMG_20170926_11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0" descr="IMG_20170926_110211"/>
                                <pic:cNvPicPr>
                                  <a:picLocks noChangeAspect="1"/>
                                </pic:cNvPicPr>
                              </pic:nvPicPr>
                              <pic:blipFill>
                                <a:blip r:embed="rId15"/>
                                <a:stretch>
                                  <a:fillRect/>
                                </a:stretch>
                              </pic:blipFill>
                              <pic:spPr>
                                <a:xfrm>
                                  <a:off x="0" y="0"/>
                                  <a:ext cx="2540635" cy="2160270"/>
                                </a:xfrm>
                                <a:prstGeom prst="rect">
                                  <a:avLst/>
                                </a:prstGeom>
                                <a:noFill/>
                                <a:ln w="9525">
                                  <a:noFill/>
                                </a:ln>
                              </pic:spPr>
                            </pic:pic>
                          </a:graphicData>
                        </a:graphic>
                      </wp:inline>
                    </w:drawing>
                  </w:r>
                </w:p>
              </w:tc>
              <w:tc>
                <w:tcPr>
                  <w:tcW w:w="4677" w:type="dxa"/>
                  <w:vAlign w:val="top"/>
                </w:tcPr>
                <w:p>
                  <w:pPr>
                    <w:numPr>
                      <w:ilvl w:val="0"/>
                      <w:numId w:val="0"/>
                    </w:numPr>
                    <w:spacing w:line="360" w:lineRule="auto"/>
                    <w:jc w:val="center"/>
                    <w:rPr>
                      <w:rFonts w:hint="default" w:ascii="Times New Roman" w:hAnsi="Times New Roman" w:cs="Times New Roman"/>
                      <w:vertAlign w:val="baseline"/>
                    </w:rPr>
                  </w:pPr>
                  <w:r>
                    <w:rPr>
                      <w:rFonts w:hint="eastAsia"/>
                      <w:color w:val="000000"/>
                      <w:lang w:eastAsia="zh-CN"/>
                    </w:rPr>
                    <w:drawing>
                      <wp:inline distT="0" distB="0" distL="114300" distR="114300">
                        <wp:extent cx="2559050" cy="2160270"/>
                        <wp:effectExtent l="0" t="0" r="12700" b="11430"/>
                        <wp:docPr id="92" name="图片 71" descr="mmexport150988353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1" descr="mmexport1509883535965"/>
                                <pic:cNvPicPr>
                                  <a:picLocks noChangeAspect="1"/>
                                </pic:cNvPicPr>
                              </pic:nvPicPr>
                              <pic:blipFill>
                                <a:blip r:embed="rId16"/>
                                <a:stretch>
                                  <a:fillRect/>
                                </a:stretch>
                              </pic:blipFill>
                              <pic:spPr>
                                <a:xfrm>
                                  <a:off x="0" y="0"/>
                                  <a:ext cx="2559050" cy="21602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677" w:type="dxa"/>
                  <w:vAlign w:val="top"/>
                </w:tcPr>
                <w:p>
                  <w:pPr>
                    <w:jc w:val="center"/>
                    <w:rPr>
                      <w:rFonts w:hint="default" w:ascii="Times New Roman" w:hAnsi="Times New Roman" w:cs="Times New Roman"/>
                      <w:sz w:val="21"/>
                      <w:szCs w:val="21"/>
                      <w:vertAlign w:val="baseline"/>
                    </w:rPr>
                  </w:pPr>
                  <w:r>
                    <w:rPr>
                      <w:rFonts w:hint="eastAsia"/>
                      <w:b/>
                      <w:bCs/>
                      <w:sz w:val="21"/>
                      <w:szCs w:val="21"/>
                      <w:lang w:eastAsia="zh-CN"/>
                    </w:rPr>
                    <w:t>一次油气回收装置</w:t>
                  </w:r>
                </w:p>
              </w:tc>
              <w:tc>
                <w:tcPr>
                  <w:tcW w:w="4677" w:type="dxa"/>
                  <w:vAlign w:val="top"/>
                </w:tcPr>
                <w:p>
                  <w:pPr>
                    <w:jc w:val="center"/>
                    <w:rPr>
                      <w:rFonts w:hint="default" w:ascii="Times New Roman" w:hAnsi="Times New Roman" w:cs="Times New Roman"/>
                      <w:sz w:val="21"/>
                      <w:szCs w:val="21"/>
                      <w:vertAlign w:val="baseline"/>
                    </w:rPr>
                  </w:pPr>
                  <w:r>
                    <w:rPr>
                      <w:rFonts w:hint="eastAsia"/>
                      <w:b/>
                      <w:bCs/>
                      <w:sz w:val="21"/>
                      <w:szCs w:val="21"/>
                      <w:lang w:eastAsia="zh-CN"/>
                    </w:rPr>
                    <w:t>二次油气回收装置（油气回收泵</w:t>
                  </w:r>
                  <w:r>
                    <w:rPr>
                      <w:rFonts w:hint="eastAsia"/>
                      <w:b/>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677" w:type="dxa"/>
                  <w:vAlign w:val="top"/>
                </w:tcPr>
                <w:p>
                  <w:pPr>
                    <w:rPr>
                      <w:rFonts w:hint="eastAsia"/>
                      <w:b/>
                      <w:bCs/>
                      <w:lang w:eastAsia="zh-CN"/>
                    </w:rPr>
                  </w:pPr>
                  <w:r>
                    <w:rPr>
                      <w:color w:val="000000"/>
                    </w:rPr>
                    <w:drawing>
                      <wp:inline distT="0" distB="0" distL="114300" distR="114300">
                        <wp:extent cx="2675255" cy="3087370"/>
                        <wp:effectExtent l="0" t="0" r="10795" b="17780"/>
                        <wp:docPr id="8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7"/>
                                <pic:cNvPicPr>
                                  <a:picLocks noChangeAspect="1"/>
                                </pic:cNvPicPr>
                              </pic:nvPicPr>
                              <pic:blipFill>
                                <a:blip r:embed="rId17"/>
                                <a:stretch>
                                  <a:fillRect/>
                                </a:stretch>
                              </pic:blipFill>
                              <pic:spPr>
                                <a:xfrm>
                                  <a:off x="0" y="0"/>
                                  <a:ext cx="2675255" cy="3087370"/>
                                </a:xfrm>
                                <a:prstGeom prst="rect">
                                  <a:avLst/>
                                </a:prstGeom>
                                <a:noFill/>
                                <a:ln w="9525">
                                  <a:noFill/>
                                </a:ln>
                              </pic:spPr>
                            </pic:pic>
                          </a:graphicData>
                        </a:graphic>
                      </wp:inline>
                    </w:drawing>
                  </w:r>
                </w:p>
              </w:tc>
              <w:tc>
                <w:tcPr>
                  <w:tcW w:w="4677" w:type="dxa"/>
                  <w:vAlign w:val="top"/>
                </w:tcPr>
                <w:p>
                  <w:pPr>
                    <w:rPr>
                      <w:rFonts w:hint="eastAsia"/>
                      <w:b/>
                      <w:bCs/>
                      <w:lang w:eastAsia="zh-CN"/>
                    </w:rPr>
                  </w:pPr>
                  <w:r>
                    <w:rPr>
                      <w:rFonts w:hint="eastAsia"/>
                      <w:b/>
                      <w:bCs/>
                      <w:lang w:eastAsia="zh-CN"/>
                    </w:rPr>
                    <w:drawing>
                      <wp:inline distT="0" distB="0" distL="114300" distR="114300">
                        <wp:extent cx="2757805" cy="3088640"/>
                        <wp:effectExtent l="0" t="0" r="4445" b="16510"/>
                        <wp:docPr id="5" name="图片 5" descr="北油气回收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北油气回收装置."/>
                                <pic:cNvPicPr>
                                  <a:picLocks noChangeAspect="1"/>
                                </pic:cNvPicPr>
                              </pic:nvPicPr>
                              <pic:blipFill>
                                <a:blip r:embed="rId18"/>
                                <a:stretch>
                                  <a:fillRect/>
                                </a:stretch>
                              </pic:blipFill>
                              <pic:spPr>
                                <a:xfrm>
                                  <a:off x="0" y="0"/>
                                  <a:ext cx="2757805" cy="3088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354" w:type="dxa"/>
                  <w:gridSpan w:val="2"/>
                  <w:vAlign w:val="top"/>
                </w:tcPr>
                <w:p>
                  <w:pPr>
                    <w:jc w:val="center"/>
                    <w:rPr>
                      <w:rFonts w:hint="eastAsia"/>
                      <w:b/>
                      <w:bCs/>
                      <w:lang w:eastAsia="zh-CN"/>
                    </w:rPr>
                  </w:pPr>
                  <w:r>
                    <w:rPr>
                      <w:rFonts w:hint="default"/>
                      <w:b/>
                      <w:bCs/>
                      <w:sz w:val="21"/>
                      <w:szCs w:val="21"/>
                      <w:lang w:val="en-US" w:eastAsia="zh-CN"/>
                    </w:rPr>
                    <w:t>三次回收装置图</w:t>
                  </w:r>
                </w:p>
              </w:tc>
            </w:tr>
          </w:tbl>
          <w:p>
            <w:pPr>
              <w:jc w:val="center"/>
              <w:rPr>
                <w:rFonts w:hint="default"/>
                <w:b/>
                <w:bCs/>
                <w:sz w:val="21"/>
                <w:szCs w:val="21"/>
                <w:highlight w:val="none"/>
                <w:lang w:val="en-US" w:eastAsia="zh-CN"/>
              </w:rPr>
            </w:pPr>
            <w:r>
              <w:rPr>
                <w:rFonts w:hint="default"/>
                <w:b/>
                <w:bCs/>
                <w:sz w:val="21"/>
                <w:szCs w:val="21"/>
                <w:highlight w:val="none"/>
                <w:lang w:val="en-US" w:eastAsia="zh-CN"/>
              </w:rPr>
              <w:t>图</w:t>
            </w:r>
            <w:r>
              <w:rPr>
                <w:rFonts w:hint="eastAsia"/>
                <w:b/>
                <w:bCs/>
                <w:sz w:val="21"/>
                <w:szCs w:val="21"/>
                <w:highlight w:val="none"/>
                <w:lang w:val="en-US" w:eastAsia="zh-CN"/>
              </w:rPr>
              <w:t>3-2</w:t>
            </w:r>
            <w:r>
              <w:rPr>
                <w:rFonts w:hint="default"/>
                <w:b/>
                <w:bCs/>
                <w:sz w:val="21"/>
                <w:szCs w:val="21"/>
                <w:highlight w:val="none"/>
                <w:lang w:val="en-US" w:eastAsia="zh-CN"/>
              </w:rPr>
              <w:t xml:space="preserve">  </w:t>
            </w:r>
            <w:r>
              <w:rPr>
                <w:rFonts w:hint="eastAsia"/>
                <w:b/>
                <w:bCs/>
                <w:sz w:val="21"/>
                <w:szCs w:val="21"/>
                <w:highlight w:val="none"/>
                <w:lang w:val="en-US" w:eastAsia="zh-CN"/>
              </w:rPr>
              <w:t>三次</w:t>
            </w:r>
            <w:r>
              <w:rPr>
                <w:rFonts w:hint="default"/>
                <w:b/>
                <w:bCs/>
                <w:sz w:val="21"/>
                <w:szCs w:val="21"/>
                <w:highlight w:val="none"/>
                <w:lang w:val="en-US" w:eastAsia="zh-CN"/>
              </w:rPr>
              <w:t>回收装置图</w:t>
            </w:r>
          </w:p>
          <w:p>
            <w:pPr>
              <w:numPr>
                <w:ilvl w:val="-1"/>
                <w:numId w:val="0"/>
              </w:numPr>
              <w:spacing w:line="360" w:lineRule="auto"/>
              <w:rPr>
                <w:rFonts w:hint="default" w:ascii="Times New Roman" w:hAnsi="Times New Roman" w:cs="Times New Roman"/>
                <w:sz w:val="24"/>
                <w:szCs w:val="24"/>
                <w:lang w:val="en-US" w:eastAsia="zh-CN"/>
              </w:rPr>
            </w:pPr>
          </w:p>
          <w:p>
            <w:pPr>
              <w:numPr>
                <w:ilvl w:val="-1"/>
                <w:numId w:val="0"/>
              </w:numPr>
              <w:spacing w:line="360" w:lineRule="auto"/>
              <w:rPr>
                <w:rFonts w:hint="default" w:ascii="Times New Roman" w:hAnsi="Times New Roman" w:cs="Times New Roman"/>
                <w:sz w:val="24"/>
                <w:szCs w:val="24"/>
                <w:lang w:val="en-US" w:eastAsia="zh-CN"/>
              </w:rPr>
            </w:pPr>
          </w:p>
          <w:p>
            <w:pPr>
              <w:numPr>
                <w:ilvl w:val="-1"/>
                <w:numId w:val="0"/>
              </w:numPr>
              <w:spacing w:line="360" w:lineRule="auto"/>
              <w:rPr>
                <w:rFonts w:hint="default" w:ascii="Times New Roman" w:hAnsi="Times New Roman" w:cs="Times New Roman"/>
                <w:sz w:val="24"/>
                <w:szCs w:val="24"/>
                <w:lang w:val="en-US" w:eastAsia="zh-CN"/>
              </w:rPr>
            </w:pPr>
          </w:p>
          <w:p>
            <w:pPr>
              <w:numPr>
                <w:ilvl w:val="-1"/>
                <w:numId w:val="0"/>
              </w:numPr>
              <w:spacing w:line="360" w:lineRule="auto"/>
              <w:rPr>
                <w:rFonts w:hint="default" w:ascii="Times New Roman" w:hAnsi="Times New Roman" w:cs="Times New Roman"/>
                <w:sz w:val="24"/>
                <w:szCs w:val="24"/>
                <w:lang w:val="en-US" w:eastAsia="zh-CN"/>
              </w:rPr>
            </w:pPr>
          </w:p>
          <w:p>
            <w:pPr>
              <w:numPr>
                <w:ilvl w:val="-1"/>
                <w:numId w:val="0"/>
              </w:numPr>
              <w:spacing w:line="360" w:lineRule="auto"/>
              <w:rPr>
                <w:rFonts w:hint="default" w:ascii="Times New Roman" w:hAnsi="Times New Roman" w:cs="Times New Roman"/>
                <w:sz w:val="24"/>
                <w:szCs w:val="24"/>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tc>
      </w:tr>
    </w:tbl>
    <w:p>
      <w:pPr>
        <w:rPr>
          <w:rFonts w:hint="eastAsia"/>
          <w:lang w:val="en-US" w:eastAsia="zh-CN"/>
        </w:rPr>
        <w:sectPr>
          <w:footerReference r:id="rId5" w:type="default"/>
          <w:pgSz w:w="11906" w:h="16838"/>
          <w:pgMar w:top="1800" w:right="1440" w:bottom="1800" w:left="144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17"/>
        <w:tblW w:w="9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507" w:type="dxa"/>
            <w:vAlign w:val="top"/>
          </w:tcPr>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677" w:type="dxa"/>
                  <w:vAlign w:val="top"/>
                </w:tcPr>
                <w:p>
                  <w:pPr>
                    <w:numPr>
                      <w:ilvl w:val="0"/>
                      <w:numId w:val="0"/>
                    </w:numPr>
                    <w:spacing w:line="360" w:lineRule="auto"/>
                    <w:jc w:val="left"/>
                    <w:rPr>
                      <w:rFonts w:hint="default" w:ascii="宋体" w:hAnsi="宋体" w:eastAsia="宋体" w:cs="宋体"/>
                      <w:vertAlign w:val="baseline"/>
                      <w:lang w:val="en-US" w:eastAsia="zh-CN"/>
                    </w:rPr>
                  </w:pPr>
                  <w:r>
                    <w:rPr>
                      <w:rFonts w:hint="default" w:ascii="宋体" w:hAnsi="宋体" w:eastAsia="宋体" w:cs="宋体"/>
                      <w:vertAlign w:val="baseline"/>
                      <w:lang w:val="en-US" w:eastAsia="zh-CN"/>
                    </w:rPr>
                    <w:drawing>
                      <wp:inline distT="0" distB="0" distL="114300" distR="114300">
                        <wp:extent cx="2880360" cy="2160270"/>
                        <wp:effectExtent l="0" t="0" r="15240" b="11430"/>
                        <wp:docPr id="7" name="图片 7" descr="油气回收装置监测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油气回收装置监测仪"/>
                                <pic:cNvPicPr>
                                  <a:picLocks noChangeAspect="1"/>
                                </pic:cNvPicPr>
                              </pic:nvPicPr>
                              <pic:blipFill>
                                <a:blip r:embed="rId19"/>
                                <a:stretch>
                                  <a:fillRect/>
                                </a:stretch>
                              </pic:blipFill>
                              <pic:spPr>
                                <a:xfrm>
                                  <a:off x="0" y="0"/>
                                  <a:ext cx="2880360" cy="2160270"/>
                                </a:xfrm>
                                <a:prstGeom prst="rect">
                                  <a:avLst/>
                                </a:prstGeom>
                              </pic:spPr>
                            </pic:pic>
                          </a:graphicData>
                        </a:graphic>
                      </wp:inline>
                    </w:drawing>
                  </w:r>
                </w:p>
              </w:tc>
              <w:tc>
                <w:tcPr>
                  <w:tcW w:w="4677" w:type="dxa"/>
                  <w:vAlign w:val="top"/>
                </w:tcPr>
                <w:p>
                  <w:pPr>
                    <w:numPr>
                      <w:ilvl w:val="0"/>
                      <w:numId w:val="0"/>
                    </w:numPr>
                    <w:spacing w:line="360" w:lineRule="auto"/>
                    <w:jc w:val="left"/>
                    <w:rPr>
                      <w:rFonts w:hint="default" w:ascii="宋体" w:hAnsi="宋体" w:eastAsia="宋体" w:cs="宋体"/>
                      <w:vertAlign w:val="baseline"/>
                      <w:lang w:val="en-US" w:eastAsia="zh-CN"/>
                    </w:rPr>
                  </w:pPr>
                  <w:r>
                    <w:rPr>
                      <w:rFonts w:hint="default" w:ascii="宋体" w:hAnsi="宋体" w:eastAsia="宋体" w:cs="宋体"/>
                      <w:vertAlign w:val="baseline"/>
                      <w:lang w:val="en-US" w:eastAsia="zh-CN"/>
                    </w:rPr>
                    <w:drawing>
                      <wp:inline distT="0" distB="0" distL="114300" distR="114300">
                        <wp:extent cx="2880360" cy="2160270"/>
                        <wp:effectExtent l="0" t="0" r="15240" b="11430"/>
                        <wp:docPr id="4" name="图片 4" descr="北油气回收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北油气回收装置"/>
                                <pic:cNvPicPr>
                                  <a:picLocks noChangeAspect="1"/>
                                </pic:cNvPicPr>
                              </pic:nvPicPr>
                              <pic:blipFill>
                                <a:blip r:embed="rId20"/>
                                <a:stretch>
                                  <a:fillRect/>
                                </a:stretch>
                              </pic:blipFill>
                              <pic:spPr>
                                <a:xfrm>
                                  <a:off x="0" y="0"/>
                                  <a:ext cx="2880360" cy="2160270"/>
                                </a:xfrm>
                                <a:prstGeom prst="rect">
                                  <a:avLst/>
                                </a:prstGeom>
                              </pic:spPr>
                            </pic:pic>
                          </a:graphicData>
                        </a:graphic>
                      </wp:inline>
                    </w:drawing>
                  </w:r>
                </w:p>
              </w:tc>
            </w:tr>
          </w:tbl>
          <w:p>
            <w:pPr>
              <w:jc w:val="center"/>
              <w:rPr>
                <w:rFonts w:hint="default"/>
                <w:b/>
                <w:bCs/>
                <w:sz w:val="21"/>
                <w:szCs w:val="21"/>
                <w:highlight w:val="none"/>
                <w:lang w:val="en-US" w:eastAsia="zh-CN"/>
              </w:rPr>
            </w:pPr>
            <w:r>
              <w:rPr>
                <w:rFonts w:hint="default"/>
                <w:b/>
                <w:bCs/>
                <w:sz w:val="21"/>
                <w:szCs w:val="21"/>
                <w:highlight w:val="none"/>
                <w:lang w:val="en-US" w:eastAsia="zh-CN"/>
              </w:rPr>
              <w:t>图</w:t>
            </w:r>
            <w:r>
              <w:rPr>
                <w:rFonts w:hint="eastAsia"/>
                <w:b/>
                <w:bCs/>
                <w:sz w:val="21"/>
                <w:szCs w:val="21"/>
                <w:highlight w:val="none"/>
                <w:lang w:val="en-US" w:eastAsia="zh-CN"/>
              </w:rPr>
              <w:t>3-3</w:t>
            </w:r>
            <w:r>
              <w:rPr>
                <w:rFonts w:hint="default"/>
                <w:b/>
                <w:bCs/>
                <w:sz w:val="21"/>
                <w:szCs w:val="21"/>
                <w:highlight w:val="none"/>
                <w:lang w:val="en-US" w:eastAsia="zh-CN"/>
              </w:rPr>
              <w:t xml:space="preserve">  </w:t>
            </w:r>
            <w:r>
              <w:rPr>
                <w:rFonts w:hint="eastAsia"/>
                <w:b/>
                <w:bCs/>
                <w:sz w:val="21"/>
                <w:szCs w:val="21"/>
                <w:highlight w:val="none"/>
                <w:lang w:val="en-US" w:eastAsia="zh-CN"/>
              </w:rPr>
              <w:t>油气回收装置监测仪</w:t>
            </w:r>
          </w:p>
          <w:p>
            <w:pPr>
              <w:numPr>
                <w:ilvl w:val="0"/>
                <w:numId w:val="6"/>
              </w:numPr>
              <w:spacing w:line="360" w:lineRule="auto"/>
              <w:rPr>
                <w:rFonts w:hint="eastAsia"/>
                <w:b w:val="0"/>
                <w:bCs w:val="0"/>
                <w:sz w:val="24"/>
                <w:szCs w:val="24"/>
                <w:lang w:val="en-US" w:eastAsia="zh-CN"/>
              </w:rPr>
            </w:pPr>
            <w:r>
              <w:rPr>
                <w:rFonts w:hint="eastAsia"/>
                <w:b w:val="0"/>
                <w:bCs w:val="0"/>
                <w:sz w:val="24"/>
                <w:szCs w:val="24"/>
                <w:lang w:val="en-US" w:eastAsia="zh-CN"/>
              </w:rPr>
              <w:t>噪声</w:t>
            </w:r>
          </w:p>
          <w:p>
            <w:pPr>
              <w:pStyle w:val="5"/>
              <w:spacing w:before="0" w:after="0" w:line="363" w:lineRule="auto"/>
              <w:ind w:right="0" w:firstLine="480" w:firstLineChars="20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项目噪声污染源主要为机动车行驶产生的交通噪声和加油机运转噪声，项目噪声治理措施见表</w:t>
            </w:r>
            <w:r>
              <w:rPr>
                <w:rFonts w:hint="eastAsia" w:ascii="Times New Roman" w:hAnsi="Times New Roman" w:cs="Times New Roman" w:eastAsiaTheme="minorEastAsia"/>
                <w:sz w:val="24"/>
                <w:szCs w:val="24"/>
                <w:lang w:val="en-US" w:eastAsia="zh-CN"/>
              </w:rPr>
              <w:t>3-1</w:t>
            </w:r>
            <w:r>
              <w:rPr>
                <w:rFonts w:hint="default" w:ascii="Times New Roman" w:hAnsi="Times New Roman" w:cs="Times New Roman" w:eastAsiaTheme="minorEastAsia"/>
                <w:sz w:val="24"/>
                <w:szCs w:val="24"/>
              </w:rPr>
              <w:t>所示。</w:t>
            </w:r>
          </w:p>
          <w:p>
            <w:pPr>
              <w:pStyle w:val="5"/>
              <w:spacing w:before="0" w:after="0" w:line="363" w:lineRule="auto"/>
              <w:ind w:right="0" w:firstLine="422" w:firstLineChars="20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val="en-US" w:eastAsia="zh-CN"/>
              </w:rPr>
              <w:t>表</w:t>
            </w:r>
            <w:r>
              <w:rPr>
                <w:rFonts w:hint="eastAsia" w:ascii="Times New Roman" w:hAnsi="Times New Roman" w:cs="Times New Roman" w:eastAsiaTheme="minorEastAsia"/>
                <w:b/>
                <w:bCs/>
                <w:sz w:val="21"/>
                <w:szCs w:val="21"/>
                <w:lang w:val="en-US" w:eastAsia="zh-CN"/>
              </w:rPr>
              <w:t>3-1</w:t>
            </w:r>
            <w:r>
              <w:rPr>
                <w:rFonts w:hint="default" w:ascii="Times New Roman" w:hAnsi="Times New Roman" w:cs="Times New Roman" w:eastAsiaTheme="minorEastAsia"/>
                <w:b/>
                <w:bCs/>
                <w:sz w:val="21"/>
                <w:szCs w:val="21"/>
                <w:lang w:val="en-US" w:eastAsia="zh-CN"/>
              </w:rPr>
              <w:t xml:space="preserve"> </w:t>
            </w:r>
            <w:r>
              <w:rPr>
                <w:rFonts w:hint="default" w:ascii="Times New Roman" w:hAnsi="Times New Roman" w:cs="Times New Roman" w:eastAsiaTheme="minorEastAsia"/>
                <w:b/>
                <w:bCs/>
                <w:spacing w:val="-5"/>
                <w:sz w:val="21"/>
                <w:szCs w:val="21"/>
              </w:rPr>
              <w:t>噪</w:t>
            </w:r>
            <w:r>
              <w:rPr>
                <w:rFonts w:hint="default" w:ascii="Times New Roman" w:hAnsi="Times New Roman" w:cs="Times New Roman" w:eastAsiaTheme="minorEastAsia"/>
                <w:b/>
                <w:bCs/>
                <w:spacing w:val="-3"/>
                <w:sz w:val="21"/>
                <w:szCs w:val="21"/>
              </w:rPr>
              <w:t>声</w:t>
            </w:r>
            <w:r>
              <w:rPr>
                <w:rFonts w:hint="default" w:ascii="Times New Roman" w:hAnsi="Times New Roman" w:cs="Times New Roman" w:eastAsiaTheme="minorEastAsia"/>
                <w:b/>
                <w:bCs/>
                <w:spacing w:val="-5"/>
                <w:sz w:val="21"/>
                <w:szCs w:val="21"/>
              </w:rPr>
              <w:t>源强</w:t>
            </w:r>
            <w:r>
              <w:rPr>
                <w:rFonts w:hint="default" w:ascii="Times New Roman" w:hAnsi="Times New Roman" w:cs="Times New Roman" w:eastAsiaTheme="minorEastAsia"/>
                <w:b/>
                <w:bCs/>
                <w:spacing w:val="-3"/>
                <w:sz w:val="21"/>
                <w:szCs w:val="21"/>
              </w:rPr>
              <w:t>及</w:t>
            </w:r>
            <w:r>
              <w:rPr>
                <w:rFonts w:hint="default" w:ascii="Times New Roman" w:hAnsi="Times New Roman" w:cs="Times New Roman" w:eastAsiaTheme="minorEastAsia"/>
                <w:b/>
                <w:bCs/>
                <w:spacing w:val="-5"/>
                <w:sz w:val="21"/>
                <w:szCs w:val="21"/>
              </w:rPr>
              <w:t>防治</w:t>
            </w:r>
            <w:r>
              <w:rPr>
                <w:rFonts w:hint="default" w:ascii="Times New Roman" w:hAnsi="Times New Roman" w:cs="Times New Roman" w:eastAsiaTheme="minorEastAsia"/>
                <w:b/>
                <w:bCs/>
                <w:spacing w:val="-3"/>
                <w:sz w:val="21"/>
                <w:szCs w:val="21"/>
              </w:rPr>
              <w:t>措</w:t>
            </w:r>
            <w:r>
              <w:rPr>
                <w:rFonts w:hint="default" w:ascii="Times New Roman" w:hAnsi="Times New Roman" w:cs="Times New Roman" w:eastAsiaTheme="minorEastAsia"/>
                <w:b/>
                <w:bCs/>
                <w:sz w:val="21"/>
                <w:szCs w:val="21"/>
              </w:rPr>
              <w:t>施</w:t>
            </w:r>
            <w:r>
              <w:rPr>
                <w:rFonts w:hint="default" w:ascii="Times New Roman" w:hAnsi="Times New Roman" w:cs="Times New Roman" w:eastAsiaTheme="minorEastAsia"/>
                <w:b/>
                <w:bCs/>
                <w:sz w:val="21"/>
                <w:szCs w:val="21"/>
              </w:rPr>
              <w:tab/>
            </w:r>
            <w:r>
              <w:rPr>
                <w:rFonts w:hint="default" w:ascii="Times New Roman" w:hAnsi="Times New Roman" w:cs="Times New Roman" w:eastAsiaTheme="minorEastAsia"/>
                <w:b/>
                <w:bCs/>
                <w:sz w:val="21"/>
                <w:szCs w:val="21"/>
              </w:rPr>
              <w:t>单位：dB(A)</w:t>
            </w:r>
          </w:p>
          <w:tbl>
            <w:tblPr>
              <w:tblStyle w:val="16"/>
              <w:tblW w:w="9354"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11"/>
              <w:gridCol w:w="1636"/>
              <w:gridCol w:w="1836"/>
              <w:gridCol w:w="2324"/>
              <w:gridCol w:w="184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715" w:hRule="atLeast"/>
                <w:jc w:val="center"/>
              </w:trPr>
              <w:tc>
                <w:tcPr>
                  <w:tcW w:w="1711" w:type="dxa"/>
                  <w:tcBorders>
                    <w:tl2br w:val="nil"/>
                    <w:tr2bl w:val="nil"/>
                  </w:tcBorders>
                  <w:vAlign w:val="center"/>
                </w:tcPr>
                <w:p>
                  <w:pPr>
                    <w:pStyle w:val="20"/>
                    <w:widowControl w:val="0"/>
                    <w:autoSpaceDE w:val="0"/>
                    <w:autoSpaceDN w:val="0"/>
                    <w:adjustRightInd/>
                    <w:snapToGrid/>
                    <w:spacing w:before="1" w:after="0" w:afterLines="-2147483648"/>
                    <w:ind w:left="0"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名称</w:t>
                  </w:r>
                </w:p>
              </w:tc>
              <w:tc>
                <w:tcPr>
                  <w:tcW w:w="1636" w:type="dxa"/>
                  <w:tcBorders>
                    <w:tl2br w:val="nil"/>
                    <w:tr2bl w:val="nil"/>
                  </w:tcBorders>
                  <w:vAlign w:val="center"/>
                </w:tcPr>
                <w:p>
                  <w:pPr>
                    <w:pStyle w:val="20"/>
                    <w:widowControl w:val="0"/>
                    <w:autoSpaceDE w:val="0"/>
                    <w:autoSpaceDN w:val="0"/>
                    <w:adjustRightInd/>
                    <w:snapToGrid/>
                    <w:spacing w:before="1" w:after="0" w:afterLines="-2147483648"/>
                    <w:ind w:left="0"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数量</w:t>
                  </w:r>
                </w:p>
              </w:tc>
              <w:tc>
                <w:tcPr>
                  <w:tcW w:w="1836" w:type="dxa"/>
                  <w:tcBorders>
                    <w:tl2br w:val="nil"/>
                    <w:tr2bl w:val="nil"/>
                  </w:tcBorders>
                  <w:vAlign w:val="center"/>
                </w:tcPr>
                <w:p>
                  <w:pPr>
                    <w:pStyle w:val="20"/>
                    <w:widowControl w:val="0"/>
                    <w:autoSpaceDE w:val="0"/>
                    <w:autoSpaceDN w:val="0"/>
                    <w:adjustRightInd/>
                    <w:snapToGrid/>
                    <w:spacing w:before="1" w:after="0" w:afterLines="-2147483648"/>
                    <w:ind w:left="0"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声压级</w:t>
                  </w:r>
                </w:p>
              </w:tc>
              <w:tc>
                <w:tcPr>
                  <w:tcW w:w="2324" w:type="dxa"/>
                  <w:tcBorders>
                    <w:tl2br w:val="nil"/>
                    <w:tr2bl w:val="nil"/>
                  </w:tcBorders>
                  <w:vAlign w:val="center"/>
                </w:tcPr>
                <w:p>
                  <w:pPr>
                    <w:pStyle w:val="20"/>
                    <w:widowControl w:val="0"/>
                    <w:autoSpaceDE w:val="0"/>
                    <w:autoSpaceDN w:val="0"/>
                    <w:adjustRightInd/>
                    <w:snapToGrid/>
                    <w:spacing w:before="1" w:after="0" w:afterLines="-2147483648"/>
                    <w:ind w:left="0"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治理措施</w:t>
                  </w:r>
                </w:p>
              </w:tc>
              <w:tc>
                <w:tcPr>
                  <w:tcW w:w="1847"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治理后源强值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jc w:val="center"/>
              </w:trPr>
              <w:tc>
                <w:tcPr>
                  <w:tcW w:w="171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机动车</w:t>
                  </w:r>
                </w:p>
              </w:tc>
              <w:tc>
                <w:tcPr>
                  <w:tcW w:w="1636"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w w:val="100"/>
                      <w:sz w:val="21"/>
                      <w:szCs w:val="21"/>
                    </w:rPr>
                    <w:t>/</w:t>
                  </w:r>
                </w:p>
              </w:tc>
              <w:tc>
                <w:tcPr>
                  <w:tcW w:w="1836"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85</w:t>
                  </w:r>
                </w:p>
              </w:tc>
              <w:tc>
                <w:tcPr>
                  <w:tcW w:w="2324"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设置禁鸣标志</w:t>
                  </w:r>
                </w:p>
              </w:tc>
              <w:tc>
                <w:tcPr>
                  <w:tcW w:w="1847"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jc w:val="center"/>
              </w:trPr>
              <w:tc>
                <w:tcPr>
                  <w:tcW w:w="171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加油机</w:t>
                  </w:r>
                </w:p>
              </w:tc>
              <w:tc>
                <w:tcPr>
                  <w:tcW w:w="1636"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w w:val="100"/>
                      <w:sz w:val="21"/>
                      <w:szCs w:val="21"/>
                    </w:rPr>
                    <w:t>6</w:t>
                  </w:r>
                </w:p>
              </w:tc>
              <w:tc>
                <w:tcPr>
                  <w:tcW w:w="1836"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70</w:t>
                  </w:r>
                </w:p>
              </w:tc>
              <w:tc>
                <w:tcPr>
                  <w:tcW w:w="2324"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设置减振基础</w:t>
                  </w:r>
                </w:p>
              </w:tc>
              <w:tc>
                <w:tcPr>
                  <w:tcW w:w="1847"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60</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80" w:firstLineChars="200"/>
              <w:textAlignment w:val="auto"/>
              <w:rPr>
                <w:rFonts w:hint="eastAsia"/>
                <w:b w:val="0"/>
                <w:bCs w:val="0"/>
                <w:sz w:val="24"/>
                <w:szCs w:val="24"/>
                <w:lang w:val="en-US" w:eastAsia="zh-CN"/>
              </w:rPr>
            </w:pPr>
            <w:r>
              <w:rPr>
                <w:rFonts w:hint="eastAsia"/>
                <w:b w:val="0"/>
                <w:bCs w:val="0"/>
                <w:sz w:val="24"/>
                <w:szCs w:val="24"/>
                <w:lang w:val="en-US" w:eastAsia="zh-CN"/>
              </w:rPr>
              <w:t>项目监测点位示意图如下：</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eastAsia"/>
                <w:b/>
                <w:bCs/>
                <w:color w:val="auto"/>
                <w:sz w:val="21"/>
                <w:szCs w:val="21"/>
                <w:lang w:val="en-US" w:eastAsia="zh-CN"/>
              </w:rPr>
            </w:pPr>
            <w:r>
              <w:drawing>
                <wp:anchor distT="0" distB="0" distL="114300" distR="114300" simplePos="0" relativeHeight="251658240" behindDoc="0" locked="0" layoutInCell="1" allowOverlap="1">
                  <wp:simplePos x="0" y="0"/>
                  <wp:positionH relativeFrom="column">
                    <wp:posOffset>663575</wp:posOffset>
                  </wp:positionH>
                  <wp:positionV relativeFrom="paragraph">
                    <wp:posOffset>59055</wp:posOffset>
                  </wp:positionV>
                  <wp:extent cx="4452620" cy="3354705"/>
                  <wp:effectExtent l="0" t="0" r="5080" b="1714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4452620" cy="3354705"/>
                          </a:xfrm>
                          <a:prstGeom prst="rect">
                            <a:avLst/>
                          </a:prstGeom>
                          <a:noFill/>
                          <a:ln>
                            <a:noFill/>
                          </a:ln>
                        </pic:spPr>
                      </pic:pic>
                    </a:graphicData>
                  </a:graphic>
                </wp:anchor>
              </w:drawing>
            </w:r>
            <w:r>
              <w:rPr>
                <w:rFonts w:hint="eastAsia"/>
                <w:b/>
                <w:bCs/>
                <w:color w:val="auto"/>
                <w:sz w:val="21"/>
                <w:szCs w:val="21"/>
                <w:lang w:eastAsia="zh-CN"/>
              </w:rPr>
              <w:t>图</w:t>
            </w:r>
            <w:r>
              <w:rPr>
                <w:rFonts w:hint="eastAsia"/>
                <w:b/>
                <w:bCs/>
                <w:color w:val="auto"/>
                <w:sz w:val="21"/>
                <w:szCs w:val="21"/>
                <w:lang w:val="en-US" w:eastAsia="zh-CN"/>
              </w:rPr>
              <w:t>3-4  项目监测点位布置图</w:t>
            </w:r>
          </w:p>
          <w:p>
            <w:pPr>
              <w:keepNext w:val="0"/>
              <w:keepLines w:val="0"/>
              <w:pageBreakBefore w:val="0"/>
              <w:widowControl w:val="0"/>
              <w:numPr>
                <w:ilvl w:val="0"/>
                <w:numId w:val="6"/>
              </w:numPr>
              <w:kinsoku/>
              <w:wordWrap/>
              <w:overflowPunct/>
              <w:topLinePunct w:val="0"/>
              <w:autoSpaceDE w:val="0"/>
              <w:autoSpaceDN w:val="0"/>
              <w:bidi w:val="0"/>
              <w:adjustRightInd/>
              <w:snapToGrid/>
              <w:spacing w:before="0" w:beforeLines="50" w:line="360" w:lineRule="auto"/>
              <w:ind w:left="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固体废弃物</w:t>
            </w:r>
          </w:p>
          <w:p>
            <w:pPr>
              <w:keepLines w:val="0"/>
              <w:pageBreakBefore w:val="0"/>
              <w:numPr>
                <w:ilvl w:val="0"/>
                <w:numId w:val="0"/>
              </w:numPr>
              <w:kinsoku/>
              <w:overflowPunct/>
              <w:topLinePunct w:val="0"/>
              <w:bidi w:val="0"/>
              <w:adjustRightInd w:val="0"/>
              <w:snapToGrid w:val="0"/>
              <w:spacing w:line="360" w:lineRule="auto"/>
              <w:ind w:right="0" w:rightChars="0" w:firstLine="480" w:firstLineChars="200"/>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本项目产生的固体废物</w:t>
            </w:r>
            <w:r>
              <w:rPr>
                <w:rFonts w:hint="eastAsia" w:ascii="Times New Roman" w:hAnsi="Times New Roman" w:cs="Times New Roman"/>
                <w:sz w:val="24"/>
                <w:szCs w:val="24"/>
                <w:lang w:eastAsia="zh-CN"/>
              </w:rPr>
              <w:t>包括</w:t>
            </w:r>
            <w:r>
              <w:rPr>
                <w:rFonts w:hint="eastAsia" w:ascii="Times New Roman" w:hAnsi="Times New Roman" w:cs="Times New Roman"/>
                <w:sz w:val="24"/>
                <w:szCs w:val="24"/>
                <w:lang w:val="en-US" w:eastAsia="zh-CN"/>
              </w:rPr>
              <w:t>生活垃圾</w:t>
            </w:r>
            <w:r>
              <w:rPr>
                <w:rFonts w:hint="eastAsia" w:ascii="Times New Roman" w:hAnsi="Times New Roman" w:cs="Times New Roman"/>
                <w:sz w:val="24"/>
                <w:szCs w:val="24"/>
                <w:lang w:eastAsia="zh-CN"/>
              </w:rPr>
              <w:t>和危险废物。</w:t>
            </w:r>
            <w:r>
              <w:rPr>
                <w:rFonts w:hint="eastAsia" w:ascii="Times New Roman" w:hAnsi="Times New Roman" w:cs="Times New Roman"/>
                <w:sz w:val="24"/>
                <w:szCs w:val="24"/>
                <w:lang w:val="en-US" w:eastAsia="zh-CN"/>
              </w:rPr>
              <w:t>生活垃圾</w:t>
            </w:r>
            <w:r>
              <w:rPr>
                <w:rFonts w:hint="default" w:ascii="Times New Roman" w:hAnsi="Times New Roman" w:cs="Times New Roman"/>
                <w:sz w:val="24"/>
                <w:szCs w:val="24"/>
              </w:rPr>
              <w:t>主要是员工日常活动及流动人员产生的</w:t>
            </w:r>
            <w:r>
              <w:rPr>
                <w:rFonts w:hint="eastAsia" w:ascii="Times New Roman" w:hAnsi="Times New Roman" w:cs="Times New Roman"/>
                <w:sz w:val="24"/>
                <w:szCs w:val="24"/>
                <w:lang w:val="en-US" w:eastAsia="zh-CN"/>
              </w:rPr>
              <w:t>固体废物</w:t>
            </w:r>
            <w:r>
              <w:rPr>
                <w:rFonts w:hint="eastAsia" w:ascii="Times New Roman" w:hAnsi="Times New Roman" w:cs="Times New Roman"/>
                <w:sz w:val="24"/>
                <w:szCs w:val="24"/>
                <w:lang w:eastAsia="zh-CN"/>
              </w:rPr>
              <w:t>。危险废物主要为</w:t>
            </w:r>
            <w:r>
              <w:rPr>
                <w:rFonts w:ascii="Times New Roman" w:hAnsi="Times New Roman" w:eastAsia="宋体" w:cs="Times New Roman"/>
                <w:sz w:val="24"/>
                <w:szCs w:val="24"/>
              </w:rPr>
              <w:t>加油设备维修和维护产生的</w:t>
            </w:r>
            <w:r>
              <w:rPr>
                <w:rFonts w:hint="eastAsia" w:ascii="Times New Roman" w:hAnsi="Times New Roman" w:cs="Times New Roman"/>
                <w:sz w:val="24"/>
                <w:szCs w:val="24"/>
                <w:lang w:eastAsia="zh-CN"/>
              </w:rPr>
              <w:t>废润滑油、废含油棉纱、废手套、废油沙和</w:t>
            </w:r>
            <w:r>
              <w:rPr>
                <w:rFonts w:hint="default" w:ascii="Times New Roman" w:hAnsi="Times New Roman" w:cs="Times New Roman"/>
                <w:sz w:val="24"/>
                <w:szCs w:val="24"/>
              </w:rPr>
              <w:t>油罐</w:t>
            </w:r>
            <w:r>
              <w:rPr>
                <w:rFonts w:hint="eastAsia" w:ascii="Times New Roman" w:hAnsi="Times New Roman" w:cs="Times New Roman"/>
                <w:sz w:val="24"/>
                <w:szCs w:val="24"/>
                <w:lang w:eastAsia="zh-CN"/>
              </w:rPr>
              <w:t>清理产生的</w:t>
            </w:r>
            <w:r>
              <w:rPr>
                <w:rFonts w:hint="eastAsia" w:ascii="Times New Roman" w:hAnsi="Times New Roman" w:cs="Times New Roman"/>
                <w:sz w:val="24"/>
                <w:szCs w:val="24"/>
                <w:lang w:val="en-US" w:eastAsia="zh-CN"/>
              </w:rPr>
              <w:t>含油</w:t>
            </w:r>
            <w:r>
              <w:rPr>
                <w:rFonts w:hint="default" w:ascii="Times New Roman" w:hAnsi="Times New Roman" w:cs="Times New Roman"/>
                <w:sz w:val="24"/>
                <w:szCs w:val="24"/>
              </w:rPr>
              <w:t>油泥。</w:t>
            </w:r>
            <w:r>
              <w:rPr>
                <w:rFonts w:hint="eastAsia" w:ascii="Times New Roman" w:hAnsi="Times New Roman" w:cs="Times New Roman"/>
                <w:sz w:val="24"/>
                <w:szCs w:val="24"/>
                <w:lang w:eastAsia="zh-CN"/>
              </w:rPr>
              <w:t>项目固废产生量及处置措施见表</w:t>
            </w:r>
            <w:r>
              <w:rPr>
                <w:rFonts w:hint="eastAsia" w:ascii="Times New Roman" w:hAnsi="Times New Roman" w:cs="Times New Roman"/>
                <w:sz w:val="24"/>
                <w:szCs w:val="24"/>
                <w:lang w:val="en-US" w:eastAsia="zh-CN"/>
              </w:rPr>
              <w:t>3-2所示。</w:t>
            </w:r>
          </w:p>
          <w:p>
            <w:pPr>
              <w:keepLines w:val="0"/>
              <w:pageBreakBefore w:val="0"/>
              <w:numPr>
                <w:ilvl w:val="0"/>
                <w:numId w:val="0"/>
              </w:numPr>
              <w:kinsoku/>
              <w:overflowPunct/>
              <w:topLinePunct w:val="0"/>
              <w:bidi w:val="0"/>
              <w:adjustRightInd w:val="0"/>
              <w:snapToGrid w:val="0"/>
              <w:spacing w:line="360" w:lineRule="auto"/>
              <w:ind w:left="0" w:leftChars="0" w:right="0" w:rightChars="0"/>
              <w:jc w:val="center"/>
              <w:outlineLvl w:val="9"/>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eastAsia="zh-CN"/>
              </w:rPr>
              <w:t>表</w:t>
            </w:r>
            <w:r>
              <w:rPr>
                <w:rFonts w:hint="eastAsia" w:ascii="Times New Roman" w:hAnsi="Times New Roman" w:cs="Times New Roman"/>
                <w:b/>
                <w:bCs/>
                <w:sz w:val="21"/>
                <w:szCs w:val="21"/>
                <w:lang w:val="en-US" w:eastAsia="zh-CN"/>
              </w:rPr>
              <w:t>3-2  项目固废产生量及处置措施情况一览表</w:t>
            </w:r>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186"/>
              <w:gridCol w:w="1498"/>
              <w:gridCol w:w="1284"/>
              <w:gridCol w:w="1021"/>
              <w:gridCol w:w="2339"/>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899"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类型</w:t>
                  </w:r>
                </w:p>
              </w:tc>
              <w:tc>
                <w:tcPr>
                  <w:tcW w:w="1186"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废物名称</w:t>
                  </w:r>
                </w:p>
              </w:tc>
              <w:tc>
                <w:tcPr>
                  <w:tcW w:w="1498"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成分</w:t>
                  </w:r>
                </w:p>
              </w:tc>
              <w:tc>
                <w:tcPr>
                  <w:tcW w:w="1284"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产生及处置量</w:t>
                  </w:r>
                </w:p>
              </w:tc>
              <w:tc>
                <w:tcPr>
                  <w:tcW w:w="1021"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类别</w:t>
                  </w:r>
                </w:p>
              </w:tc>
              <w:tc>
                <w:tcPr>
                  <w:tcW w:w="2339"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处理处置方式及去向</w:t>
                  </w:r>
                </w:p>
              </w:tc>
              <w:tc>
                <w:tcPr>
                  <w:tcW w:w="1127"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899"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cs="Times New Roman"/>
                      <w:sz w:val="21"/>
                      <w:szCs w:val="21"/>
                      <w:vertAlign w:val="baseline"/>
                      <w:lang w:val="en-US"/>
                    </w:rPr>
                  </w:pPr>
                  <w:r>
                    <w:rPr>
                      <w:rFonts w:hint="eastAsia" w:ascii="Times New Roman" w:hAnsi="Times New Roman" w:cs="Times New Roman"/>
                      <w:sz w:val="21"/>
                      <w:szCs w:val="21"/>
                      <w:vertAlign w:val="baseline"/>
                      <w:lang w:val="en-US" w:eastAsia="zh-CN"/>
                    </w:rPr>
                    <w:t>生活垃圾</w:t>
                  </w:r>
                </w:p>
              </w:tc>
              <w:tc>
                <w:tcPr>
                  <w:tcW w:w="1186"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rPr>
                  </w:pPr>
                  <w:r>
                    <w:rPr>
                      <w:rFonts w:hint="eastAsia" w:ascii="Times New Roman" w:hAnsi="Times New Roman" w:cs="Times New Roman"/>
                      <w:sz w:val="21"/>
                      <w:szCs w:val="21"/>
                      <w:vertAlign w:val="baseline"/>
                      <w:lang w:eastAsia="zh-CN"/>
                    </w:rPr>
                    <w:t>生活垃圾</w:t>
                  </w:r>
                </w:p>
              </w:tc>
              <w:tc>
                <w:tcPr>
                  <w:tcW w:w="1498"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val="en-US"/>
                    </w:rPr>
                  </w:pPr>
                  <w:r>
                    <w:rPr>
                      <w:rFonts w:hint="eastAsia" w:ascii="Times New Roman" w:hAnsi="Times New Roman" w:cs="Times New Roman"/>
                      <w:sz w:val="21"/>
                      <w:szCs w:val="21"/>
                      <w:vertAlign w:val="baseline"/>
                      <w:lang w:val="en-US" w:eastAsia="zh-CN"/>
                    </w:rPr>
                    <w:t>/</w:t>
                  </w:r>
                </w:p>
              </w:tc>
              <w:tc>
                <w:tcPr>
                  <w:tcW w:w="1284"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cs="Times New Roman"/>
                      <w:sz w:val="21"/>
                      <w:szCs w:val="21"/>
                      <w:vertAlign w:val="baseline"/>
                      <w:lang w:val="en-US"/>
                    </w:rPr>
                  </w:pPr>
                  <w:r>
                    <w:rPr>
                      <w:rFonts w:hint="eastAsia" w:ascii="Times New Roman" w:hAnsi="Times New Roman" w:cs="Times New Roman"/>
                      <w:sz w:val="21"/>
                      <w:szCs w:val="21"/>
                      <w:vertAlign w:val="baseline"/>
                      <w:lang w:val="en-US" w:eastAsia="zh-CN"/>
                    </w:rPr>
                    <w:t>2.8</w:t>
                  </w:r>
                  <w:r>
                    <w:rPr>
                      <w:rFonts w:hint="default" w:ascii="Times New Roman" w:hAnsi="Times New Roman" w:cs="Times New Roman"/>
                      <w:sz w:val="21"/>
                      <w:szCs w:val="21"/>
                      <w:vertAlign w:val="baseline"/>
                      <w:lang w:val="en-US" w:eastAsia="zh-CN"/>
                    </w:rPr>
                    <w:t>0</w:t>
                  </w:r>
                  <w:r>
                    <w:rPr>
                      <w:rFonts w:hint="default" w:ascii="Times New Roman" w:hAnsi="Times New Roman" w:cs="Times New Roman"/>
                      <w:sz w:val="21"/>
                      <w:szCs w:val="21"/>
                      <w:vertAlign w:val="baseline"/>
                      <w:lang w:val="en-US"/>
                    </w:rPr>
                    <w:t>t/a</w:t>
                  </w:r>
                </w:p>
              </w:tc>
              <w:tc>
                <w:tcPr>
                  <w:tcW w:w="1021"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val="en-US"/>
                    </w:rPr>
                  </w:pPr>
                  <w:r>
                    <w:rPr>
                      <w:rFonts w:hint="eastAsia" w:ascii="Times New Roman" w:hAnsi="Times New Roman" w:cs="Times New Roman"/>
                      <w:sz w:val="21"/>
                      <w:szCs w:val="21"/>
                      <w:vertAlign w:val="baseline"/>
                      <w:lang w:val="en-US" w:eastAsia="zh-CN"/>
                    </w:rPr>
                    <w:t>/</w:t>
                  </w:r>
                </w:p>
              </w:tc>
              <w:tc>
                <w:tcPr>
                  <w:tcW w:w="2339"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val="en-US"/>
                    </w:rPr>
                  </w:pPr>
                  <w:r>
                    <w:rPr>
                      <w:rFonts w:hint="eastAsia" w:ascii="Times New Roman" w:hAnsi="Times New Roman" w:cs="Times New Roman"/>
                      <w:sz w:val="21"/>
                      <w:szCs w:val="21"/>
                      <w:vertAlign w:val="baseline"/>
                      <w:lang w:val="en-US" w:eastAsia="zh-CN"/>
                    </w:rPr>
                    <w:t>分类收集，交由环卫部门处理</w:t>
                  </w:r>
                </w:p>
              </w:tc>
              <w:tc>
                <w:tcPr>
                  <w:tcW w:w="1127"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低于环评量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899" w:type="dxa"/>
                  <w:vMerge w:val="restart"/>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危险废物</w:t>
                  </w:r>
                </w:p>
              </w:tc>
              <w:tc>
                <w:tcPr>
                  <w:tcW w:w="1186"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废润滑油</w:t>
                  </w:r>
                </w:p>
              </w:tc>
              <w:tc>
                <w:tcPr>
                  <w:tcW w:w="1498"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加油设备维修和维护</w:t>
                  </w:r>
                </w:p>
              </w:tc>
              <w:tc>
                <w:tcPr>
                  <w:tcW w:w="1284"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0.03t/a</w:t>
                  </w:r>
                </w:p>
              </w:tc>
              <w:tc>
                <w:tcPr>
                  <w:tcW w:w="1021"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HW08</w:t>
                  </w:r>
                </w:p>
              </w:tc>
              <w:tc>
                <w:tcPr>
                  <w:tcW w:w="2339"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装入专用贮罐在危废暂存箱内暂存，交由陕西明瑞资源再生有限公司处置</w:t>
                  </w:r>
                </w:p>
              </w:tc>
              <w:tc>
                <w:tcPr>
                  <w:tcW w:w="1127"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jc w:val="center"/>
                    <w:outlineLvl w:val="9"/>
                    <w:rPr>
                      <w:snapToGrid w:val="0"/>
                      <w:color w:val="auto"/>
                      <w:kern w:val="0"/>
                      <w:sz w:val="21"/>
                      <w:szCs w:val="21"/>
                    </w:rPr>
                  </w:pPr>
                  <w:r>
                    <w:rPr>
                      <w:rFonts w:hint="eastAsia" w:ascii="Times New Roman" w:hAnsi="Times New Roman" w:cs="Times New Roman"/>
                      <w:sz w:val="21"/>
                      <w:szCs w:val="21"/>
                      <w:vertAlign w:val="baseline"/>
                      <w:lang w:val="en-US" w:eastAsia="zh-CN"/>
                    </w:rPr>
                    <w:t>低于环评量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jc w:val="center"/>
              </w:trPr>
              <w:tc>
                <w:tcPr>
                  <w:tcW w:w="899" w:type="dxa"/>
                  <w:vMerge w:val="continue"/>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eastAsia="zh-CN"/>
                    </w:rPr>
                  </w:pPr>
                </w:p>
              </w:tc>
              <w:tc>
                <w:tcPr>
                  <w:tcW w:w="1186"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油罐底部油泥</w:t>
                  </w:r>
                </w:p>
              </w:tc>
              <w:tc>
                <w:tcPr>
                  <w:tcW w:w="1498"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燃料油储存过程中产生的油泥</w:t>
                  </w:r>
                </w:p>
              </w:tc>
              <w:tc>
                <w:tcPr>
                  <w:tcW w:w="1284"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0.10t/a</w:t>
                  </w:r>
                </w:p>
              </w:tc>
              <w:tc>
                <w:tcPr>
                  <w:tcW w:w="1021"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HW08</w:t>
                  </w:r>
                </w:p>
              </w:tc>
              <w:tc>
                <w:tcPr>
                  <w:tcW w:w="2339"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highlight w:val="none"/>
                      <w:vertAlign w:val="baseline"/>
                      <w:lang w:val="en-US" w:eastAsia="zh-CN"/>
                    </w:rPr>
                    <w:t>由清罐单位直接拉走处置</w:t>
                  </w:r>
                </w:p>
              </w:tc>
              <w:tc>
                <w:tcPr>
                  <w:tcW w:w="1127"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低于环评量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jc w:val="center"/>
              </w:trPr>
              <w:tc>
                <w:tcPr>
                  <w:tcW w:w="899" w:type="dxa"/>
                  <w:vMerge w:val="continue"/>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eastAsia="zh-CN"/>
                    </w:rPr>
                  </w:pPr>
                </w:p>
              </w:tc>
              <w:tc>
                <w:tcPr>
                  <w:tcW w:w="1186"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eastAsia="宋体" w:cs="Times New Roman"/>
                      <w:sz w:val="21"/>
                      <w:szCs w:val="21"/>
                      <w:lang w:eastAsia="zh-CN"/>
                    </w:rPr>
                    <w:t>废含油棉纱、废手套</w:t>
                  </w:r>
                </w:p>
              </w:tc>
              <w:tc>
                <w:tcPr>
                  <w:tcW w:w="1498"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val="en-US" w:eastAsia="zh-CN"/>
                    </w:rPr>
                    <w:t>加油设备维修和维护</w:t>
                  </w:r>
                </w:p>
              </w:tc>
              <w:tc>
                <w:tcPr>
                  <w:tcW w:w="1284"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0.002t/a</w:t>
                  </w:r>
                </w:p>
              </w:tc>
              <w:tc>
                <w:tcPr>
                  <w:tcW w:w="1021"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HW49</w:t>
                  </w:r>
                </w:p>
              </w:tc>
              <w:tc>
                <w:tcPr>
                  <w:tcW w:w="2339"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置于危废暂存间，交由陕西明瑞资源再生有限公司处置</w:t>
                  </w:r>
                </w:p>
              </w:tc>
              <w:tc>
                <w:tcPr>
                  <w:tcW w:w="1127"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低于环评量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jc w:val="center"/>
              </w:trPr>
              <w:tc>
                <w:tcPr>
                  <w:tcW w:w="899" w:type="dxa"/>
                  <w:vMerge w:val="continue"/>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eastAsia="zh-CN"/>
                    </w:rPr>
                  </w:pPr>
                </w:p>
              </w:tc>
              <w:tc>
                <w:tcPr>
                  <w:tcW w:w="1186"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废油沙</w:t>
                  </w:r>
                </w:p>
              </w:tc>
              <w:tc>
                <w:tcPr>
                  <w:tcW w:w="1498"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油品</w:t>
                  </w:r>
                </w:p>
              </w:tc>
              <w:tc>
                <w:tcPr>
                  <w:tcW w:w="1284"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0.1t/a</w:t>
                  </w:r>
                </w:p>
              </w:tc>
              <w:tc>
                <w:tcPr>
                  <w:tcW w:w="1021"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HW08</w:t>
                  </w:r>
                </w:p>
              </w:tc>
              <w:tc>
                <w:tcPr>
                  <w:tcW w:w="2339"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置于危废暂存间，交由陕西明瑞资源再生有限公司处置</w:t>
                  </w:r>
                </w:p>
              </w:tc>
              <w:tc>
                <w:tcPr>
                  <w:tcW w:w="1127"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与环评不一致（环评未提到，实际运行会产生）</w:t>
                  </w:r>
                </w:p>
              </w:tc>
            </w:tr>
          </w:tbl>
          <w:p>
            <w:pPr>
              <w:numPr>
                <w:ilvl w:val="0"/>
                <w:numId w:val="7"/>
              </w:numPr>
              <w:spacing w:line="360" w:lineRule="auto"/>
              <w:rPr>
                <w:rFonts w:hint="eastAsia"/>
                <w:b/>
                <w:bCs/>
                <w:sz w:val="24"/>
                <w:szCs w:val="24"/>
                <w:lang w:val="en-US" w:eastAsia="zh-CN"/>
              </w:rPr>
            </w:pPr>
            <w:r>
              <w:rPr>
                <w:rFonts w:hint="eastAsia"/>
                <w:b/>
                <w:bCs/>
                <w:sz w:val="24"/>
                <w:szCs w:val="24"/>
                <w:lang w:val="en-US" w:eastAsia="zh-CN"/>
              </w:rPr>
              <w:t>其他环境保护设施</w:t>
            </w:r>
          </w:p>
          <w:p>
            <w:pPr>
              <w:pStyle w:val="7"/>
              <w:numPr>
                <w:ilvl w:val="-1"/>
                <w:numId w:val="0"/>
              </w:numPr>
              <w:spacing w:before="0" w:line="360" w:lineRule="auto"/>
              <w:ind w:left="0" w:firstLine="0" w:firstLineChars="0"/>
              <w:jc w:val="left"/>
              <w:rPr>
                <w:rFonts w:hint="default"/>
                <w:b w:val="0"/>
                <w:bCs w:val="0"/>
                <w:sz w:val="24"/>
                <w:szCs w:val="24"/>
                <w:lang w:val="en-US" w:eastAsia="zh-CN"/>
              </w:rPr>
            </w:pPr>
            <w:r>
              <w:rPr>
                <w:rFonts w:hint="eastAsia"/>
                <w:b w:val="0"/>
                <w:bCs w:val="0"/>
                <w:sz w:val="24"/>
                <w:szCs w:val="24"/>
                <w:lang w:val="en-US" w:eastAsia="zh-CN"/>
              </w:rPr>
              <w:t>1、环境风险防范措施</w:t>
            </w:r>
          </w:p>
          <w:p>
            <w:pPr>
              <w:pStyle w:val="7"/>
              <w:numPr>
                <w:ilvl w:val="-1"/>
                <w:numId w:val="0"/>
              </w:numPr>
              <w:spacing w:before="0" w:line="360" w:lineRule="auto"/>
              <w:ind w:left="0" w:firstLine="480" w:firstLineChars="200"/>
              <w:rPr>
                <w:rFonts w:hint="eastAsia" w:ascii="Times New Roman" w:hAnsi="Times New Roman" w:cs="Times New Roman"/>
                <w:b w:val="0"/>
                <w:bCs w:val="0"/>
                <w:sz w:val="24"/>
                <w:szCs w:val="24"/>
                <w:highlight w:val="none"/>
                <w:lang w:val="en-US" w:eastAsia="zh-CN"/>
              </w:rPr>
            </w:pPr>
            <w:r>
              <w:rPr>
                <w:rFonts w:hint="eastAsia" w:ascii="Times New Roman" w:hAnsi="Times New Roman" w:cs="Times New Roman"/>
                <w:b w:val="0"/>
                <w:bCs w:val="0"/>
                <w:sz w:val="24"/>
                <w:szCs w:val="24"/>
                <w:lang w:val="en-US" w:eastAsia="zh-CN"/>
              </w:rPr>
              <w:t>根据环境保护方面的法律、法规并结合项目实际运行编制《陕西省石油化工工业贸易公司泾阳服务区南加油站突发环境事件应急预案》</w:t>
            </w:r>
            <w:r>
              <w:rPr>
                <w:rFonts w:hint="eastAsia" w:ascii="Times New Roman" w:hAnsi="Times New Roman" w:cs="Times New Roman"/>
                <w:b w:val="0"/>
                <w:bCs w:val="0"/>
                <w:sz w:val="24"/>
                <w:szCs w:val="24"/>
                <w:highlight w:val="none"/>
                <w:lang w:val="en-US" w:eastAsia="zh-CN"/>
              </w:rPr>
              <w:t>，并到泾阳县生态环境局备案，备案编号</w:t>
            </w:r>
            <w:r>
              <w:rPr>
                <w:rFonts w:hint="default" w:ascii="Times New Roman" w:hAnsi="Times New Roman" w:cs="Times New Roman"/>
                <w:b w:val="0"/>
                <w:bCs w:val="0"/>
                <w:sz w:val="24"/>
                <w:szCs w:val="24"/>
                <w:highlight w:val="none"/>
                <w:lang w:val="en-US" w:eastAsia="zh-CN"/>
              </w:rPr>
              <w:t>：6</w:t>
            </w:r>
            <w:r>
              <w:rPr>
                <w:rFonts w:hint="eastAsia" w:ascii="Times New Roman" w:hAnsi="Times New Roman" w:cs="Times New Roman"/>
                <w:b w:val="0"/>
                <w:bCs w:val="0"/>
                <w:sz w:val="24"/>
                <w:szCs w:val="24"/>
                <w:highlight w:val="none"/>
                <w:lang w:val="en-US" w:eastAsia="zh-CN"/>
              </w:rPr>
              <w:t>10423</w:t>
            </w:r>
            <w:r>
              <w:rPr>
                <w:rFonts w:hint="default" w:ascii="Times New Roman" w:hAnsi="Times New Roman"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2019</w:t>
            </w:r>
            <w:r>
              <w:rPr>
                <w:rFonts w:hint="default" w:ascii="Times New Roman" w:hAnsi="Times New Roman"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06</w:t>
            </w:r>
            <w:r>
              <w:rPr>
                <w:rFonts w:hint="default" w:ascii="Times New Roman" w:hAnsi="Times New Roman" w:cs="Times New Roman"/>
                <w:b w:val="0"/>
                <w:bCs w:val="0"/>
                <w:sz w:val="24"/>
                <w:szCs w:val="24"/>
                <w:highlight w:val="none"/>
                <w:lang w:val="en-US" w:eastAsia="zh-CN"/>
              </w:rPr>
              <w:t>-L</w:t>
            </w:r>
            <w:r>
              <w:rPr>
                <w:rFonts w:hint="eastAsia" w:ascii="Times New Roman" w:hAnsi="Times New Roman" w:cs="Times New Roman"/>
                <w:b w:val="0"/>
                <w:bCs w:val="0"/>
                <w:sz w:val="24"/>
                <w:szCs w:val="24"/>
                <w:highlight w:val="none"/>
                <w:lang w:val="en-US" w:eastAsia="zh-CN"/>
              </w:rPr>
              <w:t>。</w:t>
            </w:r>
          </w:p>
          <w:p>
            <w:pPr>
              <w:pStyle w:val="7"/>
              <w:numPr>
                <w:ilvl w:val="-1"/>
                <w:numId w:val="0"/>
              </w:numPr>
              <w:spacing w:before="0" w:line="360" w:lineRule="auto"/>
              <w:ind w:left="0" w:firstLine="480" w:firstLineChars="200"/>
              <w:rPr>
                <w:rFonts w:hint="default" w:ascii="Times New Roman" w:hAnsi="Times New Roman" w:cs="Times New Roman"/>
                <w:b w:val="0"/>
                <w:bCs w:val="0"/>
                <w:sz w:val="24"/>
                <w:szCs w:val="24"/>
                <w:highlight w:val="yellow"/>
                <w:lang w:val="en-US" w:eastAsia="zh-CN"/>
              </w:rPr>
            </w:pPr>
            <w:r>
              <w:rPr>
                <w:rFonts w:hint="eastAsia" w:ascii="Times New Roman" w:hAnsi="Times New Roman" w:cs="Times New Roman"/>
                <w:b w:val="0"/>
                <w:bCs w:val="0"/>
                <w:sz w:val="24"/>
                <w:szCs w:val="24"/>
                <w:lang w:val="en-US" w:eastAsia="zh-CN"/>
              </w:rPr>
              <w:t>应急预案主要包括应急组织机构与职责、预防预警、应急处置、后期处置、应急保障、监督管理等方面，明确了应急响应机制，配备了响应的应急救援物资。建设项目风险防范设施一览表见表3-3。</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b/>
                <w:bCs/>
                <w:sz w:val="24"/>
                <w:szCs w:val="24"/>
                <w:highlight w:val="none"/>
                <w:lang w:val="en-US" w:eastAsia="zh-CN"/>
              </w:rPr>
            </w:pPr>
            <w:r>
              <w:rPr>
                <w:rFonts w:hint="eastAsia" w:cs="宋体"/>
                <w:b/>
                <w:bCs/>
                <w:sz w:val="21"/>
                <w:szCs w:val="21"/>
                <w:highlight w:val="none"/>
                <w:lang w:val="en-US" w:eastAsia="zh-CN"/>
              </w:rPr>
              <w:t xml:space="preserve">表3-3  </w:t>
            </w:r>
            <w:r>
              <w:rPr>
                <w:rFonts w:hint="eastAsia" w:ascii="宋体" w:hAnsi="宋体" w:eastAsia="宋体" w:cs="宋体"/>
                <w:b/>
                <w:bCs/>
                <w:sz w:val="21"/>
                <w:szCs w:val="21"/>
                <w:highlight w:val="none"/>
                <w:lang w:val="en-US" w:eastAsia="zh-CN"/>
              </w:rPr>
              <w:t>建设项目风险防范设施一览表</w:t>
            </w:r>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2652"/>
              <w:gridCol w:w="2186"/>
              <w:gridCol w:w="187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规格及型号</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单位</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消防沙</w:t>
                  </w:r>
                  <w:r>
                    <w:rPr>
                      <w:rFonts w:hint="eastAsia" w:ascii="Times New Roman" w:hAnsi="Times New Roman" w:eastAsia="宋体" w:cs="Times New Roman"/>
                      <w:sz w:val="21"/>
                      <w:szCs w:val="21"/>
                      <w:lang w:eastAsia="zh-CN"/>
                    </w:rPr>
                    <w:t>桶</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座</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隔油池</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座</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液位检测装置</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个</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液位报警装置</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套</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油品罐体泄漏报警系统</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套</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紧急切断设施</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个</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灭火毯</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个</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35kg推车式干粉灭火器</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8kg</w:t>
                  </w:r>
                  <w:r>
                    <w:rPr>
                      <w:rFonts w:hint="eastAsia" w:ascii="Times New Roman" w:hAnsi="Times New Roman" w:cs="Times New Roman"/>
                      <w:sz w:val="21"/>
                      <w:szCs w:val="21"/>
                      <w:lang w:val="en-US" w:eastAsia="zh-CN"/>
                    </w:rPr>
                    <w:t>干粉</w:t>
                  </w:r>
                  <w:r>
                    <w:rPr>
                      <w:rFonts w:hint="default" w:ascii="Times New Roman" w:hAnsi="Times New Roman" w:eastAsia="宋体" w:cs="Times New Roman"/>
                      <w:sz w:val="21"/>
                      <w:szCs w:val="21"/>
                      <w:lang w:val="en-US" w:eastAsia="zh-CN"/>
                    </w:rPr>
                    <w:t>灭火器</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二氧化碳灭火器</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具</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ascii="Times New Roman" w:hAnsi="Times New Roman" w:cs="Times New Roman"/>
                      <w:sz w:val="21"/>
                      <w:szCs w:val="21"/>
                      <w:lang w:val="en-US" w:eastAsia="zh-CN"/>
                    </w:rPr>
                    <w:t>1</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消防锨</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把</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围堰</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罐区四周建有20cm围堰</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处</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应急预案备案表</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610423-2019-0</w:t>
                  </w:r>
                  <w:r>
                    <w:rPr>
                      <w:rFonts w:hint="eastAsia" w:ascii="Times New Roman" w:hAnsi="Times New Roman" w:cs="Times New Roman"/>
                      <w:sz w:val="21"/>
                      <w:szCs w:val="21"/>
                      <w:lang w:val="en-US" w:eastAsia="zh-CN"/>
                    </w:rPr>
                    <w:t>6</w:t>
                  </w:r>
                  <w:r>
                    <w:rPr>
                      <w:rFonts w:hint="default" w:ascii="Times New Roman" w:hAnsi="Times New Roman" w:eastAsia="宋体" w:cs="Times New Roman"/>
                      <w:sz w:val="21"/>
                      <w:szCs w:val="21"/>
                      <w:lang w:val="en-US" w:eastAsia="zh-CN"/>
                    </w:rPr>
                    <w:t>-L</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份</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bl>
          <w:p>
            <w:pPr>
              <w:keepLines w:val="0"/>
              <w:pageBreakBefore w:val="0"/>
              <w:numPr>
                <w:ilvl w:val="0"/>
                <w:numId w:val="0"/>
              </w:numPr>
              <w:kinsoku/>
              <w:overflowPunct/>
              <w:topLinePunct w:val="0"/>
              <w:bidi w:val="0"/>
              <w:adjustRightInd w:val="0"/>
              <w:snapToGrid w:val="0"/>
              <w:spacing w:line="360" w:lineRule="auto"/>
              <w:ind w:left="0" w:leftChars="0" w:right="0" w:rightChars="0" w:firstLine="0" w:firstLineChars="0"/>
              <w:outlineLvl w:val="9"/>
              <w:rPr>
                <w:rFonts w:hint="eastAsia" w:ascii="Times New Roman" w:hAnsi="Times New Roman" w:cs="Times New Roman"/>
                <w:sz w:val="24"/>
                <w:szCs w:val="24"/>
                <w:lang w:val="en-US" w:eastAsia="zh-CN"/>
              </w:rPr>
            </w:pPr>
          </w:p>
          <w:tbl>
            <w:tblPr>
              <w:tblStyle w:val="17"/>
              <w:tblW w:w="9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45" w:type="dxa"/>
                </w:tcPr>
                <w:p>
                  <w:pPr>
                    <w:pStyle w:val="7"/>
                    <w:rPr>
                      <w:rFonts w:hint="eastAsia"/>
                      <w:vertAlign w:val="baseline"/>
                      <w:lang w:val="en-US" w:eastAsia="zh-CN"/>
                    </w:rPr>
                  </w:pPr>
                  <w:r>
                    <w:rPr>
                      <w:rFonts w:hint="eastAsia"/>
                      <w:vertAlign w:val="baseline"/>
                      <w:lang w:val="en-US" w:eastAsia="zh-CN"/>
                    </w:rPr>
                    <w:drawing>
                      <wp:inline distT="0" distB="0" distL="114300" distR="114300">
                        <wp:extent cx="2808605" cy="3744595"/>
                        <wp:effectExtent l="0" t="0" r="10795" b="8255"/>
                        <wp:docPr id="9" name="图片 9" descr="北消防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北消防设备"/>
                                <pic:cNvPicPr>
                                  <a:picLocks noChangeAspect="1"/>
                                </pic:cNvPicPr>
                              </pic:nvPicPr>
                              <pic:blipFill>
                                <a:blip r:embed="rId22"/>
                                <a:stretch>
                                  <a:fillRect/>
                                </a:stretch>
                              </pic:blipFill>
                              <pic:spPr>
                                <a:xfrm>
                                  <a:off x="0" y="0"/>
                                  <a:ext cx="2808605" cy="3744595"/>
                                </a:xfrm>
                                <a:prstGeom prst="rect">
                                  <a:avLst/>
                                </a:prstGeom>
                              </pic:spPr>
                            </pic:pic>
                          </a:graphicData>
                        </a:graphic>
                      </wp:inline>
                    </w:drawing>
                  </w:r>
                </w:p>
              </w:tc>
              <w:tc>
                <w:tcPr>
                  <w:tcW w:w="4646" w:type="dxa"/>
                </w:tcPr>
                <w:p>
                  <w:pPr>
                    <w:pStyle w:val="7"/>
                    <w:ind w:left="0" w:leftChars="0" w:firstLine="0" w:firstLineChars="0"/>
                    <w:rPr>
                      <w:rFonts w:hint="eastAsia"/>
                      <w:vertAlign w:val="baseline"/>
                      <w:lang w:val="en-US" w:eastAsia="zh-CN"/>
                    </w:rPr>
                  </w:pPr>
                  <w:r>
                    <w:rPr>
                      <w:rFonts w:hint="eastAsia"/>
                      <w:vertAlign w:val="baseline"/>
                      <w:lang w:val="en-US" w:eastAsia="zh-CN"/>
                    </w:rPr>
                    <w:drawing>
                      <wp:inline distT="0" distB="0" distL="114300" distR="114300">
                        <wp:extent cx="2808605" cy="3744595"/>
                        <wp:effectExtent l="0" t="0" r="10795" b="8255"/>
                        <wp:docPr id="10" name="图片 10" descr="北消防设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北消防设备 (2)"/>
                                <pic:cNvPicPr>
                                  <a:picLocks noChangeAspect="1"/>
                                </pic:cNvPicPr>
                              </pic:nvPicPr>
                              <pic:blipFill>
                                <a:blip r:embed="rId23"/>
                                <a:stretch>
                                  <a:fillRect/>
                                </a:stretch>
                              </pic:blipFill>
                              <pic:spPr>
                                <a:xfrm>
                                  <a:off x="0" y="0"/>
                                  <a:ext cx="2808605" cy="3744595"/>
                                </a:xfrm>
                                <a:prstGeom prst="rect">
                                  <a:avLst/>
                                </a:prstGeom>
                              </pic:spPr>
                            </pic:pic>
                          </a:graphicData>
                        </a:graphic>
                      </wp:inline>
                    </w:drawing>
                  </w:r>
                </w:p>
              </w:tc>
            </w:tr>
          </w:tbl>
          <w:p>
            <w:pPr>
              <w:keepLines w:val="0"/>
              <w:pageBreakBefore w:val="0"/>
              <w:numPr>
                <w:ilvl w:val="0"/>
                <w:numId w:val="0"/>
              </w:numPr>
              <w:kinsoku/>
              <w:overflowPunct/>
              <w:topLinePunct w:val="0"/>
              <w:bidi w:val="0"/>
              <w:adjustRightInd w:val="0"/>
              <w:snapToGrid w:val="0"/>
              <w:spacing w:line="360" w:lineRule="auto"/>
              <w:ind w:left="0" w:leftChars="0" w:right="0" w:rightChars="0"/>
              <w:jc w:val="center"/>
              <w:outlineLvl w:val="9"/>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图3-5  消防设施</w:t>
            </w:r>
          </w:p>
          <w:p>
            <w:pPr>
              <w:keepLines w:val="0"/>
              <w:pageBreakBefore w:val="0"/>
              <w:numPr>
                <w:ilvl w:val="0"/>
                <w:numId w:val="0"/>
              </w:numPr>
              <w:kinsoku/>
              <w:overflowPunct/>
              <w:topLinePunct w:val="0"/>
              <w:bidi w:val="0"/>
              <w:adjustRightInd w:val="0"/>
              <w:snapToGrid w:val="0"/>
              <w:spacing w:line="360" w:lineRule="auto"/>
              <w:ind w:left="0" w:leftChars="0" w:right="0" w:rightChars="0" w:firstLine="0" w:firstLineChars="0"/>
              <w:outlineLvl w:val="9"/>
              <w:rPr>
                <w:rFonts w:hint="eastAsia" w:ascii="Times New Roman" w:hAnsi="Times New Roman" w:cs="Times New Roman"/>
                <w:sz w:val="24"/>
                <w:szCs w:val="24"/>
                <w:lang w:eastAsia="zh-CN"/>
              </w:rPr>
            </w:pP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lang w:eastAsia="zh-CN"/>
              </w:rPr>
              <w:t>规范危险废弃物暂存间场所防范措施检查</w:t>
            </w:r>
          </w:p>
          <w:p>
            <w:pPr>
              <w:pStyle w:val="7"/>
              <w:spacing w:before="0" w:line="360" w:lineRule="auto"/>
              <w:ind w:left="0" w:firstLine="480" w:firstLineChars="200"/>
              <w:rPr>
                <w:rFonts w:hint="eastAsia"/>
                <w:b w:val="0"/>
                <w:bCs w:val="0"/>
                <w:lang w:val="en-US" w:eastAsia="zh-CN"/>
              </w:rPr>
            </w:pPr>
            <w:r>
              <w:rPr>
                <w:rFonts w:hint="eastAsia"/>
                <w:b w:val="0"/>
                <w:bCs w:val="0"/>
                <w:lang w:eastAsia="zh-CN"/>
              </w:rPr>
              <w:t>陕西省石油化工工业贸易公司</w:t>
            </w:r>
            <w:r>
              <w:rPr>
                <w:rFonts w:hint="eastAsia"/>
                <w:b w:val="0"/>
                <w:bCs w:val="0"/>
                <w:lang w:val="en-US" w:eastAsia="zh-CN"/>
              </w:rPr>
              <w:t>泾阳服务区南加油站</w:t>
            </w:r>
            <w:r>
              <w:rPr>
                <w:rFonts w:hint="eastAsia"/>
                <w:b w:val="0"/>
                <w:bCs w:val="0"/>
                <w:lang w:eastAsia="zh-CN"/>
              </w:rPr>
              <w:t>建有危废暂存间，危废暂存间已进行防渗处理，内部设有标识，危险废物管理制度。危险废物置于危废暂存间，分类置放，定期交由陕西明瑞资源再生有限公司。危废暂存间具体见图</w:t>
            </w:r>
            <w:r>
              <w:rPr>
                <w:rFonts w:hint="eastAsia"/>
                <w:b w:val="0"/>
                <w:bCs w:val="0"/>
                <w:lang w:val="en-US" w:eastAsia="zh-CN"/>
              </w:rPr>
              <w:t>3-6。</w:t>
            </w:r>
          </w:p>
          <w:p>
            <w:pPr>
              <w:rPr>
                <w:rFonts w:hint="eastAsia"/>
                <w:b w:val="0"/>
                <w:bCs w:val="0"/>
                <w:lang w:val="en-US" w:eastAsia="zh-CN"/>
              </w:rPr>
            </w:pPr>
          </w:p>
          <w:p>
            <w:pPr>
              <w:pStyle w:val="7"/>
              <w:rPr>
                <w:rFonts w:hint="eastAsia"/>
                <w:b w:val="0"/>
                <w:bCs w:val="0"/>
                <w:lang w:val="en-US" w:eastAsia="zh-CN"/>
              </w:rPr>
            </w:pPr>
          </w:p>
          <w:p>
            <w:pPr>
              <w:rPr>
                <w:rFonts w:hint="eastAsia"/>
                <w:b w:val="0"/>
                <w:bCs w:val="0"/>
                <w:lang w:val="en-US" w:eastAsia="zh-CN"/>
              </w:rPr>
            </w:pPr>
          </w:p>
          <w:p>
            <w:pPr>
              <w:pStyle w:val="7"/>
              <w:ind w:left="0" w:leftChars="0" w:firstLine="0" w:firstLineChars="0"/>
              <w:rPr>
                <w:rFonts w:hint="eastAsia"/>
                <w:lang w:val="en-US" w:eastAsia="zh-CN"/>
              </w:rPr>
            </w:pPr>
          </w:p>
          <w:p>
            <w:pPr>
              <w:rPr>
                <w:rFonts w:hint="eastAsia"/>
                <w:lang w:val="en-US" w:eastAsia="zh-CN"/>
              </w:rPr>
            </w:pPr>
          </w:p>
          <w:tbl>
            <w:tblPr>
              <w:tblStyle w:val="17"/>
              <w:tblW w:w="9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45" w:type="dxa"/>
                </w:tcPr>
                <w:p>
                  <w:pPr>
                    <w:pStyle w:val="7"/>
                    <w:spacing w:before="0" w:line="360" w:lineRule="auto"/>
                    <w:ind w:left="0" w:leftChars="0" w:firstLine="0" w:firstLineChars="0"/>
                    <w:rPr>
                      <w:rFonts w:hint="eastAsia"/>
                      <w:b w:val="0"/>
                      <w:bCs w:val="0"/>
                      <w:vertAlign w:val="baseline"/>
                      <w:lang w:eastAsia="zh-CN"/>
                    </w:rPr>
                  </w:pPr>
                  <w:r>
                    <w:rPr>
                      <w:rFonts w:hint="eastAsia"/>
                      <w:b w:val="0"/>
                      <w:bCs w:val="0"/>
                      <w:vertAlign w:val="baseline"/>
                      <w:lang w:eastAsia="zh-CN"/>
                    </w:rPr>
                    <w:drawing>
                      <wp:inline distT="0" distB="0" distL="114300" distR="114300">
                        <wp:extent cx="2808605" cy="3744595"/>
                        <wp:effectExtent l="0" t="0" r="10795" b="8255"/>
                        <wp:docPr id="8" name="图片 8" descr="北危废存储间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北危废存储间正面"/>
                                <pic:cNvPicPr>
                                  <a:picLocks noChangeAspect="1"/>
                                </pic:cNvPicPr>
                              </pic:nvPicPr>
                              <pic:blipFill>
                                <a:blip r:embed="rId24"/>
                                <a:stretch>
                                  <a:fillRect/>
                                </a:stretch>
                              </pic:blipFill>
                              <pic:spPr>
                                <a:xfrm>
                                  <a:off x="0" y="0"/>
                                  <a:ext cx="2808605" cy="3744595"/>
                                </a:xfrm>
                                <a:prstGeom prst="rect">
                                  <a:avLst/>
                                </a:prstGeom>
                              </pic:spPr>
                            </pic:pic>
                          </a:graphicData>
                        </a:graphic>
                      </wp:inline>
                    </w:drawing>
                  </w:r>
                </w:p>
              </w:tc>
              <w:tc>
                <w:tcPr>
                  <w:tcW w:w="4646" w:type="dxa"/>
                </w:tcPr>
                <w:p>
                  <w:pPr>
                    <w:pStyle w:val="7"/>
                    <w:spacing w:before="0" w:line="360" w:lineRule="auto"/>
                    <w:ind w:left="0" w:leftChars="0" w:firstLine="0" w:firstLineChars="0"/>
                    <w:rPr>
                      <w:rFonts w:hint="eastAsia"/>
                      <w:b w:val="0"/>
                      <w:bCs w:val="0"/>
                      <w:vertAlign w:val="baseline"/>
                      <w:lang w:eastAsia="zh-CN"/>
                    </w:rPr>
                  </w:pPr>
                  <w:r>
                    <w:rPr>
                      <w:rFonts w:hint="eastAsia"/>
                      <w:b w:val="0"/>
                      <w:bCs w:val="0"/>
                      <w:vertAlign w:val="baseline"/>
                      <w:lang w:eastAsia="zh-CN"/>
                    </w:rPr>
                    <w:drawing>
                      <wp:inline distT="0" distB="0" distL="114300" distR="114300">
                        <wp:extent cx="2782570" cy="3710940"/>
                        <wp:effectExtent l="0" t="0" r="17780" b="3810"/>
                        <wp:docPr id="6" name="图片 6" descr="北危废存储间打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北危废存储间打开"/>
                                <pic:cNvPicPr>
                                  <a:picLocks noChangeAspect="1"/>
                                </pic:cNvPicPr>
                              </pic:nvPicPr>
                              <pic:blipFill>
                                <a:blip r:embed="rId25"/>
                                <a:stretch>
                                  <a:fillRect/>
                                </a:stretch>
                              </pic:blipFill>
                              <pic:spPr>
                                <a:xfrm>
                                  <a:off x="0" y="0"/>
                                  <a:ext cx="2782570" cy="3710940"/>
                                </a:xfrm>
                                <a:prstGeom prst="rect">
                                  <a:avLst/>
                                </a:prstGeom>
                              </pic:spPr>
                            </pic:pic>
                          </a:graphicData>
                        </a:graphic>
                      </wp:inline>
                    </w:drawing>
                  </w:r>
                </w:p>
              </w:tc>
            </w:tr>
          </w:tbl>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图</w:t>
            </w:r>
            <w:r>
              <w:rPr>
                <w:rFonts w:hint="eastAsia" w:cs="宋体"/>
                <w:b/>
                <w:bCs/>
                <w:sz w:val="21"/>
                <w:szCs w:val="21"/>
                <w:lang w:val="en-US" w:eastAsia="zh-CN"/>
              </w:rPr>
              <w:t xml:space="preserve">3-6  </w:t>
            </w:r>
            <w:r>
              <w:rPr>
                <w:rFonts w:hint="eastAsia" w:ascii="宋体" w:hAnsi="宋体" w:eastAsia="宋体" w:cs="宋体"/>
                <w:b/>
                <w:bCs/>
                <w:sz w:val="21"/>
                <w:szCs w:val="21"/>
                <w:lang w:val="en-US" w:eastAsia="zh-CN"/>
              </w:rPr>
              <w:t>危废暂存间</w:t>
            </w:r>
          </w:p>
          <w:p>
            <w:pPr>
              <w:keepNext w:val="0"/>
              <w:keepLines w:val="0"/>
              <w:pageBreakBefore w:val="0"/>
              <w:widowControl w:val="0"/>
              <w:numPr>
                <w:ilvl w:val="-1"/>
                <w:numId w:val="0"/>
              </w:numPr>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3、其他设施</w:t>
            </w:r>
          </w:p>
          <w:p>
            <w:pPr>
              <w:tabs>
                <w:tab w:val="left" w:pos="924"/>
              </w:tabs>
              <w:adjustRightInd w:val="0"/>
              <w:snapToGrid w:val="0"/>
              <w:spacing w:line="360" w:lineRule="auto"/>
              <w:ind w:firstLine="480" w:firstLineChars="200"/>
              <w:rPr>
                <w:rFonts w:hint="eastAsia" w:eastAsia="宋体"/>
                <w:bCs/>
                <w:snapToGrid w:val="0"/>
                <w:kern w:val="0"/>
                <w:sz w:val="24"/>
                <w:szCs w:val="24"/>
                <w:lang w:eastAsia="zh-CN"/>
              </w:rPr>
            </w:pPr>
            <w:r>
              <w:rPr>
                <w:rFonts w:hint="eastAsia"/>
                <w:bCs/>
                <w:snapToGrid w:val="0"/>
                <w:kern w:val="0"/>
                <w:sz w:val="24"/>
                <w:szCs w:val="24"/>
                <w:highlight w:val="none"/>
                <w:lang w:val="en-US" w:eastAsia="zh-CN"/>
              </w:rPr>
              <w:t>项目利用项目区地下水下游井作为地下水监控井。</w:t>
            </w:r>
            <w:r>
              <w:rPr>
                <w:rFonts w:hint="eastAsia" w:ascii="宋体" w:hAnsi="宋体" w:eastAsia="宋体" w:cs="宋体"/>
                <w:bCs/>
                <w:snapToGrid w:val="0"/>
                <w:kern w:val="0"/>
                <w:sz w:val="24"/>
                <w:szCs w:val="24"/>
              </w:rPr>
              <w:t>油</w:t>
            </w:r>
            <w:r>
              <w:rPr>
                <w:bCs/>
                <w:snapToGrid w:val="0"/>
                <w:kern w:val="0"/>
                <w:sz w:val="24"/>
                <w:szCs w:val="24"/>
              </w:rPr>
              <w:t>罐采用</w:t>
            </w:r>
            <w:r>
              <w:rPr>
                <w:rFonts w:hint="eastAsia"/>
                <w:bCs/>
                <w:snapToGrid w:val="0"/>
                <w:kern w:val="0"/>
                <w:sz w:val="24"/>
                <w:szCs w:val="24"/>
              </w:rPr>
              <w:t>内钢外玻璃纤维增强塑料双层储罐</w:t>
            </w:r>
            <w:r>
              <w:rPr>
                <w:bCs/>
                <w:snapToGrid w:val="0"/>
                <w:kern w:val="0"/>
                <w:sz w:val="24"/>
                <w:szCs w:val="24"/>
              </w:rPr>
              <w:t>，为有效防止废水、油品跑冒滴漏对周围地下水造成不利影响，在油罐区、发油区、管理区设防紧急停机锁存报警器、加油机泄漏低限报警器、储罐超压报警器、储罐液位低限报警器、储罐液位高限报警器、储油罐池渗漏检测报警器等，加油站采取分区防渗措施</w:t>
            </w:r>
            <w:r>
              <w:rPr>
                <w:rFonts w:hint="eastAsia"/>
                <w:bCs/>
                <w:snapToGrid w:val="0"/>
                <w:kern w:val="0"/>
                <w:sz w:val="24"/>
                <w:szCs w:val="24"/>
                <w:lang w:eastAsia="zh-CN"/>
              </w:rPr>
              <w:t>。</w:t>
            </w:r>
          </w:p>
          <w:p>
            <w:pPr>
              <w:tabs>
                <w:tab w:val="left" w:pos="924"/>
              </w:tabs>
              <w:ind w:firstLine="422" w:firstLineChars="200"/>
              <w:jc w:val="center"/>
              <w:rPr>
                <w:b/>
                <w:snapToGrid w:val="0"/>
                <w:kern w:val="0"/>
                <w:sz w:val="21"/>
                <w:szCs w:val="24"/>
              </w:rPr>
            </w:pPr>
            <w:r>
              <w:rPr>
                <w:b/>
                <w:snapToGrid w:val="0"/>
                <w:kern w:val="0"/>
                <w:sz w:val="21"/>
                <w:szCs w:val="24"/>
              </w:rPr>
              <w:t>表</w:t>
            </w:r>
            <w:r>
              <w:rPr>
                <w:rFonts w:hint="eastAsia"/>
                <w:b/>
                <w:snapToGrid w:val="0"/>
                <w:kern w:val="0"/>
                <w:sz w:val="21"/>
                <w:szCs w:val="24"/>
                <w:lang w:val="en-US" w:eastAsia="zh-CN"/>
              </w:rPr>
              <w:t>3-4</w:t>
            </w:r>
            <w:r>
              <w:rPr>
                <w:b/>
                <w:snapToGrid w:val="0"/>
                <w:kern w:val="0"/>
                <w:sz w:val="21"/>
                <w:szCs w:val="24"/>
              </w:rPr>
              <w:t xml:space="preserve">  项目污染物划分及防渗等级一览表</w:t>
            </w:r>
          </w:p>
          <w:tbl>
            <w:tblPr>
              <w:tblStyle w:val="16"/>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837"/>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40"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分区</w:t>
                  </w:r>
                </w:p>
              </w:tc>
              <w:tc>
                <w:tcPr>
                  <w:tcW w:w="1837"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站内分区</w:t>
                  </w:r>
                </w:p>
              </w:tc>
              <w:tc>
                <w:tcPr>
                  <w:tcW w:w="5580"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防渗等级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40"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一般防渗区</w:t>
                  </w:r>
                </w:p>
              </w:tc>
              <w:tc>
                <w:tcPr>
                  <w:tcW w:w="1837"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加油区</w:t>
                  </w:r>
                </w:p>
              </w:tc>
              <w:tc>
                <w:tcPr>
                  <w:tcW w:w="5580"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混凝土硬化，等效黏土防渗层Mb≥1.5m，K≤1×10</w:t>
                  </w:r>
                  <w:r>
                    <w:rPr>
                      <w:rFonts w:ascii="Times New Roman" w:hAnsi="Times New Roman" w:eastAsia="宋体" w:cs="Times New Roman"/>
                      <w:bCs/>
                      <w:snapToGrid w:val="0"/>
                      <w:kern w:val="0"/>
                      <w:sz w:val="21"/>
                      <w:szCs w:val="21"/>
                      <w:vertAlign w:val="superscript"/>
                    </w:rPr>
                    <w:t>-7</w:t>
                  </w:r>
                  <w:r>
                    <w:rPr>
                      <w:rFonts w:ascii="Times New Roman" w:hAnsi="Times New Roman" w:eastAsia="宋体" w:cs="Times New Roman"/>
                      <w:bCs/>
                      <w:snapToGrid w:val="0"/>
                      <w:kern w:val="0"/>
                      <w:sz w:val="2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40"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简单防渗区</w:t>
                  </w:r>
                </w:p>
              </w:tc>
              <w:tc>
                <w:tcPr>
                  <w:tcW w:w="1837"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生活区、站房区</w:t>
                  </w:r>
                </w:p>
              </w:tc>
              <w:tc>
                <w:tcPr>
                  <w:tcW w:w="5580"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一般地面硬化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40"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重点防渗区</w:t>
                  </w:r>
                </w:p>
              </w:tc>
              <w:tc>
                <w:tcPr>
                  <w:tcW w:w="1837"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储罐区、输油管线</w:t>
                  </w:r>
                </w:p>
              </w:tc>
              <w:tc>
                <w:tcPr>
                  <w:tcW w:w="5580"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储罐采取双层钢制储罐，防渗池采取了一般防渗措施即采用混凝土硬化，等效黏土防渗层Mb≥1.5m，K≤1×10</w:t>
                  </w:r>
                  <w:r>
                    <w:rPr>
                      <w:rFonts w:ascii="Times New Roman" w:hAnsi="Times New Roman" w:eastAsia="宋体" w:cs="Times New Roman"/>
                      <w:bCs/>
                      <w:snapToGrid w:val="0"/>
                      <w:kern w:val="0"/>
                      <w:sz w:val="21"/>
                      <w:szCs w:val="21"/>
                      <w:vertAlign w:val="superscript"/>
                    </w:rPr>
                    <w:t>-7</w:t>
                  </w:r>
                  <w:r>
                    <w:rPr>
                      <w:rFonts w:ascii="Times New Roman" w:hAnsi="Times New Roman" w:eastAsia="宋体" w:cs="Times New Roman"/>
                      <w:bCs/>
                      <w:snapToGrid w:val="0"/>
                      <w:kern w:val="0"/>
                      <w:sz w:val="21"/>
                      <w:szCs w:val="21"/>
                    </w:rPr>
                    <w:t>cm/s；输油管线采用双层夹套输油管线</w:t>
                  </w:r>
                </w:p>
              </w:tc>
            </w:tr>
          </w:tbl>
          <w:p>
            <w:pPr>
              <w:tabs>
                <w:tab w:val="left" w:pos="924"/>
              </w:tabs>
              <w:adjustRightInd w:val="0"/>
              <w:snapToGrid w:val="0"/>
              <w:spacing w:line="360" w:lineRule="auto"/>
              <w:ind w:firstLine="480" w:firstLineChars="200"/>
              <w:rPr>
                <w:rFonts w:hint="default" w:ascii="Times New Roman" w:hAnsi="Times New Roman" w:cs="Times New Roman"/>
                <w:bCs/>
                <w:snapToGrid w:val="0"/>
                <w:kern w:val="0"/>
                <w:sz w:val="24"/>
                <w:szCs w:val="24"/>
              </w:rPr>
            </w:pPr>
            <w:r>
              <w:rPr>
                <w:rFonts w:hint="default" w:ascii="Times New Roman" w:hAnsi="Times New Roman" w:cs="Times New Roman"/>
                <w:bCs/>
                <w:snapToGrid w:val="0"/>
                <w:kern w:val="0"/>
                <w:sz w:val="24"/>
                <w:szCs w:val="24"/>
              </w:rPr>
              <w:t>一般防渗区防渗措施：一般防渗区为整个加油区。该防渗区地面采用抗渗混凝土结构，混凝土强度等级不低于C25，厚度不小于100mm，渗透系数应≤10</w:t>
            </w:r>
            <w:r>
              <w:rPr>
                <w:rFonts w:hint="default" w:ascii="Times New Roman" w:hAnsi="Times New Roman" w:cs="Times New Roman"/>
                <w:bCs/>
                <w:snapToGrid w:val="0"/>
                <w:kern w:val="0"/>
                <w:sz w:val="24"/>
                <w:szCs w:val="24"/>
                <w:vertAlign w:val="superscript"/>
              </w:rPr>
              <w:t>-7</w:t>
            </w:r>
            <w:r>
              <w:rPr>
                <w:rFonts w:hint="default" w:ascii="Times New Roman" w:hAnsi="Times New Roman" w:cs="Times New Roman"/>
                <w:bCs/>
                <w:snapToGrid w:val="0"/>
                <w:kern w:val="0"/>
                <w:sz w:val="24"/>
                <w:szCs w:val="24"/>
              </w:rPr>
              <w:t>cm/s。</w:t>
            </w:r>
          </w:p>
          <w:p>
            <w:pPr>
              <w:tabs>
                <w:tab w:val="left" w:pos="924"/>
              </w:tabs>
              <w:adjustRightInd w:val="0"/>
              <w:snapToGrid w:val="0"/>
              <w:spacing w:line="360" w:lineRule="auto"/>
              <w:ind w:firstLine="480" w:firstLineChars="200"/>
              <w:rPr>
                <w:rFonts w:hint="eastAsia" w:ascii="Times New Roman" w:hAnsi="Times New Roman" w:eastAsia="宋体" w:cs="Times New Roman"/>
                <w:bCs/>
                <w:snapToGrid w:val="0"/>
                <w:kern w:val="0"/>
                <w:sz w:val="24"/>
                <w:szCs w:val="24"/>
                <w:lang w:eastAsia="zh-CN"/>
              </w:rPr>
            </w:pPr>
            <w:r>
              <w:rPr>
                <w:rFonts w:hint="default" w:ascii="Times New Roman" w:hAnsi="Times New Roman" w:cs="Times New Roman"/>
                <w:bCs/>
                <w:snapToGrid w:val="0"/>
                <w:kern w:val="0"/>
                <w:sz w:val="24"/>
                <w:szCs w:val="24"/>
              </w:rPr>
              <w:t>简单防渗区：除重点防渗区、一般防渗区以外的区域只需做一般地面硬化即可，主要指加油站生活区及站房区域。</w:t>
            </w:r>
            <w:r>
              <w:rPr>
                <w:rFonts w:hint="eastAsia" w:ascii="Times New Roman" w:hAnsi="Times New Roman" w:cs="Times New Roman"/>
                <w:bCs/>
                <w:snapToGrid w:val="0"/>
                <w:kern w:val="0"/>
                <w:sz w:val="24"/>
                <w:szCs w:val="24"/>
                <w:lang w:eastAsia="zh-CN"/>
              </w:rPr>
              <w:t>本项目加油站生活区及站房区域已做地面硬化。</w:t>
            </w:r>
          </w:p>
          <w:p>
            <w:pPr>
              <w:tabs>
                <w:tab w:val="left" w:pos="924"/>
              </w:tabs>
              <w:adjustRightInd w:val="0"/>
              <w:snapToGrid w:val="0"/>
              <w:spacing w:line="360" w:lineRule="auto"/>
              <w:ind w:firstLine="480" w:firstLineChars="200"/>
              <w:rPr>
                <w:rFonts w:hint="default" w:ascii="Times New Roman" w:hAnsi="Times New Roman" w:cs="Times New Roman"/>
                <w:bCs/>
                <w:snapToGrid w:val="0"/>
                <w:kern w:val="0"/>
                <w:sz w:val="24"/>
                <w:szCs w:val="24"/>
              </w:rPr>
            </w:pPr>
            <w:r>
              <w:rPr>
                <w:rFonts w:hint="eastAsia" w:ascii="Times New Roman" w:hAnsi="Times New Roman" w:cs="Times New Roman"/>
                <w:bCs/>
                <w:snapToGrid w:val="0"/>
                <w:kern w:val="0"/>
                <w:sz w:val="24"/>
                <w:szCs w:val="24"/>
                <w:lang w:val="zh-CN" w:eastAsia="zh-CN"/>
              </w:rPr>
              <w:t>重点防渗区：</w:t>
            </w:r>
            <w:r>
              <w:rPr>
                <w:rFonts w:hint="eastAsia" w:ascii="Times New Roman" w:hAnsi="Times New Roman" w:cs="Times New Roman"/>
                <w:bCs/>
                <w:snapToGrid w:val="0"/>
                <w:kern w:val="0"/>
                <w:sz w:val="24"/>
                <w:szCs w:val="24"/>
                <w:lang w:val="en-US" w:eastAsia="zh-CN"/>
              </w:rPr>
              <w:t>项目</w:t>
            </w:r>
            <w:r>
              <w:rPr>
                <w:rFonts w:hint="default" w:ascii="Times New Roman" w:hAnsi="Times New Roman" w:cs="Times New Roman"/>
                <w:bCs/>
                <w:snapToGrid w:val="0"/>
                <w:kern w:val="0"/>
                <w:sz w:val="24"/>
                <w:szCs w:val="24"/>
                <w:lang w:val="en-US" w:eastAsia="zh-CN"/>
              </w:rPr>
              <w:t>输油管线均采用双层热塑性塑料管道，埋地管道防腐设计采用加强级防腐，加强级防腐</w:t>
            </w:r>
            <w:r>
              <w:rPr>
                <w:rFonts w:hint="eastAsia" w:ascii="Times New Roman" w:hAnsi="Times New Roman" w:cs="Times New Roman"/>
                <w:bCs/>
                <w:snapToGrid w:val="0"/>
                <w:kern w:val="0"/>
                <w:sz w:val="24"/>
                <w:szCs w:val="24"/>
                <w:lang w:val="en-US" w:eastAsia="zh-CN"/>
              </w:rPr>
              <w:t>层结构如下：底漆—面漆—玻璃布—面漆—玻璃布—两层面漆。</w:t>
            </w:r>
            <w:r>
              <w:rPr>
                <w:rFonts w:hint="default" w:ascii="Times New Roman" w:hAnsi="Times New Roman" w:cs="Times New Roman"/>
                <w:bCs/>
                <w:snapToGrid w:val="0"/>
                <w:kern w:val="0"/>
                <w:sz w:val="24"/>
                <w:szCs w:val="24"/>
                <w:lang w:val="en-US" w:eastAsia="zh-CN"/>
              </w:rPr>
              <w:t>加油部分与管道相连的设备、管材、管件、均与油品相容；管道采用直埋敷设，管道之间或管道与管件之间全部采用焊接连接，管道、阀门、设备之间采用法兰、丝扣连接。油罐围堰采用钢筋混凝土结构，做防水处理</w:t>
            </w:r>
            <w:r>
              <w:rPr>
                <w:rFonts w:hint="eastAsia" w:ascii="Times New Roman" w:hAnsi="Times New Roman" w:cs="Times New Roman"/>
                <w:bCs/>
                <w:snapToGrid w:val="0"/>
                <w:kern w:val="0"/>
                <w:sz w:val="24"/>
                <w:szCs w:val="24"/>
                <w:lang w:val="en-US" w:eastAsia="zh-CN"/>
              </w:rPr>
              <w:t>，罐区内硬化</w:t>
            </w:r>
            <w:r>
              <w:rPr>
                <w:rFonts w:hint="default" w:ascii="Times New Roman" w:hAnsi="Times New Roman" w:cs="Times New Roman"/>
                <w:bCs/>
                <w:snapToGrid w:val="0"/>
                <w:kern w:val="0"/>
                <w:sz w:val="24"/>
                <w:szCs w:val="24"/>
                <w:lang w:val="en-US" w:eastAsia="zh-CN"/>
              </w:rPr>
              <w:t>。</w:t>
            </w:r>
            <w:r>
              <w:rPr>
                <w:rFonts w:hint="eastAsia" w:ascii="Times New Roman" w:hAnsi="Times New Roman" w:cs="Times New Roman"/>
                <w:bCs/>
                <w:snapToGrid w:val="0"/>
                <w:kern w:val="0"/>
                <w:sz w:val="24"/>
                <w:szCs w:val="24"/>
                <w:lang w:val="en-US" w:eastAsia="zh-CN"/>
              </w:rPr>
              <w:t>为提高罐池的不透水性，池内外表面用1:2防水水泥砂浆抹面20mm，分层紧密连续涂抹，每层的接缝上下左右错开，并与混凝土施工缝错开，并且油罐安装时下面垫二层沥青油毡。</w:t>
            </w:r>
          </w:p>
          <w:p>
            <w:pPr>
              <w:numPr>
                <w:ilvl w:val="0"/>
                <w:numId w:val="7"/>
              </w:numPr>
              <w:spacing w:line="360" w:lineRule="auto"/>
              <w:rPr>
                <w:rFonts w:hint="eastAsia"/>
                <w:b/>
                <w:bCs/>
                <w:sz w:val="24"/>
                <w:szCs w:val="24"/>
                <w:lang w:val="en-US" w:eastAsia="zh-CN"/>
              </w:rPr>
            </w:pPr>
            <w:r>
              <w:rPr>
                <w:rFonts w:hint="eastAsia"/>
                <w:b/>
                <w:bCs/>
                <w:sz w:val="24"/>
                <w:szCs w:val="24"/>
                <w:lang w:val="en-US" w:eastAsia="zh-CN"/>
              </w:rPr>
              <w:t>环保设施投资及“三同时”落实情况</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textAlignment w:val="auto"/>
              <w:outlineLvl w:val="9"/>
              <w:rPr>
                <w:rFonts w:hint="default" w:ascii="Times New Roman" w:hAnsi="Times New Roman" w:cs="Times New Roman" w:eastAsiaTheme="minorEastAsia"/>
                <w:b w:val="0"/>
                <w:color w:val="auto"/>
                <w:kern w:val="24"/>
                <w:sz w:val="24"/>
                <w:szCs w:val="21"/>
                <w:lang w:val="en-US" w:eastAsia="zh-CN" w:bidi="ar-SA"/>
              </w:rPr>
            </w:pPr>
            <w:r>
              <w:rPr>
                <w:rFonts w:hint="default" w:ascii="Times New Roman" w:hAnsi="Times New Roman" w:cs="Times New Roman" w:eastAsiaTheme="minorEastAsia"/>
                <w:b w:val="0"/>
                <w:color w:val="auto"/>
                <w:kern w:val="24"/>
                <w:sz w:val="24"/>
                <w:szCs w:val="21"/>
                <w:lang w:val="en-US" w:eastAsia="zh-CN" w:bidi="ar-SA"/>
              </w:rPr>
              <w:t>项目总投资567.75万元，其中环保投资</w:t>
            </w:r>
            <w:r>
              <w:rPr>
                <w:rFonts w:hint="eastAsia" w:ascii="Times New Roman" w:hAnsi="Times New Roman" w:eastAsia="宋体" w:cs="Times New Roman"/>
                <w:sz w:val="24"/>
                <w:lang w:val="en-US" w:eastAsia="zh-CN"/>
              </w:rPr>
              <w:t>35.7</w:t>
            </w:r>
            <w:r>
              <w:rPr>
                <w:rFonts w:hint="default" w:ascii="Times New Roman" w:hAnsi="Times New Roman" w:cs="Times New Roman" w:eastAsiaTheme="minorEastAsia"/>
                <w:b w:val="0"/>
                <w:color w:val="auto"/>
                <w:kern w:val="24"/>
                <w:sz w:val="24"/>
                <w:szCs w:val="21"/>
                <w:lang w:val="en-US" w:eastAsia="zh-CN" w:bidi="ar-SA"/>
              </w:rPr>
              <w:t>万元，占总投资金额的</w:t>
            </w:r>
            <w:r>
              <w:rPr>
                <w:rFonts w:hint="eastAsia" w:ascii="Times New Roman" w:hAnsi="Times New Roman" w:eastAsia="宋体" w:cs="Times New Roman"/>
                <w:sz w:val="24"/>
                <w:lang w:val="en-US" w:eastAsia="zh-CN"/>
              </w:rPr>
              <w:t>6.29%</w:t>
            </w:r>
            <w:r>
              <w:rPr>
                <w:rFonts w:hint="default" w:ascii="Times New Roman" w:hAnsi="Times New Roman" w:cs="Times New Roman" w:eastAsiaTheme="minorEastAsia"/>
                <w:b w:val="0"/>
                <w:color w:val="auto"/>
                <w:kern w:val="24"/>
                <w:sz w:val="24"/>
                <w:szCs w:val="21"/>
                <w:lang w:val="en-US" w:eastAsia="zh-CN" w:bidi="ar-SA"/>
              </w:rPr>
              <w:t>，具体投资内容见表</w:t>
            </w:r>
            <w:r>
              <w:rPr>
                <w:rFonts w:hint="eastAsia" w:ascii="Times New Roman" w:hAnsi="Times New Roman" w:cs="Times New Roman" w:eastAsiaTheme="minorEastAsia"/>
                <w:b w:val="0"/>
                <w:color w:val="auto"/>
                <w:kern w:val="24"/>
                <w:sz w:val="24"/>
                <w:szCs w:val="21"/>
                <w:lang w:val="en-US" w:eastAsia="zh-CN" w:bidi="ar-SA"/>
              </w:rPr>
              <w:t>3-5</w:t>
            </w:r>
            <w:r>
              <w:rPr>
                <w:rFonts w:hint="default" w:ascii="Times New Roman" w:hAnsi="Times New Roman" w:cs="Times New Roman" w:eastAsiaTheme="minorEastAsia"/>
                <w:b w:val="0"/>
                <w:color w:val="auto"/>
                <w:kern w:val="24"/>
                <w:sz w:val="24"/>
                <w:szCs w:val="21"/>
                <w:lang w:val="en-US" w:eastAsia="zh-CN" w:bidi="ar-SA"/>
              </w:rPr>
              <w:t>所示。</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auto"/>
                <w:kern w:val="24"/>
                <w:sz w:val="21"/>
                <w:szCs w:val="21"/>
                <w:lang w:val="en-US" w:eastAsia="zh-CN" w:bidi="ar-SA"/>
              </w:rPr>
              <w:t>表</w:t>
            </w:r>
            <w:r>
              <w:rPr>
                <w:rFonts w:hint="eastAsia" w:ascii="Times New Roman" w:hAnsi="Times New Roman" w:cs="Times New Roman" w:eastAsiaTheme="minorEastAsia"/>
                <w:b/>
                <w:bCs/>
                <w:color w:val="auto"/>
                <w:kern w:val="24"/>
                <w:sz w:val="21"/>
                <w:szCs w:val="21"/>
                <w:lang w:val="en-US" w:eastAsia="zh-CN" w:bidi="ar-SA"/>
              </w:rPr>
              <w:t>3-5</w:t>
            </w:r>
            <w:r>
              <w:rPr>
                <w:rFonts w:hint="default" w:ascii="Times New Roman" w:hAnsi="Times New Roman" w:cs="Times New Roman" w:eastAsiaTheme="minorEastAsia"/>
                <w:b/>
                <w:bCs/>
                <w:color w:val="auto"/>
                <w:kern w:val="24"/>
                <w:sz w:val="21"/>
                <w:szCs w:val="21"/>
                <w:lang w:val="en-US" w:eastAsia="zh-CN" w:bidi="ar-SA"/>
              </w:rPr>
              <w:t xml:space="preserve">  </w:t>
            </w:r>
            <w:r>
              <w:rPr>
                <w:rFonts w:hint="default" w:ascii="Times New Roman" w:hAnsi="Times New Roman" w:cs="Times New Roman" w:eastAsiaTheme="minorEastAsia"/>
                <w:b/>
                <w:bCs/>
                <w:sz w:val="21"/>
                <w:szCs w:val="21"/>
              </w:rPr>
              <w:t>项目环保设施环评、实际建设情况一览表</w:t>
            </w:r>
          </w:p>
          <w:tbl>
            <w:tblPr>
              <w:tblStyle w:val="16"/>
              <w:tblW w:w="9354"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554"/>
              <w:gridCol w:w="1327"/>
              <w:gridCol w:w="1998"/>
              <w:gridCol w:w="1115"/>
              <w:gridCol w:w="2033"/>
              <w:gridCol w:w="1172"/>
              <w:gridCol w:w="11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54"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序号</w:t>
                  </w:r>
                </w:p>
              </w:tc>
              <w:tc>
                <w:tcPr>
                  <w:tcW w:w="1327"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污染源</w:t>
                  </w: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lang w:val="en-US" w:eastAsia="zh-CN"/>
                    </w:rPr>
                  </w:pPr>
                  <w:r>
                    <w:rPr>
                      <w:rFonts w:hint="default" w:ascii="Times New Roman" w:hAnsi="Times New Roman" w:cs="Times New Roman"/>
                      <w:snapToGrid/>
                      <w:kern w:val="0"/>
                      <w:sz w:val="21"/>
                      <w:szCs w:val="22"/>
                      <w:lang w:val="en-US" w:eastAsia="zh-CN"/>
                    </w:rPr>
                    <w:t>环评及</w:t>
                  </w:r>
                  <w:r>
                    <w:rPr>
                      <w:rFonts w:hint="default" w:ascii="Times New Roman" w:hAnsi="Times New Roman" w:cs="Times New Roman"/>
                      <w:sz w:val="21"/>
                    </w:rPr>
                    <w:t>批复要求投资内容</w:t>
                  </w:r>
                </w:p>
              </w:tc>
              <w:tc>
                <w:tcPr>
                  <w:tcW w:w="1115"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环保投资（万元）</w:t>
                  </w: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z w:val="21"/>
                    </w:rPr>
                    <w:t>实际环保投资内容</w:t>
                  </w:r>
                </w:p>
              </w:tc>
              <w:tc>
                <w:tcPr>
                  <w:tcW w:w="1172"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实际环保</w:t>
                  </w:r>
                </w:p>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lang w:val="en-US" w:eastAsia="zh-CN"/>
                    </w:rPr>
                  </w:pPr>
                  <w:r>
                    <w:rPr>
                      <w:rFonts w:hint="default" w:ascii="Times New Roman" w:hAnsi="Times New Roman" w:cs="Times New Roman"/>
                      <w:snapToGrid/>
                      <w:kern w:val="0"/>
                      <w:sz w:val="21"/>
                      <w:szCs w:val="22"/>
                    </w:rPr>
                    <w:t>投</w:t>
                  </w:r>
                  <w:r>
                    <w:rPr>
                      <w:rFonts w:hint="default" w:ascii="Times New Roman" w:hAnsi="Times New Roman" w:cs="Times New Roman"/>
                      <w:snapToGrid/>
                      <w:kern w:val="0"/>
                      <w:sz w:val="21"/>
                      <w:szCs w:val="22"/>
                      <w:lang w:val="en-US" w:eastAsia="zh-CN"/>
                    </w:rPr>
                    <w:t>资</w:t>
                  </w:r>
                </w:p>
              </w:tc>
              <w:tc>
                <w:tcPr>
                  <w:tcW w:w="1155"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54"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废气</w:t>
                  </w:r>
                </w:p>
              </w:tc>
              <w:tc>
                <w:tcPr>
                  <w:tcW w:w="1327"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油品储罐区</w:t>
                  </w:r>
                </w:p>
              </w:tc>
              <w:tc>
                <w:tcPr>
                  <w:tcW w:w="1998"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安装油气回收装置及其相关配套设施</w:t>
                  </w:r>
                </w:p>
              </w:tc>
              <w:tc>
                <w:tcPr>
                  <w:tcW w:w="1115"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eastAsia" w:ascii="Times New Roman" w:hAnsi="Times New Roman" w:cs="Times New Roman"/>
                      <w:snapToGrid/>
                      <w:kern w:val="0"/>
                      <w:sz w:val="21"/>
                      <w:szCs w:val="22"/>
                      <w:lang w:val="en-US" w:eastAsia="zh-CN"/>
                    </w:rPr>
                    <w:t>20</w:t>
                  </w:r>
                  <w:r>
                    <w:rPr>
                      <w:rFonts w:hint="default" w:ascii="Times New Roman" w:hAnsi="Times New Roman" w:cs="Times New Roman"/>
                      <w:snapToGrid/>
                      <w:kern w:val="0"/>
                      <w:sz w:val="21"/>
                      <w:szCs w:val="22"/>
                    </w:rPr>
                    <w:t>.0</w:t>
                  </w:r>
                </w:p>
              </w:tc>
              <w:tc>
                <w:tcPr>
                  <w:tcW w:w="2033"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安装油气回收装置及其相关配套设施</w:t>
                  </w:r>
                </w:p>
              </w:tc>
              <w:tc>
                <w:tcPr>
                  <w:tcW w:w="1172"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eastAsia" w:ascii="Times New Roman" w:hAnsi="Times New Roman" w:cs="Times New Roman"/>
                      <w:snapToGrid/>
                      <w:kern w:val="0"/>
                      <w:sz w:val="21"/>
                      <w:szCs w:val="22"/>
                      <w:lang w:val="en-US" w:eastAsia="zh-CN"/>
                    </w:rPr>
                    <w:t>20</w:t>
                  </w:r>
                  <w:r>
                    <w:rPr>
                      <w:rFonts w:hint="default" w:ascii="Times New Roman" w:hAnsi="Times New Roman" w:cs="Times New Roman"/>
                      <w:snapToGrid/>
                      <w:kern w:val="0"/>
                      <w:sz w:val="21"/>
                      <w:szCs w:val="22"/>
                    </w:rPr>
                    <w:t>.0</w:t>
                  </w:r>
                </w:p>
              </w:tc>
              <w:tc>
                <w:tcPr>
                  <w:tcW w:w="1155"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54"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327"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加油区</w:t>
                  </w:r>
                </w:p>
              </w:tc>
              <w:tc>
                <w:tcPr>
                  <w:tcW w:w="1998"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115"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2033"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172"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155"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07" w:hRule="atLeast"/>
                <w:jc w:val="center"/>
              </w:trPr>
              <w:tc>
                <w:tcPr>
                  <w:tcW w:w="554"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废水</w:t>
                  </w:r>
                </w:p>
              </w:tc>
              <w:tc>
                <w:tcPr>
                  <w:tcW w:w="1327"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生活污水</w:t>
                  </w: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eastAsia" w:ascii="Times New Roman" w:hAnsi="Times New Roman" w:cs="Times New Roman"/>
                      <w:snapToGrid/>
                      <w:kern w:val="0"/>
                      <w:sz w:val="21"/>
                      <w:szCs w:val="22"/>
                      <w:lang w:eastAsia="zh-CN"/>
                    </w:rPr>
                    <w:t>依托服务区处理设施</w:t>
                  </w:r>
                </w:p>
              </w:tc>
              <w:tc>
                <w:tcPr>
                  <w:tcW w:w="1115" w:type="dxa"/>
                  <w:vMerge w:val="restart"/>
                  <w:tcBorders>
                    <w:tl2br w:val="nil"/>
                    <w:tr2bl w:val="nil"/>
                  </w:tcBorders>
                  <w:vAlign w:val="center"/>
                </w:tcPr>
                <w:p/>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val="en-US" w:eastAsia="zh-CN"/>
                    </w:rPr>
                    <w:t>计入主体</w:t>
                  </w: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eastAsia" w:ascii="Times New Roman" w:hAnsi="Times New Roman" w:cs="Times New Roman"/>
                      <w:snapToGrid/>
                      <w:kern w:val="0"/>
                      <w:sz w:val="21"/>
                      <w:szCs w:val="22"/>
                      <w:lang w:eastAsia="zh-CN"/>
                    </w:rPr>
                    <w:t>依托服务区处理设施</w:t>
                  </w:r>
                </w:p>
              </w:tc>
              <w:tc>
                <w:tcPr>
                  <w:tcW w:w="1172" w:type="dxa"/>
                  <w:vMerge w:val="restart"/>
                  <w:tcBorders>
                    <w:tl2br w:val="nil"/>
                    <w:tr2bl w:val="nil"/>
                  </w:tcBorders>
                  <w:vAlign w:val="center"/>
                </w:tcPr>
                <w:p/>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val="en-US" w:eastAsia="zh-CN"/>
                    </w:rPr>
                    <w:t>计入主体</w:t>
                  </w:r>
                </w:p>
              </w:tc>
              <w:tc>
                <w:tcPr>
                  <w:tcW w:w="1155" w:type="dxa"/>
                  <w:vMerge w:val="restart"/>
                  <w:tcBorders>
                    <w:tl2br w:val="nil"/>
                    <w:tr2bl w:val="nil"/>
                  </w:tcBorders>
                  <w:vAlign w:val="center"/>
                </w:tcPr>
                <w:p/>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08" w:hRule="atLeast"/>
                <w:jc w:val="center"/>
              </w:trPr>
              <w:tc>
                <w:tcPr>
                  <w:tcW w:w="554"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pPr>
                </w:p>
              </w:tc>
              <w:tc>
                <w:tcPr>
                  <w:tcW w:w="1327"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r>
                    <w:rPr>
                      <w:rFonts w:hint="eastAsia" w:ascii="Times New Roman" w:hAnsi="Times New Roman" w:cs="Times New Roman"/>
                      <w:snapToGrid/>
                      <w:kern w:val="0"/>
                      <w:sz w:val="21"/>
                      <w:szCs w:val="22"/>
                      <w:lang w:eastAsia="zh-CN"/>
                    </w:rPr>
                    <w:t>埋地油罐</w:t>
                  </w: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r>
                    <w:rPr>
                      <w:rFonts w:hint="eastAsia" w:ascii="Times New Roman" w:hAnsi="Times New Roman" w:cs="Times New Roman"/>
                      <w:snapToGrid/>
                      <w:kern w:val="0"/>
                      <w:sz w:val="21"/>
                      <w:szCs w:val="22"/>
                      <w:lang w:eastAsia="zh-CN"/>
                    </w:rPr>
                    <w:t>罐池采取防渗处理</w:t>
                  </w:r>
                </w:p>
              </w:tc>
              <w:tc>
                <w:tcPr>
                  <w:tcW w:w="1115"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leftChars="0" w:right="70" w:rightChars="0"/>
                    <w:jc w:val="center"/>
                    <w:rPr>
                      <w:rFonts w:hint="eastAsia" w:ascii="Times New Roman" w:hAnsi="Times New Roman" w:cs="Times New Roman"/>
                      <w:snapToGrid/>
                      <w:kern w:val="0"/>
                      <w:sz w:val="21"/>
                      <w:szCs w:val="22"/>
                      <w:lang w:eastAsia="zh-CN"/>
                    </w:rPr>
                  </w:pPr>
                  <w:r>
                    <w:rPr>
                      <w:rFonts w:hint="eastAsia" w:ascii="Times New Roman" w:hAnsi="Times New Roman" w:cs="Times New Roman"/>
                      <w:snapToGrid/>
                      <w:kern w:val="0"/>
                      <w:sz w:val="21"/>
                      <w:szCs w:val="22"/>
                      <w:lang w:eastAsia="zh-CN"/>
                    </w:rPr>
                    <w:t>罐池采取防渗处理</w:t>
                  </w:r>
                </w:p>
              </w:tc>
              <w:tc>
                <w:tcPr>
                  <w:tcW w:w="1172"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p>
              </w:tc>
              <w:tc>
                <w:tcPr>
                  <w:tcW w:w="1155"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08" w:hRule="atLeast"/>
                <w:jc w:val="center"/>
              </w:trPr>
              <w:tc>
                <w:tcPr>
                  <w:tcW w:w="554"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pPr>
                </w:p>
              </w:tc>
              <w:tc>
                <w:tcPr>
                  <w:tcW w:w="1327"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pP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r>
                    <w:rPr>
                      <w:rFonts w:hint="eastAsia" w:ascii="Times New Roman" w:hAnsi="Times New Roman" w:cs="Times New Roman"/>
                      <w:snapToGrid/>
                      <w:kern w:val="0"/>
                      <w:sz w:val="21"/>
                      <w:szCs w:val="22"/>
                      <w:lang w:eastAsia="zh-CN"/>
                    </w:rPr>
                    <w:t>监控井（服务区水井）</w:t>
                  </w:r>
                </w:p>
              </w:tc>
              <w:tc>
                <w:tcPr>
                  <w:tcW w:w="1115"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leftChars="0" w:right="70" w:rightChars="0"/>
                    <w:jc w:val="center"/>
                    <w:rPr>
                      <w:rFonts w:hint="eastAsia" w:ascii="Times New Roman" w:hAnsi="Times New Roman" w:cs="Times New Roman"/>
                      <w:snapToGrid/>
                      <w:kern w:val="0"/>
                      <w:sz w:val="21"/>
                      <w:szCs w:val="22"/>
                      <w:lang w:eastAsia="zh-CN"/>
                    </w:rPr>
                  </w:pPr>
                  <w:r>
                    <w:rPr>
                      <w:rFonts w:hint="eastAsia" w:ascii="Times New Roman" w:hAnsi="Times New Roman" w:cs="Times New Roman"/>
                      <w:snapToGrid/>
                      <w:kern w:val="0"/>
                      <w:sz w:val="21"/>
                      <w:szCs w:val="22"/>
                      <w:lang w:eastAsia="zh-CN"/>
                    </w:rPr>
                    <w:t>监控井（服务区水井）</w:t>
                  </w:r>
                </w:p>
              </w:tc>
              <w:tc>
                <w:tcPr>
                  <w:tcW w:w="1172"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p>
              </w:tc>
              <w:tc>
                <w:tcPr>
                  <w:tcW w:w="1155"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54"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固废</w:t>
                  </w:r>
                </w:p>
              </w:tc>
              <w:tc>
                <w:tcPr>
                  <w:tcW w:w="1327"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生活垃圾</w:t>
                  </w: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垃圾桶</w:t>
                  </w:r>
                </w:p>
              </w:tc>
              <w:tc>
                <w:tcPr>
                  <w:tcW w:w="1115"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default" w:ascii="Times New Roman" w:hAnsi="Times New Roman" w:cs="Times New Roman"/>
                      <w:snapToGrid/>
                      <w:kern w:val="0"/>
                      <w:sz w:val="21"/>
                      <w:szCs w:val="22"/>
                    </w:rPr>
                    <w:t>0.</w:t>
                  </w:r>
                  <w:r>
                    <w:rPr>
                      <w:rFonts w:hint="eastAsia" w:ascii="Times New Roman" w:hAnsi="Times New Roman" w:cs="Times New Roman"/>
                      <w:snapToGrid/>
                      <w:kern w:val="0"/>
                      <w:sz w:val="21"/>
                      <w:szCs w:val="22"/>
                      <w:lang w:val="en-US" w:eastAsia="zh-CN"/>
                    </w:rPr>
                    <w:t>2</w:t>
                  </w: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垃圾桶</w:t>
                  </w:r>
                </w:p>
              </w:tc>
              <w:tc>
                <w:tcPr>
                  <w:tcW w:w="1172"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default" w:ascii="Times New Roman" w:hAnsi="Times New Roman" w:cs="Times New Roman"/>
                      <w:snapToGrid/>
                      <w:kern w:val="0"/>
                      <w:sz w:val="21"/>
                      <w:szCs w:val="22"/>
                    </w:rPr>
                    <w:t>0.</w:t>
                  </w:r>
                  <w:r>
                    <w:rPr>
                      <w:rFonts w:hint="eastAsia" w:ascii="Times New Roman" w:hAnsi="Times New Roman" w:cs="Times New Roman"/>
                      <w:snapToGrid/>
                      <w:kern w:val="0"/>
                      <w:sz w:val="21"/>
                      <w:szCs w:val="22"/>
                      <w:lang w:val="en-US" w:eastAsia="zh-CN"/>
                    </w:rPr>
                    <w:t>2</w:t>
                  </w:r>
                </w:p>
              </w:tc>
              <w:tc>
                <w:tcPr>
                  <w:tcW w:w="1155"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54"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327"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危废</w:t>
                  </w: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default" w:ascii="Times New Roman" w:hAnsi="Times New Roman" w:cs="Times New Roman"/>
                      <w:snapToGrid/>
                      <w:kern w:val="0"/>
                      <w:sz w:val="21"/>
                      <w:szCs w:val="22"/>
                    </w:rPr>
                    <w:t>设立防渗危废暂存间，并送有资质单位处理</w:t>
                  </w:r>
                </w:p>
              </w:tc>
              <w:tc>
                <w:tcPr>
                  <w:tcW w:w="1115"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eastAsia" w:ascii="Times New Roman" w:hAnsi="Times New Roman" w:cs="Times New Roman"/>
                      <w:snapToGrid/>
                      <w:kern w:val="0"/>
                      <w:sz w:val="21"/>
                      <w:szCs w:val="22"/>
                      <w:lang w:val="en-US" w:eastAsia="zh-CN"/>
                    </w:rPr>
                    <w:t>3</w:t>
                  </w:r>
                  <w:r>
                    <w:rPr>
                      <w:rFonts w:hint="default" w:ascii="Times New Roman" w:hAnsi="Times New Roman" w:cs="Times New Roman"/>
                      <w:snapToGrid/>
                      <w:kern w:val="0"/>
                      <w:sz w:val="21"/>
                      <w:szCs w:val="22"/>
                    </w:rPr>
                    <w:t>.0</w:t>
                  </w: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设立防渗危废暂存间，并送有资质单位处理</w:t>
                  </w:r>
                </w:p>
              </w:tc>
              <w:tc>
                <w:tcPr>
                  <w:tcW w:w="1172"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eastAsia" w:ascii="Times New Roman" w:hAnsi="Times New Roman" w:cs="Times New Roman"/>
                      <w:snapToGrid/>
                      <w:kern w:val="0"/>
                      <w:sz w:val="21"/>
                      <w:szCs w:val="22"/>
                      <w:lang w:val="en-US" w:eastAsia="zh-CN"/>
                    </w:rPr>
                    <w:t>3</w:t>
                  </w:r>
                  <w:r>
                    <w:rPr>
                      <w:rFonts w:hint="default" w:ascii="Times New Roman" w:hAnsi="Times New Roman" w:cs="Times New Roman"/>
                      <w:snapToGrid/>
                      <w:kern w:val="0"/>
                      <w:sz w:val="21"/>
                      <w:szCs w:val="22"/>
                    </w:rPr>
                    <w:t>.0</w:t>
                  </w:r>
                </w:p>
              </w:tc>
              <w:tc>
                <w:tcPr>
                  <w:tcW w:w="1155" w:type="dxa"/>
                  <w:tcBorders>
                    <w:tl2br w:val="nil"/>
                    <w:tr2bl w:val="nil"/>
                  </w:tcBorders>
                  <w:vAlign w:val="center"/>
                </w:tcPr>
                <w:p>
                  <w:pPr>
                    <w:pStyle w:val="20"/>
                    <w:widowControl w:val="0"/>
                    <w:tabs>
                      <w:tab w:val="left" w:pos="454"/>
                    </w:tabs>
                    <w:autoSpaceDE w:val="0"/>
                    <w:autoSpaceDN w:val="0"/>
                    <w:adjustRightInd/>
                    <w:snapToGrid/>
                    <w:spacing w:before="1" w:after="0" w:afterLines="-2147483648"/>
                    <w:ind w:left="82" w:right="70"/>
                    <w:jc w:val="left"/>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54"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噪声</w:t>
                  </w:r>
                </w:p>
              </w:tc>
              <w:tc>
                <w:tcPr>
                  <w:tcW w:w="1327"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泵类</w:t>
                  </w: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选用低噪声设备，置于地下，安装减振垫</w:t>
                  </w:r>
                </w:p>
              </w:tc>
              <w:tc>
                <w:tcPr>
                  <w:tcW w:w="1115"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lang w:val="en-US" w:eastAsia="zh-CN"/>
                    </w:rPr>
                  </w:pPr>
                  <w:r>
                    <w:rPr>
                      <w:rFonts w:hint="eastAsia" w:ascii="Times New Roman" w:hAnsi="Times New Roman" w:cs="Times New Roman"/>
                      <w:snapToGrid/>
                      <w:kern w:val="0"/>
                      <w:sz w:val="21"/>
                      <w:szCs w:val="22"/>
                      <w:lang w:val="en-US" w:eastAsia="zh-CN"/>
                    </w:rPr>
                    <w:t>2.5</w:t>
                  </w: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z w:val="21"/>
                    </w:rPr>
                  </w:pPr>
                  <w:r>
                    <w:rPr>
                      <w:rFonts w:hint="default" w:ascii="Times New Roman" w:hAnsi="Times New Roman" w:cs="Times New Roman"/>
                      <w:snapToGrid/>
                      <w:kern w:val="0"/>
                      <w:sz w:val="21"/>
                      <w:szCs w:val="22"/>
                    </w:rPr>
                    <w:t>选用低噪声设备，置于地下，安装减振垫</w:t>
                  </w:r>
                </w:p>
              </w:tc>
              <w:tc>
                <w:tcPr>
                  <w:tcW w:w="1172"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lang w:val="en-US" w:eastAsia="zh-CN"/>
                    </w:rPr>
                  </w:pPr>
                  <w:r>
                    <w:rPr>
                      <w:rFonts w:hint="eastAsia" w:ascii="Times New Roman" w:hAnsi="Times New Roman" w:cs="Times New Roman"/>
                      <w:snapToGrid/>
                      <w:kern w:val="0"/>
                      <w:sz w:val="21"/>
                      <w:szCs w:val="22"/>
                      <w:lang w:val="en-US" w:eastAsia="zh-CN"/>
                    </w:rPr>
                    <w:t>2.5</w:t>
                  </w:r>
                </w:p>
              </w:tc>
              <w:tc>
                <w:tcPr>
                  <w:tcW w:w="1155"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1881" w:type="dxa"/>
                  <w:gridSpan w:val="2"/>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rPr>
                  </w:pPr>
                  <w:r>
                    <w:rPr>
                      <w:rFonts w:hint="default" w:ascii="Times New Roman" w:hAnsi="Times New Roman" w:eastAsia="宋体" w:cs="Times New Roman"/>
                      <w:snapToGrid/>
                      <w:kern w:val="0"/>
                      <w:sz w:val="21"/>
                      <w:szCs w:val="22"/>
                    </w:rPr>
                    <w:t>环境风险</w:t>
                  </w: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rPr>
                  </w:pPr>
                  <w:r>
                    <w:rPr>
                      <w:rFonts w:hint="default" w:ascii="Times New Roman" w:hAnsi="Times New Roman" w:eastAsia="宋体" w:cs="Times New Roman"/>
                      <w:snapToGrid/>
                      <w:kern w:val="0"/>
                      <w:sz w:val="21"/>
                      <w:szCs w:val="22"/>
                    </w:rPr>
                    <w:t>应急器材</w:t>
                  </w:r>
                </w:p>
              </w:tc>
              <w:tc>
                <w:tcPr>
                  <w:tcW w:w="1115"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lang w:val="en-US"/>
                    </w:rPr>
                  </w:pPr>
                  <w:r>
                    <w:rPr>
                      <w:rFonts w:hint="eastAsia" w:ascii="Times New Roman" w:hAnsi="Times New Roman" w:cs="Times New Roman"/>
                      <w:snapToGrid/>
                      <w:kern w:val="0"/>
                      <w:sz w:val="21"/>
                      <w:szCs w:val="22"/>
                      <w:lang w:val="en-US" w:eastAsia="zh-CN"/>
                    </w:rPr>
                    <w:t>10</w:t>
                  </w: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rPr>
                  </w:pPr>
                  <w:r>
                    <w:rPr>
                      <w:rFonts w:hint="default" w:ascii="Times New Roman" w:hAnsi="Times New Roman" w:eastAsia="宋体" w:cs="Times New Roman"/>
                      <w:snapToGrid/>
                      <w:kern w:val="0"/>
                      <w:sz w:val="21"/>
                      <w:szCs w:val="22"/>
                    </w:rPr>
                    <w:t>应急器材</w:t>
                  </w:r>
                </w:p>
              </w:tc>
              <w:tc>
                <w:tcPr>
                  <w:tcW w:w="1172"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2"/>
                      <w:lang w:val="en-US"/>
                    </w:rPr>
                  </w:pPr>
                  <w:r>
                    <w:rPr>
                      <w:rFonts w:hint="eastAsia" w:ascii="Times New Roman" w:hAnsi="Times New Roman" w:cs="Times New Roman"/>
                      <w:snapToGrid/>
                      <w:kern w:val="0"/>
                      <w:sz w:val="21"/>
                      <w:szCs w:val="22"/>
                      <w:lang w:val="en-US" w:eastAsia="zh-CN"/>
                    </w:rPr>
                    <w:t>10</w:t>
                  </w:r>
                </w:p>
              </w:tc>
              <w:tc>
                <w:tcPr>
                  <w:tcW w:w="1155"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1881" w:type="dxa"/>
                  <w:gridSpan w:val="2"/>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制定风险应急预案</w:t>
                  </w:r>
                </w:p>
              </w:tc>
              <w:tc>
                <w:tcPr>
                  <w:tcW w:w="1115"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制定风险应急预案</w:t>
                  </w:r>
                </w:p>
              </w:tc>
              <w:tc>
                <w:tcPr>
                  <w:tcW w:w="1172"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155"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3879" w:type="dxa"/>
                  <w:gridSpan w:val="3"/>
                  <w:tcBorders>
                    <w:tl2br w:val="nil"/>
                    <w:tr2bl w:val="nil"/>
                  </w:tcBorders>
                </w:tcPr>
                <w:p>
                  <w:pPr>
                    <w:pStyle w:val="20"/>
                    <w:widowControl w:val="0"/>
                    <w:autoSpaceDE w:val="0"/>
                    <w:autoSpaceDN w:val="0"/>
                    <w:adjustRightInd/>
                    <w:snapToGrid/>
                    <w:spacing w:before="1" w:after="0" w:afterLines="-2147483648" w:line="240" w:lineRule="auto"/>
                    <w:ind w:left="82" w:right="70"/>
                    <w:jc w:val="center"/>
                    <w:rPr>
                      <w:rFonts w:ascii="Times New Roman" w:hAnsi="Times New Roman" w:cs="Times New Roman"/>
                      <w:sz w:val="21"/>
                    </w:rPr>
                  </w:pPr>
                  <w:r>
                    <w:rPr>
                      <w:rFonts w:ascii="Times New Roman" w:hAnsi="Times New Roman" w:cs="Times New Roman"/>
                      <w:sz w:val="21"/>
                    </w:rPr>
                    <w:t>合</w:t>
                  </w:r>
                  <w:r>
                    <w:rPr>
                      <w:rFonts w:ascii="Times New Roman" w:hAnsi="Times New Roman" w:cs="Times New Roman"/>
                      <w:sz w:val="21"/>
                    </w:rPr>
                    <w:tab/>
                  </w:r>
                  <w:r>
                    <w:rPr>
                      <w:rFonts w:ascii="Times New Roman" w:hAnsi="Times New Roman" w:cs="Times New Roman"/>
                      <w:sz w:val="21"/>
                    </w:rPr>
                    <w:t>计</w:t>
                  </w:r>
                </w:p>
              </w:tc>
              <w:tc>
                <w:tcPr>
                  <w:tcW w:w="1115" w:type="dxa"/>
                  <w:tcBorders>
                    <w:tl2br w:val="nil"/>
                    <w:tr2bl w:val="nil"/>
                  </w:tcBorders>
                </w:tcPr>
                <w:p>
                  <w:pPr>
                    <w:pStyle w:val="20"/>
                    <w:widowControl w:val="0"/>
                    <w:autoSpaceDE w:val="0"/>
                    <w:autoSpaceDN w:val="0"/>
                    <w:adjustRightInd/>
                    <w:snapToGrid/>
                    <w:spacing w:before="1" w:after="0" w:afterLines="-2147483648" w:line="240" w:lineRule="auto"/>
                    <w:ind w:left="82" w:right="70"/>
                    <w:jc w:val="center"/>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35.7</w:t>
                  </w:r>
                </w:p>
              </w:tc>
              <w:tc>
                <w:tcPr>
                  <w:tcW w:w="2033" w:type="dxa"/>
                  <w:tcBorders>
                    <w:tl2br w:val="nil"/>
                    <w:tr2bl w:val="nil"/>
                  </w:tcBorders>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合计</w:t>
                  </w:r>
                </w:p>
              </w:tc>
              <w:tc>
                <w:tcPr>
                  <w:tcW w:w="1172" w:type="dxa"/>
                  <w:tcBorders>
                    <w:tl2br w:val="nil"/>
                    <w:tr2bl w:val="nil"/>
                  </w:tcBorders>
                </w:tcPr>
                <w:p>
                  <w:pPr>
                    <w:pStyle w:val="20"/>
                    <w:widowControl w:val="0"/>
                    <w:autoSpaceDE w:val="0"/>
                    <w:autoSpaceDN w:val="0"/>
                    <w:adjustRightInd/>
                    <w:snapToGrid/>
                    <w:spacing w:before="1" w:after="0" w:afterLines="-2147483648" w:line="240" w:lineRule="auto"/>
                    <w:ind w:left="82" w:right="70"/>
                    <w:jc w:val="center"/>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35.7</w:t>
                  </w:r>
                </w:p>
              </w:tc>
              <w:tc>
                <w:tcPr>
                  <w:tcW w:w="1155" w:type="dxa"/>
                  <w:tcBorders>
                    <w:tl2br w:val="nil"/>
                    <w:tr2bl w:val="nil"/>
                  </w:tcBorders>
                </w:tcPr>
                <w:p>
                  <w:pPr>
                    <w:pStyle w:val="20"/>
                    <w:widowControl w:val="0"/>
                    <w:autoSpaceDE w:val="0"/>
                    <w:autoSpaceDN w:val="0"/>
                    <w:adjustRightInd/>
                    <w:snapToGrid/>
                    <w:spacing w:before="1" w:after="0" w:afterLines="-2147483648" w:line="240" w:lineRule="auto"/>
                    <w:ind w:left="82" w:right="70"/>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w:t>
                  </w:r>
                </w:p>
              </w:tc>
            </w:tr>
          </w:tbl>
          <w:p>
            <w:pPr>
              <w:pStyle w:val="7"/>
              <w:rPr>
                <w:rFonts w:hint="default" w:ascii="Times New Roman" w:hAnsi="Times New Roman" w:cs="Times New Roman" w:eastAsiaTheme="minorEastAsia"/>
                <w:b w:val="0"/>
                <w:color w:val="auto"/>
                <w:kern w:val="24"/>
                <w:sz w:val="24"/>
                <w:szCs w:val="21"/>
                <w:lang w:val="en-US" w:eastAsia="zh-CN" w:bidi="ar-SA"/>
              </w:rPr>
            </w:pPr>
          </w:p>
          <w:p>
            <w:pPr>
              <w:rPr>
                <w:rFonts w:hint="default" w:ascii="Times New Roman" w:hAnsi="Times New Roman" w:cs="Times New Roman" w:eastAsiaTheme="minorEastAsia"/>
                <w:b w:val="0"/>
                <w:color w:val="auto"/>
                <w:kern w:val="24"/>
                <w:sz w:val="24"/>
                <w:szCs w:val="21"/>
                <w:lang w:val="en-US" w:eastAsia="zh-CN" w:bidi="ar-SA"/>
              </w:rPr>
            </w:pPr>
          </w:p>
          <w:p>
            <w:pPr>
              <w:pStyle w:val="7"/>
              <w:keepNext w:val="0"/>
              <w:keepLines w:val="0"/>
              <w:pageBreakBefore w:val="0"/>
              <w:widowControl w:val="0"/>
              <w:numPr>
                <w:ilvl w:val="-1"/>
                <w:numId w:val="0"/>
              </w:numPr>
              <w:kinsoku/>
              <w:wordWrap/>
              <w:overflowPunct/>
              <w:topLinePunct w:val="0"/>
              <w:autoSpaceDE w:val="0"/>
              <w:autoSpaceDN w:val="0"/>
              <w:bidi w:val="0"/>
              <w:adjustRightInd/>
              <w:snapToGrid/>
              <w:spacing w:before="0"/>
              <w:ind w:left="0"/>
              <w:textAlignment w:val="auto"/>
              <w:rPr>
                <w:rFonts w:hint="eastAsia"/>
                <w:lang w:val="en-US" w:eastAsia="zh-CN"/>
              </w:rPr>
            </w:pPr>
          </w:p>
        </w:tc>
      </w:tr>
    </w:tbl>
    <w:p>
      <w:pPr>
        <w:spacing w:line="360" w:lineRule="auto"/>
        <w:ind w:firstLine="440" w:firstLineChars="200"/>
        <w:rPr>
          <w:rFonts w:hint="eastAsia"/>
          <w:lang w:val="en-US" w:eastAsia="zh-CN"/>
        </w:rPr>
      </w:pPr>
      <w:r>
        <w:rPr>
          <w:rFonts w:hint="eastAsia"/>
          <w:lang w:val="en-US" w:eastAsia="zh-CN"/>
        </w:rPr>
        <w:br w:type="page"/>
      </w:r>
    </w:p>
    <w:p>
      <w:pPr>
        <w:pStyle w:val="6"/>
        <w:spacing w:before="55"/>
        <w:ind w:left="0" w:leftChars="0" w:firstLine="0" w:firstLineChars="0"/>
        <w:rPr>
          <w:rFonts w:hint="default" w:ascii="Times New Roman" w:hAnsi="Times New Roman" w:eastAsia="黑体" w:cs="Times New Roman"/>
          <w:spacing w:val="-3"/>
        </w:rPr>
      </w:pPr>
      <w:r>
        <w:rPr>
          <w:rFonts w:hint="default" w:ascii="Times New Roman" w:hAnsi="Times New Roman" w:eastAsia="黑体" w:cs="Times New Roman"/>
          <w:spacing w:val="-36"/>
        </w:rPr>
        <w:t xml:space="preserve">表 </w:t>
      </w:r>
      <w:r>
        <w:rPr>
          <w:rFonts w:hint="default" w:ascii="Times New Roman" w:hAnsi="Times New Roman" w:eastAsia="Times New Roman" w:cs="Times New Roman"/>
        </w:rPr>
        <w:t>4</w:t>
      </w:r>
      <w:r>
        <w:rPr>
          <w:rFonts w:hint="default" w:ascii="Times New Roman" w:hAnsi="Times New Roman" w:eastAsia="Times New Roman" w:cs="Times New Roman"/>
          <w:spacing w:val="68"/>
        </w:rPr>
        <w:t xml:space="preserve"> </w:t>
      </w:r>
      <w:r>
        <w:rPr>
          <w:rFonts w:hint="default" w:ascii="Times New Roman" w:hAnsi="Times New Roman" w:eastAsia="黑体" w:cs="Times New Roman"/>
          <w:spacing w:val="-3"/>
        </w:rPr>
        <w:t>建设项目环境影响报告表主要结论及审批部门审批决定</w:t>
      </w:r>
    </w:p>
    <w:tbl>
      <w:tblPr>
        <w:tblStyle w:val="17"/>
        <w:tblW w:w="9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507" w:type="dxa"/>
            <w:vAlign w:val="top"/>
          </w:tcPr>
          <w:p>
            <w:pPr>
              <w:pStyle w:val="7"/>
              <w:keepNext w:val="0"/>
              <w:keepLines w:val="0"/>
              <w:pageBreakBefore w:val="0"/>
              <w:widowControl w:val="0"/>
              <w:kinsoku/>
              <w:wordWrap/>
              <w:overflowPunct/>
              <w:topLinePunct w:val="0"/>
              <w:autoSpaceDE w:val="0"/>
              <w:autoSpaceDN w:val="0"/>
              <w:bidi w:val="0"/>
              <w:adjustRightInd/>
              <w:snapToGrid/>
              <w:spacing w:after="0" w:afterLines="50"/>
              <w:ind w:left="0" w:leftChars="0" w:firstLine="0" w:firstLineChars="0"/>
              <w:textAlignment w:val="auto"/>
              <w:rPr>
                <w:rFonts w:hint="default" w:ascii="Times New Roman" w:hAnsi="Times New Roman" w:cs="Times New Roman"/>
              </w:rPr>
            </w:pPr>
            <w:r>
              <w:rPr>
                <w:rFonts w:hint="default" w:ascii="Times New Roman" w:hAnsi="Times New Roman" w:cs="Times New Roman"/>
              </w:rPr>
              <w:t>一、环境影响报告表主要结论与建议</w:t>
            </w:r>
          </w:p>
          <w:p>
            <w:pPr>
              <w:spacing w:line="360" w:lineRule="auto"/>
              <w:ind w:firstLine="480" w:firstLineChars="200"/>
              <w:rPr>
                <w:rFonts w:hint="default" w:ascii="Times New Roman" w:hAnsi="Times New Roman" w:cs="Times New Roman"/>
                <w:sz w:val="24"/>
                <w:szCs w:val="24"/>
                <w:lang w:val="zh-CN" w:eastAsia="zh-CN"/>
              </w:rPr>
            </w:pPr>
            <w:r>
              <w:rPr>
                <w:rFonts w:hint="default" w:ascii="Times New Roman" w:hAnsi="Times New Roman" w:cs="Times New Roman"/>
                <w:sz w:val="24"/>
                <w:szCs w:val="24"/>
                <w:lang w:val="zh-CN" w:eastAsia="zh-CN"/>
              </w:rPr>
              <w:t>根据西安海浪环保科技有限公司编制的《陕西省石油化工工业贸易公司泾阳服务区</w:t>
            </w:r>
            <w:r>
              <w:rPr>
                <w:rFonts w:hint="eastAsia" w:ascii="Times New Roman" w:hAnsi="Times New Roman" w:cs="Times New Roman"/>
                <w:sz w:val="24"/>
                <w:szCs w:val="24"/>
                <w:lang w:val="zh-CN" w:eastAsia="zh-CN"/>
              </w:rPr>
              <w:t>南</w:t>
            </w:r>
            <w:r>
              <w:rPr>
                <w:rFonts w:hint="default" w:ascii="Times New Roman" w:hAnsi="Times New Roman" w:cs="Times New Roman"/>
                <w:sz w:val="24"/>
                <w:szCs w:val="24"/>
                <w:lang w:val="zh-CN" w:eastAsia="zh-CN"/>
              </w:rPr>
              <w:t>加油站建设项目环境影响评价报告表》，其主要结论如下：</w:t>
            </w:r>
          </w:p>
          <w:tbl>
            <w:tblPr>
              <w:tblStyle w:val="16"/>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8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7" w:type="dxa"/>
                  <w:tcBorders>
                    <w:tl2br w:val="nil"/>
                    <w:tr2bl w:val="nil"/>
                  </w:tcBorders>
                  <w:vAlign w:val="center"/>
                </w:tcPr>
                <w:p>
                  <w:pPr>
                    <w:widowControl/>
                    <w:spacing w:before="0" w:after="0" w:line="240" w:lineRule="auto"/>
                    <w:ind w:left="0"/>
                    <w:jc w:val="center"/>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类别</w:t>
                  </w:r>
                </w:p>
              </w:tc>
              <w:tc>
                <w:tcPr>
                  <w:tcW w:w="8077" w:type="dxa"/>
                  <w:tcBorders>
                    <w:tl2br w:val="nil"/>
                    <w:tr2bl w:val="nil"/>
                  </w:tcBorders>
                  <w:vAlign w:val="center"/>
                </w:tcPr>
                <w:p>
                  <w:pPr>
                    <w:widowControl/>
                    <w:spacing w:before="0" w:after="0" w:line="240" w:lineRule="auto"/>
                    <w:ind w:left="0"/>
                    <w:jc w:val="center"/>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环境空气影响分析</w:t>
                  </w:r>
                </w:p>
              </w:tc>
              <w:tc>
                <w:tcPr>
                  <w:tcW w:w="8077" w:type="dxa"/>
                  <w:tcBorders>
                    <w:tl2br w:val="nil"/>
                    <w:tr2bl w:val="nil"/>
                  </w:tcBorders>
                  <w:vAlign w:val="center"/>
                </w:tcPr>
                <w:p>
                  <w:pPr>
                    <w:keepNext w:val="0"/>
                    <w:widowControl/>
                    <w:adjustRightInd/>
                    <w:snapToGrid/>
                    <w:spacing w:after="0"/>
                    <w:ind w:firstLine="0" w:firstLineChars="0"/>
                    <w:jc w:val="both"/>
                    <w:outlineLvl w:val="9"/>
                    <w:rPr>
                      <w:rFonts w:hint="default" w:ascii="Times New Roman" w:hAnsi="Times New Roman" w:cs="Times New Roman"/>
                      <w:sz w:val="21"/>
                      <w:szCs w:val="21"/>
                    </w:rPr>
                  </w:pPr>
                  <w:r>
                    <w:rPr>
                      <w:rFonts w:hint="default" w:ascii="Times New Roman" w:hAnsi="Times New Roman" w:cs="Times New Roman"/>
                      <w:sz w:val="21"/>
                      <w:szCs w:val="21"/>
                    </w:rPr>
                    <w:t>项目卸油和加油等过程中产生的非甲烷总烃经油气回收系统回收后，可满足《大气污染物综合排放标准》(GB16297-1996)要求，对周围环境空气质量影响较小；车辆在站内行程较短，尾气排放量较小，且扩散速度较快，对周围环境空气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7" w:type="dxa"/>
                  <w:vMerge w:val="restart"/>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水环境影响分析</w:t>
                  </w:r>
                </w:p>
              </w:tc>
              <w:tc>
                <w:tcPr>
                  <w:tcW w:w="80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地表水：项目站内废水依托服务区内一体化埋地式中水回用膜处理设备处理后，出水回用于服务区</w:t>
                  </w:r>
                  <w:r>
                    <w:rPr>
                      <w:rFonts w:hint="eastAsia" w:ascii="Times New Roman" w:hAnsi="Times New Roman" w:cs="Times New Roman"/>
                      <w:sz w:val="21"/>
                      <w:szCs w:val="21"/>
                      <w:lang w:eastAsia="zh-CN"/>
                    </w:rPr>
                    <w:t>冲厕和</w:t>
                  </w:r>
                  <w:r>
                    <w:rPr>
                      <w:rFonts w:hint="default" w:ascii="Times New Roman" w:hAnsi="Times New Roman" w:eastAsia="宋体" w:cs="Times New Roman"/>
                      <w:sz w:val="21"/>
                      <w:szCs w:val="21"/>
                    </w:rPr>
                    <w:t>场区绿化，不外排。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7" w:type="dxa"/>
                  <w:vMerge w:val="continue"/>
                  <w:tcBorders>
                    <w:tl2br w:val="nil"/>
                    <w:tr2bl w:val="nil"/>
                  </w:tcBorders>
                  <w:vAlign w:val="center"/>
                </w:tcPr>
                <w:p>
                  <w:pPr>
                    <w:widowControl/>
                    <w:jc w:val="both"/>
                    <w:outlineLvl w:val="9"/>
                    <w:rPr>
                      <w:rFonts w:hint="default" w:ascii="Times New Roman" w:hAnsi="Times New Roman" w:eastAsia="宋体" w:cs="Times New Roman"/>
                      <w:sz w:val="21"/>
                      <w:szCs w:val="21"/>
                    </w:rPr>
                  </w:pPr>
                </w:p>
              </w:tc>
              <w:tc>
                <w:tcPr>
                  <w:tcW w:w="80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地下水：本项目防止地下水污染的防渗工程主要是在储罐区等处，参照《环境影响评价技术导则—地下水环境》（HJ 610-2016）和《汽车加油加气站设计与施工规范（2014年修订）》（GB50156-2012）相应标准要求铺设防渗混凝土，各池体增加防渗层，以阻止地面的污染物进入地下水中。同时，对站内管线定期巡检，杜绝地下水污染隐患。通过采取上述防渗防腐措施，达到相应的防渗标准后，项目运营期不会对区域地下水造成明显不利影响，防治措施有效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80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主要噪声源为项目区内来往的机动车行驶产生的交通噪声以及加油机油泵运行时产生的噪声。设备噪声经过减振降噪措施后厂界噪声贡献值达标；车辆噪声通过减速及绿化带隔音，加之出入距离短，且项目紧邻道路，对周围声环境质量影响程度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w:t>
                  </w:r>
                </w:p>
              </w:tc>
              <w:tc>
                <w:tcPr>
                  <w:tcW w:w="80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本项目生活垃圾统一收集后交由环卫部门集中处置，对环境影响较小；</w:t>
                  </w:r>
                  <w:r>
                    <w:rPr>
                      <w:rFonts w:hint="eastAsia" w:ascii="Times New Roman" w:hAnsi="Times New Roman" w:cs="Times New Roman"/>
                      <w:sz w:val="21"/>
                      <w:szCs w:val="21"/>
                      <w:lang w:eastAsia="zh-CN"/>
                    </w:rPr>
                    <w:t>油罐清洗污泥直接交由油罐单位运走，</w:t>
                  </w:r>
                  <w:r>
                    <w:rPr>
                      <w:rFonts w:hint="default" w:ascii="Times New Roman" w:hAnsi="Times New Roman" w:eastAsia="宋体" w:cs="Times New Roman"/>
                      <w:sz w:val="21"/>
                      <w:szCs w:val="21"/>
                    </w:rPr>
                    <w:t>危废暂存于危废储存间，最终交由有资质单位处置，对环境影响较小。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风险评价</w:t>
                  </w:r>
                </w:p>
              </w:tc>
              <w:tc>
                <w:tcPr>
                  <w:tcW w:w="80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要求项目严格按照《汽车加油加气站设计与施工规范（2014年修正）》（GB50156-2012）的要求进行设计，并按安全评价中提出的安全管理相关要求，采取必要的安全措施。采取以上措施后，项目环境风险可接受。</w:t>
                  </w:r>
                </w:p>
              </w:tc>
            </w:tr>
          </w:tbl>
          <w:p>
            <w:pPr>
              <w:keepNext w:val="0"/>
              <w:keepLines w:val="0"/>
              <w:pageBreakBefore w:val="0"/>
              <w:widowControl w:val="0"/>
              <w:numPr>
                <w:ilvl w:val="0"/>
                <w:numId w:val="0"/>
              </w:numPr>
              <w:kinsoku/>
              <w:wordWrap/>
              <w:overflowPunct/>
              <w:topLinePunct w:val="0"/>
              <w:autoSpaceDE w:val="0"/>
              <w:autoSpaceDN w:val="0"/>
              <w:bidi w:val="0"/>
              <w:adjustRightInd/>
              <w:snapToGrid w:val="0"/>
              <w:spacing w:after="0" w:line="360" w:lineRule="auto"/>
              <w:ind w:right="0" w:rightChars="0"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综上所述，项目建设符合国家产业政策及相关规划，项目在运营后将产生废水、废气、噪声及固体废物污染等，在严格采取本报告表所提出的各项环境保护措施后，项目对周围环境的影响可以控制在允许的范围以内，该建设项目在环境保护方面是可行的。</w:t>
            </w:r>
          </w:p>
          <w:p>
            <w:pPr>
              <w:pStyle w:val="7"/>
              <w:keepNext w:val="0"/>
              <w:keepLines w:val="0"/>
              <w:pageBreakBefore w:val="0"/>
              <w:widowControl w:val="0"/>
              <w:kinsoku/>
              <w:wordWrap/>
              <w:overflowPunct/>
              <w:topLinePunct w:val="0"/>
              <w:autoSpaceDE w:val="0"/>
              <w:autoSpaceDN w:val="0"/>
              <w:bidi w:val="0"/>
              <w:adjustRightInd/>
              <w:snapToGrid/>
              <w:spacing w:before="0" w:after="0" w:afterLines="50"/>
              <w:ind w:left="0" w:leftChars="0" w:firstLine="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二、审批部门审批决定</w:t>
            </w:r>
          </w:p>
          <w:p>
            <w:pPr>
              <w:snapToGrid w:val="0"/>
              <w:spacing w:after="0" w:line="360" w:lineRule="auto"/>
              <w:ind w:firstLine="480" w:firstLineChars="200"/>
              <w:rPr>
                <w:rFonts w:hint="default" w:ascii="Times New Roman" w:hAnsi="Times New Roman" w:eastAsia="宋体" w:cs="Times New Roman"/>
                <w:sz w:val="24"/>
                <w:szCs w:val="24"/>
              </w:rPr>
            </w:pPr>
            <w:bookmarkStart w:id="24" w:name="bookmark1"/>
            <w:bookmarkStart w:id="25" w:name="bookmark0"/>
            <w:bookmarkStart w:id="26" w:name="bookmark2"/>
            <w:r>
              <w:rPr>
                <w:rFonts w:hint="default" w:ascii="Times New Roman" w:hAnsi="Times New Roman" w:cs="Times New Roman"/>
                <w:sz w:val="24"/>
                <w:szCs w:val="24"/>
                <w:lang w:eastAsia="zh-CN"/>
              </w:rPr>
              <w:t>咸阳市生态环境局泾阳分局</w:t>
            </w:r>
            <w:bookmarkStart w:id="27" w:name="bookmark3"/>
            <w:bookmarkStart w:id="28" w:name="bookmark4"/>
            <w:bookmarkStart w:id="29" w:name="bookmark5"/>
            <w:bookmarkEnd w:id="24"/>
            <w:bookmarkEnd w:id="25"/>
            <w:bookmarkEnd w:id="26"/>
            <w:r>
              <w:rPr>
                <w:rFonts w:hint="default" w:ascii="Times New Roman" w:hAnsi="Times New Roman" w:cs="Times New Roman"/>
                <w:sz w:val="24"/>
                <w:szCs w:val="24"/>
                <w:lang w:eastAsia="zh-CN"/>
              </w:rPr>
              <w:t>关于陕西省石油化工工业贸易公司泾阳服务区</w:t>
            </w:r>
            <w:r>
              <w:rPr>
                <w:rFonts w:hint="eastAsia" w:ascii="Times New Roman" w:hAnsi="Times New Roman" w:cs="Times New Roman"/>
                <w:sz w:val="24"/>
                <w:szCs w:val="24"/>
                <w:lang w:eastAsia="zh-CN"/>
              </w:rPr>
              <w:t>南</w:t>
            </w:r>
            <w:r>
              <w:rPr>
                <w:rFonts w:hint="default" w:ascii="Times New Roman" w:hAnsi="Times New Roman" w:cs="Times New Roman"/>
                <w:sz w:val="24"/>
                <w:szCs w:val="24"/>
                <w:lang w:eastAsia="zh-CN"/>
              </w:rPr>
              <w:t>加油站</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加油站建设项目环境影响报告表</w:t>
            </w:r>
            <w:bookmarkEnd w:id="27"/>
            <w:bookmarkEnd w:id="28"/>
            <w:bookmarkEnd w:id="29"/>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的批复</w:t>
            </w:r>
            <w:r>
              <w:rPr>
                <w:rFonts w:hint="default" w:ascii="Times New Roman" w:hAnsi="Times New Roman" w:cs="Times New Roman"/>
                <w:sz w:val="24"/>
                <w:szCs w:val="24"/>
                <w:lang w:eastAsia="zh-CN"/>
              </w:rPr>
              <w:t>（咸环泾函【2020】</w:t>
            </w:r>
            <w:r>
              <w:rPr>
                <w:rFonts w:hint="eastAsia" w:ascii="Times New Roman" w:hAnsi="Times New Roman" w:cs="Times New Roman"/>
                <w:sz w:val="24"/>
                <w:szCs w:val="24"/>
                <w:lang w:val="en-US" w:eastAsia="zh-CN"/>
              </w:rPr>
              <w:t>69</w:t>
            </w:r>
            <w:r>
              <w:rPr>
                <w:rFonts w:hint="default" w:ascii="Times New Roman" w:hAnsi="Times New Roman" w:cs="Times New Roman"/>
                <w:sz w:val="24"/>
                <w:szCs w:val="24"/>
                <w:lang w:eastAsia="zh-CN"/>
              </w:rPr>
              <w:t>号），</w:t>
            </w:r>
            <w:r>
              <w:rPr>
                <w:rFonts w:hint="default" w:ascii="Times New Roman" w:hAnsi="Times New Roman" w:eastAsia="宋体" w:cs="Times New Roman"/>
                <w:sz w:val="24"/>
                <w:szCs w:val="24"/>
              </w:rPr>
              <w:t>批复如下：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一、</w:t>
            </w:r>
            <w:r>
              <w:rPr>
                <w:rFonts w:hint="default" w:ascii="Times New Roman" w:hAnsi="Times New Roman" w:cs="Times New Roman"/>
                <w:sz w:val="24"/>
                <w:szCs w:val="24"/>
              </w:rPr>
              <w:t>项目概况</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after="0" w:line="360" w:lineRule="auto"/>
              <w:ind w:right="0" w:rightChars="0"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本项目位于泾阳县西咸北环高速公路泾阳服务区</w:t>
            </w:r>
            <w:r>
              <w:rPr>
                <w:rFonts w:hint="eastAsia" w:ascii="Times New Roman" w:hAnsi="Times New Roman" w:cs="Times New Roman"/>
                <w:sz w:val="24"/>
                <w:szCs w:val="24"/>
                <w:lang w:eastAsia="zh-CN"/>
              </w:rPr>
              <w:t>南</w:t>
            </w:r>
            <w:r>
              <w:rPr>
                <w:rFonts w:hint="default" w:ascii="Times New Roman" w:hAnsi="Times New Roman" w:cs="Times New Roman"/>
                <w:sz w:val="24"/>
                <w:szCs w:val="24"/>
                <w:lang w:eastAsia="zh-CN"/>
              </w:rPr>
              <w:t>区，项目占地4800平方米，项目设站房一座</w:t>
            </w:r>
            <w:r>
              <w:rPr>
                <w:rFonts w:hint="default" w:ascii="Times New Roman" w:hAnsi="Times New Roman" w:cs="Times New Roman"/>
                <w:sz w:val="24"/>
                <w:szCs w:val="24"/>
                <w:lang w:val="en-US" w:eastAsia="zh-CN"/>
              </w:rPr>
              <w:t>112.86m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、50m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eastAsia="zh-CN"/>
              </w:rPr>
              <w:t>柴油罐3具、</w:t>
            </w:r>
            <w:r>
              <w:rPr>
                <w:rFonts w:hint="default" w:ascii="Times New Roman" w:hAnsi="Times New Roman" w:cs="Times New Roman"/>
                <w:sz w:val="24"/>
                <w:szCs w:val="24"/>
                <w:lang w:val="en-US" w:eastAsia="zh-CN"/>
              </w:rPr>
              <w:t>50m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eastAsia="zh-CN"/>
              </w:rPr>
              <w:t>汽油罐2具、税控燃油加油机6台、油罐区、消防沙池</w:t>
            </w:r>
            <w:r>
              <w:rPr>
                <w:rFonts w:hint="default" w:ascii="Times New Roman" w:hAnsi="Times New Roman" w:cs="Times New Roman"/>
                <w:sz w:val="24"/>
                <w:szCs w:val="24"/>
                <w:lang w:val="en-US" w:eastAsia="zh-CN"/>
              </w:rPr>
              <w:t>2m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vertAlign w:val="baseline"/>
                <w:lang w:val="en-US" w:eastAsia="zh-CN"/>
              </w:rPr>
              <w:t>、</w:t>
            </w:r>
            <w:r>
              <w:rPr>
                <w:rFonts w:hint="default" w:ascii="Times New Roman" w:hAnsi="Times New Roman" w:cs="Times New Roman"/>
                <w:sz w:val="24"/>
                <w:szCs w:val="24"/>
                <w:lang w:eastAsia="zh-CN"/>
              </w:rPr>
              <w:t>罩棚</w:t>
            </w:r>
            <w:r>
              <w:rPr>
                <w:rFonts w:hint="default" w:ascii="Times New Roman" w:hAnsi="Times New Roman" w:cs="Times New Roman"/>
                <w:sz w:val="24"/>
                <w:szCs w:val="24"/>
                <w:lang w:val="en-US" w:eastAsia="zh-CN"/>
              </w:rPr>
              <w:t>1459. 2m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vertAlign w:val="baseline"/>
                <w:lang w:val="en-US" w:eastAsia="zh-CN"/>
              </w:rPr>
              <w:t>。</w:t>
            </w:r>
            <w:r>
              <w:rPr>
                <w:rFonts w:hint="default" w:ascii="Times New Roman" w:hAnsi="Times New Roman" w:cs="Times New Roman"/>
                <w:sz w:val="24"/>
                <w:szCs w:val="24"/>
                <w:lang w:eastAsia="zh-CN"/>
              </w:rPr>
              <w:t>项目建成后主要经营销售92#汽油、95#汽油、0#柴油、-10#柴油零售业务，年销售油能力约3000</w:t>
            </w:r>
            <w:r>
              <w:rPr>
                <w:rFonts w:hint="default" w:ascii="Times New Roman" w:hAnsi="Times New Roman" w:cs="Times New Roman"/>
                <w:sz w:val="24"/>
                <w:szCs w:val="24"/>
                <w:lang w:val="en-US" w:eastAsia="zh-CN"/>
              </w:rPr>
              <w:t>t，</w:t>
            </w:r>
            <w:r>
              <w:rPr>
                <w:rFonts w:hint="default" w:ascii="Times New Roman" w:hAnsi="Times New Roman" w:cs="Times New Roman"/>
                <w:sz w:val="24"/>
                <w:szCs w:val="24"/>
                <w:lang w:eastAsia="zh-CN"/>
              </w:rPr>
              <w:t>其中汽油</w:t>
            </w:r>
            <w:r>
              <w:rPr>
                <w:rFonts w:hint="default" w:ascii="Times New Roman" w:hAnsi="Times New Roman" w:cs="Times New Roman"/>
                <w:sz w:val="24"/>
                <w:szCs w:val="24"/>
                <w:lang w:val="en-US" w:eastAsia="zh-CN"/>
              </w:rPr>
              <w:t>1000t、</w:t>
            </w:r>
            <w:r>
              <w:rPr>
                <w:rFonts w:hint="default" w:ascii="Times New Roman" w:hAnsi="Times New Roman" w:cs="Times New Roman"/>
                <w:sz w:val="24"/>
                <w:szCs w:val="24"/>
                <w:lang w:eastAsia="zh-CN"/>
              </w:rPr>
              <w:t>柴油</w:t>
            </w:r>
            <w:r>
              <w:rPr>
                <w:rFonts w:hint="default" w:ascii="Times New Roman" w:hAnsi="Times New Roman" w:cs="Times New Roman"/>
                <w:sz w:val="24"/>
                <w:szCs w:val="24"/>
                <w:lang w:val="en-US" w:eastAsia="zh-CN"/>
              </w:rPr>
              <w:t>2000t。</w:t>
            </w:r>
            <w:r>
              <w:rPr>
                <w:rFonts w:hint="default" w:ascii="Times New Roman" w:hAnsi="Times New Roman" w:cs="Times New Roman"/>
                <w:sz w:val="24"/>
                <w:szCs w:val="24"/>
                <w:lang w:eastAsia="zh-CN"/>
              </w:rPr>
              <w:t>项目总投资</w:t>
            </w:r>
            <w:r>
              <w:rPr>
                <w:rFonts w:hint="default" w:ascii="Times New Roman" w:hAnsi="Times New Roman" w:cs="Times New Roman"/>
                <w:sz w:val="24"/>
                <w:szCs w:val="24"/>
                <w:lang w:val="en-US" w:eastAsia="zh-CN"/>
              </w:rPr>
              <w:t>567.75</w:t>
            </w:r>
            <w:r>
              <w:rPr>
                <w:rFonts w:hint="default" w:ascii="Times New Roman" w:hAnsi="Times New Roman" w:cs="Times New Roman"/>
                <w:sz w:val="24"/>
                <w:szCs w:val="24"/>
                <w:lang w:eastAsia="zh-CN"/>
              </w:rPr>
              <w:t>万元，其中环保总投资</w:t>
            </w:r>
            <w:r>
              <w:rPr>
                <w:rFonts w:hint="default" w:ascii="Times New Roman" w:hAnsi="Times New Roman" w:cs="Times New Roman"/>
                <w:sz w:val="24"/>
                <w:szCs w:val="24"/>
                <w:lang w:val="en-US" w:eastAsia="zh-CN"/>
              </w:rPr>
              <w:t xml:space="preserve">35. </w:t>
            </w:r>
            <w:r>
              <w:rPr>
                <w:rFonts w:hint="default" w:ascii="Times New Roman" w:hAnsi="Times New Roman" w:cs="Times New Roman"/>
                <w:sz w:val="24"/>
                <w:szCs w:val="24"/>
                <w:lang w:eastAsia="zh-CN"/>
              </w:rPr>
              <w:t>7万元，占总投资6.29%。</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after="0" w:line="360" w:lineRule="auto"/>
              <w:ind w:right="0" w:rightChars="0"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依据技术评审形成的专家意见，该项目在落实《报告表》提出的各项污染防治措施后，对环境的影响不大，从环境影响角度分析，项目建设可行。从环境保护的角度，我局原则同意按照报告表所列建设项目的地点、性质、规模及环境保护措施进行项目建设。</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after="0" w:line="360" w:lineRule="auto"/>
              <w:ind w:right="0" w:righ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依据专家组形成的评审意见，该项目在采取和落实工程设计和环评提出的污染防治措施后，主要污染物可达标排放。因此，从环境保护角度，我局原则同意按照《报告表》中所列建设项目的地点、性质、规模、工艺及环境保护措施进行项目建设。</w:t>
            </w:r>
          </w:p>
          <w:p>
            <w:pPr>
              <w:keepNext w:val="0"/>
              <w:keepLines w:val="0"/>
              <w:pageBreakBefore w:val="0"/>
              <w:widowControl w:val="0"/>
              <w:numPr>
                <w:ilvl w:val="-1"/>
                <w:numId w:val="0"/>
              </w:numPr>
              <w:kinsoku/>
              <w:wordWrap/>
              <w:overflowPunct/>
              <w:topLinePunct w:val="0"/>
              <w:autoSpaceDE w:val="0"/>
              <w:autoSpaceDN w:val="0"/>
              <w:bidi w:val="0"/>
              <w:adjustRightInd/>
              <w:snapToGrid w:val="0"/>
              <w:spacing w:after="0" w:line="360" w:lineRule="auto"/>
              <w:ind w:leftChars="200" w:right="0" w:rightChars="0" w:firstLine="0" w:firstLineChars="0"/>
              <w:jc w:val="both"/>
              <w:textAlignment w:val="auto"/>
              <w:rPr>
                <w:rFonts w:hint="default" w:ascii="Times New Roman" w:hAnsi="Times New Roman" w:cs="Times New Roman"/>
                <w:sz w:val="24"/>
                <w:szCs w:val="24"/>
                <w:lang w:val="en-US" w:eastAsia="zh-CN"/>
              </w:rPr>
            </w:pPr>
            <w:bookmarkStart w:id="30" w:name="bookmark6"/>
            <w:r>
              <w:rPr>
                <w:rFonts w:hint="default" w:ascii="Times New Roman" w:hAnsi="Times New Roman" w:cs="Times New Roman"/>
                <w:sz w:val="24"/>
                <w:szCs w:val="24"/>
                <w:lang w:val="en-US" w:eastAsia="zh-CN"/>
              </w:rPr>
              <w:t>二</w:t>
            </w:r>
            <w:bookmarkEnd w:id="30"/>
            <w:r>
              <w:rPr>
                <w:rFonts w:hint="default" w:ascii="Times New Roman" w:hAnsi="Times New Roman" w:cs="Times New Roman"/>
                <w:sz w:val="24"/>
                <w:szCs w:val="24"/>
                <w:lang w:val="en-US" w:eastAsia="zh-CN"/>
              </w:rPr>
              <w:t>、项目在建设及营运过程中必须做好以下工作：</w:t>
            </w:r>
          </w:p>
          <w:p>
            <w:pPr>
              <w:keepNext w:val="0"/>
              <w:keepLines w:val="0"/>
              <w:pageBreakBefore w:val="0"/>
              <w:widowControl w:val="0"/>
              <w:numPr>
                <w:ilvl w:val="0"/>
                <w:numId w:val="8"/>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严格落实各项污染防治措施。严格执行建设项目环境保护“三同时”制度。按照《报告表》及批复文件中所提出的各项污染防治措施，切实加强各项污染治理设施的运行日常维护，确保污染物长期稳定达标排放。</w:t>
            </w:r>
          </w:p>
          <w:p>
            <w:pPr>
              <w:keepNext w:val="0"/>
              <w:keepLines w:val="0"/>
              <w:pageBreakBefore w:val="0"/>
              <w:widowControl w:val="0"/>
              <w:numPr>
                <w:ilvl w:val="0"/>
                <w:numId w:val="8"/>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落实营运期废水处理措施。严格落实排水雨、污分流，生活污水依托服务区处理设施处理后定期清掏不外排。</w:t>
            </w:r>
          </w:p>
          <w:p>
            <w:pPr>
              <w:keepNext w:val="0"/>
              <w:keepLines w:val="0"/>
              <w:pageBreakBefore w:val="0"/>
              <w:widowControl w:val="0"/>
              <w:numPr>
                <w:ilvl w:val="0"/>
                <w:numId w:val="8"/>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加强营运期废气污染防治管理。确保一阶段、二阶段和三阶段油气回收系统正常运行，出口油气浓度要满足《加油站</w:t>
            </w:r>
            <w:r>
              <w:rPr>
                <w:rFonts w:hint="eastAsia" w:ascii="Times New Roman" w:hAnsi="Times New Roman" w:cs="Times New Roman"/>
                <w:sz w:val="24"/>
                <w:szCs w:val="24"/>
                <w:lang w:val="en-US" w:eastAsia="zh-CN"/>
              </w:rPr>
              <w:t>大</w:t>
            </w:r>
            <w:r>
              <w:rPr>
                <w:rFonts w:hint="default" w:ascii="Times New Roman" w:hAnsi="Times New Roman" w:cs="Times New Roman"/>
                <w:sz w:val="24"/>
                <w:szCs w:val="24"/>
                <w:lang w:val="en-US" w:eastAsia="zh-CN"/>
              </w:rPr>
              <w:t>气污染物综合排放标准》（GB20952-2007）相关要求，项目区无组织排放的非甲烷总烃浓度要满足《大气污染物综合排放标准》（GB16297-1996）相关要求。</w:t>
            </w:r>
          </w:p>
          <w:p>
            <w:pPr>
              <w:keepNext w:val="0"/>
              <w:keepLines w:val="0"/>
              <w:pageBreakBefore w:val="0"/>
              <w:widowControl w:val="0"/>
              <w:numPr>
                <w:ilvl w:val="0"/>
                <w:numId w:val="8"/>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落实营运期噪声污染防治措施。加强卸油车辆、加油车辆管理，采取合理降噪措施，确保噪声排放达到《工业企业厂界环境噪声排放标准》（GB12348-2008）中2类和4类标准要求。</w:t>
            </w:r>
          </w:p>
          <w:p>
            <w:pPr>
              <w:keepNext w:val="0"/>
              <w:keepLines w:val="0"/>
              <w:pageBreakBefore w:val="0"/>
              <w:widowControl w:val="0"/>
              <w:numPr>
                <w:ilvl w:val="0"/>
                <w:numId w:val="8"/>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落实固废管理措施。清罐产生的清罐油渣要委托有处置资质的单位进行处置；设备维修、维护过程产生的废润滑油、废含油棉纱、废手套等交有处置资质的单位进行处置；生活垃圾分类收集后交环卫部门统一处理。</w:t>
            </w:r>
            <w:bookmarkStart w:id="31" w:name="bookmark12"/>
          </w:p>
          <w:bookmarkEnd w:id="31"/>
          <w:p>
            <w:pPr>
              <w:keepNext w:val="0"/>
              <w:keepLines w:val="0"/>
              <w:pageBreakBefore w:val="0"/>
              <w:widowControl w:val="0"/>
              <w:numPr>
                <w:ilvl w:val="0"/>
                <w:numId w:val="8"/>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国家或地方出台更严格的污染物排放标准或规范时，企业要采取措施，落实相关标准规范要求。</w:t>
            </w:r>
          </w:p>
          <w:p>
            <w:pPr>
              <w:numPr>
                <w:ilvl w:val="0"/>
                <w:numId w:val="8"/>
              </w:numPr>
              <w:snapToGrid w:val="0"/>
              <w:spacing w:line="360" w:lineRule="auto"/>
              <w:ind w:left="0"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环境影响报告表内容及结论的真实性、可靠性，由环境影响评价单位和建设单位负责。</w:t>
            </w:r>
            <w:bookmarkStart w:id="32" w:name="bookmark14"/>
          </w:p>
          <w:bookmarkEnd w:id="32"/>
          <w:p>
            <w:pPr>
              <w:numPr>
                <w:ilvl w:val="-1"/>
                <w:numId w:val="0"/>
              </w:numPr>
              <w:snapToGrid w:val="0"/>
              <w:spacing w:line="360" w:lineRule="auto"/>
              <w:ind w:left="0"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三、项目建设期和运营期的环境现场监督管理及“三同时” 制度落实情况由泾阳县生态环境保护综合执法大队负责，并自觉接受各级生态环境保护部门的监督检查。</w:t>
            </w:r>
            <w:bookmarkStart w:id="33" w:name="bookmark15"/>
          </w:p>
          <w:p>
            <w:pPr>
              <w:numPr>
                <w:ilvl w:val="0"/>
                <w:numId w:val="0"/>
              </w:numPr>
              <w:snapToGrid w:val="0"/>
              <w:spacing w:line="360" w:lineRule="auto"/>
              <w:ind w:left="0"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四</w:t>
            </w:r>
            <w:bookmarkEnd w:id="33"/>
            <w:r>
              <w:rPr>
                <w:rFonts w:hint="default" w:ascii="Times New Roman" w:hAnsi="Times New Roman" w:cs="Times New Roman"/>
                <w:sz w:val="24"/>
                <w:szCs w:val="24"/>
                <w:lang w:val="en-US" w:eastAsia="zh-CN"/>
              </w:rPr>
              <w:t>、本批复自下达之日起，项目的性质、规模、地点、采用的生产工艺或者防治污染、防止生态破坏的措施发生重大变动的，须重新报批项目的环境影响评价文件。</w:t>
            </w:r>
            <w:bookmarkStart w:id="34" w:name="bookmark16"/>
          </w:p>
          <w:p>
            <w:pPr>
              <w:numPr>
                <w:ilvl w:val="0"/>
                <w:numId w:val="0"/>
              </w:numPr>
              <w:snapToGrid w:val="0"/>
              <w:spacing w:line="360" w:lineRule="auto"/>
              <w:ind w:left="0"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五</w:t>
            </w:r>
            <w:bookmarkEnd w:id="34"/>
            <w:r>
              <w:rPr>
                <w:rFonts w:hint="default" w:ascii="Times New Roman" w:hAnsi="Times New Roman" w:cs="Times New Roman"/>
                <w:sz w:val="24"/>
                <w:szCs w:val="24"/>
                <w:lang w:val="en-US" w:eastAsia="zh-CN"/>
              </w:rPr>
              <w:t>、本项目建成后应及时开展竣工验收监测，规范完成本项目的竣工验收工作。</w:t>
            </w:r>
          </w:p>
          <w:p>
            <w:pPr>
              <w:pStyle w:val="7"/>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7"/>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7"/>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7"/>
              <w:rPr>
                <w:rFonts w:hint="default" w:ascii="Times New Roman" w:hAnsi="Times New Roman" w:cs="Times New Roman"/>
                <w:sz w:val="24"/>
                <w:szCs w:val="24"/>
                <w:lang w:val="en-US" w:eastAsia="zh-CN"/>
              </w:rPr>
            </w:pPr>
          </w:p>
          <w:p>
            <w:pPr>
              <w:rPr>
                <w:rFonts w:hint="default"/>
                <w:lang w:val="en-US" w:eastAsia="zh-CN"/>
              </w:rPr>
            </w:pPr>
          </w:p>
          <w:p>
            <w:pPr>
              <w:pStyle w:val="7"/>
              <w:ind w:left="0"/>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tc>
      </w:tr>
    </w:tbl>
    <w:p>
      <w:pPr>
        <w:rPr>
          <w:rFonts w:hint="eastAsia" w:ascii="黑体" w:hAnsi="黑体" w:eastAsia="黑体" w:cs="黑体"/>
          <w:color w:val="FF0000"/>
          <w:sz w:val="28"/>
          <w:szCs w:val="28"/>
          <w:highlight w:val="yellow"/>
        </w:rPr>
      </w:pPr>
      <w:r>
        <w:rPr>
          <w:rFonts w:hint="eastAsia"/>
          <w:lang w:val="en-US" w:eastAsia="zh-CN"/>
        </w:rPr>
        <w:br w:type="page"/>
      </w:r>
      <w:r>
        <w:rPr>
          <w:rFonts w:hint="eastAsia" w:ascii="黑体" w:hAnsi="黑体" w:eastAsia="黑体" w:cs="黑体"/>
          <w:color w:val="auto"/>
          <w:sz w:val="28"/>
          <w:szCs w:val="28"/>
          <w:highlight w:val="none"/>
        </w:rPr>
        <w:t>表 5 验收监测质量保证及质量控制</w:t>
      </w:r>
    </w:p>
    <w:tbl>
      <w:tblPr>
        <w:tblStyle w:val="17"/>
        <w:tblW w:w="9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507" w:type="dxa"/>
            <w:vAlign w:val="top"/>
          </w:tcPr>
          <w:p>
            <w:pPr>
              <w:pStyle w:val="7"/>
              <w:bidi w:val="0"/>
              <w:spacing w:before="0" w:line="360" w:lineRule="auto"/>
              <w:ind w:left="0"/>
              <w:rPr>
                <w:rFonts w:hint="default"/>
              </w:rPr>
            </w:pPr>
            <w:bookmarkStart w:id="35" w:name="_Toc25736"/>
            <w:bookmarkStart w:id="36" w:name="_Toc19008_WPSOffice_Level2"/>
            <w:r>
              <w:rPr>
                <w:rFonts w:hint="eastAsia"/>
                <w:lang w:eastAsia="zh-CN"/>
              </w:rPr>
              <w:t>一、</w:t>
            </w:r>
            <w:r>
              <w:rPr>
                <w:rFonts w:hint="default"/>
              </w:rPr>
              <w:t>监测分析方法</w:t>
            </w:r>
            <w:bookmarkEnd w:id="35"/>
            <w:bookmarkEnd w:id="36"/>
          </w:p>
          <w:p>
            <w:pPr>
              <w:keepLines w:val="0"/>
              <w:pageBreakBefore w:val="0"/>
              <w:numPr>
                <w:ilvl w:val="0"/>
                <w:numId w:val="0"/>
              </w:numPr>
              <w:kinsoku/>
              <w:overflowPunct/>
              <w:topLinePunct w:val="0"/>
              <w:bidi w:val="0"/>
              <w:spacing w:line="360" w:lineRule="auto"/>
              <w:ind w:firstLine="480" w:firstLineChars="200"/>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各监测项目具体分析方法见表</w:t>
            </w:r>
            <w:r>
              <w:rPr>
                <w:rFonts w:hint="eastAsia" w:ascii="Times New Roman" w:hAnsi="Times New Roman" w:cs="Times New Roman" w:eastAsiaTheme="minorEastAsia"/>
                <w:color w:val="auto"/>
                <w:sz w:val="24"/>
                <w:szCs w:val="24"/>
                <w:lang w:val="en-US" w:eastAsia="zh-CN"/>
              </w:rPr>
              <w:t>5-1</w:t>
            </w:r>
            <w:r>
              <w:rPr>
                <w:rFonts w:hint="default" w:ascii="Times New Roman" w:hAnsi="Times New Roman" w:cs="Times New Roman" w:eastAsiaTheme="minorEastAsia"/>
                <w:color w:val="auto"/>
                <w:sz w:val="24"/>
                <w:szCs w:val="24"/>
              </w:rPr>
              <w:t>。</w:t>
            </w:r>
          </w:p>
          <w:p>
            <w:pPr>
              <w:pStyle w:val="4"/>
              <w:keepLines w:val="0"/>
              <w:pageBreakBefore w:val="0"/>
              <w:kinsoku/>
              <w:overflowPunct/>
              <w:topLinePunct w:val="0"/>
              <w:bidi w:val="0"/>
              <w:outlineLvl w:val="9"/>
              <w:rPr>
                <w:rFonts w:hint="default" w:ascii="Times New Roman" w:hAnsi="Times New Roman" w:cs="Times New Roman" w:eastAsiaTheme="minorEastAsia"/>
                <w:color w:val="auto"/>
                <w:sz w:val="21"/>
                <w:szCs w:val="21"/>
              </w:rPr>
            </w:pPr>
            <w:bookmarkStart w:id="37" w:name="_Toc13527"/>
            <w:bookmarkStart w:id="38" w:name="_Toc26083"/>
            <w:bookmarkStart w:id="39" w:name="_Toc11275"/>
            <w:bookmarkStart w:id="40" w:name="_Toc8832_WPSOffice_Level2"/>
            <w:r>
              <w:rPr>
                <w:rFonts w:hint="default" w:ascii="Times New Roman" w:hAnsi="Times New Roman" w:cs="Times New Roman" w:eastAsiaTheme="minorEastAsia"/>
                <w:color w:val="auto"/>
                <w:sz w:val="21"/>
                <w:szCs w:val="21"/>
              </w:rPr>
              <w:t>表</w:t>
            </w:r>
            <w:r>
              <w:rPr>
                <w:rFonts w:hint="eastAsia" w:ascii="Times New Roman" w:hAnsi="Times New Roman" w:cs="Times New Roman" w:eastAsiaTheme="minorEastAsia"/>
                <w:color w:val="auto"/>
                <w:sz w:val="21"/>
                <w:szCs w:val="21"/>
                <w:lang w:val="en-US" w:eastAsia="zh-CN"/>
              </w:rPr>
              <w:t>5-1</w:t>
            </w:r>
            <w:r>
              <w:rPr>
                <w:rFonts w:hint="default"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rPr>
              <w:t>各监测项目具体分析方法表</w:t>
            </w:r>
            <w:bookmarkEnd w:id="37"/>
            <w:bookmarkEnd w:id="38"/>
            <w:bookmarkEnd w:id="39"/>
            <w:bookmarkEnd w:id="40"/>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912"/>
              <w:gridCol w:w="2432"/>
              <w:gridCol w:w="1750"/>
              <w:gridCol w:w="1390"/>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563" w:type="dxa"/>
                  <w:gridSpan w:val="2"/>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检</w:t>
                  </w:r>
                  <w:r>
                    <w:rPr>
                      <w:rFonts w:hint="default" w:ascii="Times New Roman" w:hAnsi="Times New Roman" w:cs="Times New Roman" w:eastAsiaTheme="minorEastAsia"/>
                      <w:b w:val="0"/>
                      <w:bCs/>
                      <w:color w:val="auto"/>
                      <w:sz w:val="21"/>
                      <w:szCs w:val="21"/>
                      <w:vertAlign w:val="baseline"/>
                      <w:lang w:val="en-US" w:eastAsia="zh-CN"/>
                    </w:rPr>
                    <w:t>测项目</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检测依据</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方法来源</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检出限</w:t>
                  </w:r>
                </w:p>
              </w:tc>
              <w:tc>
                <w:tcPr>
                  <w:tcW w:w="1219"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废气</w:t>
                  </w: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非甲烷总烃</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环境空气 总烃、甲烷和非甲烷总烃的测定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直接进样-气相色谱法</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 604-2017</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0.07mg/m</w:t>
                  </w:r>
                  <w:r>
                    <w:rPr>
                      <w:rFonts w:hint="default" w:ascii="Times New Roman" w:hAnsi="Times New Roman" w:cs="Times New Roman" w:eastAsiaTheme="minorEastAsia"/>
                      <w:b w:val="0"/>
                      <w:bCs/>
                      <w:color w:val="auto"/>
                      <w:sz w:val="21"/>
                      <w:szCs w:val="21"/>
                      <w:vertAlign w:val="superscript"/>
                      <w:lang w:val="en-US" w:eastAsia="zh-CN"/>
                    </w:rPr>
                    <w:t>3</w:t>
                  </w:r>
                </w:p>
              </w:tc>
              <w:tc>
                <w:tcPr>
                  <w:tcW w:w="1219"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3</w:t>
                  </w:r>
                  <w:r>
                    <w:rPr>
                      <w:rFonts w:hint="default" w:ascii="Times New Roman" w:hAnsi="Times New Roman" w:cs="Times New Roman" w:eastAsiaTheme="minorEastAsia"/>
                      <w:b w:val="0"/>
                      <w:bCs/>
                      <w:color w:val="auto"/>
                      <w:sz w:val="21"/>
                      <w:szCs w:val="21"/>
                      <w:vertAlign w:val="baseline"/>
                      <w:lang w:val="en-US" w:eastAsia="zh-CN"/>
                    </w:rPr>
                    <w:t>次/天，监测2天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废水</w:t>
                  </w: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pH值（无量纲）</w:t>
                  </w:r>
                </w:p>
              </w:tc>
              <w:tc>
                <w:tcPr>
                  <w:tcW w:w="2432" w:type="dxa"/>
                  <w:tcBorders>
                    <w:tl2br w:val="nil"/>
                    <w:tr2bl w:val="nil"/>
                  </w:tcBorders>
                  <w:vAlign w:val="center"/>
                </w:tcPr>
                <w:p>
                  <w:pPr>
                    <w:pStyle w:val="9"/>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outlineLvl w:val="9"/>
                    <w:rPr>
                      <w:rFonts w:hint="default" w:ascii="Times New Roman" w:hAnsi="Times New Roman" w:cs="Times New Roman"/>
                      <w:b w:val="0"/>
                      <w:bCs/>
                      <w:snapToGrid w:val="0"/>
                      <w:spacing w:val="0"/>
                      <w:kern w:val="0"/>
                      <w:sz w:val="21"/>
                      <w:szCs w:val="21"/>
                    </w:rPr>
                  </w:pPr>
                  <w:r>
                    <w:rPr>
                      <w:rFonts w:hint="default" w:ascii="Times New Roman" w:hAnsi="Times New Roman" w:cs="Times New Roman"/>
                      <w:b w:val="0"/>
                      <w:bCs/>
                      <w:snapToGrid w:val="0"/>
                      <w:spacing w:val="0"/>
                      <w:kern w:val="0"/>
                      <w:sz w:val="21"/>
                      <w:szCs w:val="21"/>
                    </w:rPr>
                    <w:t>水质 pH值的测定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玻璃电极法</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GB/T 6920-1986</w:t>
                  </w:r>
                </w:p>
              </w:tc>
              <w:tc>
                <w:tcPr>
                  <w:tcW w:w="1390" w:type="dxa"/>
                  <w:tcBorders>
                    <w:tl2br w:val="nil"/>
                    <w:tr2bl w:val="nil"/>
                  </w:tcBorders>
                  <w:vAlign w:val="center"/>
                </w:tcPr>
                <w:p>
                  <w:pPr>
                    <w:keepNext w:val="0"/>
                    <w:keepLines w:val="0"/>
                    <w:pageBreakBefore w:val="0"/>
                    <w:kinsoku/>
                    <w:wordWrap/>
                    <w:overflowPunct/>
                    <w:topLinePunct w:val="0"/>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b w:val="0"/>
                      <w:bCs w:val="0"/>
                      <w:snapToGrid w:val="0"/>
                      <w:spacing w:val="0"/>
                      <w:kern w:val="0"/>
                      <w:sz w:val="21"/>
                      <w:szCs w:val="21"/>
                      <w:lang w:val="en-US" w:eastAsia="zh-CN"/>
                    </w:rPr>
                    <w:t>0.01（pH）</w:t>
                  </w:r>
                </w:p>
              </w:tc>
              <w:tc>
                <w:tcPr>
                  <w:tcW w:w="1219"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4</w:t>
                  </w:r>
                  <w:r>
                    <w:rPr>
                      <w:rFonts w:hint="default" w:ascii="Times New Roman" w:hAnsi="Times New Roman" w:cs="Times New Roman" w:eastAsiaTheme="minorEastAsia"/>
                      <w:b w:val="0"/>
                      <w:bCs/>
                      <w:color w:val="auto"/>
                      <w:sz w:val="21"/>
                      <w:szCs w:val="21"/>
                      <w:vertAlign w:val="baseline"/>
                      <w:lang w:val="en-US" w:eastAsia="zh-CN"/>
                    </w:rPr>
                    <w:t>次/天，监测2天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化学需氧量</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水质 化学需氧量的测定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重铬酸盐法</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HJ828-2017</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4mg/L</w:t>
                  </w:r>
                </w:p>
              </w:tc>
              <w:tc>
                <w:tcPr>
                  <w:tcW w:w="1219"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氨氮</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rPr>
                  </w:pPr>
                  <w:r>
                    <w:rPr>
                      <w:rFonts w:hint="default" w:ascii="Times New Roman" w:hAnsi="Times New Roman" w:cs="Times New Roman"/>
                      <w:b w:val="0"/>
                      <w:bCs/>
                      <w:snapToGrid w:val="0"/>
                      <w:color w:val="auto"/>
                      <w:kern w:val="0"/>
                      <w:sz w:val="21"/>
                      <w:szCs w:val="21"/>
                    </w:rPr>
                    <w:t>水质 氨氮的测定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纳氏试剂分光光度法</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HJ535-2009</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0.025mg/L</w:t>
                  </w:r>
                </w:p>
              </w:tc>
              <w:tc>
                <w:tcPr>
                  <w:tcW w:w="1219"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五日生化需氧量</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b w:val="0"/>
                      <w:bCs/>
                      <w:kern w:val="0"/>
                      <w:sz w:val="21"/>
                      <w:szCs w:val="21"/>
                      <w:shd w:val="clear" w:color="auto" w:fill="FFFFFF"/>
                    </w:rPr>
                    <w:t>水质 五日生化需氧量（BOD5）的测定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稀释与接种法</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HJ505-2009</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0.5mg/L</w:t>
                  </w:r>
                </w:p>
              </w:tc>
              <w:tc>
                <w:tcPr>
                  <w:tcW w:w="1219"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悬浮物</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snapToGrid w:val="0"/>
                      <w:color w:val="auto"/>
                      <w:kern w:val="0"/>
                      <w:sz w:val="21"/>
                      <w:szCs w:val="21"/>
                    </w:rPr>
                    <w:t>水质 悬浮物的测定</w:t>
                  </w:r>
                  <w:r>
                    <w:rPr>
                      <w:rFonts w:hint="eastAsia" w:ascii="Times New Roman" w:hAnsi="Times New Roman" w:cs="Times New Roman"/>
                      <w:b w:val="0"/>
                      <w:bCs/>
                      <w:snapToGrid w:val="0"/>
                      <w:color w:val="auto"/>
                      <w:kern w:val="0"/>
                      <w:sz w:val="21"/>
                      <w:szCs w:val="21"/>
                      <w:lang w:val="en-US" w:eastAsia="zh-CN"/>
                    </w:rPr>
                    <w:t xml:space="preserve">   </w:t>
                  </w:r>
                  <w:r>
                    <w:rPr>
                      <w:rFonts w:hint="default" w:ascii="Times New Roman" w:hAnsi="Times New Roman" w:cs="Times New Roman" w:eastAsiaTheme="minorEastAsia"/>
                      <w:b w:val="0"/>
                      <w:bCs/>
                      <w:color w:val="auto"/>
                      <w:sz w:val="21"/>
                      <w:szCs w:val="21"/>
                      <w:vertAlign w:val="baseline"/>
                      <w:lang w:val="en-US" w:eastAsia="zh-CN"/>
                    </w:rPr>
                    <w:t>重量法</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GB/T11901-1989</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4mg/L</w:t>
                  </w:r>
                </w:p>
              </w:tc>
              <w:tc>
                <w:tcPr>
                  <w:tcW w:w="1219"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石油类</w:t>
                  </w:r>
                </w:p>
              </w:tc>
              <w:tc>
                <w:tcPr>
                  <w:tcW w:w="2432" w:type="dxa"/>
                  <w:vMerge w:val="restart"/>
                  <w:tcBorders>
                    <w:tl2br w:val="nil"/>
                    <w:tr2bl w:val="nil"/>
                  </w:tcBorders>
                  <w:vAlign w:val="center"/>
                </w:tcPr>
                <w:p>
                  <w:pPr>
                    <w:pStyle w:val="9"/>
                    <w:keepNext w:val="0"/>
                    <w:keepLines w:val="0"/>
                    <w:pageBreakBefore w:val="0"/>
                    <w:kinsoku/>
                    <w:overflowPunct/>
                    <w:topLinePunct w:val="0"/>
                    <w:bidi w:val="0"/>
                    <w:adjustRightInd w:val="0"/>
                    <w:snapToGrid w:val="0"/>
                    <w:spacing w:line="264" w:lineRule="auto"/>
                    <w:ind w:firstLine="0" w:firstLineChars="0"/>
                    <w:jc w:val="center"/>
                    <w:textAlignment w:val="auto"/>
                    <w:rPr>
                      <w:rFonts w:hint="default" w:ascii="Times New Roman" w:hAnsi="Times New Roman" w:cs="Times New Roman"/>
                      <w:b w:val="0"/>
                      <w:bCs/>
                      <w:snapToGrid w:val="0"/>
                      <w:color w:val="auto"/>
                      <w:kern w:val="0"/>
                      <w:sz w:val="21"/>
                      <w:szCs w:val="21"/>
                    </w:rPr>
                  </w:pPr>
                  <w:r>
                    <w:rPr>
                      <w:rFonts w:hint="default" w:ascii="Times New Roman" w:hAnsi="Times New Roman" w:cs="Times New Roman"/>
                      <w:b w:val="0"/>
                      <w:bCs/>
                      <w:snapToGrid w:val="0"/>
                      <w:color w:val="auto"/>
                      <w:kern w:val="0"/>
                      <w:sz w:val="21"/>
                      <w:szCs w:val="21"/>
                    </w:rPr>
                    <w:t>水质 石油类和动植物油类的测定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snapToGrid w:val="0"/>
                      <w:color w:val="auto"/>
                      <w:kern w:val="0"/>
                      <w:sz w:val="21"/>
                      <w:szCs w:val="21"/>
                    </w:rPr>
                    <w:t>红外分光光度法</w:t>
                  </w:r>
                </w:p>
              </w:tc>
              <w:tc>
                <w:tcPr>
                  <w:tcW w:w="1750"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 637-2018</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val="0"/>
                      <w:sz w:val="21"/>
                      <w:szCs w:val="21"/>
                      <w:lang w:val="en-US" w:eastAsia="zh-CN"/>
                    </w:rPr>
                    <w:t>0.0</w:t>
                  </w:r>
                  <w:r>
                    <w:rPr>
                      <w:rFonts w:hint="eastAsia" w:ascii="Times New Roman" w:hAnsi="Times New Roman" w:cs="Times New Roman"/>
                      <w:b w:val="0"/>
                      <w:bCs w:val="0"/>
                      <w:sz w:val="21"/>
                      <w:szCs w:val="21"/>
                      <w:lang w:val="en-US" w:eastAsia="zh-CN"/>
                    </w:rPr>
                    <w:t>6</w:t>
                  </w:r>
                  <w:r>
                    <w:rPr>
                      <w:rFonts w:hint="default" w:ascii="Times New Roman" w:hAnsi="Times New Roman" w:cs="Times New Roman"/>
                      <w:b w:val="0"/>
                      <w:bCs w:val="0"/>
                      <w:snapToGrid w:val="0"/>
                      <w:spacing w:val="0"/>
                      <w:kern w:val="0"/>
                      <w:sz w:val="21"/>
                      <w:szCs w:val="21"/>
                      <w:lang w:val="en-US" w:eastAsia="zh-CN"/>
                    </w:rPr>
                    <w:t>mg/L</w:t>
                  </w:r>
                </w:p>
              </w:tc>
              <w:tc>
                <w:tcPr>
                  <w:tcW w:w="1219"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动植物油类</w:t>
                  </w:r>
                </w:p>
              </w:tc>
              <w:tc>
                <w:tcPr>
                  <w:tcW w:w="2432"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750"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0.06mg/L</w:t>
                  </w:r>
                </w:p>
              </w:tc>
              <w:tc>
                <w:tcPr>
                  <w:tcW w:w="1219"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噪声</w:t>
                  </w: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等效连续A声级</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rPr>
                  </w:pPr>
                  <w:r>
                    <w:rPr>
                      <w:rFonts w:hint="default" w:ascii="Times New Roman" w:hAnsi="Times New Roman" w:cs="Times New Roman"/>
                      <w:b w:val="0"/>
                      <w:bCs/>
                      <w:snapToGrid w:val="0"/>
                      <w:color w:val="auto"/>
                      <w:kern w:val="0"/>
                      <w:sz w:val="21"/>
                      <w:szCs w:val="21"/>
                    </w:rPr>
                    <w:t>《工业企业厂界环境噪声排放标准》</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GB12348-2008</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w:t>
                  </w:r>
                </w:p>
              </w:tc>
              <w:tc>
                <w:tcPr>
                  <w:tcW w:w="1219"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昼、夜各1次，监测2天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固废</w:t>
                  </w: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一般固废</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rPr>
                  </w:pPr>
                  <w:r>
                    <w:rPr>
                      <w:rFonts w:hint="default" w:ascii="Times New Roman" w:hAnsi="Times New Roman" w:cs="Times New Roman"/>
                      <w:b w:val="0"/>
                      <w:bCs/>
                      <w:snapToGrid w:val="0"/>
                      <w:color w:val="auto"/>
                      <w:kern w:val="0"/>
                      <w:sz w:val="21"/>
                      <w:szCs w:val="21"/>
                    </w:rPr>
                    <w:t>《一般工业固体废物贮存、处置场污染控制标准》</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snapToGrid w:val="0"/>
                      <w:color w:val="auto"/>
                      <w:kern w:val="0"/>
                      <w:sz w:val="21"/>
                      <w:szCs w:val="21"/>
                    </w:rPr>
                    <w:t>GB18599-2001</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w:t>
                  </w:r>
                </w:p>
              </w:tc>
              <w:tc>
                <w:tcPr>
                  <w:tcW w:w="1219"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危险废物</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rPr>
                  </w:pPr>
                  <w:r>
                    <w:rPr>
                      <w:rFonts w:hint="default" w:ascii="Times New Roman" w:hAnsi="Times New Roman" w:cs="Times New Roman"/>
                      <w:b w:val="0"/>
                      <w:bCs/>
                      <w:snapToGrid w:val="0"/>
                      <w:color w:val="auto"/>
                      <w:kern w:val="0"/>
                      <w:sz w:val="21"/>
                      <w:szCs w:val="21"/>
                    </w:rPr>
                    <w:t>《危险废物贮存污染控制标准》及其修改单的规定要求</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snapToGrid w:val="0"/>
                      <w:color w:val="auto"/>
                      <w:kern w:val="0"/>
                      <w:sz w:val="21"/>
                      <w:szCs w:val="21"/>
                    </w:rPr>
                    <w:t>GB 18597-2001</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w:t>
                  </w:r>
                </w:p>
              </w:tc>
              <w:tc>
                <w:tcPr>
                  <w:tcW w:w="1219"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w:t>
                  </w:r>
                </w:p>
              </w:tc>
            </w:tr>
          </w:tbl>
          <w:p>
            <w:pPr>
              <w:pStyle w:val="7"/>
              <w:bidi w:val="0"/>
              <w:spacing w:before="0" w:line="360" w:lineRule="auto"/>
              <w:ind w:left="0"/>
              <w:rPr>
                <w:rFonts w:hint="default"/>
              </w:rPr>
            </w:pPr>
            <w:bookmarkStart w:id="41" w:name="_Toc6919"/>
            <w:bookmarkStart w:id="42" w:name="_Toc27879_WPSOffice_Level2"/>
            <w:r>
              <w:rPr>
                <w:rFonts w:hint="eastAsia"/>
                <w:lang w:eastAsia="zh-CN"/>
              </w:rPr>
              <w:t>二、</w:t>
            </w:r>
            <w:r>
              <w:rPr>
                <w:rFonts w:hint="default"/>
              </w:rPr>
              <w:t>监测仪器</w:t>
            </w:r>
            <w:bookmarkEnd w:id="41"/>
            <w:bookmarkEnd w:id="42"/>
          </w:p>
          <w:p>
            <w:pPr>
              <w:pStyle w:val="4"/>
              <w:keepLines w:val="0"/>
              <w:pageBreakBefore w:val="0"/>
              <w:kinsoku/>
              <w:overflowPunct/>
              <w:topLinePunct w:val="0"/>
              <w:bidi w:val="0"/>
              <w:spacing w:line="360" w:lineRule="auto"/>
              <w:ind w:firstLine="480" w:firstLineChars="200"/>
              <w:jc w:val="both"/>
              <w:outlineLvl w:val="9"/>
              <w:rPr>
                <w:rFonts w:hint="default" w:ascii="Times New Roman" w:hAnsi="Times New Roman" w:cs="Times New Roman" w:eastAsiaTheme="minorEastAsia"/>
                <w:b w:val="0"/>
                <w:bCs/>
                <w:color w:val="auto"/>
                <w:sz w:val="24"/>
                <w:szCs w:val="24"/>
              </w:rPr>
            </w:pPr>
            <w:r>
              <w:rPr>
                <w:rFonts w:hint="default" w:ascii="Times New Roman" w:hAnsi="Times New Roman" w:cs="Times New Roman" w:eastAsiaTheme="minorEastAsia"/>
                <w:b w:val="0"/>
                <w:bCs/>
                <w:color w:val="auto"/>
                <w:sz w:val="24"/>
                <w:szCs w:val="24"/>
              </w:rPr>
              <w:t>各监测</w:t>
            </w:r>
            <w:r>
              <w:rPr>
                <w:rFonts w:hint="default" w:ascii="Times New Roman" w:hAnsi="Times New Roman" w:cs="Times New Roman" w:eastAsiaTheme="minorEastAsia"/>
                <w:b w:val="0"/>
                <w:bCs/>
                <w:color w:val="auto"/>
                <w:sz w:val="24"/>
                <w:szCs w:val="24"/>
                <w:lang w:val="en-US" w:eastAsia="zh-CN"/>
              </w:rPr>
              <w:t>仪器名称</w:t>
            </w:r>
            <w:r>
              <w:rPr>
                <w:rFonts w:hint="eastAsia" w:ascii="Times New Roman" w:hAnsi="Times New Roman" w:cs="Times New Roman" w:eastAsiaTheme="minorEastAsia"/>
                <w:b w:val="0"/>
                <w:bCs/>
                <w:color w:val="auto"/>
                <w:sz w:val="24"/>
                <w:szCs w:val="24"/>
                <w:lang w:val="en-US" w:eastAsia="zh-CN"/>
              </w:rPr>
              <w:t>及编号</w:t>
            </w:r>
            <w:r>
              <w:rPr>
                <w:rFonts w:hint="default" w:ascii="Times New Roman" w:hAnsi="Times New Roman" w:cs="Times New Roman" w:eastAsiaTheme="minorEastAsia"/>
                <w:b w:val="0"/>
                <w:bCs/>
                <w:color w:val="auto"/>
                <w:sz w:val="24"/>
                <w:szCs w:val="24"/>
              </w:rPr>
              <w:t>见表</w:t>
            </w:r>
            <w:r>
              <w:rPr>
                <w:rFonts w:hint="eastAsia" w:ascii="Times New Roman" w:hAnsi="Times New Roman" w:cs="Times New Roman" w:eastAsiaTheme="minorEastAsia"/>
                <w:b w:val="0"/>
                <w:bCs/>
                <w:color w:val="auto"/>
                <w:sz w:val="24"/>
                <w:szCs w:val="24"/>
                <w:lang w:val="en-US" w:eastAsia="zh-CN"/>
              </w:rPr>
              <w:t>5-2</w:t>
            </w:r>
            <w:r>
              <w:rPr>
                <w:rFonts w:hint="default" w:ascii="Times New Roman" w:hAnsi="Times New Roman" w:cs="Times New Roman" w:eastAsiaTheme="minorEastAsia"/>
                <w:b w:val="0"/>
                <w:bCs/>
                <w:color w:val="auto"/>
                <w:sz w:val="24"/>
                <w:szCs w:val="24"/>
              </w:rPr>
              <w:t>。</w:t>
            </w:r>
          </w:p>
          <w:p>
            <w:pPr>
              <w:pStyle w:val="4"/>
              <w:keepLines w:val="0"/>
              <w:pageBreakBefore w:val="0"/>
              <w:kinsoku/>
              <w:overflowPunct/>
              <w:topLinePunct w:val="0"/>
              <w:bidi w:val="0"/>
              <w:outlineLvl w:val="9"/>
              <w:rPr>
                <w:rFonts w:hint="default" w:ascii="Times New Roman" w:hAnsi="Times New Roman" w:cs="Times New Roman" w:eastAsiaTheme="minorEastAsia"/>
                <w:color w:val="auto"/>
                <w:sz w:val="21"/>
                <w:szCs w:val="21"/>
              </w:rPr>
            </w:pPr>
            <w:bookmarkStart w:id="43" w:name="_Toc6639_WPSOffice_Level2"/>
            <w:r>
              <w:rPr>
                <w:rFonts w:hint="default" w:ascii="Times New Roman" w:hAnsi="Times New Roman" w:cs="Times New Roman" w:eastAsiaTheme="minorEastAsia"/>
                <w:color w:val="auto"/>
                <w:sz w:val="21"/>
                <w:szCs w:val="21"/>
              </w:rPr>
              <w:t>表</w:t>
            </w:r>
            <w:r>
              <w:rPr>
                <w:rFonts w:hint="eastAsia" w:ascii="Times New Roman" w:hAnsi="Times New Roman" w:cs="Times New Roman" w:eastAsiaTheme="minorEastAsia"/>
                <w:color w:val="auto"/>
                <w:sz w:val="21"/>
                <w:szCs w:val="21"/>
                <w:lang w:val="en-US" w:eastAsia="zh-CN"/>
              </w:rPr>
              <w:t>5-2</w:t>
            </w:r>
            <w:r>
              <w:rPr>
                <w:rFonts w:hint="default" w:ascii="Times New Roman" w:hAnsi="Times New Roman" w:cs="Times New Roman" w:eastAsiaTheme="minorEastAsia"/>
                <w:color w:val="auto"/>
                <w:sz w:val="21"/>
                <w:szCs w:val="21"/>
                <w:lang w:val="en-US" w:eastAsia="zh-CN"/>
              </w:rPr>
              <w:t xml:space="preserve">  项目</w:t>
            </w:r>
            <w:r>
              <w:rPr>
                <w:rFonts w:hint="eastAsia" w:ascii="Times New Roman" w:hAnsi="Times New Roman" w:cs="Times New Roman" w:eastAsiaTheme="minorEastAsia"/>
                <w:color w:val="auto"/>
                <w:sz w:val="21"/>
                <w:szCs w:val="21"/>
                <w:lang w:eastAsia="zh-CN"/>
              </w:rPr>
              <w:t>检测</w:t>
            </w:r>
            <w:r>
              <w:rPr>
                <w:rFonts w:hint="default" w:ascii="Times New Roman" w:hAnsi="Times New Roman" w:cs="Times New Roman" w:eastAsiaTheme="minorEastAsia"/>
                <w:color w:val="auto"/>
                <w:sz w:val="21"/>
                <w:szCs w:val="21"/>
                <w:lang w:val="en-US" w:eastAsia="zh-CN"/>
              </w:rPr>
              <w:t>仪器名称</w:t>
            </w:r>
            <w:r>
              <w:rPr>
                <w:rFonts w:hint="eastAsia" w:ascii="Times New Roman" w:hAnsi="Times New Roman" w:cs="Times New Roman" w:eastAsiaTheme="minorEastAsia"/>
                <w:color w:val="auto"/>
                <w:sz w:val="21"/>
                <w:szCs w:val="21"/>
                <w:lang w:val="en-US" w:eastAsia="zh-CN"/>
              </w:rPr>
              <w:t>及编号</w:t>
            </w:r>
            <w:r>
              <w:rPr>
                <w:rFonts w:hint="default" w:ascii="Times New Roman" w:hAnsi="Times New Roman" w:cs="Times New Roman" w:eastAsiaTheme="minorEastAsia"/>
                <w:color w:val="auto"/>
                <w:sz w:val="21"/>
                <w:szCs w:val="21"/>
              </w:rPr>
              <w:t>表</w:t>
            </w:r>
            <w:bookmarkEnd w:id="43"/>
          </w:p>
          <w:tbl>
            <w:tblPr>
              <w:tblStyle w:val="16"/>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2"/>
              <w:gridCol w:w="2536"/>
              <w:gridCol w:w="5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tcBorders>
                    <w:tl2br w:val="nil"/>
                    <w:tr2bl w:val="nil"/>
                  </w:tcBorders>
                  <w:vAlign w:val="center"/>
                </w:tcPr>
                <w:p>
                  <w:pPr>
                    <w:pStyle w:val="4"/>
                    <w:widowControl w:val="0"/>
                    <w:adjustRightInd/>
                    <w:snapToGrid/>
                    <w:spacing w:before="0" w:after="0"/>
                    <w:ind w:left="0" w:right="0"/>
                    <w:jc w:val="center"/>
                    <w:outlineLvl w:val="9"/>
                    <w:rPr>
                      <w:rFonts w:ascii="Times New Roman" w:hAnsi="Times New Roman" w:cs="Times New Roman" w:eastAsiaTheme="minorEastAsia"/>
                      <w:b w:val="0"/>
                      <w:bCs/>
                      <w:color w:val="auto"/>
                      <w:sz w:val="21"/>
                      <w:szCs w:val="21"/>
                    </w:rPr>
                  </w:pPr>
                  <w:r>
                    <w:rPr>
                      <w:rFonts w:ascii="Times New Roman" w:hAnsi="Times New Roman" w:cs="Times New Roman" w:eastAsiaTheme="minorEastAsia"/>
                      <w:b w:val="0"/>
                      <w:bCs/>
                      <w:color w:val="auto"/>
                      <w:sz w:val="21"/>
                      <w:szCs w:val="21"/>
                    </w:rPr>
                    <w:t>检测类别</w:t>
                  </w:r>
                </w:p>
              </w:tc>
              <w:tc>
                <w:tcPr>
                  <w:tcW w:w="2536" w:type="dxa"/>
                  <w:tcBorders>
                    <w:tl2br w:val="nil"/>
                    <w:tr2bl w:val="nil"/>
                  </w:tcBorders>
                  <w:vAlign w:val="center"/>
                </w:tcPr>
                <w:p>
                  <w:pPr>
                    <w:pStyle w:val="4"/>
                    <w:widowControl w:val="0"/>
                    <w:adjustRightInd/>
                    <w:snapToGrid/>
                    <w:spacing w:before="0" w:after="0"/>
                    <w:ind w:left="0" w:right="0"/>
                    <w:jc w:val="center"/>
                    <w:outlineLvl w:val="9"/>
                    <w:rPr>
                      <w:rFonts w:ascii="Times New Roman" w:hAnsi="Times New Roman" w:cs="Times New Roman" w:eastAsiaTheme="minorEastAsia"/>
                      <w:b w:val="0"/>
                      <w:bCs/>
                      <w:color w:val="auto"/>
                      <w:sz w:val="21"/>
                      <w:szCs w:val="21"/>
                    </w:rPr>
                  </w:pPr>
                  <w:r>
                    <w:rPr>
                      <w:rFonts w:ascii="Times New Roman" w:hAnsi="Times New Roman" w:cs="Times New Roman" w:eastAsiaTheme="minorEastAsia"/>
                      <w:b w:val="0"/>
                      <w:bCs/>
                      <w:color w:val="auto"/>
                      <w:sz w:val="21"/>
                      <w:szCs w:val="21"/>
                    </w:rPr>
                    <w:t>检测因子</w:t>
                  </w:r>
                </w:p>
              </w:tc>
              <w:tc>
                <w:tcPr>
                  <w:tcW w:w="5496" w:type="dxa"/>
                  <w:tcBorders>
                    <w:tl2br w:val="nil"/>
                    <w:tr2bl w:val="nil"/>
                  </w:tcBorders>
                  <w:vAlign w:val="center"/>
                </w:tcPr>
                <w:p>
                  <w:pPr>
                    <w:pStyle w:val="4"/>
                    <w:widowControl w:val="0"/>
                    <w:adjustRightInd/>
                    <w:snapToGrid/>
                    <w:spacing w:before="0" w:after="0"/>
                    <w:ind w:left="0" w:right="0"/>
                    <w:jc w:val="center"/>
                    <w:outlineLvl w:val="9"/>
                    <w:rPr>
                      <w:rFonts w:hint="eastAsia" w:ascii="Times New Roman" w:hAnsi="Times New Roman" w:cs="Times New Roman" w:eastAsiaTheme="minorEastAsia"/>
                      <w:b w:val="0"/>
                      <w:bCs/>
                      <w:color w:val="auto"/>
                      <w:sz w:val="21"/>
                      <w:szCs w:val="21"/>
                      <w:lang w:val="en-US" w:eastAsia="zh-CN"/>
                    </w:rPr>
                  </w:pPr>
                  <w:r>
                    <w:rPr>
                      <w:rFonts w:ascii="Times New Roman" w:hAnsi="Times New Roman" w:cs="Times New Roman" w:eastAsiaTheme="minorEastAsia"/>
                      <w:b w:val="0"/>
                      <w:bCs/>
                      <w:color w:val="auto"/>
                      <w:sz w:val="21"/>
                      <w:szCs w:val="21"/>
                    </w:rPr>
                    <w:t>检测仪器</w:t>
                  </w:r>
                  <w:r>
                    <w:rPr>
                      <w:rFonts w:hint="eastAsia" w:ascii="Times New Roman" w:hAnsi="Times New Roman" w:cs="Times New Roman" w:eastAsiaTheme="minorEastAsia"/>
                      <w:b w:val="0"/>
                      <w:bCs/>
                      <w:color w:val="auto"/>
                      <w:sz w:val="21"/>
                      <w:szCs w:val="21"/>
                      <w:lang w:eastAsia="zh-CN"/>
                    </w:rPr>
                    <w:t>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tcBorders>
                    <w:tl2br w:val="nil"/>
                    <w:tr2bl w:val="nil"/>
                  </w:tcBorders>
                  <w:vAlign w:val="center"/>
                </w:tcPr>
                <w:p>
                  <w:pPr>
                    <w:pStyle w:val="4"/>
                    <w:widowControl w:val="0"/>
                    <w:adjustRightInd/>
                    <w:snapToGrid/>
                    <w:spacing w:before="0" w:after="0"/>
                    <w:ind w:left="0" w:right="0"/>
                    <w:jc w:val="center"/>
                    <w:outlineLvl w:val="9"/>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废气</w:t>
                  </w:r>
                </w:p>
              </w:tc>
              <w:tc>
                <w:tcPr>
                  <w:tcW w:w="2536" w:type="dxa"/>
                  <w:tcBorders>
                    <w:tl2br w:val="nil"/>
                    <w:tr2bl w:val="nil"/>
                  </w:tcBorders>
                  <w:vAlign w:val="center"/>
                </w:tcPr>
                <w:p>
                  <w:pPr>
                    <w:pStyle w:val="4"/>
                    <w:widowControl w:val="0"/>
                    <w:adjustRightInd/>
                    <w:snapToGrid/>
                    <w:spacing w:before="0" w:after="0"/>
                    <w:ind w:left="0" w:right="0"/>
                    <w:jc w:val="center"/>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lang w:val="en-US" w:eastAsia="zh-CN"/>
                    </w:rPr>
                    <w:t>非甲烷总烃</w:t>
                  </w:r>
                </w:p>
              </w:tc>
              <w:tc>
                <w:tcPr>
                  <w:tcW w:w="549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气相色谱仪/A91PLUS型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vMerge w:val="restart"/>
                  <w:tcBorders>
                    <w:tl2br w:val="nil"/>
                    <w:tr2bl w:val="nil"/>
                  </w:tcBorders>
                  <w:vAlign w:val="center"/>
                </w:tcPr>
                <w:p>
                  <w:pPr>
                    <w:pStyle w:val="4"/>
                    <w:widowControl w:val="0"/>
                    <w:adjustRightInd/>
                    <w:snapToGrid/>
                    <w:spacing w:before="0" w:after="0"/>
                    <w:ind w:left="0"/>
                    <w:jc w:val="center"/>
                    <w:outlineLvl w:val="9"/>
                    <w:rPr>
                      <w:rFonts w:ascii="Times New Roman" w:hAnsi="Times New Roman" w:cs="Times New Roman" w:eastAsiaTheme="minorEastAsia"/>
                      <w:b w:val="0"/>
                      <w:bCs/>
                      <w:color w:val="auto"/>
                      <w:sz w:val="21"/>
                      <w:szCs w:val="21"/>
                    </w:rPr>
                  </w:pPr>
                  <w:r>
                    <w:rPr>
                      <w:rFonts w:ascii="Times New Roman" w:hAnsi="Times New Roman" w:cs="Times New Roman" w:eastAsiaTheme="minorEastAsia"/>
                      <w:b w:val="0"/>
                      <w:bCs/>
                      <w:color w:val="auto"/>
                      <w:sz w:val="21"/>
                      <w:szCs w:val="21"/>
                    </w:rPr>
                    <w:t>废水</w:t>
                  </w:r>
                </w:p>
              </w:tc>
              <w:tc>
                <w:tcPr>
                  <w:tcW w:w="253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pH值（无量纲）</w:t>
                  </w:r>
                </w:p>
              </w:tc>
              <w:tc>
                <w:tcPr>
                  <w:tcW w:w="549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PHS-3C</w:t>
                  </w:r>
                  <w:r>
                    <w:rPr>
                      <w:rFonts w:hint="eastAsia" w:ascii="Times New Roman" w:hAnsi="Times New Roman" w:cs="Times New Roman" w:eastAsiaTheme="minorEastAsia"/>
                      <w:b w:val="0"/>
                      <w:bCs/>
                      <w:color w:val="auto"/>
                      <w:sz w:val="21"/>
                      <w:szCs w:val="21"/>
                      <w:vertAlign w:val="baseline"/>
                      <w:lang w:val="en-US" w:eastAsia="zh-CN"/>
                    </w:rPr>
                    <w:t>型酸度计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vMerge w:val="continue"/>
                  <w:tcBorders>
                    <w:tl2br w:val="nil"/>
                    <w:tr2bl w:val="nil"/>
                  </w:tcBorders>
                  <w:vAlign w:val="center"/>
                </w:tcPr>
                <w:p>
                  <w:pPr>
                    <w:pStyle w:val="4"/>
                    <w:widowControl w:val="0"/>
                    <w:adjustRightInd/>
                    <w:snapToGrid/>
                    <w:spacing w:before="0" w:after="0"/>
                    <w:ind w:left="0"/>
                    <w:jc w:val="center"/>
                    <w:outlineLvl w:val="9"/>
                    <w:rPr>
                      <w:rFonts w:ascii="Times New Roman" w:hAnsi="Times New Roman" w:cs="Times New Roman" w:eastAsiaTheme="minorEastAsia"/>
                      <w:b w:val="0"/>
                      <w:bCs/>
                      <w:color w:val="auto"/>
                      <w:sz w:val="21"/>
                      <w:szCs w:val="21"/>
                    </w:rPr>
                  </w:pPr>
                </w:p>
              </w:tc>
              <w:tc>
                <w:tcPr>
                  <w:tcW w:w="253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化学需氧量</w:t>
                  </w:r>
                </w:p>
              </w:tc>
              <w:tc>
                <w:tcPr>
                  <w:tcW w:w="549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50ml</w:t>
                  </w:r>
                  <w:r>
                    <w:rPr>
                      <w:rFonts w:hint="eastAsia" w:ascii="Times New Roman" w:hAnsi="Times New Roman" w:cs="Times New Roman" w:eastAsiaTheme="minorEastAsia"/>
                      <w:b w:val="0"/>
                      <w:bCs/>
                      <w:color w:val="auto"/>
                      <w:sz w:val="21"/>
                      <w:szCs w:val="21"/>
                      <w:vertAlign w:val="baseline"/>
                      <w:lang w:val="en-US" w:eastAsia="zh-CN"/>
                    </w:rPr>
                    <w:t>酸式</w:t>
                  </w:r>
                  <w:r>
                    <w:rPr>
                      <w:rFonts w:hint="default" w:ascii="Times New Roman" w:hAnsi="Times New Roman" w:cs="Times New Roman" w:eastAsiaTheme="minorEastAsia"/>
                      <w:b w:val="0"/>
                      <w:bCs/>
                      <w:color w:val="auto"/>
                      <w:sz w:val="21"/>
                      <w:szCs w:val="21"/>
                      <w:vertAlign w:val="baseline"/>
                      <w:lang w:val="en-US" w:eastAsia="zh-CN"/>
                    </w:rPr>
                    <w:t>滴定管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vMerge w:val="continue"/>
                  <w:tcBorders>
                    <w:tl2br w:val="nil"/>
                    <w:tr2bl w:val="nil"/>
                  </w:tcBorders>
                  <w:vAlign w:val="center"/>
                </w:tcPr>
                <w:p>
                  <w:pPr>
                    <w:pStyle w:val="4"/>
                    <w:widowControl w:val="0"/>
                    <w:adjustRightInd/>
                    <w:snapToGrid/>
                    <w:spacing w:after="0"/>
                    <w:jc w:val="center"/>
                    <w:outlineLvl w:val="9"/>
                    <w:rPr>
                      <w:rFonts w:ascii="Times New Roman" w:hAnsi="Times New Roman" w:cs="Times New Roman" w:eastAsiaTheme="minorEastAsia"/>
                      <w:b w:val="0"/>
                      <w:bCs/>
                      <w:color w:val="auto"/>
                      <w:sz w:val="21"/>
                      <w:szCs w:val="21"/>
                      <w:lang w:val="zh-CN" w:bidi="zh-CN"/>
                    </w:rPr>
                  </w:pPr>
                </w:p>
              </w:tc>
              <w:tc>
                <w:tcPr>
                  <w:tcW w:w="253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氨氮</w:t>
                  </w:r>
                </w:p>
              </w:tc>
              <w:tc>
                <w:tcPr>
                  <w:tcW w:w="549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UV-1780型紫外分光光度计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vMerge w:val="continue"/>
                  <w:tcBorders>
                    <w:tl2br w:val="nil"/>
                    <w:tr2bl w:val="nil"/>
                  </w:tcBorders>
                  <w:vAlign w:val="center"/>
                </w:tcPr>
                <w:p>
                  <w:pPr>
                    <w:pStyle w:val="4"/>
                    <w:widowControl w:val="0"/>
                    <w:adjustRightInd/>
                    <w:snapToGrid/>
                    <w:spacing w:after="0"/>
                    <w:jc w:val="center"/>
                    <w:outlineLvl w:val="9"/>
                    <w:rPr>
                      <w:rFonts w:ascii="Times New Roman" w:hAnsi="Times New Roman" w:cs="Times New Roman" w:eastAsiaTheme="minorEastAsia"/>
                      <w:b w:val="0"/>
                      <w:bCs/>
                      <w:color w:val="auto"/>
                      <w:sz w:val="21"/>
                      <w:szCs w:val="21"/>
                      <w:lang w:val="zh-CN" w:bidi="zh-CN"/>
                    </w:rPr>
                  </w:pPr>
                </w:p>
              </w:tc>
              <w:tc>
                <w:tcPr>
                  <w:tcW w:w="253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五日生化需氧量</w:t>
                  </w:r>
                </w:p>
              </w:tc>
              <w:tc>
                <w:tcPr>
                  <w:tcW w:w="549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LRH-150F型生化培养箱；JPSJ-605F型溶解氧仪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vMerge w:val="continue"/>
                  <w:tcBorders>
                    <w:tl2br w:val="nil"/>
                    <w:tr2bl w:val="nil"/>
                  </w:tcBorders>
                  <w:vAlign w:val="center"/>
                </w:tcPr>
                <w:p>
                  <w:pPr>
                    <w:pStyle w:val="4"/>
                    <w:widowControl w:val="0"/>
                    <w:adjustRightInd/>
                    <w:snapToGrid/>
                    <w:spacing w:after="0"/>
                    <w:jc w:val="center"/>
                    <w:outlineLvl w:val="9"/>
                    <w:rPr>
                      <w:rFonts w:ascii="Times New Roman" w:hAnsi="Times New Roman" w:cs="Times New Roman" w:eastAsiaTheme="minorEastAsia"/>
                      <w:b w:val="0"/>
                      <w:bCs/>
                      <w:color w:val="auto"/>
                      <w:sz w:val="21"/>
                      <w:szCs w:val="21"/>
                      <w:lang w:val="zh-CN" w:bidi="zh-CN"/>
                    </w:rPr>
                  </w:pPr>
                </w:p>
              </w:tc>
              <w:tc>
                <w:tcPr>
                  <w:tcW w:w="253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悬浮物</w:t>
                  </w:r>
                </w:p>
              </w:tc>
              <w:tc>
                <w:tcPr>
                  <w:tcW w:w="549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ATY224型万分之一天平</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DHG-9070A型干燥箱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vMerge w:val="continue"/>
                  <w:tcBorders>
                    <w:tl2br w:val="nil"/>
                    <w:tr2bl w:val="nil"/>
                  </w:tcBorders>
                  <w:vAlign w:val="center"/>
                </w:tcPr>
                <w:p>
                  <w:pPr>
                    <w:pStyle w:val="4"/>
                    <w:widowControl w:val="0"/>
                    <w:adjustRightInd/>
                    <w:snapToGrid/>
                    <w:spacing w:after="0"/>
                    <w:jc w:val="center"/>
                    <w:outlineLvl w:val="9"/>
                    <w:rPr>
                      <w:rFonts w:ascii="Times New Roman" w:hAnsi="Times New Roman" w:cs="Times New Roman" w:eastAsiaTheme="minorEastAsia"/>
                      <w:b w:val="0"/>
                      <w:bCs/>
                      <w:color w:val="auto"/>
                      <w:sz w:val="21"/>
                      <w:szCs w:val="21"/>
                      <w:lang w:val="zh-CN" w:bidi="zh-CN"/>
                    </w:rPr>
                  </w:pPr>
                </w:p>
              </w:tc>
              <w:tc>
                <w:tcPr>
                  <w:tcW w:w="253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石油类</w:t>
                  </w:r>
                </w:p>
              </w:tc>
              <w:tc>
                <w:tcPr>
                  <w:tcW w:w="5496"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OIL460型</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红外分光测油仪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vMerge w:val="continue"/>
                  <w:tcBorders>
                    <w:tl2br w:val="nil"/>
                    <w:tr2bl w:val="nil"/>
                  </w:tcBorders>
                  <w:vAlign w:val="center"/>
                </w:tcPr>
                <w:p>
                  <w:pPr>
                    <w:pStyle w:val="4"/>
                    <w:widowControl w:val="0"/>
                    <w:adjustRightInd/>
                    <w:snapToGrid/>
                    <w:spacing w:after="0"/>
                    <w:jc w:val="center"/>
                    <w:outlineLvl w:val="9"/>
                    <w:rPr>
                      <w:rFonts w:ascii="Times New Roman" w:hAnsi="Times New Roman" w:cs="Times New Roman" w:eastAsiaTheme="minorEastAsia"/>
                      <w:b w:val="0"/>
                      <w:bCs/>
                      <w:color w:val="auto"/>
                      <w:sz w:val="21"/>
                      <w:szCs w:val="21"/>
                      <w:lang w:val="zh-CN" w:bidi="zh-CN"/>
                    </w:rPr>
                  </w:pPr>
                </w:p>
              </w:tc>
              <w:tc>
                <w:tcPr>
                  <w:tcW w:w="253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动植物油类</w:t>
                  </w:r>
                </w:p>
              </w:tc>
              <w:tc>
                <w:tcPr>
                  <w:tcW w:w="5496"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tcBorders>
                    <w:tl2br w:val="nil"/>
                    <w:tr2bl w:val="nil"/>
                  </w:tcBorders>
                  <w:vAlign w:val="center"/>
                </w:tcPr>
                <w:p>
                  <w:pPr>
                    <w:pStyle w:val="4"/>
                    <w:widowControl w:val="0"/>
                    <w:adjustRightInd/>
                    <w:snapToGrid/>
                    <w:spacing w:after="0"/>
                    <w:ind w:firstLine="0" w:firstLineChars="0"/>
                    <w:jc w:val="center"/>
                    <w:outlineLvl w:val="9"/>
                    <w:rPr>
                      <w:rFonts w:hint="default" w:ascii="Times New Roman" w:hAnsi="Times New Roman" w:cs="Times New Roman" w:eastAsiaTheme="minorEastAsia"/>
                      <w:b w:val="0"/>
                      <w:bCs/>
                      <w:color w:val="auto"/>
                      <w:sz w:val="21"/>
                      <w:szCs w:val="21"/>
                      <w:lang w:val="zh-CN" w:eastAsia="zh-CN" w:bidi="zh-CN"/>
                    </w:rPr>
                  </w:pPr>
                  <w:r>
                    <w:rPr>
                      <w:rFonts w:hint="default" w:ascii="Times New Roman" w:hAnsi="Times New Roman" w:cs="Times New Roman" w:eastAsiaTheme="minorEastAsia"/>
                      <w:b w:val="0"/>
                      <w:bCs/>
                      <w:color w:val="auto"/>
                      <w:sz w:val="21"/>
                      <w:szCs w:val="21"/>
                      <w:lang w:val="zh-CN" w:eastAsia="zh-CN" w:bidi="zh-CN"/>
                    </w:rPr>
                    <w:t>噪声</w:t>
                  </w:r>
                </w:p>
              </w:tc>
              <w:tc>
                <w:tcPr>
                  <w:tcW w:w="2536" w:type="dxa"/>
                  <w:tcBorders>
                    <w:tl2br w:val="nil"/>
                    <w:tr2bl w:val="nil"/>
                  </w:tcBorders>
                  <w:vAlign w:val="center"/>
                </w:tcPr>
                <w:p>
                  <w:pPr>
                    <w:pStyle w:val="4"/>
                    <w:spacing w:before="0"/>
                    <w:ind w:left="0" w:right="0"/>
                    <w:jc w:val="center"/>
                    <w:rPr>
                      <w:rFonts w:hint="default" w:ascii="Times New Roman" w:hAnsi="Times New Roman" w:cs="Times New Roman" w:eastAsiaTheme="minorEastAsia"/>
                      <w:b w:val="0"/>
                      <w:bCs/>
                      <w:color w:val="auto"/>
                      <w:sz w:val="21"/>
                      <w:szCs w:val="21"/>
                      <w:vertAlign w:val="baseline"/>
                      <w:lang w:val="en-US" w:eastAsia="zh-CN" w:bidi="ar-SA"/>
                    </w:rPr>
                  </w:pPr>
                  <w:r>
                    <w:rPr>
                      <w:rFonts w:ascii="Times New Roman" w:hAnsi="Times New Roman" w:cs="Times New Roman" w:eastAsiaTheme="minorEastAsia"/>
                      <w:b w:val="0"/>
                      <w:bCs/>
                      <w:color w:val="auto"/>
                      <w:sz w:val="21"/>
                      <w:szCs w:val="21"/>
                      <w:lang w:val="en-US" w:bidi="ar-SA"/>
                    </w:rPr>
                    <w:t>等效声级</w:t>
                  </w:r>
                </w:p>
              </w:tc>
              <w:tc>
                <w:tcPr>
                  <w:tcW w:w="5496" w:type="dxa"/>
                  <w:tcBorders>
                    <w:tl2br w:val="nil"/>
                    <w:tr2bl w:val="nil"/>
                  </w:tcBorders>
                  <w:vAlign w:val="center"/>
                </w:tcPr>
                <w:p>
                  <w:pPr>
                    <w:pStyle w:val="11"/>
                    <w:keepNext w:val="0"/>
                    <w:keepLines w:val="0"/>
                    <w:pageBreakBefore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eastAsia="宋体" w:cs="Times New Roman"/>
                      <w:szCs w:val="21"/>
                      <w:lang w:val="en-US" w:eastAsia="zh-CN"/>
                    </w:rPr>
                    <w:t>AWA6228</w:t>
                  </w:r>
                  <w:r>
                    <w:rPr>
                      <w:rFonts w:hint="eastAsia" w:ascii="Times New Roman" w:hAnsi="Times New Roman" w:cs="Times New Roman"/>
                      <w:szCs w:val="21"/>
                      <w:lang w:val="en-US" w:eastAsia="zh-CN"/>
                    </w:rPr>
                    <w:t>+型</w:t>
                  </w:r>
                  <w:r>
                    <w:rPr>
                      <w:rFonts w:hint="eastAsia" w:ascii="Times New Roman" w:hAnsi="Times New Roman" w:eastAsia="宋体" w:cs="Times New Roman"/>
                      <w:sz w:val="21"/>
                      <w:szCs w:val="21"/>
                      <w:vertAlign w:val="baseline"/>
                      <w:lang w:val="en-US" w:eastAsia="zh-CN"/>
                    </w:rPr>
                    <w:t>多功能声级计</w:t>
                  </w:r>
                </w:p>
              </w:tc>
            </w:tr>
          </w:tbl>
          <w:p>
            <w:pPr>
              <w:pStyle w:val="7"/>
              <w:bidi w:val="0"/>
              <w:spacing w:line="360" w:lineRule="auto"/>
              <w:ind w:left="0"/>
              <w:rPr>
                <w:rFonts w:hint="default"/>
                <w:lang w:val="en-US" w:eastAsia="zh-CN"/>
              </w:rPr>
            </w:pPr>
            <w:r>
              <w:rPr>
                <w:rFonts w:hint="eastAsia"/>
                <w:lang w:val="en-US" w:eastAsia="zh-CN"/>
              </w:rPr>
              <w:t>三、</w:t>
            </w:r>
            <w:r>
              <w:rPr>
                <w:rFonts w:hint="default"/>
                <w:lang w:val="en-US" w:eastAsia="zh-CN"/>
              </w:rPr>
              <w:t>人员资质简述</w:t>
            </w:r>
          </w:p>
          <w:p>
            <w:pPr>
              <w:pStyle w:val="5"/>
              <w:spacing w:before="0" w:after="0" w:line="360" w:lineRule="auto"/>
              <w:ind w:left="0" w:firstLine="480" w:firstLineChars="200"/>
              <w:rPr>
                <w:rFonts w:ascii="Times New Roman" w:hAnsi="Times New Roman" w:cs="Times New Roman"/>
                <w:color w:val="auto"/>
              </w:rPr>
            </w:pPr>
            <w:r>
              <w:rPr>
                <w:rFonts w:hint="default" w:ascii="Times New Roman" w:hAnsi="Times New Roman" w:cs="Times New Roman" w:eastAsiaTheme="minorEastAsia"/>
                <w:sz w:val="24"/>
                <w:szCs w:val="24"/>
              </w:rPr>
              <w:t>参加本次验收监测人员均经过培训，监测人员经考核并持有</w:t>
            </w:r>
            <w:r>
              <w:rPr>
                <w:rFonts w:hint="eastAsia" w:ascii="Times New Roman" w:hAnsi="Times New Roman" w:cs="Times New Roman" w:eastAsiaTheme="minorEastAsia"/>
                <w:color w:val="auto"/>
                <w:sz w:val="24"/>
                <w:szCs w:val="24"/>
                <w:highlight w:val="none"/>
                <w:lang w:eastAsia="zh-CN"/>
              </w:rPr>
              <w:t>上岗</w:t>
            </w:r>
            <w:r>
              <w:rPr>
                <w:rFonts w:hint="default" w:ascii="Times New Roman" w:hAnsi="Times New Roman" w:cs="Times New Roman" w:eastAsiaTheme="minorEastAsia"/>
                <w:color w:val="auto"/>
                <w:sz w:val="24"/>
                <w:szCs w:val="24"/>
              </w:rPr>
              <w:t>证书。</w:t>
            </w:r>
          </w:p>
          <w:p>
            <w:pPr>
              <w:pStyle w:val="7"/>
              <w:bidi w:val="0"/>
              <w:spacing w:line="360" w:lineRule="auto"/>
              <w:ind w:left="0"/>
              <w:rPr>
                <w:rFonts w:hint="default"/>
                <w:lang w:val="en-US" w:eastAsia="zh-CN"/>
              </w:rPr>
            </w:pPr>
            <w:bookmarkStart w:id="44" w:name="_Toc28459_WPSOffice_Level2"/>
            <w:bookmarkStart w:id="45" w:name="_Toc19689"/>
            <w:r>
              <w:rPr>
                <w:rFonts w:hint="eastAsia"/>
                <w:lang w:val="en-US" w:eastAsia="zh-CN"/>
              </w:rPr>
              <w:t>四、</w:t>
            </w:r>
            <w:r>
              <w:rPr>
                <w:rFonts w:hint="default"/>
                <w:lang w:val="en-US" w:eastAsia="zh-CN"/>
              </w:rPr>
              <w:t>水质监测分析过程中的质量保证和质量控制</w:t>
            </w:r>
            <w:bookmarkEnd w:id="44"/>
            <w:bookmarkEnd w:id="45"/>
          </w:p>
          <w:p>
            <w:pPr>
              <w:pStyle w:val="5"/>
              <w:spacing w:before="0" w:after="0" w:line="360" w:lineRule="auto"/>
              <w:ind w:firstLine="480" w:firstLineChars="200"/>
              <w:rPr>
                <w:rFonts w:hint="default" w:ascii="Times New Roman" w:hAnsi="Times New Roman" w:cs="Times New Roman" w:eastAsiaTheme="minorEastAsia"/>
                <w:b w:val="0"/>
                <w:bCs/>
                <w:sz w:val="24"/>
                <w:szCs w:val="24"/>
              </w:rPr>
            </w:pPr>
            <w:r>
              <w:rPr>
                <w:rFonts w:hint="default" w:ascii="Times New Roman" w:hAnsi="Times New Roman" w:cs="Times New Roman" w:eastAsiaTheme="minorEastAsia"/>
                <w:sz w:val="24"/>
                <w:szCs w:val="24"/>
              </w:rPr>
              <w:t>废水监测仪器符合国家有关标准或技术要求。水样的采集、运输、保存、实验室</w:t>
            </w:r>
            <w:r>
              <w:rPr>
                <w:rFonts w:hint="default" w:ascii="Times New Roman" w:hAnsi="Times New Roman" w:cs="Times New Roman" w:eastAsiaTheme="minorEastAsia"/>
                <w:spacing w:val="-2"/>
                <w:sz w:val="24"/>
                <w:szCs w:val="24"/>
              </w:rPr>
              <w:t>分析和数据计算的全过程均按《环境水质监测质量保证手册》</w:t>
            </w:r>
            <w:r>
              <w:rPr>
                <w:rFonts w:hint="default" w:ascii="Times New Roman" w:hAnsi="Times New Roman" w:cs="Times New Roman" w:eastAsiaTheme="minorEastAsia"/>
                <w:sz w:val="24"/>
                <w:szCs w:val="24"/>
              </w:rPr>
              <w:t>（第四版</w:t>
            </w:r>
            <w:r>
              <w:rPr>
                <w:rFonts w:hint="default" w:ascii="Times New Roman" w:hAnsi="Times New Roman" w:cs="Times New Roman" w:eastAsiaTheme="minorEastAsia"/>
                <w:spacing w:val="-10"/>
                <w:sz w:val="24"/>
                <w:szCs w:val="24"/>
              </w:rPr>
              <w:t>）</w:t>
            </w:r>
            <w:r>
              <w:rPr>
                <w:rFonts w:hint="default" w:ascii="Times New Roman" w:hAnsi="Times New Roman" w:cs="Times New Roman" w:eastAsiaTheme="minorEastAsia"/>
                <w:spacing w:val="-3"/>
                <w:sz w:val="24"/>
                <w:szCs w:val="24"/>
              </w:rPr>
              <w:t>的要求进行。</w:t>
            </w:r>
            <w:r>
              <w:rPr>
                <w:rFonts w:hint="default" w:ascii="Times New Roman" w:hAnsi="Times New Roman" w:cs="Times New Roman" w:eastAsiaTheme="minorEastAsia"/>
                <w:b w:val="0"/>
                <w:bCs/>
                <w:sz w:val="24"/>
                <w:szCs w:val="24"/>
              </w:rPr>
              <w:t>监测前校准pH计。五日生化需氧量、悬浮物单独（定量）采样，各加采10%的样品，实施自控；化学需氧量、氨氮各采集10%的密码平行样；化学需氧量分析密码标样。</w:t>
            </w:r>
            <w:bookmarkStart w:id="46" w:name="_Toc5336_WPSOffice_Level2"/>
            <w:bookmarkStart w:id="47" w:name="_Toc10406"/>
          </w:p>
          <w:p>
            <w:pPr>
              <w:pStyle w:val="7"/>
              <w:bidi w:val="0"/>
              <w:spacing w:line="360" w:lineRule="auto"/>
              <w:ind w:left="0"/>
              <w:rPr>
                <w:rFonts w:hint="default"/>
              </w:rPr>
            </w:pPr>
            <w:r>
              <w:rPr>
                <w:rFonts w:hint="eastAsia"/>
                <w:lang w:val="en-US" w:eastAsia="zh-CN"/>
              </w:rPr>
              <w:t>五、</w:t>
            </w:r>
            <w:r>
              <w:rPr>
                <w:rFonts w:hint="default"/>
                <w:lang w:val="en-US" w:eastAsia="zh-CN"/>
              </w:rPr>
              <w:t>气体</w:t>
            </w:r>
            <w:r>
              <w:rPr>
                <w:rFonts w:hint="default"/>
              </w:rPr>
              <w:t>监测分析过程中的质量保证和质量控制</w:t>
            </w:r>
            <w:bookmarkEnd w:id="46"/>
            <w:bookmarkEnd w:id="47"/>
          </w:p>
          <w:p>
            <w:pPr>
              <w:pStyle w:val="5"/>
              <w:spacing w:before="0" w:after="0" w:line="360" w:lineRule="auto"/>
              <w:ind w:right="0" w:firstLine="480" w:firstLineChars="200"/>
              <w:rPr>
                <w:rFonts w:ascii="Times New Roman" w:hAnsi="Times New Roman" w:cs="Times New Roman"/>
              </w:rPr>
            </w:pPr>
            <w:r>
              <w:rPr>
                <w:rFonts w:hint="default" w:ascii="Times New Roman" w:hAnsi="Times New Roman" w:cs="Times New Roman" w:eastAsiaTheme="minorEastAsia"/>
                <w:sz w:val="24"/>
                <w:szCs w:val="24"/>
              </w:rPr>
              <w:t>尽量避免被测排放物中共存污染物对分析的交叉干扰。被测排放物的浓度在仪器</w:t>
            </w:r>
            <w:r>
              <w:rPr>
                <w:rFonts w:hint="default" w:ascii="Times New Roman" w:hAnsi="Times New Roman" w:cs="Times New Roman" w:eastAsiaTheme="minorEastAsia"/>
                <w:spacing w:val="0"/>
                <w:sz w:val="24"/>
                <w:szCs w:val="24"/>
              </w:rPr>
              <w:t>量程的有效范围</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pacing w:val="0"/>
                <w:sz w:val="24"/>
                <w:szCs w:val="24"/>
              </w:rPr>
              <w:t>即</w:t>
            </w:r>
            <w:r>
              <w:rPr>
                <w:rFonts w:hint="default" w:ascii="Times New Roman" w:hAnsi="Times New Roman" w:cs="Times New Roman" w:eastAsiaTheme="minorEastAsia"/>
                <w:sz w:val="24"/>
                <w:szCs w:val="24"/>
              </w:rPr>
              <w:t>30%～70%之间</w:t>
            </w:r>
            <w:r>
              <w:rPr>
                <w:rFonts w:hint="default" w:ascii="Times New Roman" w:hAnsi="Times New Roman" w:cs="Times New Roman" w:eastAsiaTheme="minorEastAsia"/>
                <w:spacing w:val="0"/>
                <w:sz w:val="24"/>
                <w:szCs w:val="24"/>
              </w:rPr>
              <w:t>）。烟尘采样器在进入现场前应对采样器流量计、</w:t>
            </w:r>
            <w:r>
              <w:rPr>
                <w:rFonts w:hint="default" w:ascii="Times New Roman" w:hAnsi="Times New Roman" w:cs="Times New Roman" w:eastAsiaTheme="minorEastAsia"/>
                <w:sz w:val="24"/>
                <w:szCs w:val="24"/>
              </w:rPr>
              <w:t>流速计等进行校核。烟气监测（分析）仪器在测试前按监测因子分别用标准气体和流量计对其进行校核（标定），在测试时应保证其采样流量的准确。</w:t>
            </w:r>
          </w:p>
          <w:p>
            <w:pPr>
              <w:pStyle w:val="7"/>
              <w:bidi w:val="0"/>
              <w:spacing w:line="360" w:lineRule="auto"/>
              <w:ind w:left="0"/>
              <w:rPr>
                <w:lang w:val="en-US"/>
              </w:rPr>
            </w:pPr>
            <w:bookmarkStart w:id="48" w:name="_bookmark34"/>
            <w:bookmarkEnd w:id="48"/>
            <w:bookmarkStart w:id="49" w:name="8.6噪声监测分析过程中的质量保证和质量控制"/>
            <w:bookmarkEnd w:id="49"/>
            <w:bookmarkStart w:id="50" w:name="_bookmark34"/>
            <w:bookmarkEnd w:id="50"/>
            <w:r>
              <w:rPr>
                <w:rFonts w:hint="eastAsia"/>
                <w:lang w:val="en-US" w:eastAsia="zh-CN"/>
              </w:rPr>
              <w:t>六、</w:t>
            </w:r>
            <w:r>
              <w:rPr>
                <w:lang w:val="en-US"/>
              </w:rPr>
              <w:t>噪声监测分析过程中的质量保证和质量控制</w:t>
            </w:r>
          </w:p>
          <w:p>
            <w:pPr>
              <w:pStyle w:val="5"/>
              <w:keepLines w:val="0"/>
              <w:pageBreakBefore w:val="0"/>
              <w:kinsoku/>
              <w:overflowPunct/>
              <w:topLinePunct w:val="0"/>
              <w:bidi w:val="0"/>
              <w:spacing w:before="0" w:after="0" w:line="360" w:lineRule="auto"/>
              <w:ind w:right="0" w:firstLine="480" w:firstLineChars="200"/>
              <w:jc w:val="both"/>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声级计在测试前后用标准发生源进行校准，测量前后仪器的灵敏度相差不大于0.5dB，若大于0.5dB测试数据无效。</w:t>
            </w:r>
          </w:p>
          <w:p>
            <w:pPr>
              <w:pStyle w:val="7"/>
              <w:keepNext w:val="0"/>
              <w:keepLines w:val="0"/>
              <w:pageBreakBefore w:val="0"/>
              <w:widowControl w:val="0"/>
              <w:kinsoku/>
              <w:wordWrap/>
              <w:overflowPunct/>
              <w:topLinePunct w:val="0"/>
              <w:autoSpaceDE w:val="0"/>
              <w:autoSpaceDN w:val="0"/>
              <w:bidi w:val="0"/>
              <w:adjustRightInd/>
              <w:snapToGrid/>
              <w:spacing w:before="0"/>
              <w:ind w:left="0"/>
              <w:jc w:val="center"/>
              <w:textAlignment w:val="auto"/>
              <w:rPr>
                <w:rFonts w:hint="default"/>
                <w:lang w:val="en-US" w:eastAsia="zh-CN"/>
              </w:rPr>
            </w:pPr>
            <w:r>
              <w:rPr>
                <w:rFonts w:hint="default" w:ascii="Times New Roman" w:hAnsi="Times New Roman" w:cs="Times New Roman" w:eastAsiaTheme="minorEastAsia"/>
                <w:b/>
                <w:bCs w:val="0"/>
                <w:color w:val="auto"/>
                <w:sz w:val="21"/>
                <w:szCs w:val="21"/>
                <w:lang w:val="en-US" w:eastAsia="zh-CN" w:bidi="zh-CN"/>
              </w:rPr>
              <w:t>表</w:t>
            </w:r>
            <w:r>
              <w:rPr>
                <w:rFonts w:hint="eastAsia" w:ascii="Times New Roman" w:hAnsi="Times New Roman" w:cs="Times New Roman" w:eastAsiaTheme="minorEastAsia"/>
                <w:b/>
                <w:bCs w:val="0"/>
                <w:color w:val="auto"/>
                <w:sz w:val="21"/>
                <w:szCs w:val="21"/>
                <w:lang w:val="en-US" w:eastAsia="zh-CN" w:bidi="zh-CN"/>
              </w:rPr>
              <w:t>5-3 噪声仪校准表</w:t>
            </w:r>
          </w:p>
          <w:tbl>
            <w:tblPr>
              <w:tblStyle w:val="16"/>
              <w:tblW w:w="79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420"/>
              <w:gridCol w:w="2280"/>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722" w:type="dxa"/>
                  <w:gridSpan w:val="2"/>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测量日期</w:t>
                  </w:r>
                </w:p>
              </w:tc>
              <w:tc>
                <w:tcPr>
                  <w:tcW w:w="5251" w:type="dxa"/>
                  <w:gridSpan w:val="2"/>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校准声级</w:t>
                  </w:r>
                  <w:r>
                    <w:rPr>
                      <w:rFonts w:hint="default" w:ascii="Times New Roman" w:hAnsi="Times New Roman" w:cs="Times New Roman" w:eastAsiaTheme="minorEastAsia"/>
                      <w:b w:val="0"/>
                      <w:bCs/>
                      <w:color w:val="auto"/>
                      <w:sz w:val="21"/>
                      <w:szCs w:val="21"/>
                      <w:vertAlign w:val="baseline"/>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722" w:type="dxa"/>
                  <w:gridSpan w:val="2"/>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228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测量前</w:t>
                  </w:r>
                </w:p>
              </w:tc>
              <w:tc>
                <w:tcPr>
                  <w:tcW w:w="2971"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722" w:type="dxa"/>
                  <w:gridSpan w:val="2"/>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228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测量值</w:t>
                  </w:r>
                </w:p>
              </w:tc>
              <w:tc>
                <w:tcPr>
                  <w:tcW w:w="2971"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302"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2020.8.31</w:t>
                  </w:r>
                </w:p>
              </w:tc>
              <w:tc>
                <w:tcPr>
                  <w:tcW w:w="142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昼间</w:t>
                  </w:r>
                </w:p>
              </w:tc>
              <w:tc>
                <w:tcPr>
                  <w:tcW w:w="228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93.8</w:t>
                  </w:r>
                </w:p>
              </w:tc>
              <w:tc>
                <w:tcPr>
                  <w:tcW w:w="2971"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302"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142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夜间</w:t>
                  </w:r>
                </w:p>
              </w:tc>
              <w:tc>
                <w:tcPr>
                  <w:tcW w:w="228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93.8</w:t>
                  </w:r>
                </w:p>
              </w:tc>
              <w:tc>
                <w:tcPr>
                  <w:tcW w:w="2971"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302"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2020.9.1</w:t>
                  </w:r>
                </w:p>
              </w:tc>
              <w:tc>
                <w:tcPr>
                  <w:tcW w:w="142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昼间</w:t>
                  </w:r>
                </w:p>
              </w:tc>
              <w:tc>
                <w:tcPr>
                  <w:tcW w:w="228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93.8</w:t>
                  </w:r>
                </w:p>
              </w:tc>
              <w:tc>
                <w:tcPr>
                  <w:tcW w:w="2971"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302"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142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夜间</w:t>
                  </w:r>
                </w:p>
              </w:tc>
              <w:tc>
                <w:tcPr>
                  <w:tcW w:w="228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93.8</w:t>
                  </w:r>
                </w:p>
              </w:tc>
              <w:tc>
                <w:tcPr>
                  <w:tcW w:w="2971"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93.8</w:t>
                  </w:r>
                </w:p>
              </w:tc>
            </w:tr>
          </w:tbl>
          <w:p>
            <w:pPr>
              <w:pStyle w:val="7"/>
              <w:bidi w:val="0"/>
              <w:spacing w:line="360" w:lineRule="auto"/>
              <w:ind w:left="0"/>
              <w:rPr>
                <w:lang w:val="en-US"/>
              </w:rPr>
            </w:pPr>
            <w:r>
              <w:rPr>
                <w:rFonts w:hint="eastAsia"/>
                <w:lang w:val="en-US" w:eastAsia="zh-CN"/>
              </w:rPr>
              <w:t>七、固体废物</w:t>
            </w:r>
            <w:r>
              <w:rPr>
                <w:lang w:val="en-US"/>
              </w:rPr>
              <w:t>监测分析过程中的质量保证和质量控制</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zh-CN" w:eastAsia="zh-CN" w:bidi="zh-CN"/>
              </w:rPr>
            </w:pPr>
            <w:r>
              <w:rPr>
                <w:rFonts w:hint="eastAsia" w:ascii="Times New Roman" w:hAnsi="Times New Roman" w:cs="Times New Roman" w:eastAsiaTheme="minorEastAsia"/>
                <w:sz w:val="24"/>
                <w:szCs w:val="24"/>
                <w:lang w:val="en-US" w:eastAsia="zh-CN" w:bidi="zh-CN"/>
              </w:rPr>
              <w:t>固体废物部分采取现场调查结合收集资料的方法进行。依据《环境监测质量管理技术导则》</w:t>
            </w:r>
            <w:r>
              <w:rPr>
                <w:rFonts w:hint="default" w:ascii="Times New Roman" w:hAnsi="Times New Roman" w:cs="Times New Roman" w:eastAsiaTheme="minorEastAsia"/>
                <w:sz w:val="24"/>
                <w:szCs w:val="24"/>
                <w:lang w:val="en-US" w:eastAsia="zh-CN" w:bidi="zh-CN"/>
              </w:rPr>
              <w:t>(HJ 630-2011)</w:t>
            </w:r>
            <w:r>
              <w:rPr>
                <w:rFonts w:hint="eastAsia" w:ascii="Times New Roman" w:hAnsi="Times New Roman" w:cs="Times New Roman" w:eastAsiaTheme="minorEastAsia"/>
                <w:sz w:val="24"/>
                <w:szCs w:val="24"/>
                <w:lang w:val="en-US" w:eastAsia="zh-CN" w:bidi="zh-CN"/>
              </w:rPr>
              <w:t>，验收监测期间从现场调查、收集资料的有效性、可靠性分析以及调查人员等方面进行了质量控制。</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zh-CN" w:eastAsia="zh-CN" w:bidi="zh-CN"/>
              </w:rPr>
            </w:pPr>
            <w:r>
              <w:rPr>
                <w:rFonts w:hint="eastAsia" w:ascii="Times New Roman" w:hAnsi="Times New Roman" w:cs="Times New Roman" w:eastAsiaTheme="minorEastAsia"/>
                <w:sz w:val="24"/>
                <w:szCs w:val="24"/>
                <w:lang w:val="en-US" w:eastAsia="zh-CN" w:bidi="zh-CN"/>
              </w:rPr>
              <w:t xml:space="preserve">（1）现场工况依据《建设项目环境保护设施竣工验收监测技术指南 污染影响类》的相关规定，在主体工程工况稳定、环境保护设施运行正常的情况下进行。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zh-CN" w:eastAsia="zh-CN" w:bidi="zh-CN"/>
              </w:rPr>
            </w:pPr>
            <w:r>
              <w:rPr>
                <w:rFonts w:hint="eastAsia" w:ascii="Times New Roman" w:hAnsi="Times New Roman" w:cs="Times New Roman" w:eastAsiaTheme="minorEastAsia"/>
                <w:sz w:val="24"/>
                <w:szCs w:val="24"/>
                <w:lang w:val="en-US" w:eastAsia="zh-CN" w:bidi="zh-CN"/>
              </w:rPr>
              <w:t>（2）对收集的资料进行现场确认，并现场检查固体废物的收集、贮存、处理处置情况。</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zh-CN" w:eastAsia="zh-CN" w:bidi="zh-CN"/>
              </w:rPr>
            </w:pPr>
            <w:r>
              <w:rPr>
                <w:rFonts w:hint="eastAsia" w:ascii="Times New Roman" w:hAnsi="Times New Roman" w:cs="Times New Roman" w:eastAsiaTheme="minorEastAsia"/>
                <w:sz w:val="24"/>
                <w:szCs w:val="24"/>
                <w:lang w:val="en-US" w:eastAsia="zh-CN" w:bidi="zh-CN"/>
              </w:rPr>
              <w:t>（3）现场调查人员不少于</w:t>
            </w:r>
            <w:r>
              <w:rPr>
                <w:rFonts w:hint="default" w:ascii="Times New Roman" w:hAnsi="Times New Roman" w:cs="Times New Roman" w:eastAsiaTheme="minorEastAsia"/>
                <w:sz w:val="24"/>
                <w:szCs w:val="24"/>
                <w:lang w:val="en-US" w:eastAsia="zh-CN" w:bidi="zh-CN"/>
              </w:rPr>
              <w:t>2</w:t>
            </w:r>
            <w:r>
              <w:rPr>
                <w:rFonts w:hint="eastAsia" w:ascii="Times New Roman" w:hAnsi="Times New Roman" w:cs="Times New Roman" w:eastAsiaTheme="minorEastAsia"/>
                <w:sz w:val="24"/>
                <w:szCs w:val="24"/>
                <w:lang w:val="en-US" w:eastAsia="zh-CN" w:bidi="zh-CN"/>
              </w:rPr>
              <w:t xml:space="preserve">人，且均为专业技术人员，严格按照本公司质量管理体系文件中的规定开展工作。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zh-CN" w:eastAsia="zh-CN" w:bidi="zh-CN"/>
              </w:rPr>
            </w:pPr>
            <w:r>
              <w:rPr>
                <w:rFonts w:hint="eastAsia" w:ascii="Times New Roman" w:hAnsi="Times New Roman" w:cs="Times New Roman" w:eastAsiaTheme="minorEastAsia"/>
                <w:sz w:val="24"/>
                <w:szCs w:val="24"/>
                <w:lang w:val="en-US" w:eastAsia="zh-CN" w:bidi="zh-CN"/>
              </w:rPr>
              <w:t>（4）各类记录及分析结果，按本公司项目质量管理体系要求进行数据处理，并严格执行三级审核制度</w:t>
            </w:r>
          </w:p>
          <w:p>
            <w:pPr>
              <w:pStyle w:val="5"/>
              <w:keepLines w:val="0"/>
              <w:pageBreakBefore w:val="0"/>
              <w:kinsoku/>
              <w:overflowPunct/>
              <w:topLinePunct w:val="0"/>
              <w:bidi w:val="0"/>
              <w:spacing w:before="0" w:after="0" w:line="360" w:lineRule="auto"/>
              <w:ind w:right="0" w:firstLine="480" w:firstLineChars="20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firstLine="480" w:firstLineChars="200"/>
              <w:jc w:val="both"/>
              <w:outlineLvl w:val="9"/>
              <w:rPr>
                <w:rFonts w:hint="default" w:ascii="Times New Roman" w:hAnsi="Times New Roman" w:cs="Times New Roman" w:eastAsiaTheme="minorEastAsia"/>
                <w:sz w:val="24"/>
                <w:szCs w:val="24"/>
              </w:rPr>
            </w:pPr>
          </w:p>
          <w:p>
            <w:pPr>
              <w:spacing w:line="360" w:lineRule="auto"/>
              <w:ind w:firstLine="0" w:firstLineChars="0"/>
              <w:rPr>
                <w:rFonts w:hint="default"/>
                <w:vertAlign w:val="baseline"/>
                <w:lang w:val="en-US" w:eastAsia="zh-CN"/>
              </w:rPr>
            </w:pPr>
          </w:p>
        </w:tc>
      </w:tr>
    </w:tbl>
    <w:p>
      <w:pPr>
        <w:rPr>
          <w:rFonts w:hint="eastAsia" w:ascii="黑体" w:hAnsi="黑体" w:eastAsia="黑体" w:cs="黑体"/>
          <w:b w:val="0"/>
          <w:bCs w:val="0"/>
          <w:sz w:val="28"/>
          <w:szCs w:val="28"/>
          <w:highlight w:val="none"/>
        </w:rPr>
      </w:pPr>
      <w:r>
        <w:rPr>
          <w:rFonts w:hint="default"/>
          <w:lang w:val="en-US" w:eastAsia="zh-CN"/>
        </w:rPr>
        <w:br w:type="page"/>
      </w:r>
      <w:r>
        <w:rPr>
          <w:rFonts w:hint="eastAsia" w:ascii="黑体" w:hAnsi="黑体" w:eastAsia="黑体" w:cs="黑体"/>
          <w:b w:val="0"/>
          <w:bCs w:val="0"/>
          <w:sz w:val="28"/>
          <w:szCs w:val="28"/>
          <w:highlight w:val="none"/>
        </w:rPr>
        <w:t>表 6 验收监测内容</w:t>
      </w:r>
    </w:p>
    <w:tbl>
      <w:tblPr>
        <w:tblStyle w:val="17"/>
        <w:tblW w:w="95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507" w:type="dxa"/>
            <w:vAlign w:val="top"/>
          </w:tcPr>
          <w:p>
            <w:pPr>
              <w:keepLines w:val="0"/>
              <w:pageBreakBefore w:val="0"/>
              <w:numPr>
                <w:ilvl w:val="0"/>
                <w:numId w:val="0"/>
              </w:numPr>
              <w:kinsoku/>
              <w:overflowPunct/>
              <w:topLinePunct w:val="0"/>
              <w:bidi w:val="0"/>
              <w:spacing w:after="0" w:line="360" w:lineRule="auto"/>
              <w:ind w:firstLine="480" w:firstLineChars="200"/>
              <w:outlineLvl w:val="9"/>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val="en-US" w:eastAsia="zh-CN"/>
              </w:rPr>
              <w:t>陕西省石油化工工业贸易有限公司泾阳服务区</w:t>
            </w:r>
            <w:r>
              <w:rPr>
                <w:rFonts w:hint="eastAsia" w:ascii="Times New Roman" w:hAnsi="Times New Roman" w:cs="Times New Roman" w:eastAsiaTheme="minorEastAsia"/>
                <w:color w:val="auto"/>
                <w:sz w:val="24"/>
                <w:szCs w:val="24"/>
                <w:lang w:val="en-US" w:eastAsia="zh-CN"/>
              </w:rPr>
              <w:t>南</w:t>
            </w:r>
            <w:r>
              <w:rPr>
                <w:rFonts w:hint="default" w:ascii="Times New Roman" w:hAnsi="Times New Roman" w:cs="Times New Roman" w:eastAsiaTheme="minorEastAsia"/>
                <w:color w:val="auto"/>
                <w:sz w:val="24"/>
                <w:szCs w:val="24"/>
                <w:lang w:val="en-US" w:eastAsia="zh-CN"/>
              </w:rPr>
              <w:t>加油站</w:t>
            </w:r>
            <w:r>
              <w:rPr>
                <w:rFonts w:hint="default" w:ascii="Times New Roman" w:hAnsi="Times New Roman" w:cs="Times New Roman" w:eastAsiaTheme="minorEastAsia"/>
                <w:color w:val="auto"/>
                <w:sz w:val="24"/>
                <w:szCs w:val="24"/>
              </w:rPr>
              <w:t>委托陕西</w:t>
            </w:r>
            <w:r>
              <w:rPr>
                <w:rFonts w:hint="eastAsia" w:ascii="Times New Roman" w:hAnsi="Times New Roman" w:cs="Times New Roman" w:eastAsiaTheme="minorEastAsia"/>
                <w:color w:val="auto"/>
                <w:sz w:val="24"/>
                <w:szCs w:val="24"/>
                <w:lang w:eastAsia="zh-CN"/>
              </w:rPr>
              <w:t>安讯环境</w:t>
            </w:r>
            <w:r>
              <w:rPr>
                <w:rFonts w:hint="default" w:ascii="Times New Roman" w:hAnsi="Times New Roman" w:cs="Times New Roman" w:eastAsiaTheme="minorEastAsia"/>
                <w:color w:val="auto"/>
                <w:sz w:val="24"/>
                <w:szCs w:val="24"/>
              </w:rPr>
              <w:t>检测有限公司于20</w:t>
            </w:r>
            <w:r>
              <w:rPr>
                <w:rFonts w:hint="eastAsia" w:ascii="Times New Roman" w:hAnsi="Times New Roman"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rPr>
              <w:t>年</w:t>
            </w:r>
            <w:r>
              <w:rPr>
                <w:rFonts w:hint="eastAsia" w:ascii="Times New Roman" w:hAnsi="Times New Roman"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rPr>
              <w:t>月</w:t>
            </w:r>
            <w:r>
              <w:rPr>
                <w:rFonts w:hint="eastAsia" w:ascii="Times New Roman" w:hAnsi="Times New Roman" w:cs="Times New Roman" w:eastAsiaTheme="minorEastAsia"/>
                <w:color w:val="auto"/>
                <w:sz w:val="24"/>
                <w:szCs w:val="24"/>
                <w:lang w:val="en-US" w:eastAsia="zh-CN"/>
              </w:rPr>
              <w:t>31</w:t>
            </w:r>
            <w:r>
              <w:rPr>
                <w:rFonts w:hint="default" w:ascii="Times New Roman" w:hAnsi="Times New Roman" w:cs="Times New Roman" w:eastAsiaTheme="minorEastAsia"/>
                <w:color w:val="auto"/>
                <w:sz w:val="24"/>
                <w:szCs w:val="24"/>
              </w:rPr>
              <w:t>日至</w:t>
            </w:r>
            <w:r>
              <w:rPr>
                <w:rFonts w:hint="eastAsia" w:ascii="Times New Roman" w:hAnsi="Times New Roman" w:cs="Times New Roman" w:eastAsiaTheme="minorEastAsia"/>
                <w:color w:val="auto"/>
                <w:sz w:val="24"/>
                <w:szCs w:val="24"/>
                <w:lang w:val="en-US" w:eastAsia="zh-CN"/>
              </w:rPr>
              <w:t>9</w:t>
            </w:r>
            <w:r>
              <w:rPr>
                <w:rFonts w:hint="default" w:ascii="Times New Roman" w:hAnsi="Times New Roman" w:cs="Times New Roman" w:eastAsiaTheme="minorEastAsia"/>
                <w:color w:val="auto"/>
                <w:sz w:val="24"/>
                <w:szCs w:val="24"/>
              </w:rPr>
              <w:t>月</w:t>
            </w:r>
            <w:r>
              <w:rPr>
                <w:rFonts w:hint="eastAsia"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rPr>
              <w:t>日进行了现场监测，通过对废气、废水、噪声等污染物达标排放的监测，来说明环境保护设施调试效果，具体监测内容</w:t>
            </w:r>
            <w:r>
              <w:rPr>
                <w:rFonts w:hint="eastAsia" w:ascii="Times New Roman" w:hAnsi="Times New Roman" w:cs="Times New Roman" w:eastAsiaTheme="minorEastAsia"/>
                <w:color w:val="auto"/>
                <w:sz w:val="24"/>
                <w:szCs w:val="24"/>
                <w:lang w:eastAsia="zh-CN"/>
              </w:rPr>
              <w:t>如下：</w:t>
            </w:r>
          </w:p>
          <w:p>
            <w:pPr>
              <w:numPr>
                <w:ilvl w:val="0"/>
                <w:numId w:val="9"/>
              </w:numPr>
              <w:spacing w:line="360" w:lineRule="auto"/>
              <w:ind w:firstLine="0" w:firstLineChars="0"/>
              <w:rPr>
                <w:rFonts w:hint="eastAsia"/>
                <w:sz w:val="24"/>
                <w:szCs w:val="24"/>
                <w:lang w:val="en-US" w:eastAsia="zh-CN"/>
              </w:rPr>
            </w:pPr>
            <w:r>
              <w:rPr>
                <w:rFonts w:hint="eastAsia"/>
                <w:sz w:val="24"/>
                <w:szCs w:val="24"/>
                <w:lang w:val="en-US" w:eastAsia="zh-CN"/>
              </w:rPr>
              <w:t>废水</w:t>
            </w:r>
          </w:p>
          <w:p>
            <w:pPr>
              <w:keepLines w:val="0"/>
              <w:pageBreakBefore w:val="0"/>
              <w:numPr>
                <w:ilvl w:val="0"/>
                <w:numId w:val="0"/>
              </w:numPr>
              <w:kinsoku/>
              <w:overflowPunct/>
              <w:topLinePunct w:val="0"/>
              <w:bidi w:val="0"/>
              <w:spacing w:after="0" w:line="360" w:lineRule="auto"/>
              <w:ind w:firstLine="480" w:firstLineChars="200"/>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项目废水监测内容见表6-1所示。</w:t>
            </w:r>
          </w:p>
          <w:p>
            <w:pPr>
              <w:keepLines w:val="0"/>
              <w:pageBreakBefore w:val="0"/>
              <w:numPr>
                <w:ilvl w:val="0"/>
                <w:numId w:val="0"/>
              </w:numPr>
              <w:kinsoku/>
              <w:overflowPunct/>
              <w:topLinePunct w:val="0"/>
              <w:bidi w:val="0"/>
              <w:spacing w:after="0" w:line="240" w:lineRule="auto"/>
              <w:ind w:firstLine="0" w:firstLineChars="0"/>
              <w:jc w:val="center"/>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b/>
                <w:bCs/>
                <w:color w:val="auto"/>
                <w:sz w:val="21"/>
                <w:szCs w:val="21"/>
                <w:lang w:val="en-US" w:eastAsia="zh-CN"/>
              </w:rPr>
              <w:t>表6-1  项目废水监测内容</w:t>
            </w:r>
          </w:p>
          <w:tbl>
            <w:tblPr>
              <w:tblStyle w:val="17"/>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2249"/>
              <w:gridCol w:w="2790"/>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77"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监测内容</w:t>
                  </w:r>
                </w:p>
              </w:tc>
              <w:tc>
                <w:tcPr>
                  <w:tcW w:w="2249"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监测点位</w:t>
                  </w:r>
                </w:p>
              </w:tc>
              <w:tc>
                <w:tcPr>
                  <w:tcW w:w="2790"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监测项目</w:t>
                  </w:r>
                </w:p>
              </w:tc>
              <w:tc>
                <w:tcPr>
                  <w:tcW w:w="2338"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77"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生活污水</w:t>
                  </w:r>
                </w:p>
              </w:tc>
              <w:tc>
                <w:tcPr>
                  <w:tcW w:w="2249"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项目废水总排口布设1个监测点位</w:t>
                  </w:r>
                </w:p>
              </w:tc>
              <w:tc>
                <w:tcPr>
                  <w:tcW w:w="2790"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pH值、化学需氧量、五日生化需氧量、悬浮物、氨氮、动植物油、石油类</w:t>
                  </w:r>
                </w:p>
              </w:tc>
              <w:tc>
                <w:tcPr>
                  <w:tcW w:w="2338"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采样2天，每天</w:t>
                  </w:r>
                  <w:r>
                    <w:rPr>
                      <w:rFonts w:hint="eastAsia" w:ascii="Times New Roman" w:hAnsi="Times New Roman" w:cs="Times New Roman" w:eastAsiaTheme="minorEastAsia"/>
                      <w:b w:val="0"/>
                      <w:bCs/>
                      <w:color w:val="auto"/>
                      <w:sz w:val="21"/>
                      <w:szCs w:val="21"/>
                      <w:vertAlign w:val="baseline"/>
                      <w:lang w:val="en-US" w:eastAsia="zh-CN"/>
                    </w:rPr>
                    <w:t>4</w:t>
                  </w:r>
                  <w:r>
                    <w:rPr>
                      <w:rFonts w:hint="default" w:ascii="Times New Roman" w:hAnsi="Times New Roman" w:cs="Times New Roman" w:eastAsiaTheme="minorEastAsia"/>
                      <w:b w:val="0"/>
                      <w:bCs/>
                      <w:color w:val="auto"/>
                      <w:sz w:val="21"/>
                      <w:szCs w:val="21"/>
                      <w:vertAlign w:val="baseline"/>
                      <w:lang w:val="en-US" w:eastAsia="zh-CN"/>
                    </w:rPr>
                    <w:t>次</w:t>
                  </w:r>
                </w:p>
              </w:tc>
            </w:tr>
          </w:tbl>
          <w:p>
            <w:pPr>
              <w:numPr>
                <w:ilvl w:val="0"/>
                <w:numId w:val="9"/>
              </w:numPr>
              <w:spacing w:line="360" w:lineRule="auto"/>
              <w:ind w:firstLine="0" w:firstLineChars="0"/>
              <w:rPr>
                <w:rFonts w:hint="eastAsia"/>
                <w:sz w:val="24"/>
                <w:szCs w:val="24"/>
                <w:lang w:val="en-US" w:eastAsia="zh-CN"/>
              </w:rPr>
            </w:pPr>
            <w:r>
              <w:rPr>
                <w:rFonts w:hint="eastAsia"/>
                <w:sz w:val="24"/>
                <w:szCs w:val="24"/>
                <w:lang w:val="en-US" w:eastAsia="zh-CN"/>
              </w:rPr>
              <w:t>废气</w:t>
            </w:r>
          </w:p>
          <w:p>
            <w:pPr>
              <w:keepLines w:val="0"/>
              <w:pageBreakBefore w:val="0"/>
              <w:numPr>
                <w:ilvl w:val="0"/>
                <w:numId w:val="0"/>
              </w:numPr>
              <w:kinsoku/>
              <w:overflowPunct/>
              <w:topLinePunct w:val="0"/>
              <w:bidi w:val="0"/>
              <w:spacing w:after="0" w:line="360" w:lineRule="auto"/>
              <w:ind w:firstLine="480" w:firstLineChars="200"/>
              <w:outlineLvl w:val="9"/>
              <w:rPr>
                <w:rFonts w:hint="eastAsia" w:ascii="Times New Roman" w:hAnsi="Times New Roman" w:cs="Times New Roman" w:eastAsiaTheme="minorEastAsia"/>
                <w:color w:val="FF0000"/>
                <w:sz w:val="24"/>
                <w:szCs w:val="24"/>
                <w:lang w:val="en-US" w:eastAsia="zh-CN"/>
              </w:rPr>
            </w:pPr>
            <w:r>
              <w:rPr>
                <w:rFonts w:ascii="Times New Roman" w:hAnsi="Times New Roman" w:cs="Times New Roman" w:eastAsiaTheme="minorEastAsia"/>
                <w:color w:val="auto"/>
                <w:sz w:val="24"/>
                <w:szCs w:val="24"/>
              </w:rPr>
              <w:t>本项目为新建加油站项目，现项目卸油油气回收系统，加油油气回收系统，油气排放处理装置等环保设施已完成，</w:t>
            </w:r>
            <w:r>
              <w:rPr>
                <w:rFonts w:hint="eastAsia" w:ascii="Times New Roman" w:hAnsi="Times New Roman" w:cs="Times New Roman" w:eastAsiaTheme="minorEastAsia"/>
                <w:color w:val="auto"/>
                <w:sz w:val="24"/>
                <w:szCs w:val="24"/>
                <w:lang w:eastAsia="zh-CN"/>
              </w:rPr>
              <w:t>陕西省石油化工贸易有限公司泾阳服务区南加油站委托</w:t>
            </w:r>
            <w:r>
              <w:rPr>
                <w:rFonts w:hint="default" w:ascii="Times New Roman" w:hAnsi="Times New Roman" w:cs="Times New Roman" w:eastAsiaTheme="minorEastAsia"/>
                <w:color w:val="auto"/>
                <w:sz w:val="24"/>
                <w:szCs w:val="24"/>
              </w:rPr>
              <w:t>陕西</w:t>
            </w:r>
            <w:r>
              <w:rPr>
                <w:rFonts w:hint="eastAsia" w:ascii="Times New Roman" w:hAnsi="Times New Roman" w:cs="Times New Roman" w:eastAsiaTheme="minorEastAsia"/>
                <w:color w:val="auto"/>
                <w:sz w:val="24"/>
                <w:szCs w:val="24"/>
                <w:lang w:eastAsia="zh-CN"/>
              </w:rPr>
              <w:t>安讯环境</w:t>
            </w:r>
            <w:r>
              <w:rPr>
                <w:rFonts w:hint="default" w:ascii="Times New Roman" w:hAnsi="Times New Roman" w:cs="Times New Roman" w:eastAsiaTheme="minorEastAsia"/>
                <w:color w:val="auto"/>
                <w:sz w:val="24"/>
                <w:szCs w:val="24"/>
              </w:rPr>
              <w:t>检测有限公司</w:t>
            </w:r>
            <w:r>
              <w:rPr>
                <w:rFonts w:hint="eastAsia" w:ascii="Times New Roman" w:hAnsi="Times New Roman" w:cs="Times New Roman" w:eastAsiaTheme="minorEastAsia"/>
                <w:color w:val="auto"/>
                <w:sz w:val="24"/>
                <w:szCs w:val="24"/>
                <w:lang w:eastAsia="zh-CN"/>
              </w:rPr>
              <w:t>对油气回收装置系统进行了验收监测，项目废气监测内容见表</w:t>
            </w:r>
            <w:r>
              <w:rPr>
                <w:rFonts w:hint="eastAsia" w:ascii="Times New Roman" w:hAnsi="Times New Roman" w:cs="Times New Roman" w:eastAsiaTheme="minorEastAsia"/>
                <w:color w:val="auto"/>
                <w:sz w:val="24"/>
                <w:szCs w:val="24"/>
                <w:lang w:val="en-US" w:eastAsia="zh-CN"/>
              </w:rPr>
              <w:t>6-2。</w:t>
            </w:r>
          </w:p>
          <w:p>
            <w:pPr>
              <w:keepLines w:val="0"/>
              <w:pageBreakBefore w:val="0"/>
              <w:numPr>
                <w:ilvl w:val="0"/>
                <w:numId w:val="0"/>
              </w:numPr>
              <w:kinsoku/>
              <w:overflowPunct/>
              <w:topLinePunct w:val="0"/>
              <w:bidi w:val="0"/>
              <w:spacing w:after="0" w:line="360" w:lineRule="auto"/>
              <w:ind w:firstLine="0" w:firstLineChars="0"/>
              <w:jc w:val="center"/>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b/>
                <w:bCs/>
                <w:color w:val="auto"/>
                <w:sz w:val="21"/>
                <w:szCs w:val="21"/>
                <w:lang w:val="en-US" w:eastAsia="zh-CN"/>
              </w:rPr>
              <w:t>表6-2  项目废气监测内容</w:t>
            </w:r>
          </w:p>
          <w:tbl>
            <w:tblPr>
              <w:tblStyle w:val="16"/>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3754"/>
              <w:gridCol w:w="1759"/>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43"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监测内容</w:t>
                  </w:r>
                </w:p>
              </w:tc>
              <w:tc>
                <w:tcPr>
                  <w:tcW w:w="3754"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监测点位</w:t>
                  </w:r>
                </w:p>
              </w:tc>
              <w:tc>
                <w:tcPr>
                  <w:tcW w:w="1759"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监测项目</w:t>
                  </w:r>
                </w:p>
              </w:tc>
              <w:tc>
                <w:tcPr>
                  <w:tcW w:w="1898"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43"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有组织废气</w:t>
                  </w:r>
                </w:p>
              </w:tc>
              <w:tc>
                <w:tcPr>
                  <w:tcW w:w="3754"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三次油气回收装置排放口</w:t>
                  </w:r>
                </w:p>
              </w:tc>
              <w:tc>
                <w:tcPr>
                  <w:tcW w:w="1759"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非甲烷总烃</w:t>
                  </w:r>
                </w:p>
              </w:tc>
              <w:tc>
                <w:tcPr>
                  <w:tcW w:w="1898"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采样2天</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一天</w:t>
                  </w:r>
                  <w:r>
                    <w:rPr>
                      <w:rFonts w:hint="eastAsia" w:ascii="Times New Roman" w:hAnsi="Times New Roman" w:cs="Times New Roman" w:eastAsiaTheme="minorEastAsia"/>
                      <w:b w:val="0"/>
                      <w:bCs/>
                      <w:color w:val="auto"/>
                      <w:sz w:val="21"/>
                      <w:szCs w:val="21"/>
                      <w:vertAlign w:val="baseline"/>
                      <w:lang w:val="en-US" w:eastAsia="zh-CN"/>
                    </w:rPr>
                    <w:t>3</w:t>
                  </w:r>
                  <w:r>
                    <w:rPr>
                      <w:rFonts w:hint="default" w:ascii="Times New Roman" w:hAnsi="Times New Roman" w:cs="Times New Roman" w:eastAsiaTheme="minorEastAsia"/>
                      <w:b w:val="0"/>
                      <w:bCs/>
                      <w:color w:val="auto"/>
                      <w:sz w:val="21"/>
                      <w:szCs w:val="21"/>
                      <w:vertAlign w:val="baseline"/>
                      <w:lang w:val="en-US" w:eastAsia="zh-C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43"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无组织废气</w:t>
                  </w:r>
                </w:p>
              </w:tc>
              <w:tc>
                <w:tcPr>
                  <w:tcW w:w="3754"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项目厂界上风向布设1个监测点位（1#），下风向布设</w:t>
                  </w:r>
                  <w:r>
                    <w:rPr>
                      <w:rFonts w:hint="eastAsia" w:ascii="Times New Roman" w:hAnsi="Times New Roman" w:cs="Times New Roman" w:eastAsiaTheme="minorEastAsia"/>
                      <w:b w:val="0"/>
                      <w:bCs/>
                      <w:color w:val="auto"/>
                      <w:sz w:val="21"/>
                      <w:szCs w:val="21"/>
                      <w:vertAlign w:val="baseline"/>
                      <w:lang w:val="en-US" w:eastAsia="zh-CN"/>
                    </w:rPr>
                    <w:t>3</w:t>
                  </w:r>
                  <w:r>
                    <w:rPr>
                      <w:rFonts w:hint="default" w:ascii="Times New Roman" w:hAnsi="Times New Roman" w:cs="Times New Roman" w:eastAsiaTheme="minorEastAsia"/>
                      <w:b w:val="0"/>
                      <w:bCs/>
                      <w:color w:val="auto"/>
                      <w:sz w:val="21"/>
                      <w:szCs w:val="21"/>
                      <w:vertAlign w:val="baseline"/>
                      <w:lang w:val="en-US" w:eastAsia="zh-CN"/>
                    </w:rPr>
                    <w:t>个监测点位（2#）、（3#）</w:t>
                  </w:r>
                  <w:r>
                    <w:rPr>
                      <w:rFonts w:hint="eastAsia" w:ascii="Times New Roman" w:hAnsi="Times New Roman" w:cs="Times New Roman" w:eastAsiaTheme="minorEastAsia"/>
                      <w:b w:val="0"/>
                      <w:bCs/>
                      <w:color w:val="auto"/>
                      <w:sz w:val="21"/>
                      <w:szCs w:val="21"/>
                      <w:vertAlign w:val="baseline"/>
                      <w:lang w:val="en-US" w:eastAsia="zh-CN"/>
                    </w:rPr>
                    <w:t>、（4#）</w:t>
                  </w:r>
                </w:p>
              </w:tc>
              <w:tc>
                <w:tcPr>
                  <w:tcW w:w="1759"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898"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bl>
          <w:p>
            <w:pPr>
              <w:numPr>
                <w:ilvl w:val="0"/>
                <w:numId w:val="9"/>
              </w:numPr>
              <w:spacing w:line="360" w:lineRule="auto"/>
              <w:ind w:firstLine="0" w:firstLineChars="0"/>
              <w:rPr>
                <w:rFonts w:hint="eastAsia"/>
                <w:sz w:val="24"/>
                <w:szCs w:val="24"/>
                <w:lang w:val="en-US" w:eastAsia="zh-CN"/>
              </w:rPr>
            </w:pPr>
            <w:r>
              <w:rPr>
                <w:rFonts w:hint="eastAsia"/>
                <w:sz w:val="24"/>
                <w:szCs w:val="24"/>
                <w:lang w:val="en-US" w:eastAsia="zh-CN"/>
              </w:rPr>
              <w:t>噪声</w:t>
            </w:r>
          </w:p>
          <w:p>
            <w:pPr>
              <w:keepLines w:val="0"/>
              <w:pageBreakBefore w:val="0"/>
              <w:numPr>
                <w:ilvl w:val="0"/>
                <w:numId w:val="0"/>
              </w:numPr>
              <w:kinsoku/>
              <w:overflowPunct/>
              <w:topLinePunct w:val="0"/>
              <w:bidi w:val="0"/>
              <w:spacing w:after="0" w:line="360" w:lineRule="auto"/>
              <w:ind w:firstLine="480" w:firstLineChars="200"/>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项目厂界噪声监测内容见表6-3所示。</w:t>
            </w:r>
          </w:p>
          <w:p>
            <w:pPr>
              <w:keepLines w:val="0"/>
              <w:pageBreakBefore w:val="0"/>
              <w:numPr>
                <w:ilvl w:val="0"/>
                <w:numId w:val="0"/>
              </w:numPr>
              <w:kinsoku/>
              <w:overflowPunct/>
              <w:topLinePunct w:val="0"/>
              <w:bidi w:val="0"/>
              <w:spacing w:after="0" w:line="360" w:lineRule="auto"/>
              <w:ind w:firstLine="0" w:firstLineChars="0"/>
              <w:jc w:val="center"/>
              <w:outlineLvl w:val="9"/>
              <w:rPr>
                <w:rFonts w:hint="eastAsia" w:ascii="Times New Roman" w:hAnsi="Times New Roman" w:cs="Times New Roman" w:eastAsiaTheme="minorEastAsia"/>
                <w:b/>
                <w:bCs/>
                <w:color w:val="auto"/>
                <w:sz w:val="21"/>
                <w:szCs w:val="21"/>
                <w:lang w:val="en-US" w:eastAsia="zh-CN"/>
              </w:rPr>
            </w:pPr>
            <w:bookmarkStart w:id="51" w:name="_Toc24444"/>
            <w:bookmarkStart w:id="52" w:name="_Toc18021_WPSOffice_Level2"/>
            <w:bookmarkStart w:id="53" w:name="_Toc19056"/>
            <w:bookmarkStart w:id="54" w:name="_Toc23150"/>
            <w:bookmarkStart w:id="55" w:name="_Toc9689_WPSOffice_Level2"/>
            <w:r>
              <w:rPr>
                <w:rFonts w:hint="default" w:ascii="Times New Roman" w:hAnsi="Times New Roman" w:cs="Times New Roman" w:eastAsiaTheme="minorEastAsia"/>
                <w:b/>
                <w:bCs/>
                <w:color w:val="auto"/>
                <w:sz w:val="21"/>
                <w:szCs w:val="21"/>
                <w:lang w:val="en-US" w:eastAsia="zh-CN"/>
              </w:rPr>
              <w:t>表</w:t>
            </w:r>
            <w:r>
              <w:rPr>
                <w:rFonts w:hint="eastAsia" w:ascii="Times New Roman" w:hAnsi="Times New Roman" w:cs="Times New Roman" w:eastAsiaTheme="minorEastAsia"/>
                <w:b/>
                <w:bCs/>
                <w:color w:val="auto"/>
                <w:sz w:val="21"/>
                <w:szCs w:val="21"/>
                <w:lang w:val="en-US" w:eastAsia="zh-CN"/>
              </w:rPr>
              <w:t>6-3</w:t>
            </w:r>
            <w:r>
              <w:rPr>
                <w:rFonts w:hint="default" w:ascii="Times New Roman" w:hAnsi="Times New Roman" w:cs="Times New Roman" w:eastAsiaTheme="minorEastAsia"/>
                <w:b/>
                <w:bCs/>
                <w:color w:val="auto"/>
                <w:sz w:val="21"/>
                <w:szCs w:val="21"/>
                <w:lang w:val="en-US" w:eastAsia="zh-CN"/>
              </w:rPr>
              <w:t xml:space="preserve">  </w:t>
            </w:r>
            <w:bookmarkEnd w:id="51"/>
            <w:bookmarkEnd w:id="52"/>
            <w:bookmarkEnd w:id="53"/>
            <w:bookmarkEnd w:id="54"/>
            <w:bookmarkEnd w:id="55"/>
            <w:r>
              <w:rPr>
                <w:rFonts w:hint="eastAsia" w:ascii="Times New Roman" w:hAnsi="Times New Roman" w:cs="Times New Roman" w:eastAsiaTheme="minorEastAsia"/>
                <w:b/>
                <w:bCs/>
                <w:color w:val="auto"/>
                <w:sz w:val="21"/>
                <w:szCs w:val="21"/>
                <w:lang w:val="en-US" w:eastAsia="zh-CN"/>
              </w:rPr>
              <w:t>项目厂界噪声监测内容</w:t>
            </w:r>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3748"/>
              <w:gridCol w:w="1926"/>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4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监测内容</w:t>
                  </w:r>
                </w:p>
              </w:tc>
              <w:tc>
                <w:tcPr>
                  <w:tcW w:w="374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监测点位</w:t>
                  </w:r>
                </w:p>
              </w:tc>
              <w:tc>
                <w:tcPr>
                  <w:tcW w:w="192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监测项目</w:t>
                  </w:r>
                </w:p>
              </w:tc>
              <w:tc>
                <w:tcPr>
                  <w:tcW w:w="234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4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厂界噪声</w:t>
                  </w:r>
                </w:p>
              </w:tc>
              <w:tc>
                <w:tcPr>
                  <w:tcW w:w="374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项目厂界四周各布设1个监测点位</w:t>
                  </w:r>
                </w:p>
              </w:tc>
              <w:tc>
                <w:tcPr>
                  <w:tcW w:w="192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等效连续A声级</w:t>
                  </w:r>
                </w:p>
              </w:tc>
              <w:tc>
                <w:tcPr>
                  <w:tcW w:w="234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采样2天，每天昼、夜各一次</w:t>
                  </w:r>
                </w:p>
              </w:tc>
            </w:tr>
          </w:tbl>
          <w:p>
            <w:pPr>
              <w:pStyle w:val="7"/>
              <w:ind w:left="0" w:leftChars="0" w:firstLine="0" w:firstLineChars="0"/>
              <w:rPr>
                <w:rFonts w:hint="eastAsia" w:ascii="宋体" w:hAnsi="宋体" w:eastAsia="宋体" w:cs="宋体"/>
                <w:b w:val="0"/>
                <w:bCs w:val="0"/>
                <w:color w:val="auto"/>
                <w:sz w:val="24"/>
                <w:szCs w:val="24"/>
                <w:lang w:val="en-US" w:eastAsia="zh-CN" w:bidi="zh-CN"/>
              </w:rPr>
            </w:pPr>
            <w:r>
              <w:rPr>
                <w:rFonts w:hint="eastAsia" w:cs="宋体"/>
                <w:b w:val="0"/>
                <w:bCs w:val="0"/>
                <w:color w:val="auto"/>
                <w:sz w:val="24"/>
                <w:szCs w:val="24"/>
                <w:lang w:val="en-US" w:eastAsia="zh-CN" w:bidi="zh-CN"/>
              </w:rPr>
              <w:t>4、</w:t>
            </w:r>
            <w:r>
              <w:rPr>
                <w:rFonts w:hint="eastAsia" w:ascii="宋体" w:hAnsi="宋体" w:eastAsia="宋体" w:cs="宋体"/>
                <w:b w:val="0"/>
                <w:bCs w:val="0"/>
                <w:color w:val="auto"/>
                <w:sz w:val="24"/>
                <w:szCs w:val="24"/>
                <w:lang w:val="en-US" w:eastAsia="zh-CN" w:bidi="zh-CN"/>
              </w:rPr>
              <w:t>固废</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default" w:ascii="宋体" w:hAnsi="宋体" w:eastAsia="宋体" w:cs="宋体"/>
                <w:b w:val="0"/>
                <w:bCs w:val="0"/>
                <w:color w:val="auto"/>
                <w:sz w:val="24"/>
                <w:szCs w:val="24"/>
                <w:lang w:val="en-US" w:eastAsia="zh-CN" w:bidi="zh-CN"/>
              </w:rPr>
            </w:pPr>
            <w:r>
              <w:rPr>
                <w:rFonts w:hint="eastAsia" w:ascii="宋体" w:hAnsi="宋体" w:eastAsia="宋体" w:cs="宋体"/>
                <w:b w:val="0"/>
                <w:bCs w:val="0"/>
                <w:color w:val="auto"/>
                <w:sz w:val="24"/>
                <w:szCs w:val="24"/>
                <w:lang w:val="en-US" w:eastAsia="zh-CN" w:bidi="zh-CN"/>
              </w:rPr>
              <w:t xml:space="preserve">主要调查本项目各类固体废物（尤其是危险废物）的种类、产生量及处置情况是否按照环评的要求的处置方式进行处置等。 </w:t>
            </w:r>
          </w:p>
          <w:p>
            <w:pPr>
              <w:pStyle w:val="7"/>
              <w:rPr>
                <w:rFonts w:hint="eastAsia" w:ascii="Times New Roman" w:hAnsi="Times New Roman" w:cs="Times New Roman" w:eastAsiaTheme="minorEastAsia"/>
                <w:color w:val="auto"/>
                <w:sz w:val="24"/>
                <w:szCs w:val="24"/>
                <w:lang w:val="en-US" w:eastAsia="zh-CN"/>
              </w:rPr>
            </w:pPr>
          </w:p>
          <w:p>
            <w:pPr>
              <w:numPr>
                <w:ilvl w:val="-1"/>
                <w:numId w:val="0"/>
              </w:numPr>
              <w:spacing w:line="360" w:lineRule="auto"/>
              <w:rPr>
                <w:rFonts w:hint="eastAsia"/>
                <w:sz w:val="24"/>
                <w:szCs w:val="24"/>
                <w:lang w:val="en-US" w:eastAsia="zh-CN"/>
              </w:rPr>
            </w:pPr>
          </w:p>
        </w:tc>
      </w:tr>
    </w:tbl>
    <w:p>
      <w:pPr>
        <w:rPr>
          <w:rFonts w:hint="default" w:ascii="Times New Roman" w:hAnsi="Times New Roman" w:eastAsia="黑体" w:cs="Times New Roman"/>
        </w:rPr>
      </w:pPr>
      <w:r>
        <w:rPr>
          <w:rFonts w:hint="eastAsia"/>
          <w:lang w:val="en-US" w:eastAsia="zh-CN"/>
        </w:rPr>
        <w:br w:type="page"/>
      </w:r>
      <w:r>
        <w:rPr>
          <w:rFonts w:hint="default" w:ascii="黑体" w:hAnsi="黑体" w:eastAsia="黑体" w:cs="黑体"/>
          <w:b w:val="0"/>
          <w:bCs w:val="0"/>
          <w:sz w:val="28"/>
          <w:szCs w:val="28"/>
          <w:highlight w:val="none"/>
        </w:rPr>
        <w:t>表 7 验收监测期间工况调查及验收监测结果</w:t>
      </w:r>
    </w:p>
    <w:tbl>
      <w:tblPr>
        <w:tblStyle w:val="17"/>
        <w:tblW w:w="95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507" w:type="dxa"/>
            <w:vAlign w:val="top"/>
          </w:tcPr>
          <w:p>
            <w:pPr>
              <w:tabs>
                <w:tab w:val="left" w:pos="437"/>
              </w:tabs>
              <w:spacing w:line="360" w:lineRule="auto"/>
              <w:ind w:firstLine="0" w:firstLineChars="0"/>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一、验收监测期间生产工况记录</w:t>
            </w:r>
          </w:p>
          <w:p>
            <w:pPr>
              <w:spacing w:line="360" w:lineRule="auto"/>
              <w:ind w:firstLine="480" w:firstLineChars="200"/>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sz w:val="24"/>
                <w:szCs w:val="24"/>
                <w:vertAlign w:val="baseline"/>
                <w:lang w:val="en-US" w:eastAsia="zh-CN"/>
              </w:rPr>
              <w:t>在验收监测期间，项目处于</w:t>
            </w:r>
            <w:r>
              <w:rPr>
                <w:rFonts w:hint="eastAsia" w:ascii="Times New Roman" w:hAnsi="Times New Roman" w:cs="Times New Roman"/>
                <w:sz w:val="24"/>
                <w:szCs w:val="24"/>
                <w:vertAlign w:val="baseline"/>
                <w:lang w:val="en-US" w:eastAsia="zh-CN"/>
              </w:rPr>
              <w:t>运营</w:t>
            </w:r>
            <w:r>
              <w:rPr>
                <w:rFonts w:hint="default" w:ascii="Times New Roman" w:hAnsi="Times New Roman" w:cs="Times New Roman"/>
                <w:sz w:val="24"/>
                <w:szCs w:val="24"/>
                <w:vertAlign w:val="baseline"/>
                <w:lang w:val="en-US" w:eastAsia="zh-CN"/>
              </w:rPr>
              <w:t>阶段，项目主体工程工况稳定、各项环保设施正常运行。若出现异常情况立即通知监测人员停止监测，以确保监测数据的有效性和准确性。现场调试期间工况统计表见下表</w:t>
            </w:r>
            <w:r>
              <w:rPr>
                <w:rFonts w:hint="default" w:ascii="Times New Roman" w:hAnsi="Times New Roman" w:cs="Times New Roman"/>
                <w:color w:val="auto"/>
                <w:sz w:val="24"/>
                <w:szCs w:val="24"/>
                <w:vertAlign w:val="baseline"/>
                <w:lang w:val="en-US"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表</w:t>
            </w:r>
            <w:r>
              <w:rPr>
                <w:rFonts w:hint="eastAsia" w:ascii="Times New Roman" w:hAnsi="Times New Roman" w:cs="Times New Roman"/>
                <w:color w:val="auto"/>
                <w:sz w:val="21"/>
                <w:szCs w:val="21"/>
                <w:lang w:val="en-US" w:eastAsia="zh-CN"/>
              </w:rPr>
              <w:t>7-1</w:t>
            </w:r>
            <w:r>
              <w:rPr>
                <w:rFonts w:hint="default" w:ascii="Times New Roman" w:hAnsi="Times New Roman" w:cs="Times New Roman"/>
                <w:color w:val="auto"/>
                <w:sz w:val="21"/>
                <w:szCs w:val="21"/>
                <w:lang w:val="en-US" w:eastAsia="zh-CN"/>
              </w:rPr>
              <w:t xml:space="preserve"> 泾阳服务区</w:t>
            </w:r>
            <w:r>
              <w:rPr>
                <w:rFonts w:hint="eastAsia" w:ascii="Times New Roman" w:hAnsi="Times New Roman" w:cs="Times New Roman"/>
                <w:color w:val="auto"/>
                <w:sz w:val="21"/>
                <w:szCs w:val="21"/>
                <w:lang w:val="en-US" w:eastAsia="zh-CN"/>
              </w:rPr>
              <w:t>南</w:t>
            </w:r>
            <w:r>
              <w:rPr>
                <w:rFonts w:hint="default" w:ascii="Times New Roman" w:hAnsi="Times New Roman" w:cs="Times New Roman"/>
                <w:color w:val="auto"/>
                <w:sz w:val="21"/>
                <w:szCs w:val="21"/>
                <w:lang w:val="en-US" w:eastAsia="zh-CN"/>
              </w:rPr>
              <w:t>加油站日报表</w:t>
            </w:r>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1560"/>
              <w:gridCol w:w="1871"/>
              <w:gridCol w:w="1870"/>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8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日期</w:t>
                  </w:r>
                </w:p>
              </w:tc>
              <w:tc>
                <w:tcPr>
                  <w:tcW w:w="15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油品名称</w:t>
                  </w:r>
                </w:p>
              </w:tc>
              <w:tc>
                <w:tcPr>
                  <w:tcW w:w="18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设计加油量</w:t>
                  </w:r>
                </w:p>
              </w:tc>
              <w:tc>
                <w:tcPr>
                  <w:tcW w:w="18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实际加油量</w:t>
                  </w:r>
                </w:p>
              </w:tc>
              <w:tc>
                <w:tcPr>
                  <w:tcW w:w="1872"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负荷比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8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w:t>
                  </w:r>
                  <w:r>
                    <w:rPr>
                      <w:rFonts w:hint="eastAsia" w:ascii="Times New Roman" w:hAnsi="Times New Roman" w:cs="Times New Roman"/>
                      <w:sz w:val="21"/>
                      <w:szCs w:val="21"/>
                      <w:vertAlign w:val="baseline"/>
                      <w:lang w:val="en-US" w:eastAsia="zh-CN"/>
                    </w:rPr>
                    <w:t>20</w:t>
                  </w:r>
                  <w:r>
                    <w:rPr>
                      <w:rFonts w:hint="default" w:ascii="Times New Roman" w:hAnsi="Times New Roman" w:cs="Times New Roman"/>
                      <w:sz w:val="21"/>
                      <w:szCs w:val="21"/>
                      <w:vertAlign w:val="baseline"/>
                      <w:lang w:val="en-US" w:eastAsia="zh-CN"/>
                    </w:rPr>
                    <w:t>年</w:t>
                  </w:r>
                  <w:r>
                    <w:rPr>
                      <w:rFonts w:hint="eastAsia" w:ascii="Times New Roman" w:hAnsi="Times New Roman" w:cs="Times New Roman"/>
                      <w:sz w:val="21"/>
                      <w:szCs w:val="21"/>
                      <w:vertAlign w:val="baseline"/>
                      <w:lang w:val="en-US" w:eastAsia="zh-CN"/>
                    </w:rPr>
                    <w:t>8</w:t>
                  </w:r>
                  <w:r>
                    <w:rPr>
                      <w:rFonts w:hint="default" w:ascii="Times New Roman" w:hAnsi="Times New Roman" w:cs="Times New Roman"/>
                      <w:sz w:val="21"/>
                      <w:szCs w:val="21"/>
                      <w:vertAlign w:val="baseline"/>
                      <w:lang w:val="en-US" w:eastAsia="zh-CN"/>
                    </w:rPr>
                    <w:t>月</w:t>
                  </w:r>
                  <w:r>
                    <w:rPr>
                      <w:rFonts w:hint="eastAsia" w:ascii="Times New Roman" w:hAnsi="Times New Roman" w:cs="Times New Roman"/>
                      <w:sz w:val="21"/>
                      <w:szCs w:val="21"/>
                      <w:vertAlign w:val="baseline"/>
                      <w:lang w:val="en-US" w:eastAsia="zh-CN"/>
                    </w:rPr>
                    <w:t>31</w:t>
                  </w:r>
                  <w:r>
                    <w:rPr>
                      <w:rFonts w:hint="default" w:ascii="Times New Roman" w:hAnsi="Times New Roman" w:cs="Times New Roman"/>
                      <w:sz w:val="21"/>
                      <w:szCs w:val="21"/>
                      <w:vertAlign w:val="baseline"/>
                      <w:lang w:val="en-US" w:eastAsia="zh-CN"/>
                    </w:rPr>
                    <w:t>日</w:t>
                  </w:r>
                </w:p>
              </w:tc>
              <w:tc>
                <w:tcPr>
                  <w:tcW w:w="15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汽油</w:t>
                  </w:r>
                </w:p>
              </w:tc>
              <w:tc>
                <w:tcPr>
                  <w:tcW w:w="18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2.74</w:t>
                  </w:r>
                  <w:r>
                    <w:rPr>
                      <w:rFonts w:hint="default" w:ascii="Times New Roman" w:hAnsi="Times New Roman" w:cs="Times New Roman"/>
                      <w:sz w:val="21"/>
                      <w:szCs w:val="21"/>
                      <w:highlight w:val="none"/>
                      <w:vertAlign w:val="baseline"/>
                      <w:lang w:val="en-US" w:eastAsia="zh-CN"/>
                    </w:rPr>
                    <w:t>吨</w:t>
                  </w:r>
                </w:p>
              </w:tc>
              <w:tc>
                <w:tcPr>
                  <w:tcW w:w="18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2.43</w:t>
                  </w:r>
                  <w:r>
                    <w:rPr>
                      <w:rFonts w:hint="default" w:ascii="Times New Roman" w:hAnsi="Times New Roman" w:cs="Times New Roman"/>
                      <w:sz w:val="21"/>
                      <w:szCs w:val="21"/>
                      <w:highlight w:val="none"/>
                      <w:vertAlign w:val="baseline"/>
                      <w:lang w:val="en-US" w:eastAsia="zh-CN"/>
                    </w:rPr>
                    <w:t>吨</w:t>
                  </w:r>
                </w:p>
              </w:tc>
              <w:tc>
                <w:tcPr>
                  <w:tcW w:w="18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8</w:t>
                  </w:r>
                  <w:r>
                    <w:rPr>
                      <w:rFonts w:hint="eastAsia" w:ascii="Times New Roman" w:hAnsi="Times New Roman" w:cs="Times New Roman"/>
                      <w:sz w:val="21"/>
                      <w:szCs w:val="21"/>
                      <w:highlight w:val="none"/>
                      <w:vertAlign w:val="baseline"/>
                      <w:lang w:val="en-US" w:eastAsia="zh-CN"/>
                    </w:rPr>
                    <w:t>8.68</w:t>
                  </w:r>
                  <w:r>
                    <w:rPr>
                      <w:rFonts w:hint="default" w:ascii="Times New Roman" w:hAnsi="Times New Roman"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8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p>
              </w:tc>
              <w:tc>
                <w:tcPr>
                  <w:tcW w:w="15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柴油</w:t>
                  </w:r>
                </w:p>
              </w:tc>
              <w:tc>
                <w:tcPr>
                  <w:tcW w:w="18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5.48</w:t>
                  </w:r>
                  <w:r>
                    <w:rPr>
                      <w:rFonts w:hint="default" w:ascii="Times New Roman" w:hAnsi="Times New Roman" w:cs="Times New Roman"/>
                      <w:sz w:val="21"/>
                      <w:szCs w:val="21"/>
                      <w:highlight w:val="none"/>
                      <w:vertAlign w:val="baseline"/>
                      <w:lang w:val="en-US" w:eastAsia="zh-CN"/>
                    </w:rPr>
                    <w:t>吨</w:t>
                  </w:r>
                </w:p>
              </w:tc>
              <w:tc>
                <w:tcPr>
                  <w:tcW w:w="18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4.48</w:t>
                  </w:r>
                  <w:r>
                    <w:rPr>
                      <w:rFonts w:hint="default" w:ascii="Times New Roman" w:hAnsi="Times New Roman" w:cs="Times New Roman"/>
                      <w:sz w:val="21"/>
                      <w:szCs w:val="21"/>
                      <w:highlight w:val="none"/>
                      <w:vertAlign w:val="baseline"/>
                      <w:lang w:val="en-US" w:eastAsia="zh-CN"/>
                    </w:rPr>
                    <w:t>吨</w:t>
                  </w:r>
                </w:p>
              </w:tc>
              <w:tc>
                <w:tcPr>
                  <w:tcW w:w="18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8</w:t>
                  </w:r>
                  <w:r>
                    <w:rPr>
                      <w:rFonts w:hint="eastAsia" w:ascii="Times New Roman" w:hAnsi="Times New Roman" w:cs="Times New Roman"/>
                      <w:sz w:val="21"/>
                      <w:szCs w:val="21"/>
                      <w:highlight w:val="none"/>
                      <w:vertAlign w:val="baseline"/>
                      <w:lang w:val="en-US" w:eastAsia="zh-CN"/>
                    </w:rPr>
                    <w:t>1.75</w:t>
                  </w:r>
                  <w:r>
                    <w:rPr>
                      <w:rFonts w:hint="default" w:ascii="Times New Roman" w:hAnsi="Times New Roman"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8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w:t>
                  </w:r>
                  <w:r>
                    <w:rPr>
                      <w:rFonts w:hint="eastAsia" w:ascii="Times New Roman" w:hAnsi="Times New Roman" w:cs="Times New Roman"/>
                      <w:sz w:val="21"/>
                      <w:szCs w:val="21"/>
                      <w:vertAlign w:val="baseline"/>
                      <w:lang w:val="en-US" w:eastAsia="zh-CN"/>
                    </w:rPr>
                    <w:t>20</w:t>
                  </w:r>
                  <w:r>
                    <w:rPr>
                      <w:rFonts w:hint="default" w:ascii="Times New Roman" w:hAnsi="Times New Roman" w:cs="Times New Roman"/>
                      <w:sz w:val="21"/>
                      <w:szCs w:val="21"/>
                      <w:vertAlign w:val="baseline"/>
                      <w:lang w:val="en-US" w:eastAsia="zh-CN"/>
                    </w:rPr>
                    <w:t>年</w:t>
                  </w:r>
                  <w:r>
                    <w:rPr>
                      <w:rFonts w:hint="eastAsia" w:ascii="Times New Roman" w:hAnsi="Times New Roman" w:cs="Times New Roman"/>
                      <w:sz w:val="21"/>
                      <w:szCs w:val="21"/>
                      <w:vertAlign w:val="baseline"/>
                      <w:lang w:val="en-US" w:eastAsia="zh-CN"/>
                    </w:rPr>
                    <w:t>9</w:t>
                  </w:r>
                  <w:r>
                    <w:rPr>
                      <w:rFonts w:hint="default" w:ascii="Times New Roman" w:hAnsi="Times New Roman" w:cs="Times New Roman"/>
                      <w:sz w:val="21"/>
                      <w:szCs w:val="21"/>
                      <w:vertAlign w:val="baseline"/>
                      <w:lang w:val="en-US" w:eastAsia="zh-CN"/>
                    </w:rPr>
                    <w:t>月</w:t>
                  </w:r>
                  <w:r>
                    <w:rPr>
                      <w:rFonts w:hint="eastAsia" w:ascii="Times New Roman" w:hAnsi="Times New Roman" w:cs="Times New Roman"/>
                      <w:sz w:val="21"/>
                      <w:szCs w:val="21"/>
                      <w:vertAlign w:val="baseline"/>
                      <w:lang w:val="en-US" w:eastAsia="zh-CN"/>
                    </w:rPr>
                    <w:t>1</w:t>
                  </w:r>
                  <w:r>
                    <w:rPr>
                      <w:rFonts w:hint="default" w:ascii="Times New Roman" w:hAnsi="Times New Roman" w:cs="Times New Roman"/>
                      <w:sz w:val="21"/>
                      <w:szCs w:val="21"/>
                      <w:vertAlign w:val="baseline"/>
                      <w:lang w:val="en-US" w:eastAsia="zh-CN"/>
                    </w:rPr>
                    <w:t>日</w:t>
                  </w:r>
                </w:p>
              </w:tc>
              <w:tc>
                <w:tcPr>
                  <w:tcW w:w="15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汽油</w:t>
                  </w:r>
                </w:p>
              </w:tc>
              <w:tc>
                <w:tcPr>
                  <w:tcW w:w="18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2.74</w:t>
                  </w:r>
                  <w:r>
                    <w:rPr>
                      <w:rFonts w:hint="default" w:ascii="Times New Roman" w:hAnsi="Times New Roman" w:cs="Times New Roman"/>
                      <w:sz w:val="21"/>
                      <w:szCs w:val="21"/>
                      <w:highlight w:val="none"/>
                      <w:vertAlign w:val="baseline"/>
                      <w:lang w:val="en-US" w:eastAsia="zh-CN"/>
                    </w:rPr>
                    <w:t>吨</w:t>
                  </w:r>
                </w:p>
              </w:tc>
              <w:tc>
                <w:tcPr>
                  <w:tcW w:w="18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2.39</w:t>
                  </w:r>
                  <w:r>
                    <w:rPr>
                      <w:rFonts w:hint="default" w:ascii="Times New Roman" w:hAnsi="Times New Roman" w:cs="Times New Roman"/>
                      <w:sz w:val="21"/>
                      <w:szCs w:val="21"/>
                      <w:highlight w:val="none"/>
                      <w:vertAlign w:val="baseline"/>
                      <w:lang w:val="en-US" w:eastAsia="zh-CN"/>
                    </w:rPr>
                    <w:t>吨</w:t>
                  </w:r>
                </w:p>
              </w:tc>
              <w:tc>
                <w:tcPr>
                  <w:tcW w:w="18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87.23</w:t>
                  </w:r>
                  <w:r>
                    <w:rPr>
                      <w:rFonts w:hint="default" w:ascii="Times New Roman" w:hAnsi="Times New Roman"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8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p>
              </w:tc>
              <w:tc>
                <w:tcPr>
                  <w:tcW w:w="15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柴油</w:t>
                  </w:r>
                </w:p>
              </w:tc>
              <w:tc>
                <w:tcPr>
                  <w:tcW w:w="18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5.48</w:t>
                  </w:r>
                  <w:r>
                    <w:rPr>
                      <w:rFonts w:hint="default" w:ascii="Times New Roman" w:hAnsi="Times New Roman" w:cs="Times New Roman"/>
                      <w:sz w:val="21"/>
                      <w:szCs w:val="21"/>
                      <w:highlight w:val="none"/>
                      <w:vertAlign w:val="baseline"/>
                      <w:lang w:val="en-US" w:eastAsia="zh-CN"/>
                    </w:rPr>
                    <w:t>吨</w:t>
                  </w:r>
                </w:p>
              </w:tc>
              <w:tc>
                <w:tcPr>
                  <w:tcW w:w="18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4.57</w:t>
                  </w:r>
                  <w:r>
                    <w:rPr>
                      <w:rFonts w:hint="default" w:ascii="Times New Roman" w:hAnsi="Times New Roman" w:cs="Times New Roman"/>
                      <w:sz w:val="21"/>
                      <w:szCs w:val="21"/>
                      <w:highlight w:val="none"/>
                      <w:vertAlign w:val="baseline"/>
                      <w:lang w:val="en-US" w:eastAsia="zh-CN"/>
                    </w:rPr>
                    <w:t>吨</w:t>
                  </w:r>
                </w:p>
              </w:tc>
              <w:tc>
                <w:tcPr>
                  <w:tcW w:w="18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83.39</w:t>
                  </w:r>
                  <w:r>
                    <w:rPr>
                      <w:rFonts w:hint="default" w:ascii="Times New Roman" w:hAnsi="Times New Roman" w:cs="Times New Roman"/>
                      <w:sz w:val="21"/>
                      <w:szCs w:val="21"/>
                      <w:highlight w:val="none"/>
                      <w:vertAlign w:val="baseline"/>
                      <w:lang w:val="en-US" w:eastAsia="zh-CN"/>
                    </w:rPr>
                    <w:t>%</w:t>
                  </w:r>
                </w:p>
              </w:tc>
            </w:tr>
          </w:tbl>
          <w:p>
            <w:pPr>
              <w:spacing w:line="360" w:lineRule="auto"/>
              <w:ind w:firstLine="0" w:firstLineChars="0"/>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二、验收</w:t>
            </w:r>
            <w:r>
              <w:rPr>
                <w:rFonts w:hint="default" w:ascii="Times New Roman" w:hAnsi="Times New Roman" w:cs="Times New Roman"/>
                <w:sz w:val="24"/>
                <w:szCs w:val="24"/>
                <w:vertAlign w:val="baseline"/>
                <w:lang w:eastAsia="zh-CN"/>
              </w:rPr>
              <w:t>监测</w:t>
            </w:r>
            <w:r>
              <w:rPr>
                <w:rFonts w:hint="default" w:ascii="Times New Roman" w:hAnsi="Times New Roman" w:cs="Times New Roman"/>
                <w:sz w:val="24"/>
                <w:szCs w:val="24"/>
                <w:vertAlign w:val="baseline"/>
              </w:rPr>
              <w:t>结果</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highlight w:val="none"/>
              </w:rPr>
              <w:t>项目委托</w:t>
            </w:r>
            <w:r>
              <w:rPr>
                <w:rFonts w:hint="default" w:ascii="Times New Roman" w:hAnsi="Times New Roman" w:cs="Times New Roman" w:eastAsiaTheme="minorEastAsia"/>
                <w:color w:val="auto"/>
                <w:sz w:val="24"/>
                <w:szCs w:val="24"/>
              </w:rPr>
              <w:t>陕西</w:t>
            </w:r>
            <w:r>
              <w:rPr>
                <w:rFonts w:hint="eastAsia" w:ascii="Times New Roman" w:hAnsi="Times New Roman" w:cs="Times New Roman" w:eastAsiaTheme="minorEastAsia"/>
                <w:color w:val="auto"/>
                <w:sz w:val="24"/>
                <w:szCs w:val="24"/>
                <w:lang w:eastAsia="zh-CN"/>
              </w:rPr>
              <w:t>安讯环境</w:t>
            </w:r>
            <w:r>
              <w:rPr>
                <w:rFonts w:hint="default" w:ascii="Times New Roman" w:hAnsi="Times New Roman" w:cs="Times New Roman" w:eastAsiaTheme="minorEastAsia"/>
                <w:color w:val="auto"/>
                <w:sz w:val="24"/>
                <w:szCs w:val="24"/>
              </w:rPr>
              <w:t>检测有限公司</w:t>
            </w:r>
            <w:r>
              <w:rPr>
                <w:rFonts w:hint="default" w:ascii="Times New Roman" w:hAnsi="Times New Roman" w:cs="Times New Roman" w:eastAsiaTheme="minorEastAsia"/>
                <w:color w:val="auto"/>
                <w:highlight w:val="none"/>
              </w:rPr>
              <w:t>于20</w:t>
            </w:r>
            <w:r>
              <w:rPr>
                <w:rFonts w:hint="eastAsia" w:ascii="Times New Roman" w:hAnsi="Times New Roman" w:cs="Times New Roman" w:eastAsiaTheme="minorEastAsia"/>
                <w:color w:val="auto"/>
                <w:highlight w:val="none"/>
                <w:lang w:val="en-US" w:eastAsia="zh-CN"/>
              </w:rPr>
              <w:t>20</w:t>
            </w:r>
            <w:r>
              <w:rPr>
                <w:rFonts w:hint="default" w:ascii="Times New Roman" w:hAnsi="Times New Roman" w:cs="Times New Roman" w:eastAsiaTheme="minorEastAsia"/>
                <w:color w:val="auto"/>
                <w:highlight w:val="none"/>
              </w:rPr>
              <w:t>年</w:t>
            </w:r>
            <w:r>
              <w:rPr>
                <w:rFonts w:hint="eastAsia" w:ascii="Times New Roman" w:hAnsi="Times New Roman" w:cs="Times New Roman" w:eastAsiaTheme="minorEastAsia"/>
                <w:color w:val="auto"/>
                <w:highlight w:val="none"/>
                <w:lang w:val="en-US" w:eastAsia="zh-CN"/>
              </w:rPr>
              <w:t>8</w:t>
            </w:r>
            <w:r>
              <w:rPr>
                <w:rFonts w:hint="default" w:ascii="Times New Roman" w:hAnsi="Times New Roman" w:cs="Times New Roman" w:eastAsiaTheme="minorEastAsia"/>
                <w:color w:val="auto"/>
                <w:highlight w:val="none"/>
              </w:rPr>
              <w:t>月</w:t>
            </w:r>
            <w:r>
              <w:rPr>
                <w:rFonts w:hint="eastAsia" w:ascii="Times New Roman" w:hAnsi="Times New Roman" w:cs="Times New Roman" w:eastAsiaTheme="minorEastAsia"/>
                <w:color w:val="auto"/>
                <w:highlight w:val="none"/>
                <w:lang w:val="en-US" w:eastAsia="zh-CN"/>
              </w:rPr>
              <w:t>31</w:t>
            </w:r>
            <w:r>
              <w:rPr>
                <w:rFonts w:hint="default" w:ascii="Times New Roman" w:hAnsi="Times New Roman" w:cs="Times New Roman" w:eastAsiaTheme="minorEastAsia"/>
                <w:color w:val="auto"/>
                <w:highlight w:val="none"/>
              </w:rPr>
              <w:t>日～</w:t>
            </w:r>
            <w:r>
              <w:rPr>
                <w:rFonts w:hint="eastAsia" w:ascii="Times New Roman" w:hAnsi="Times New Roman" w:cs="Times New Roman" w:eastAsiaTheme="minorEastAsia"/>
                <w:color w:val="auto"/>
                <w:highlight w:val="none"/>
                <w:lang w:val="en-US" w:eastAsia="zh-CN"/>
              </w:rPr>
              <w:t>9</w:t>
            </w:r>
            <w:r>
              <w:rPr>
                <w:rFonts w:hint="default" w:ascii="Times New Roman" w:hAnsi="Times New Roman" w:cs="Times New Roman" w:eastAsiaTheme="minorEastAsia"/>
                <w:color w:val="auto"/>
                <w:highlight w:val="none"/>
                <w:lang w:val="en-US" w:eastAsia="zh-CN"/>
              </w:rPr>
              <w:t>月</w:t>
            </w:r>
            <w:r>
              <w:rPr>
                <w:rFonts w:hint="default" w:ascii="Times New Roman" w:hAnsi="Times New Roman" w:cs="Times New Roman" w:eastAsiaTheme="minorEastAsia"/>
                <w:color w:val="auto"/>
                <w:highlight w:val="none"/>
              </w:rPr>
              <w:t>1日对项目进行验收监测，并出具《</w:t>
            </w:r>
            <w:r>
              <w:rPr>
                <w:rFonts w:hint="default" w:ascii="Times New Roman" w:hAnsi="Times New Roman" w:cs="Times New Roman" w:eastAsiaTheme="minorEastAsia"/>
                <w:color w:val="auto"/>
                <w:highlight w:val="none"/>
                <w:lang w:eastAsia="zh-CN"/>
              </w:rPr>
              <w:t>陕西省石油化工工业贸易有限公司</w:t>
            </w:r>
            <w:r>
              <w:rPr>
                <w:rFonts w:hint="eastAsia" w:ascii="Times New Roman" w:hAnsi="Times New Roman" w:cs="Times New Roman" w:eastAsiaTheme="minorEastAsia"/>
                <w:color w:val="auto"/>
                <w:highlight w:val="none"/>
                <w:lang w:eastAsia="zh-CN"/>
              </w:rPr>
              <w:t>泾阳</w:t>
            </w:r>
            <w:r>
              <w:rPr>
                <w:rFonts w:hint="default" w:ascii="Times New Roman" w:hAnsi="Times New Roman" w:cs="Times New Roman" w:eastAsiaTheme="minorEastAsia"/>
                <w:color w:val="auto"/>
                <w:highlight w:val="none"/>
                <w:lang w:eastAsia="zh-CN"/>
              </w:rPr>
              <w:t>服务区</w:t>
            </w:r>
            <w:r>
              <w:rPr>
                <w:rFonts w:hint="eastAsia" w:ascii="Times New Roman" w:hAnsi="Times New Roman" w:cs="Times New Roman" w:eastAsiaTheme="minorEastAsia"/>
                <w:color w:val="auto"/>
                <w:highlight w:val="none"/>
                <w:lang w:eastAsia="zh-CN"/>
              </w:rPr>
              <w:t>南</w:t>
            </w:r>
            <w:r>
              <w:rPr>
                <w:rFonts w:hint="default" w:ascii="Times New Roman" w:hAnsi="Times New Roman" w:cs="Times New Roman" w:eastAsiaTheme="minorEastAsia"/>
                <w:color w:val="auto"/>
                <w:highlight w:val="none"/>
                <w:lang w:eastAsia="zh-CN"/>
              </w:rPr>
              <w:t>加油站建设项目</w:t>
            </w:r>
            <w:r>
              <w:rPr>
                <w:rFonts w:hint="default" w:ascii="Times New Roman" w:hAnsi="Times New Roman" w:cs="Times New Roman" w:eastAsiaTheme="minorEastAsia"/>
                <w:color w:val="auto"/>
                <w:highlight w:val="none"/>
              </w:rPr>
              <w:t>》监测报告（</w:t>
            </w:r>
            <w:r>
              <w:rPr>
                <w:rFonts w:hint="eastAsia" w:ascii="Times New Roman" w:hAnsi="Times New Roman" w:cs="Times New Roman" w:eastAsiaTheme="minorEastAsia"/>
                <w:color w:val="auto"/>
                <w:highlight w:val="none"/>
                <w:lang w:eastAsia="zh-CN"/>
              </w:rPr>
              <w:t>安讯</w:t>
            </w:r>
            <w:r>
              <w:rPr>
                <w:rFonts w:hint="default" w:ascii="Times New Roman" w:hAnsi="Times New Roman" w:cs="Times New Roman" w:eastAsiaTheme="minorEastAsia"/>
                <w:color w:val="auto"/>
                <w:highlight w:val="none"/>
              </w:rPr>
              <w:t>检测（综）</w:t>
            </w:r>
            <w:r>
              <w:rPr>
                <w:rFonts w:hint="eastAsia" w:ascii="Times New Roman" w:hAnsi="Times New Roman" w:cs="Times New Roman" w:eastAsiaTheme="minorEastAsia"/>
                <w:color w:val="auto"/>
                <w:highlight w:val="none"/>
                <w:lang w:eastAsia="zh-CN"/>
              </w:rPr>
              <w:t>第</w:t>
            </w:r>
            <w:r>
              <w:rPr>
                <w:rFonts w:hint="default" w:ascii="Times New Roman" w:hAnsi="Times New Roman" w:cs="Times New Roman" w:eastAsiaTheme="minorEastAsia"/>
                <w:color w:val="auto"/>
                <w:highlight w:val="none"/>
              </w:rPr>
              <w:t>20200</w:t>
            </w:r>
            <w:r>
              <w:rPr>
                <w:rFonts w:hint="eastAsia" w:ascii="Times New Roman" w:hAnsi="Times New Roman" w:cs="Times New Roman" w:eastAsiaTheme="minorEastAsia"/>
                <w:color w:val="auto"/>
                <w:highlight w:val="none"/>
                <w:lang w:val="en-US" w:eastAsia="zh-CN"/>
              </w:rPr>
              <w:t>8007</w:t>
            </w:r>
            <w:r>
              <w:rPr>
                <w:rFonts w:hint="default" w:ascii="Times New Roman" w:hAnsi="Times New Roman" w:cs="Times New Roman" w:eastAsiaTheme="minorEastAsia"/>
                <w:color w:val="auto"/>
                <w:highlight w:val="none"/>
              </w:rPr>
              <w:t>号）。</w:t>
            </w:r>
          </w:p>
          <w:p>
            <w:pPr>
              <w:pStyle w:val="8"/>
              <w:bidi w:val="0"/>
              <w:rPr>
                <w:rFonts w:hint="default" w:ascii="Times New Roman" w:hAnsi="Times New Roman" w:cs="Times New Roman"/>
              </w:rPr>
            </w:pPr>
            <w:r>
              <w:rPr>
                <w:rFonts w:hint="eastAsia" w:ascii="Times New Roman" w:hAnsi="Times New Roman" w:cs="Times New Roman"/>
                <w:lang w:val="en-US" w:eastAsia="zh-CN"/>
              </w:rPr>
              <w:t>1、</w:t>
            </w:r>
            <w:r>
              <w:rPr>
                <w:rFonts w:hint="default" w:ascii="Times New Roman" w:hAnsi="Times New Roman" w:cs="Times New Roman"/>
              </w:rPr>
              <w:t>废水</w:t>
            </w:r>
          </w:p>
          <w:p>
            <w:pPr>
              <w:keepNext w:val="0"/>
              <w:keepLines w:val="0"/>
              <w:pageBreakBefore w:val="0"/>
              <w:widowControl w:val="0"/>
              <w:numPr>
                <w:ilvl w:val="0"/>
                <w:numId w:val="0"/>
              </w:numPr>
              <w:kinsoku/>
              <w:wordWrap/>
              <w:overflowPunct/>
              <w:topLinePunct w:val="0"/>
              <w:autoSpaceDE/>
              <w:autoSpaceDN/>
              <w:bidi w:val="0"/>
              <w:spacing w:before="0"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kern w:val="24"/>
                <w:sz w:val="24"/>
                <w:szCs w:val="24"/>
                <w:lang w:val="en-US" w:eastAsia="zh-CN" w:bidi="ar-SA"/>
              </w:rPr>
            </w:pPr>
            <w:r>
              <w:rPr>
                <w:rFonts w:hint="default" w:ascii="Times New Roman" w:hAnsi="Times New Roman" w:cs="Times New Roman" w:eastAsiaTheme="minorEastAsia"/>
                <w:color w:val="auto"/>
                <w:kern w:val="24"/>
                <w:sz w:val="24"/>
                <w:szCs w:val="24"/>
                <w:lang w:val="en-US" w:eastAsia="zh-CN" w:bidi="ar-SA"/>
              </w:rPr>
              <w:t>20</w:t>
            </w:r>
            <w:r>
              <w:rPr>
                <w:rFonts w:hint="eastAsia" w:ascii="Times New Roman" w:hAnsi="Times New Roman" w:cs="Times New Roman" w:eastAsiaTheme="minorEastAsia"/>
                <w:color w:val="auto"/>
                <w:kern w:val="24"/>
                <w:sz w:val="24"/>
                <w:szCs w:val="24"/>
                <w:lang w:val="en-US" w:eastAsia="zh-CN" w:bidi="ar-SA"/>
              </w:rPr>
              <w:t>20</w:t>
            </w:r>
            <w:r>
              <w:rPr>
                <w:rFonts w:hint="default" w:ascii="Times New Roman" w:hAnsi="Times New Roman" w:cs="Times New Roman" w:eastAsiaTheme="minorEastAsia"/>
                <w:color w:val="auto"/>
                <w:kern w:val="24"/>
                <w:sz w:val="24"/>
                <w:szCs w:val="24"/>
                <w:lang w:val="en-US" w:eastAsia="zh-CN" w:bidi="ar-SA"/>
              </w:rPr>
              <w:t>年</w:t>
            </w:r>
            <w:r>
              <w:rPr>
                <w:rFonts w:hint="eastAsia" w:ascii="Times New Roman" w:hAnsi="Times New Roman" w:cs="Times New Roman" w:eastAsiaTheme="minorEastAsia"/>
                <w:color w:val="auto"/>
                <w:kern w:val="24"/>
                <w:sz w:val="24"/>
                <w:szCs w:val="24"/>
                <w:lang w:val="en-US" w:eastAsia="zh-CN" w:bidi="ar-SA"/>
              </w:rPr>
              <w:t>8</w:t>
            </w:r>
            <w:r>
              <w:rPr>
                <w:rFonts w:hint="default" w:ascii="Times New Roman" w:hAnsi="Times New Roman" w:cs="Times New Roman" w:eastAsiaTheme="minorEastAsia"/>
                <w:color w:val="auto"/>
                <w:kern w:val="24"/>
                <w:sz w:val="24"/>
                <w:szCs w:val="24"/>
                <w:lang w:val="en-US" w:eastAsia="zh-CN" w:bidi="ar-SA"/>
              </w:rPr>
              <w:t>月</w:t>
            </w:r>
            <w:r>
              <w:rPr>
                <w:rFonts w:hint="eastAsia" w:ascii="Times New Roman" w:hAnsi="Times New Roman" w:cs="Times New Roman" w:eastAsiaTheme="minorEastAsia"/>
                <w:color w:val="auto"/>
                <w:kern w:val="24"/>
                <w:sz w:val="24"/>
                <w:szCs w:val="24"/>
                <w:lang w:val="en-US" w:eastAsia="zh-CN" w:bidi="ar-SA"/>
              </w:rPr>
              <w:t>31</w:t>
            </w:r>
            <w:r>
              <w:rPr>
                <w:rFonts w:hint="default" w:ascii="Times New Roman" w:hAnsi="Times New Roman" w:cs="Times New Roman" w:eastAsiaTheme="minorEastAsia"/>
                <w:color w:val="auto"/>
                <w:kern w:val="24"/>
                <w:sz w:val="24"/>
                <w:szCs w:val="24"/>
                <w:lang w:val="en-US" w:eastAsia="zh-CN" w:bidi="ar-SA"/>
              </w:rPr>
              <w:t>日～</w:t>
            </w:r>
            <w:r>
              <w:rPr>
                <w:rFonts w:hint="eastAsia" w:ascii="Times New Roman" w:hAnsi="Times New Roman" w:cs="Times New Roman" w:eastAsiaTheme="minorEastAsia"/>
                <w:color w:val="auto"/>
                <w:kern w:val="24"/>
                <w:sz w:val="24"/>
                <w:szCs w:val="24"/>
                <w:lang w:val="en-US" w:eastAsia="zh-CN" w:bidi="ar-SA"/>
              </w:rPr>
              <w:t>9</w:t>
            </w:r>
            <w:r>
              <w:rPr>
                <w:rFonts w:hint="default" w:ascii="Times New Roman" w:hAnsi="Times New Roman" w:cs="Times New Roman" w:eastAsiaTheme="minorEastAsia"/>
                <w:color w:val="auto"/>
                <w:kern w:val="24"/>
                <w:sz w:val="24"/>
                <w:szCs w:val="24"/>
                <w:lang w:val="en-US" w:eastAsia="zh-CN" w:bidi="ar-SA"/>
              </w:rPr>
              <w:t>月1日验收监测期间，项目</w:t>
            </w:r>
            <w:r>
              <w:rPr>
                <w:rFonts w:hint="eastAsia" w:ascii="Times New Roman" w:hAnsi="Times New Roman" w:cs="Times New Roman" w:eastAsiaTheme="minorEastAsia"/>
                <w:color w:val="auto"/>
                <w:kern w:val="24"/>
                <w:sz w:val="24"/>
                <w:szCs w:val="24"/>
                <w:lang w:val="en-US" w:eastAsia="zh-CN" w:bidi="ar-SA"/>
              </w:rPr>
              <w:t>废水总排口</w:t>
            </w:r>
            <w:r>
              <w:rPr>
                <w:rFonts w:hint="default" w:ascii="Times New Roman" w:hAnsi="Times New Roman" w:cs="Times New Roman" w:eastAsiaTheme="minorEastAsia"/>
                <w:color w:val="auto"/>
                <w:kern w:val="24"/>
                <w:sz w:val="24"/>
                <w:szCs w:val="24"/>
                <w:lang w:val="en-US" w:eastAsia="zh-CN" w:bidi="ar-SA"/>
              </w:rPr>
              <w:t>各污染因子测定值均符合《污水综合排放标准》（GB8978-1996）中的一级标准及</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eastAsia="zh-CN"/>
              </w:rPr>
              <w:t>城市污水再生利用城市杂用水水质标准</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val="en-US" w:eastAsia="zh-CN"/>
              </w:rPr>
              <w:t>GB T 18920-2002</w:t>
            </w:r>
            <w:r>
              <w:rPr>
                <w:rFonts w:hint="default" w:ascii="Times New Roman" w:hAnsi="Times New Roman" w:cs="Times New Roman" w:eastAsiaTheme="minorEastAsia"/>
                <w:color w:val="auto"/>
                <w:sz w:val="24"/>
              </w:rPr>
              <w:t>）中</w:t>
            </w:r>
            <w:r>
              <w:rPr>
                <w:rFonts w:hint="eastAsia" w:ascii="Times New Roman" w:hAnsi="Times New Roman" w:cs="Times New Roman" w:eastAsiaTheme="minorEastAsia"/>
                <w:color w:val="auto"/>
                <w:sz w:val="24"/>
                <w:lang w:eastAsia="zh-CN"/>
              </w:rPr>
              <w:t>厕所用水及</w:t>
            </w:r>
            <w:r>
              <w:rPr>
                <w:rFonts w:hint="default" w:ascii="Times New Roman" w:hAnsi="Times New Roman" w:cs="Times New Roman" w:eastAsiaTheme="minorEastAsia"/>
                <w:color w:val="auto"/>
                <w:sz w:val="24"/>
                <w:lang w:eastAsia="zh-CN"/>
              </w:rPr>
              <w:t>绿化水质标准</w:t>
            </w:r>
            <w:r>
              <w:rPr>
                <w:rFonts w:hint="default" w:ascii="Times New Roman" w:hAnsi="Times New Roman" w:cs="Times New Roman" w:eastAsiaTheme="minorEastAsia"/>
                <w:color w:val="auto"/>
                <w:kern w:val="24"/>
                <w:sz w:val="24"/>
                <w:szCs w:val="24"/>
                <w:lang w:val="en-US" w:eastAsia="zh-CN" w:bidi="ar-SA"/>
              </w:rPr>
              <w:t>，监测结果见表</w:t>
            </w:r>
            <w:r>
              <w:rPr>
                <w:rFonts w:hint="eastAsia" w:ascii="Times New Roman" w:hAnsi="Times New Roman" w:cs="Times New Roman" w:eastAsiaTheme="minorEastAsia"/>
                <w:color w:val="auto"/>
                <w:kern w:val="24"/>
                <w:sz w:val="24"/>
                <w:szCs w:val="24"/>
                <w:lang w:val="en-US" w:eastAsia="zh-CN" w:bidi="ar-SA"/>
              </w:rPr>
              <w:t>7-2</w:t>
            </w:r>
            <w:r>
              <w:rPr>
                <w:rFonts w:hint="default" w:ascii="Times New Roman" w:hAnsi="Times New Roman" w:cs="Times New Roman" w:eastAsiaTheme="minorEastAsia"/>
                <w:color w:val="auto"/>
                <w:kern w:val="24"/>
                <w:sz w:val="24"/>
                <w:szCs w:val="24"/>
                <w:lang w:val="en-US" w:eastAsia="zh-CN" w:bidi="ar-SA"/>
              </w:rPr>
              <w:t>。</w:t>
            </w:r>
          </w:p>
          <w:p>
            <w:pPr>
              <w:pStyle w:val="4"/>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cs="Times New Roman" w:eastAsiaTheme="minorEastAsia"/>
                <w:color w:val="auto"/>
                <w:lang w:eastAsia="zh-CN"/>
              </w:rPr>
            </w:pPr>
            <w:bookmarkStart w:id="56" w:name="_Toc23365_WPSOffice_Level2"/>
            <w:bookmarkStart w:id="57" w:name="_Toc3674"/>
            <w:bookmarkStart w:id="58" w:name="_Toc31017_WPSOffice_Level2"/>
            <w:bookmarkStart w:id="59" w:name="_Toc4858"/>
            <w:bookmarkStart w:id="60" w:name="_Toc134"/>
            <w:r>
              <w:rPr>
                <w:rFonts w:hint="default" w:ascii="Times New Roman" w:hAnsi="Times New Roman" w:cs="Times New Roman" w:eastAsiaTheme="minorEastAsia"/>
                <w:color w:val="auto"/>
              </w:rPr>
              <w:t>表</w:t>
            </w:r>
            <w:r>
              <w:rPr>
                <w:rFonts w:hint="eastAsia" w:ascii="Times New Roman" w:hAnsi="Times New Roman" w:cs="Times New Roman" w:eastAsiaTheme="minorEastAsia"/>
                <w:color w:val="auto"/>
                <w:lang w:val="en-US" w:eastAsia="zh-CN"/>
              </w:rPr>
              <w:t>7-2</w:t>
            </w:r>
            <w:r>
              <w:rPr>
                <w:rFonts w:hint="default" w:ascii="Times New Roman" w:hAnsi="Times New Roman" w:cs="Times New Roman" w:eastAsiaTheme="minorEastAsia"/>
                <w:color w:val="auto"/>
              </w:rPr>
              <w:t xml:space="preserve"> </w:t>
            </w:r>
            <w:r>
              <w:rPr>
                <w:rFonts w:hint="default" w:ascii="Times New Roman" w:hAnsi="Times New Roman" w:cs="Times New Roman" w:eastAsiaTheme="minorEastAsia"/>
                <w:color w:val="auto"/>
                <w:lang w:val="en-US" w:eastAsia="zh-CN"/>
              </w:rPr>
              <w:t xml:space="preserve"> 项目废水</w:t>
            </w:r>
            <w:r>
              <w:rPr>
                <w:rFonts w:hint="default" w:ascii="Times New Roman" w:hAnsi="Times New Roman" w:cs="Times New Roman" w:eastAsiaTheme="minorEastAsia"/>
                <w:color w:val="auto"/>
              </w:rPr>
              <w:t>监测结</w:t>
            </w:r>
            <w:r>
              <w:rPr>
                <w:rFonts w:hint="default" w:ascii="Times New Roman" w:hAnsi="Times New Roman" w:cs="Times New Roman" w:eastAsiaTheme="minorEastAsia"/>
                <w:color w:val="auto"/>
                <w:lang w:eastAsia="zh-CN"/>
              </w:rPr>
              <w:t>果</w:t>
            </w:r>
            <w:bookmarkEnd w:id="56"/>
            <w:bookmarkEnd w:id="57"/>
            <w:bookmarkEnd w:id="58"/>
            <w:bookmarkEnd w:id="59"/>
            <w:bookmarkEnd w:id="60"/>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278"/>
              <w:gridCol w:w="1169"/>
              <w:gridCol w:w="1169"/>
              <w:gridCol w:w="1170"/>
              <w:gridCol w:w="1170"/>
              <w:gridCol w:w="1169"/>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bookmarkStart w:id="61" w:name="_Toc7307_WPSOffice_Level1"/>
                  <w:bookmarkStart w:id="62" w:name="_Toc13846_WPSOffice_Level1"/>
                  <w:r>
                    <w:rPr>
                      <w:rFonts w:hint="eastAsia" w:ascii="Times New Roman" w:hAnsi="Times New Roman" w:cs="Times New Roman" w:eastAsiaTheme="minorEastAsia"/>
                      <w:color w:val="auto"/>
                      <w:sz w:val="21"/>
                      <w:szCs w:val="21"/>
                      <w:vertAlign w:val="baseline"/>
                      <w:lang w:val="en-US" w:eastAsia="zh-CN"/>
                    </w:rPr>
                    <w:t>采样日期</w:t>
                  </w:r>
                </w:p>
              </w:tc>
              <w:tc>
                <w:tcPr>
                  <w:tcW w:w="1278"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监测项目</w:t>
                  </w:r>
                </w:p>
              </w:tc>
              <w:tc>
                <w:tcPr>
                  <w:tcW w:w="5847" w:type="dxa"/>
                  <w:gridSpan w:val="5"/>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监测结果</w:t>
                  </w:r>
                </w:p>
              </w:tc>
              <w:tc>
                <w:tcPr>
                  <w:tcW w:w="1170"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第1次</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第2次</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第3次</w:t>
                  </w:r>
                </w:p>
              </w:tc>
              <w:tc>
                <w:tcPr>
                  <w:tcW w:w="1170" w:type="dxa"/>
                  <w:vAlign w:val="center"/>
                </w:tcPr>
                <w:p>
                  <w:pPr>
                    <w:keepLines w:val="0"/>
                    <w:pageBreakBefore w:val="0"/>
                    <w:numPr>
                      <w:ilvl w:val="0"/>
                      <w:numId w:val="0"/>
                    </w:numPr>
                    <w:kinsoku/>
                    <w:overflowPunct/>
                    <w:topLinePunct w:val="0"/>
                    <w:bidi w:val="0"/>
                    <w:spacing w:after="0" w:line="240" w:lineRule="auto"/>
                    <w:ind w:left="0" w:lef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第4次</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平均值</w:t>
                  </w:r>
                </w:p>
              </w:tc>
              <w:tc>
                <w:tcPr>
                  <w:tcW w:w="117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8月31日</w:t>
                  </w: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pH值</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8.35</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8.33</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8.32</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8.35</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悬浮物</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32</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26</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22</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18</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24.5</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COD</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23</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23</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27</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30</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25.75</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BOD</w:t>
                  </w:r>
                  <w:r>
                    <w:rPr>
                      <w:rFonts w:hint="eastAsia" w:ascii="Times New Roman" w:hAnsi="Times New Roman" w:cs="Times New Roman" w:eastAsiaTheme="minorEastAsia"/>
                      <w:color w:val="auto"/>
                      <w:sz w:val="21"/>
                      <w:szCs w:val="21"/>
                      <w:vertAlign w:val="subscript"/>
                      <w:lang w:val="en-US" w:eastAsia="zh-CN"/>
                    </w:rPr>
                    <w:t>5</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7.6</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7.6</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8.9</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9.9</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8.5</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氨氮</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0.087</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0.083</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0.086</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0.079</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0.08375</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石油类</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动植物油</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9月1日</w:t>
                  </w: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pH值</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8.33</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8.31</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8.32</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8.34</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COD</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27</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29</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28</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28</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28</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悬浮物</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30</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26</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22</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24</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25.5</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BOD</w:t>
                  </w:r>
                  <w:r>
                    <w:rPr>
                      <w:rFonts w:hint="eastAsia" w:ascii="Times New Roman" w:hAnsi="Times New Roman" w:cs="Times New Roman" w:eastAsiaTheme="minorEastAsia"/>
                      <w:color w:val="auto"/>
                      <w:sz w:val="21"/>
                      <w:szCs w:val="21"/>
                      <w:vertAlign w:val="subscript"/>
                      <w:lang w:val="en-US" w:eastAsia="zh-CN"/>
                    </w:rPr>
                    <w:t>5</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8.9</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9.6</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9.2</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9.2</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9.225</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氨氮</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0.087</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0.089</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0.081</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0.087</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0.086</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石油类</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动植物油</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ND</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bl>
          <w:p>
            <w:pPr>
              <w:pStyle w:val="8"/>
              <w:bidi w:val="0"/>
              <w:rPr>
                <w:rFonts w:hint="default" w:ascii="Times New Roman" w:hAnsi="Times New Roman" w:cs="Times New Roman"/>
              </w:rPr>
            </w:pPr>
            <w:r>
              <w:rPr>
                <w:rFonts w:hint="eastAsia" w:ascii="Times New Roman" w:hAnsi="Times New Roman" w:cs="Times New Roman"/>
                <w:lang w:val="en-US" w:eastAsia="zh-CN"/>
              </w:rPr>
              <w:t>2、</w:t>
            </w:r>
            <w:r>
              <w:rPr>
                <w:rFonts w:hint="default" w:ascii="Times New Roman" w:hAnsi="Times New Roman" w:cs="Times New Roman"/>
              </w:rPr>
              <w:t>废气</w:t>
            </w:r>
            <w:bookmarkEnd w:id="61"/>
            <w:bookmarkEnd w:id="62"/>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highlight w:val="none"/>
              </w:rPr>
              <w:t>20</w:t>
            </w:r>
            <w:r>
              <w:rPr>
                <w:rFonts w:hint="eastAsia" w:ascii="Times New Roman" w:hAnsi="Times New Roman" w:cs="Times New Roman" w:eastAsiaTheme="minorEastAsia"/>
                <w:color w:val="auto"/>
                <w:highlight w:val="none"/>
                <w:lang w:val="en-US" w:eastAsia="zh-CN"/>
              </w:rPr>
              <w:t>20</w:t>
            </w:r>
            <w:r>
              <w:rPr>
                <w:rFonts w:hint="default" w:ascii="Times New Roman" w:hAnsi="Times New Roman" w:cs="Times New Roman" w:eastAsiaTheme="minorEastAsia"/>
                <w:color w:val="auto"/>
                <w:highlight w:val="none"/>
              </w:rPr>
              <w:t>年</w:t>
            </w:r>
            <w:r>
              <w:rPr>
                <w:rFonts w:hint="eastAsia" w:ascii="Times New Roman" w:hAnsi="Times New Roman" w:cs="Times New Roman" w:eastAsiaTheme="minorEastAsia"/>
                <w:color w:val="auto"/>
                <w:highlight w:val="none"/>
                <w:lang w:val="en-US" w:eastAsia="zh-CN"/>
              </w:rPr>
              <w:t>8</w:t>
            </w:r>
            <w:r>
              <w:rPr>
                <w:rFonts w:hint="default" w:ascii="Times New Roman" w:hAnsi="Times New Roman" w:cs="Times New Roman" w:eastAsiaTheme="minorEastAsia"/>
                <w:color w:val="auto"/>
                <w:highlight w:val="none"/>
              </w:rPr>
              <w:t>月</w:t>
            </w:r>
            <w:r>
              <w:rPr>
                <w:rFonts w:hint="eastAsia" w:ascii="Times New Roman" w:hAnsi="Times New Roman" w:cs="Times New Roman" w:eastAsiaTheme="minorEastAsia"/>
                <w:color w:val="auto"/>
                <w:highlight w:val="none"/>
                <w:lang w:val="en-US" w:eastAsia="zh-CN"/>
              </w:rPr>
              <w:t>31</w:t>
            </w:r>
            <w:r>
              <w:rPr>
                <w:rFonts w:hint="default" w:ascii="Times New Roman" w:hAnsi="Times New Roman" w:cs="Times New Roman" w:eastAsiaTheme="minorEastAsia"/>
                <w:color w:val="auto"/>
                <w:highlight w:val="none"/>
              </w:rPr>
              <w:t>日～</w:t>
            </w:r>
            <w:r>
              <w:rPr>
                <w:rFonts w:hint="eastAsia" w:ascii="Times New Roman" w:hAnsi="Times New Roman" w:cs="Times New Roman" w:eastAsiaTheme="minorEastAsia"/>
                <w:color w:val="auto"/>
                <w:highlight w:val="none"/>
                <w:lang w:val="en-US" w:eastAsia="zh-CN"/>
              </w:rPr>
              <w:t>9</w:t>
            </w:r>
            <w:r>
              <w:rPr>
                <w:rFonts w:hint="default" w:ascii="Times New Roman" w:hAnsi="Times New Roman" w:cs="Times New Roman" w:eastAsiaTheme="minorEastAsia"/>
                <w:color w:val="auto"/>
                <w:highlight w:val="none"/>
                <w:lang w:val="en-US" w:eastAsia="zh-CN"/>
              </w:rPr>
              <w:t>月</w:t>
            </w:r>
            <w:r>
              <w:rPr>
                <w:rFonts w:hint="default" w:ascii="Times New Roman" w:hAnsi="Times New Roman" w:cs="Times New Roman" w:eastAsiaTheme="minorEastAsia"/>
                <w:color w:val="auto"/>
                <w:highlight w:val="none"/>
              </w:rPr>
              <w:t>1日</w:t>
            </w:r>
            <w:r>
              <w:rPr>
                <w:rFonts w:hint="default" w:ascii="Times New Roman" w:hAnsi="Times New Roman" w:cs="Times New Roman" w:eastAsiaTheme="minorEastAsia"/>
                <w:color w:val="auto"/>
                <w:lang w:eastAsia="zh-CN"/>
              </w:rPr>
              <w:t>验收期间，</w:t>
            </w:r>
            <w:r>
              <w:rPr>
                <w:rFonts w:hint="default" w:ascii="Times New Roman" w:hAnsi="Times New Roman" w:cs="Times New Roman" w:eastAsiaTheme="minorEastAsia"/>
                <w:color w:val="auto"/>
              </w:rPr>
              <w:t>油气回收装置</w:t>
            </w:r>
            <w:r>
              <w:rPr>
                <w:rFonts w:hint="default" w:ascii="Times New Roman" w:hAnsi="Times New Roman" w:cs="Times New Roman" w:eastAsiaTheme="minorEastAsia"/>
                <w:color w:val="auto"/>
                <w:lang w:eastAsia="zh-CN"/>
              </w:rPr>
              <w:t>排放口</w:t>
            </w:r>
            <w:r>
              <w:rPr>
                <w:rFonts w:hint="default" w:ascii="Times New Roman" w:hAnsi="Times New Roman" w:cs="Times New Roman" w:eastAsiaTheme="minorEastAsia"/>
                <w:color w:val="auto"/>
              </w:rPr>
              <w:t>监控点非甲烷总烃浓度符合《加油站大气污染物排放标准》（GB20952-2007）限值</w:t>
            </w:r>
            <w:r>
              <w:rPr>
                <w:rFonts w:hint="eastAsia" w:ascii="Times New Roman" w:hAnsi="Times New Roman" w:cs="Times New Roman" w:eastAsiaTheme="minorEastAsia"/>
                <w:color w:val="auto"/>
                <w:lang w:eastAsia="zh-CN"/>
              </w:rPr>
              <w:t>标准；</w:t>
            </w:r>
            <w:r>
              <w:rPr>
                <w:rFonts w:hint="default" w:ascii="Times New Roman" w:hAnsi="Times New Roman" w:cs="Times New Roman" w:eastAsiaTheme="minorEastAsia"/>
                <w:color w:val="auto"/>
                <w:lang w:eastAsia="zh-CN"/>
              </w:rPr>
              <w:t>项目各监测点</w:t>
            </w:r>
            <w:r>
              <w:rPr>
                <w:rFonts w:hint="default" w:ascii="Times New Roman" w:hAnsi="Times New Roman" w:cs="Times New Roman" w:eastAsiaTheme="minorEastAsia"/>
                <w:color w:val="auto"/>
              </w:rPr>
              <w:t>无组织废气监控点非甲烷总烃浓度均符合《大气污染物综合排放标准》（GB16297-1996）表2中无组织排放监控浓度限值标准。验收期间，项目非甲烷总烃监测结果见下表</w:t>
            </w:r>
            <w:r>
              <w:rPr>
                <w:rFonts w:hint="eastAsia" w:ascii="Times New Roman" w:hAnsi="Times New Roman" w:cs="Times New Roman" w:eastAsiaTheme="minorEastAsia"/>
                <w:color w:val="auto"/>
                <w:lang w:val="en-US" w:eastAsia="zh-CN"/>
              </w:rPr>
              <w:t>7-3、表7-4</w:t>
            </w:r>
            <w:r>
              <w:rPr>
                <w:rFonts w:hint="default" w:ascii="Times New Roman" w:hAnsi="Times New Roman" w:cs="Times New Roman" w:eastAsiaTheme="minorEastAsia"/>
                <w:color w:val="auto"/>
              </w:rPr>
              <w:t>。</w:t>
            </w:r>
          </w:p>
          <w:p>
            <w:pPr>
              <w:pStyle w:val="4"/>
              <w:keepLines w:val="0"/>
              <w:pageBreakBefore w:val="0"/>
              <w:kinsoku/>
              <w:overflowPunct/>
              <w:topLinePunct w:val="0"/>
              <w:bidi w:val="0"/>
              <w:ind w:firstLine="211"/>
              <w:outlineLvl w:val="9"/>
              <w:rPr>
                <w:rFonts w:hint="default" w:ascii="Times New Roman" w:hAnsi="Times New Roman" w:cs="Times New Roman" w:eastAsiaTheme="minorEastAsia"/>
                <w:color w:val="auto"/>
              </w:rPr>
            </w:pPr>
            <w:bookmarkStart w:id="63" w:name="_Toc22709_WPSOffice_Level2"/>
            <w:bookmarkStart w:id="64" w:name="_Toc1803_WPSOffice_Level2"/>
            <w:r>
              <w:rPr>
                <w:rFonts w:hint="default" w:ascii="Times New Roman" w:hAnsi="Times New Roman" w:cs="Times New Roman" w:eastAsiaTheme="minorEastAsia"/>
                <w:color w:val="auto"/>
              </w:rPr>
              <w:t>表</w:t>
            </w:r>
            <w:r>
              <w:rPr>
                <w:rFonts w:hint="eastAsia" w:ascii="Times New Roman" w:hAnsi="Times New Roman" w:cs="Times New Roman" w:eastAsiaTheme="minorEastAsia"/>
                <w:color w:val="auto"/>
                <w:lang w:val="en-US" w:eastAsia="zh-CN"/>
              </w:rPr>
              <w:t>7-3</w:t>
            </w:r>
            <w:r>
              <w:rPr>
                <w:rFonts w:hint="default" w:ascii="Times New Roman" w:hAnsi="Times New Roman" w:cs="Times New Roman" w:eastAsiaTheme="minorEastAsia"/>
                <w:color w:val="auto"/>
              </w:rPr>
              <w:t xml:space="preserve"> </w:t>
            </w:r>
            <w:r>
              <w:rPr>
                <w:rFonts w:hint="eastAsia" w:ascii="Times New Roman" w:hAnsi="Times New Roman" w:cs="Times New Roman" w:eastAsiaTheme="minorEastAsia"/>
                <w:color w:val="auto"/>
                <w:lang w:eastAsia="zh-CN"/>
              </w:rPr>
              <w:t>有组织废气</w:t>
            </w:r>
            <w:r>
              <w:rPr>
                <w:rFonts w:hint="default" w:ascii="Times New Roman" w:hAnsi="Times New Roman" w:cs="Times New Roman" w:eastAsiaTheme="minorEastAsia"/>
                <w:color w:val="auto"/>
              </w:rPr>
              <w:t>非甲烷总烃监测结果</w:t>
            </w:r>
            <w:bookmarkEnd w:id="63"/>
            <w:bookmarkEnd w:id="64"/>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1454"/>
              <w:gridCol w:w="1559"/>
              <w:gridCol w:w="1558"/>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354" w:type="dxa"/>
                  <w:gridSpan w:val="6"/>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bookmarkStart w:id="65" w:name="_Toc12728_WPSOffice_Level1"/>
                  <w:bookmarkStart w:id="66" w:name="_Toc22443_WPSOffice_Level1"/>
                  <w:r>
                    <w:rPr>
                      <w:rFonts w:hint="eastAsia" w:ascii="Times New Roman" w:hAnsi="Times New Roman" w:cs="Times New Roman" w:eastAsiaTheme="minorEastAsia"/>
                      <w:color w:val="auto"/>
                      <w:sz w:val="21"/>
                      <w:szCs w:val="21"/>
                      <w:vertAlign w:val="baseline"/>
                      <w:lang w:val="en-US" w:eastAsia="zh-CN"/>
                    </w:rPr>
                    <w:t>有组织废气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6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w:t>
                  </w:r>
                  <w:r>
                    <w:rPr>
                      <w:rFonts w:hint="default" w:ascii="Times New Roman" w:hAnsi="Times New Roman" w:cs="Times New Roman" w:eastAsiaTheme="minorEastAsia"/>
                      <w:color w:val="auto"/>
                      <w:sz w:val="21"/>
                      <w:szCs w:val="21"/>
                      <w:vertAlign w:val="baseline"/>
                      <w:lang w:val="en-US" w:eastAsia="zh-CN"/>
                    </w:rPr>
                    <w:t>点位</w:t>
                  </w:r>
                </w:p>
              </w:tc>
              <w:tc>
                <w:tcPr>
                  <w:tcW w:w="145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监测项目</w:t>
                  </w:r>
                </w:p>
              </w:tc>
              <w:tc>
                <w:tcPr>
                  <w:tcW w:w="15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监测日期</w:t>
                  </w:r>
                </w:p>
              </w:tc>
              <w:tc>
                <w:tcPr>
                  <w:tcW w:w="155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第1次</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第2次</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6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三次油气回收装置排放口</w:t>
                  </w:r>
                </w:p>
              </w:tc>
              <w:tc>
                <w:tcPr>
                  <w:tcW w:w="1454"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非甲烷总烃</w:t>
                  </w:r>
                  <w:r>
                    <w:rPr>
                      <w:rFonts w:hint="default" w:ascii="Times New Roman" w:hAnsi="Times New Roman" w:cs="Times New Roman" w:eastAsiaTheme="minorEastAsia"/>
                      <w:color w:val="auto"/>
                      <w:sz w:val="21"/>
                      <w:szCs w:val="21"/>
                      <w:vertAlign w:val="baseline"/>
                      <w:lang w:val="en-US" w:eastAsia="zh-CN"/>
                    </w:rPr>
                    <w:t>（mg/m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w:t>
                  </w:r>
                </w:p>
              </w:tc>
              <w:tc>
                <w:tcPr>
                  <w:tcW w:w="15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8月31日</w:t>
                  </w:r>
                </w:p>
              </w:tc>
              <w:tc>
                <w:tcPr>
                  <w:tcW w:w="155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4.46</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4.82</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6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454"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9月1日</w:t>
                  </w:r>
                </w:p>
              </w:tc>
              <w:tc>
                <w:tcPr>
                  <w:tcW w:w="155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4.65</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5.02</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5.15</w:t>
                  </w:r>
                </w:p>
              </w:tc>
            </w:tr>
          </w:tbl>
          <w:p>
            <w:pPr>
              <w:pStyle w:val="8"/>
              <w:bidi w:val="0"/>
              <w:jc w:val="center"/>
              <w:rPr>
                <w:rFonts w:hint="eastAsia" w:ascii="Times New Roman" w:hAnsi="Times New Roman" w:cs="Times New Roman"/>
                <w:lang w:val="en-US" w:eastAsia="zh-CN"/>
              </w:rPr>
            </w:pPr>
            <w:r>
              <w:rPr>
                <w:rFonts w:hint="eastAsia" w:ascii="Times New Roman" w:hAnsi="Times New Roman" w:cs="Times New Roman" w:eastAsiaTheme="minorEastAsia"/>
                <w:b/>
                <w:bCs w:val="0"/>
                <w:iCs w:val="0"/>
                <w:color w:val="auto"/>
                <w:sz w:val="21"/>
                <w:szCs w:val="24"/>
                <w:lang w:val="en-US" w:eastAsia="zh-CN" w:bidi="zh-CN"/>
              </w:rPr>
              <w:t>表</w:t>
            </w:r>
            <w:r>
              <w:rPr>
                <w:rFonts w:hint="eastAsia" w:cs="Times New Roman" w:eastAsiaTheme="minorEastAsia"/>
                <w:b/>
                <w:bCs w:val="0"/>
                <w:iCs w:val="0"/>
                <w:color w:val="auto"/>
                <w:sz w:val="21"/>
                <w:szCs w:val="24"/>
                <w:lang w:val="en-US" w:eastAsia="zh-CN" w:bidi="zh-CN"/>
              </w:rPr>
              <w:t>7-4</w:t>
            </w:r>
            <w:r>
              <w:rPr>
                <w:rFonts w:hint="eastAsia" w:ascii="Times New Roman" w:hAnsi="Times New Roman" w:cs="Times New Roman" w:eastAsiaTheme="minorEastAsia"/>
                <w:b/>
                <w:bCs w:val="0"/>
                <w:iCs w:val="0"/>
                <w:color w:val="auto"/>
                <w:sz w:val="21"/>
                <w:szCs w:val="24"/>
                <w:lang w:val="en-US" w:eastAsia="zh-CN" w:bidi="zh-CN"/>
              </w:rPr>
              <w:t xml:space="preserve">  </w:t>
            </w:r>
            <w:r>
              <w:rPr>
                <w:rFonts w:hint="eastAsia" w:cs="Times New Roman" w:eastAsiaTheme="minorEastAsia"/>
                <w:b/>
                <w:bCs w:val="0"/>
                <w:iCs w:val="0"/>
                <w:color w:val="auto"/>
                <w:sz w:val="21"/>
                <w:szCs w:val="24"/>
                <w:lang w:val="en-US" w:eastAsia="zh-CN" w:bidi="zh-CN"/>
              </w:rPr>
              <w:t>无</w:t>
            </w:r>
            <w:r>
              <w:rPr>
                <w:rFonts w:hint="eastAsia" w:ascii="Times New Roman" w:hAnsi="Times New Roman" w:cs="Times New Roman" w:eastAsiaTheme="minorEastAsia"/>
                <w:b/>
                <w:bCs w:val="0"/>
                <w:iCs w:val="0"/>
                <w:color w:val="auto"/>
                <w:sz w:val="21"/>
                <w:szCs w:val="24"/>
                <w:lang w:val="en-US" w:eastAsia="zh-CN" w:bidi="zh-CN"/>
              </w:rPr>
              <w:t>组织废气非甲烷总烃监测结果</w:t>
            </w:r>
          </w:p>
          <w:tbl>
            <w:tblPr>
              <w:tblStyle w:val="17"/>
              <w:tblW w:w="75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08"/>
              <w:gridCol w:w="1064"/>
              <w:gridCol w:w="1274"/>
              <w:gridCol w:w="130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采样</w:t>
                  </w:r>
                </w:p>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日期</w:t>
                  </w:r>
                </w:p>
              </w:tc>
              <w:tc>
                <w:tcPr>
                  <w:tcW w:w="120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w:t>
                  </w:r>
                </w:p>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点位</w:t>
                  </w: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w:t>
                  </w:r>
                </w:p>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频次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非甲烷总烃(mg/m</w:t>
                  </w:r>
                  <w:r>
                    <w:rPr>
                      <w:rFonts w:hint="eastAsia" w:ascii="Times New Roman" w:hAnsi="Times New Roman" w:cs="Times New Roman" w:eastAsiaTheme="minorEastAsia"/>
                      <w:color w:val="auto"/>
                      <w:sz w:val="21"/>
                      <w:szCs w:val="21"/>
                      <w:vertAlign w:val="superscript"/>
                      <w:lang w:val="en-US" w:eastAsia="zh-CN"/>
                    </w:rPr>
                    <w:t>3</w:t>
                  </w:r>
                  <w:r>
                    <w:rPr>
                      <w:rFonts w:hint="eastAsia" w:ascii="Times New Roman" w:hAnsi="Times New Roman" w:cs="Times New Roman" w:eastAsiaTheme="minorEastAsia"/>
                      <w:color w:val="auto"/>
                      <w:sz w:val="21"/>
                      <w:szCs w:val="21"/>
                      <w:vertAlign w:val="baseline"/>
                      <w:lang w:val="en-US" w:eastAsia="zh-CN"/>
                    </w:rPr>
                    <w:t>)</w:t>
                  </w:r>
                </w:p>
              </w:tc>
              <w:tc>
                <w:tcPr>
                  <w:tcW w:w="130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风速（m/s）</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8月31日</w:t>
                  </w:r>
                </w:p>
              </w:tc>
              <w:tc>
                <w:tcPr>
                  <w:tcW w:w="1208"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上风向1#</w:t>
                  </w: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0.42</w:t>
                  </w:r>
                </w:p>
              </w:tc>
              <w:tc>
                <w:tcPr>
                  <w:tcW w:w="1305"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1.4</w:t>
                  </w:r>
                </w:p>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restart"/>
                  <w:vAlign w:val="center"/>
                </w:tcPr>
                <w:p>
                  <w:pPr>
                    <w:keepLines w:val="0"/>
                    <w:pageBreakBefore w:val="0"/>
                    <w:numPr>
                      <w:ilvl w:val="0"/>
                      <w:numId w:val="0"/>
                    </w:numPr>
                    <w:kinsoku/>
                    <w:overflowPunct/>
                    <w:topLinePunct w:val="0"/>
                    <w:bidi w:val="0"/>
                    <w:spacing w:after="0" w:line="240" w:lineRule="auto"/>
                    <w:ind w:firstLine="420" w:firstLineChars="200"/>
                    <w:jc w:val="both"/>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0.44</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0.49</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下风向2#</w:t>
                  </w: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0.72</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0.74</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0.75</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下风向3#</w:t>
                  </w: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0.74</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0.75</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0.75</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下风向4#</w:t>
                  </w: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0.77</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0.74</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0.73</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9月1日</w:t>
                  </w:r>
                </w:p>
              </w:tc>
              <w:tc>
                <w:tcPr>
                  <w:tcW w:w="1208"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上风向1#</w:t>
                  </w: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0.41</w:t>
                  </w:r>
                </w:p>
              </w:tc>
              <w:tc>
                <w:tcPr>
                  <w:tcW w:w="1305"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1.8</w:t>
                  </w:r>
                </w:p>
              </w:tc>
              <w:tc>
                <w:tcPr>
                  <w:tcW w:w="1560"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0.49</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0.52</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下风向2#</w:t>
                  </w: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0.71</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0.72</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0.80</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下风向3#</w:t>
                  </w: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0.80</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0.84</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0.73</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下风向4#</w:t>
                  </w: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0.72</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0.70</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3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0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6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27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0.70</w:t>
                  </w:r>
                </w:p>
              </w:tc>
              <w:tc>
                <w:tcPr>
                  <w:tcW w:w="130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6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bl>
          <w:p>
            <w:pPr>
              <w:pStyle w:val="8"/>
              <w:bidi w:val="0"/>
              <w:rPr>
                <w:rFonts w:hint="default" w:ascii="Times New Roman" w:hAnsi="Times New Roman" w:cs="Times New Roman"/>
                <w:highlight w:val="none"/>
              </w:rPr>
            </w:pPr>
            <w:r>
              <w:rPr>
                <w:rFonts w:hint="eastAsia" w:ascii="Times New Roman" w:hAnsi="Times New Roman" w:cs="Times New Roman"/>
                <w:highlight w:val="none"/>
                <w:lang w:val="en-US" w:eastAsia="zh-CN"/>
              </w:rPr>
              <w:t>3、</w:t>
            </w:r>
            <w:r>
              <w:rPr>
                <w:rFonts w:hint="default" w:ascii="Times New Roman" w:hAnsi="Times New Roman" w:cs="Times New Roman"/>
                <w:highlight w:val="none"/>
              </w:rPr>
              <w:t>厂界噪声</w:t>
            </w:r>
            <w:bookmarkEnd w:id="65"/>
            <w:bookmarkEnd w:id="66"/>
          </w:p>
          <w:p>
            <w:pPr>
              <w:keepLines w:val="0"/>
              <w:pageBreakBefore w:val="0"/>
              <w:numPr>
                <w:ilvl w:val="0"/>
                <w:numId w:val="0"/>
              </w:numPr>
              <w:kinsoku/>
              <w:overflowPunct/>
              <w:topLinePunct w:val="0"/>
              <w:bidi w:val="0"/>
              <w:spacing w:line="360" w:lineRule="auto"/>
              <w:ind w:firstLine="480" w:firstLineChars="200"/>
              <w:outlineLvl w:val="9"/>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highlight w:val="none"/>
                <w:lang w:val="en-US" w:eastAsia="zh-CN" w:bidi="ar-SA"/>
              </w:rPr>
              <w:t>20</w:t>
            </w:r>
            <w:r>
              <w:rPr>
                <w:rFonts w:hint="eastAsia" w:ascii="Times New Roman" w:hAnsi="Times New Roman" w:cs="Times New Roman" w:eastAsiaTheme="minorEastAsia"/>
                <w:color w:val="auto"/>
                <w:sz w:val="24"/>
                <w:szCs w:val="24"/>
                <w:highlight w:val="none"/>
                <w:lang w:val="en-US" w:eastAsia="zh-CN" w:bidi="ar-SA"/>
              </w:rPr>
              <w:t>20</w:t>
            </w:r>
            <w:r>
              <w:rPr>
                <w:rFonts w:hint="default" w:ascii="Times New Roman" w:hAnsi="Times New Roman" w:cs="Times New Roman" w:eastAsiaTheme="minorEastAsia"/>
                <w:color w:val="auto"/>
                <w:sz w:val="24"/>
                <w:szCs w:val="24"/>
                <w:highlight w:val="none"/>
                <w:lang w:val="en-US" w:eastAsia="zh-CN" w:bidi="ar-SA"/>
              </w:rPr>
              <w:t>年</w:t>
            </w:r>
            <w:r>
              <w:rPr>
                <w:rFonts w:hint="eastAsia" w:ascii="Times New Roman" w:hAnsi="Times New Roman" w:cs="Times New Roman" w:eastAsiaTheme="minorEastAsia"/>
                <w:color w:val="auto"/>
                <w:sz w:val="24"/>
                <w:szCs w:val="24"/>
                <w:highlight w:val="none"/>
                <w:lang w:val="en-US" w:eastAsia="zh-CN" w:bidi="ar-SA"/>
              </w:rPr>
              <w:t>8</w:t>
            </w:r>
            <w:r>
              <w:rPr>
                <w:rFonts w:hint="default" w:ascii="Times New Roman" w:hAnsi="Times New Roman" w:cs="Times New Roman" w:eastAsiaTheme="minorEastAsia"/>
                <w:color w:val="auto"/>
                <w:sz w:val="24"/>
                <w:szCs w:val="24"/>
                <w:highlight w:val="none"/>
                <w:lang w:val="en-US" w:eastAsia="zh-CN" w:bidi="ar-SA"/>
              </w:rPr>
              <w:t>月</w:t>
            </w:r>
            <w:r>
              <w:rPr>
                <w:rFonts w:hint="eastAsia" w:ascii="Times New Roman" w:hAnsi="Times New Roman" w:cs="Times New Roman" w:eastAsiaTheme="minorEastAsia"/>
                <w:color w:val="auto"/>
                <w:sz w:val="24"/>
                <w:szCs w:val="24"/>
                <w:highlight w:val="none"/>
                <w:lang w:val="en-US" w:eastAsia="zh-CN" w:bidi="ar-SA"/>
              </w:rPr>
              <w:t>31</w:t>
            </w:r>
            <w:r>
              <w:rPr>
                <w:rFonts w:hint="default" w:ascii="Times New Roman" w:hAnsi="Times New Roman" w:cs="Times New Roman" w:eastAsiaTheme="minorEastAsia"/>
                <w:color w:val="auto"/>
                <w:sz w:val="24"/>
                <w:szCs w:val="24"/>
                <w:highlight w:val="none"/>
                <w:lang w:val="en-US" w:eastAsia="zh-CN" w:bidi="ar-SA"/>
              </w:rPr>
              <w:t>日～</w:t>
            </w:r>
            <w:r>
              <w:rPr>
                <w:rFonts w:hint="eastAsia" w:ascii="Times New Roman" w:hAnsi="Times New Roman" w:cs="Times New Roman" w:eastAsiaTheme="minorEastAsia"/>
                <w:color w:val="auto"/>
                <w:sz w:val="24"/>
                <w:szCs w:val="24"/>
                <w:highlight w:val="none"/>
                <w:lang w:val="en-US" w:eastAsia="zh-CN" w:bidi="ar-SA"/>
              </w:rPr>
              <w:t>9</w:t>
            </w:r>
            <w:r>
              <w:rPr>
                <w:rFonts w:hint="default" w:ascii="Times New Roman" w:hAnsi="Times New Roman" w:cs="Times New Roman" w:eastAsiaTheme="minorEastAsia"/>
                <w:color w:val="auto"/>
                <w:sz w:val="24"/>
                <w:szCs w:val="24"/>
                <w:highlight w:val="none"/>
                <w:lang w:val="en-US" w:eastAsia="zh-CN" w:bidi="ar-SA"/>
              </w:rPr>
              <w:t>月</w:t>
            </w:r>
            <w:r>
              <w:rPr>
                <w:rFonts w:hint="eastAsia" w:ascii="Times New Roman" w:hAnsi="Times New Roman" w:cs="Times New Roman" w:eastAsiaTheme="minorEastAsia"/>
                <w:color w:val="auto"/>
                <w:sz w:val="24"/>
                <w:szCs w:val="24"/>
                <w:highlight w:val="none"/>
                <w:lang w:val="en-US" w:eastAsia="zh-CN" w:bidi="ar-SA"/>
              </w:rPr>
              <w:t>1</w:t>
            </w:r>
            <w:r>
              <w:rPr>
                <w:rFonts w:hint="default" w:ascii="Times New Roman" w:hAnsi="Times New Roman" w:cs="Times New Roman" w:eastAsiaTheme="minorEastAsia"/>
                <w:color w:val="auto"/>
                <w:sz w:val="24"/>
                <w:szCs w:val="24"/>
                <w:highlight w:val="none"/>
                <w:lang w:val="en-US" w:eastAsia="zh-CN" w:bidi="ar-SA"/>
              </w:rPr>
              <w:t>日</w:t>
            </w:r>
            <w:r>
              <w:rPr>
                <w:rFonts w:hint="default" w:ascii="Times New Roman" w:hAnsi="Times New Roman" w:cs="Times New Roman" w:eastAsiaTheme="minorEastAsia"/>
                <w:color w:val="auto"/>
                <w:sz w:val="24"/>
                <w:szCs w:val="24"/>
                <w:lang w:val="en-US" w:eastAsia="zh-CN" w:bidi="ar-SA"/>
              </w:rPr>
              <w:t>验收监测期间，</w:t>
            </w:r>
            <w:r>
              <w:rPr>
                <w:rFonts w:hint="eastAsia" w:ascii="Times New Roman" w:hAnsi="Times New Roman" w:cs="Times New Roman" w:eastAsiaTheme="minorEastAsia"/>
                <w:color w:val="auto"/>
                <w:sz w:val="24"/>
                <w:szCs w:val="24"/>
                <w:highlight w:val="none"/>
                <w:lang w:val="en-US" w:eastAsia="zh-CN" w:bidi="ar-SA"/>
              </w:rPr>
              <w:t>2</w:t>
            </w:r>
            <w:r>
              <w:rPr>
                <w:rFonts w:hint="default" w:ascii="Times New Roman" w:hAnsi="Times New Roman" w:cs="Times New Roman" w:eastAsiaTheme="minorEastAsia"/>
                <w:color w:val="auto"/>
                <w:sz w:val="24"/>
                <w:szCs w:val="24"/>
                <w:highlight w:val="none"/>
                <w:lang w:val="en-US" w:eastAsia="zh-CN" w:bidi="ar-SA"/>
              </w:rPr>
              <w:t>#监测点昼夜间噪声测定值均符合</w:t>
            </w:r>
            <w:r>
              <w:rPr>
                <w:rFonts w:hint="eastAsia" w:ascii="Times New Roman" w:hAnsi="Times New Roman" w:cs="Times New Roman" w:eastAsiaTheme="minorEastAsia"/>
                <w:color w:val="auto"/>
                <w:sz w:val="24"/>
                <w:szCs w:val="24"/>
                <w:highlight w:val="none"/>
                <w:lang w:val="en-US" w:eastAsia="zh-CN" w:bidi="ar-SA"/>
              </w:rPr>
              <w:t>2</w:t>
            </w:r>
            <w:r>
              <w:rPr>
                <w:rFonts w:hint="default" w:ascii="Times New Roman" w:hAnsi="Times New Roman" w:cs="Times New Roman" w:eastAsiaTheme="minorEastAsia"/>
                <w:color w:val="auto"/>
                <w:sz w:val="24"/>
                <w:szCs w:val="24"/>
                <w:highlight w:val="none"/>
                <w:lang w:val="en-US" w:eastAsia="zh-CN" w:bidi="ar-SA"/>
              </w:rPr>
              <w:t>类标准，项目厂界</w:t>
            </w:r>
            <w:r>
              <w:rPr>
                <w:rFonts w:hint="eastAsia" w:ascii="Times New Roman" w:hAnsi="Times New Roman" w:cs="Times New Roman" w:eastAsiaTheme="minorEastAsia"/>
                <w:color w:val="auto"/>
                <w:sz w:val="24"/>
                <w:szCs w:val="24"/>
                <w:highlight w:val="none"/>
                <w:lang w:val="en-US" w:eastAsia="zh-CN" w:bidi="ar-SA"/>
              </w:rPr>
              <w:t>1</w:t>
            </w:r>
            <w:r>
              <w:rPr>
                <w:rFonts w:hint="default" w:ascii="Times New Roman" w:hAnsi="Times New Roman" w:cs="Times New Roman" w:eastAsiaTheme="minorEastAsia"/>
                <w:color w:val="auto"/>
                <w:sz w:val="24"/>
                <w:szCs w:val="24"/>
                <w:highlight w:val="none"/>
                <w:lang w:val="en-US" w:eastAsia="zh-CN" w:bidi="ar-SA"/>
              </w:rPr>
              <w:t>#、</w:t>
            </w:r>
            <w:r>
              <w:rPr>
                <w:rFonts w:hint="eastAsia" w:ascii="Times New Roman" w:hAnsi="Times New Roman" w:cs="Times New Roman" w:eastAsiaTheme="minorEastAsia"/>
                <w:color w:val="auto"/>
                <w:sz w:val="24"/>
                <w:szCs w:val="24"/>
                <w:highlight w:val="none"/>
                <w:lang w:val="en-US" w:eastAsia="zh-CN" w:bidi="ar-SA"/>
              </w:rPr>
              <w:t>3</w:t>
            </w:r>
            <w:r>
              <w:rPr>
                <w:rFonts w:hint="default" w:ascii="Times New Roman" w:hAnsi="Times New Roman" w:cs="Times New Roman" w:eastAsiaTheme="minorEastAsia"/>
                <w:color w:val="auto"/>
                <w:sz w:val="24"/>
                <w:szCs w:val="24"/>
                <w:highlight w:val="none"/>
                <w:lang w:val="en-US" w:eastAsia="zh-CN" w:bidi="ar-SA"/>
              </w:rPr>
              <w:t>#、</w:t>
            </w:r>
            <w:r>
              <w:rPr>
                <w:rFonts w:hint="eastAsia" w:ascii="Times New Roman" w:hAnsi="Times New Roman" w:cs="Times New Roman" w:eastAsiaTheme="minorEastAsia"/>
                <w:color w:val="auto"/>
                <w:sz w:val="24"/>
                <w:szCs w:val="24"/>
                <w:highlight w:val="none"/>
                <w:lang w:val="en-US" w:eastAsia="zh-CN" w:bidi="ar-SA"/>
              </w:rPr>
              <w:t>4</w:t>
            </w:r>
            <w:r>
              <w:rPr>
                <w:rFonts w:hint="default" w:ascii="Times New Roman" w:hAnsi="Times New Roman" w:cs="Times New Roman" w:eastAsiaTheme="minorEastAsia"/>
                <w:color w:val="auto"/>
                <w:sz w:val="24"/>
                <w:szCs w:val="24"/>
                <w:highlight w:val="none"/>
                <w:lang w:val="en-US" w:eastAsia="zh-CN" w:bidi="ar-SA"/>
              </w:rPr>
              <w:t>#监测点昼</w:t>
            </w:r>
            <w:r>
              <w:rPr>
                <w:rFonts w:hint="default" w:ascii="Times New Roman" w:hAnsi="Times New Roman" w:cs="Times New Roman" w:eastAsiaTheme="minorEastAsia"/>
                <w:color w:val="auto"/>
                <w:sz w:val="24"/>
                <w:szCs w:val="24"/>
                <w:lang w:val="en-US" w:eastAsia="zh-CN" w:bidi="ar-SA"/>
              </w:rPr>
              <w:t>夜间噪声测定值均符合《工业企业厂界环境噪声排放标准》（GB 12348-2008）中的</w:t>
            </w:r>
            <w:r>
              <w:rPr>
                <w:rFonts w:hint="eastAsia" w:ascii="Times New Roman" w:hAnsi="Times New Roman" w:cs="Times New Roman" w:eastAsiaTheme="minorEastAsia"/>
                <w:color w:val="auto"/>
                <w:sz w:val="24"/>
                <w:szCs w:val="24"/>
                <w:lang w:val="en-US" w:eastAsia="zh-CN" w:bidi="ar-SA"/>
              </w:rPr>
              <w:t>4</w:t>
            </w:r>
            <w:r>
              <w:rPr>
                <w:rFonts w:hint="default" w:ascii="Times New Roman" w:hAnsi="Times New Roman" w:cs="Times New Roman" w:eastAsiaTheme="minorEastAsia"/>
                <w:color w:val="auto"/>
                <w:sz w:val="24"/>
                <w:szCs w:val="24"/>
                <w:lang w:val="en-US" w:eastAsia="zh-CN" w:bidi="ar-SA"/>
              </w:rPr>
              <w:t>类标准，监测结果见表</w:t>
            </w:r>
            <w:r>
              <w:rPr>
                <w:rFonts w:hint="eastAsia" w:ascii="Times New Roman" w:hAnsi="Times New Roman" w:cs="Times New Roman" w:eastAsiaTheme="minorEastAsia"/>
                <w:color w:val="auto"/>
                <w:sz w:val="24"/>
                <w:szCs w:val="24"/>
                <w:lang w:val="en-US" w:eastAsia="zh-CN" w:bidi="ar-SA"/>
              </w:rPr>
              <w:t>7-5</w:t>
            </w:r>
            <w:r>
              <w:rPr>
                <w:rFonts w:hint="default" w:ascii="Times New Roman" w:hAnsi="Times New Roman" w:cs="Times New Roman" w:eastAsiaTheme="minorEastAsia"/>
                <w:color w:val="auto"/>
                <w:sz w:val="24"/>
                <w:szCs w:val="24"/>
                <w:lang w:val="en-US" w:eastAsia="zh-CN" w:bidi="ar-SA"/>
              </w:rPr>
              <w:t>。</w:t>
            </w:r>
            <w:bookmarkStart w:id="67" w:name="_Toc32286"/>
            <w:bookmarkStart w:id="68" w:name="_Toc4215"/>
            <w:bookmarkStart w:id="69" w:name="_Toc15771"/>
          </w:p>
          <w:p>
            <w:pPr>
              <w:pStyle w:val="4"/>
              <w:keepLines w:val="0"/>
              <w:pageBreakBefore w:val="0"/>
              <w:kinsoku/>
              <w:overflowPunct/>
              <w:topLinePunct w:val="0"/>
              <w:bidi w:val="0"/>
              <w:outlineLvl w:val="9"/>
              <w:rPr>
                <w:rFonts w:hint="default" w:ascii="Times New Roman" w:hAnsi="Times New Roman" w:cs="Times New Roman" w:eastAsiaTheme="minorEastAsia"/>
                <w:color w:val="auto"/>
                <w:lang w:val="en-US" w:eastAsia="zh-CN"/>
              </w:rPr>
            </w:pPr>
            <w:bookmarkStart w:id="70" w:name="_Toc17494_WPSOffice_Level2"/>
            <w:bookmarkStart w:id="71" w:name="_Toc21824_WPSOffice_Level2"/>
            <w:r>
              <w:rPr>
                <w:rFonts w:hint="default" w:ascii="Times New Roman" w:hAnsi="Times New Roman" w:cs="Times New Roman" w:eastAsiaTheme="minorEastAsia"/>
                <w:color w:val="auto"/>
              </w:rPr>
              <w:t>表</w:t>
            </w:r>
            <w:r>
              <w:rPr>
                <w:rFonts w:hint="eastAsia" w:ascii="Times New Roman" w:hAnsi="Times New Roman" w:cs="Times New Roman" w:eastAsiaTheme="minorEastAsia"/>
                <w:color w:val="auto"/>
                <w:lang w:val="en-US" w:eastAsia="zh-CN"/>
              </w:rPr>
              <w:t>7-5</w:t>
            </w:r>
            <w:r>
              <w:rPr>
                <w:rFonts w:hint="default" w:ascii="Times New Roman" w:hAnsi="Times New Roman" w:cs="Times New Roman" w:eastAsiaTheme="minorEastAsia"/>
                <w:color w:val="auto"/>
                <w:lang w:val="en-US" w:eastAsia="zh-CN"/>
              </w:rPr>
              <w:t xml:space="preserve">  </w:t>
            </w:r>
            <w:r>
              <w:rPr>
                <w:rFonts w:hint="default" w:ascii="Times New Roman" w:hAnsi="Times New Roman" w:cs="Times New Roman" w:eastAsiaTheme="minorEastAsia"/>
                <w:color w:val="auto"/>
              </w:rPr>
              <w:t>厂界噪声监测结</w:t>
            </w:r>
            <w:r>
              <w:rPr>
                <w:rFonts w:hint="default" w:ascii="Times New Roman" w:hAnsi="Times New Roman" w:cs="Times New Roman" w:eastAsiaTheme="minorEastAsia"/>
                <w:color w:val="auto"/>
                <w:lang w:eastAsia="zh-CN"/>
              </w:rPr>
              <w:t>果</w:t>
            </w:r>
            <w:bookmarkEnd w:id="67"/>
            <w:bookmarkEnd w:id="68"/>
            <w:bookmarkEnd w:id="69"/>
            <w:bookmarkEnd w:id="70"/>
            <w:bookmarkEnd w:id="71"/>
          </w:p>
          <w:tbl>
            <w:tblPr>
              <w:tblStyle w:val="16"/>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9"/>
              <w:gridCol w:w="1759"/>
              <w:gridCol w:w="585"/>
              <w:gridCol w:w="1173"/>
              <w:gridCol w:w="1172"/>
              <w:gridCol w:w="586"/>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2319" w:type="dxa"/>
                  <w:vMerge w:val="restart"/>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气象条件</w:t>
                  </w:r>
                </w:p>
              </w:tc>
              <w:tc>
                <w:tcPr>
                  <w:tcW w:w="2344"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监测日期</w:t>
                  </w:r>
                </w:p>
              </w:tc>
              <w:tc>
                <w:tcPr>
                  <w:tcW w:w="2345"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昼间</w:t>
                  </w:r>
                </w:p>
              </w:tc>
              <w:tc>
                <w:tcPr>
                  <w:tcW w:w="234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2319" w:type="dxa"/>
                  <w:vMerge w:val="continue"/>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2344"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2020.8.31</w:t>
                  </w:r>
                </w:p>
              </w:tc>
              <w:tc>
                <w:tcPr>
                  <w:tcW w:w="2345"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晴、北风、1.4m/s</w:t>
                  </w:r>
                </w:p>
              </w:tc>
              <w:tc>
                <w:tcPr>
                  <w:tcW w:w="234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晴、北风、1.4m/s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2319" w:type="dxa"/>
                  <w:vMerge w:val="continue"/>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2344"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2020.9.1</w:t>
                  </w:r>
                </w:p>
              </w:tc>
              <w:tc>
                <w:tcPr>
                  <w:tcW w:w="2345"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晴、北风、1.8m/s</w:t>
                  </w:r>
                </w:p>
              </w:tc>
              <w:tc>
                <w:tcPr>
                  <w:tcW w:w="234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晴、北风、1.8m/s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2319" w:type="dxa"/>
                  <w:vMerge w:val="restart"/>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bookmarkStart w:id="72" w:name="_Toc4570"/>
                  <w:bookmarkStart w:id="73" w:name="_Toc27581_WPSOffice_Level2"/>
                  <w:r>
                    <w:rPr>
                      <w:rFonts w:hint="default" w:ascii="Times New Roman" w:hAnsi="Times New Roman" w:cs="Times New Roman" w:eastAsiaTheme="minorEastAsia"/>
                      <w:color w:val="auto"/>
                      <w:sz w:val="21"/>
                      <w:szCs w:val="21"/>
                      <w:vertAlign w:val="baseline"/>
                      <w:lang w:val="en-US" w:eastAsia="zh-CN"/>
                    </w:rPr>
                    <w:t>监测点位</w:t>
                  </w:r>
                </w:p>
              </w:tc>
              <w:tc>
                <w:tcPr>
                  <w:tcW w:w="7035" w:type="dxa"/>
                  <w:gridSpan w:val="6"/>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5" w:hRule="atLeast"/>
                <w:tblHeader/>
                <w:jc w:val="center"/>
              </w:trPr>
              <w:tc>
                <w:tcPr>
                  <w:tcW w:w="2319" w:type="dxa"/>
                  <w:vMerge w:val="continue"/>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3517" w:type="dxa"/>
                  <w:gridSpan w:val="3"/>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20</w:t>
                  </w:r>
                  <w:r>
                    <w:rPr>
                      <w:rFonts w:hint="eastAsia" w:ascii="Times New Roman" w:hAnsi="Times New Roman" w:cs="Times New Roman" w:eastAsiaTheme="minorEastAsia"/>
                      <w:color w:val="auto"/>
                      <w:sz w:val="21"/>
                      <w:szCs w:val="21"/>
                      <w:vertAlign w:val="baseline"/>
                      <w:lang w:val="en-US" w:eastAsia="zh-CN"/>
                    </w:rPr>
                    <w:t>20</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8.31</w:t>
                  </w:r>
                </w:p>
              </w:tc>
              <w:tc>
                <w:tcPr>
                  <w:tcW w:w="3518" w:type="dxa"/>
                  <w:gridSpan w:val="3"/>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20</w:t>
                  </w:r>
                  <w:r>
                    <w:rPr>
                      <w:rFonts w:hint="eastAsia" w:ascii="Times New Roman" w:hAnsi="Times New Roman" w:cs="Times New Roman" w:eastAsiaTheme="minorEastAsia"/>
                      <w:color w:val="auto"/>
                      <w:sz w:val="21"/>
                      <w:szCs w:val="21"/>
                      <w:vertAlign w:val="baseline"/>
                      <w:lang w:val="en-US" w:eastAsia="zh-CN"/>
                    </w:rPr>
                    <w:t>20</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2319" w:type="dxa"/>
                  <w:vMerge w:val="continue"/>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75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昼间dB（A）</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夜间dB（A）</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昼间dB（A）</w:t>
                  </w:r>
                </w:p>
              </w:tc>
              <w:tc>
                <w:tcPr>
                  <w:tcW w:w="1760"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1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1#北厂界</w:t>
                  </w:r>
                </w:p>
              </w:tc>
              <w:tc>
                <w:tcPr>
                  <w:tcW w:w="175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52</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45</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51</w:t>
                  </w:r>
                </w:p>
              </w:tc>
              <w:tc>
                <w:tcPr>
                  <w:tcW w:w="1760"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1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2#东厂界</w:t>
                  </w:r>
                </w:p>
              </w:tc>
              <w:tc>
                <w:tcPr>
                  <w:tcW w:w="175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51</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45</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52</w:t>
                  </w:r>
                </w:p>
              </w:tc>
              <w:tc>
                <w:tcPr>
                  <w:tcW w:w="1760"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1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3#南厂界</w:t>
                  </w:r>
                </w:p>
              </w:tc>
              <w:tc>
                <w:tcPr>
                  <w:tcW w:w="175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51</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46</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50</w:t>
                  </w:r>
                </w:p>
              </w:tc>
              <w:tc>
                <w:tcPr>
                  <w:tcW w:w="1760"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1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4#西厂界</w:t>
                  </w:r>
                </w:p>
              </w:tc>
              <w:tc>
                <w:tcPr>
                  <w:tcW w:w="175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54</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48</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57</w:t>
                  </w:r>
                </w:p>
              </w:tc>
              <w:tc>
                <w:tcPr>
                  <w:tcW w:w="1760"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48</w:t>
                  </w:r>
                </w:p>
              </w:tc>
            </w:tr>
          </w:tbl>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left="0" w:leftChars="0" w:firstLine="480" w:firstLineChars="200"/>
              <w:textAlignment w:val="auto"/>
              <w:rPr>
                <w:rFonts w:hint="default" w:ascii="Times New Roman" w:hAnsi="Times New Roman" w:eastAsia="宋体" w:cs="Times New Roman"/>
                <w:b w:val="0"/>
                <w:bCs/>
                <w:sz w:val="24"/>
                <w:szCs w:val="32"/>
                <w:lang w:val="en-US" w:eastAsia="zh-CN"/>
              </w:rPr>
            </w:pPr>
            <w:r>
              <w:rPr>
                <w:rFonts w:hint="default" w:ascii="Times New Roman" w:hAnsi="Times New Roman" w:eastAsia="宋体" w:cs="Times New Roman"/>
                <w:b w:val="0"/>
                <w:bCs/>
                <w:sz w:val="24"/>
                <w:szCs w:val="32"/>
                <w:lang w:val="en-US" w:eastAsia="zh-CN"/>
              </w:rPr>
              <w:t>4、固体废弃物</w:t>
            </w:r>
          </w:p>
          <w:p>
            <w:pPr>
              <w:pStyle w:val="7"/>
              <w:keepNext w:val="0"/>
              <w:keepLines w:val="0"/>
              <w:pageBreakBefore w:val="0"/>
              <w:widowControl w:val="0"/>
              <w:kinsoku/>
              <w:wordWrap/>
              <w:overflowPunct/>
              <w:topLinePunct w:val="0"/>
              <w:autoSpaceDE w:val="0"/>
              <w:autoSpaceDN w:val="0"/>
              <w:bidi w:val="0"/>
              <w:adjustRightInd/>
              <w:snapToGrid/>
              <w:spacing w:before="0" w:beforeLines="50" w:line="360" w:lineRule="auto"/>
              <w:ind w:left="0" w:leftChars="0" w:firstLine="480" w:firstLineChars="200"/>
              <w:textAlignment w:val="auto"/>
              <w:rPr>
                <w:rFonts w:hint="default" w:ascii="Times New Roman" w:hAnsi="Times New Roman" w:eastAsia="宋体" w:cs="Times New Roman"/>
                <w:b w:val="0"/>
                <w:bCs w:val="0"/>
                <w:lang w:val="en-US" w:eastAsia="zh-CN"/>
              </w:rPr>
            </w:pPr>
            <w:r>
              <w:rPr>
                <w:rFonts w:hint="eastAsia" w:ascii="Times New Roman" w:hAnsi="Times New Roman" w:cs="Times New Roman"/>
                <w:b w:val="0"/>
                <w:bCs w:val="0"/>
                <w:sz w:val="24"/>
                <w:szCs w:val="24"/>
                <w:lang w:eastAsia="zh-CN"/>
              </w:rPr>
              <w:t>根据现场调查及企业提供资料，</w:t>
            </w:r>
            <w:r>
              <w:rPr>
                <w:rFonts w:hint="default" w:ascii="Times New Roman" w:hAnsi="Times New Roman" w:cs="Times New Roman"/>
                <w:b w:val="0"/>
                <w:bCs w:val="0"/>
                <w:sz w:val="24"/>
                <w:szCs w:val="24"/>
              </w:rPr>
              <w:t>本项目产生的固体废物</w:t>
            </w:r>
            <w:r>
              <w:rPr>
                <w:rFonts w:hint="eastAsia" w:ascii="Times New Roman" w:hAnsi="Times New Roman" w:cs="Times New Roman"/>
                <w:b w:val="0"/>
                <w:bCs w:val="0"/>
                <w:sz w:val="24"/>
                <w:szCs w:val="24"/>
                <w:lang w:eastAsia="zh-CN"/>
              </w:rPr>
              <w:t>包括</w:t>
            </w:r>
            <w:r>
              <w:rPr>
                <w:rFonts w:hint="eastAsia" w:ascii="Times New Roman" w:hAnsi="Times New Roman" w:cs="Times New Roman"/>
                <w:b w:val="0"/>
                <w:bCs w:val="0"/>
                <w:sz w:val="24"/>
                <w:szCs w:val="24"/>
                <w:lang w:val="en-US" w:eastAsia="zh-CN"/>
              </w:rPr>
              <w:t>生活垃圾</w:t>
            </w:r>
            <w:r>
              <w:rPr>
                <w:rFonts w:hint="eastAsia" w:ascii="Times New Roman" w:hAnsi="Times New Roman" w:cs="Times New Roman"/>
                <w:b w:val="0"/>
                <w:bCs w:val="0"/>
                <w:sz w:val="24"/>
                <w:szCs w:val="24"/>
                <w:lang w:eastAsia="zh-CN"/>
              </w:rPr>
              <w:t>和危险废物。</w:t>
            </w:r>
            <w:r>
              <w:rPr>
                <w:rFonts w:hint="eastAsia" w:ascii="Times New Roman" w:hAnsi="Times New Roman" w:cs="Times New Roman"/>
                <w:b w:val="0"/>
                <w:bCs w:val="0"/>
                <w:sz w:val="24"/>
                <w:szCs w:val="24"/>
                <w:lang w:val="en-US" w:eastAsia="zh-CN"/>
              </w:rPr>
              <w:t>生活垃圾</w:t>
            </w:r>
            <w:r>
              <w:rPr>
                <w:rFonts w:hint="default" w:ascii="Times New Roman" w:hAnsi="Times New Roman" w:cs="Times New Roman"/>
                <w:b w:val="0"/>
                <w:bCs w:val="0"/>
                <w:sz w:val="24"/>
                <w:szCs w:val="24"/>
              </w:rPr>
              <w:t>主要是员工日常活动及流动人员产生的</w:t>
            </w:r>
            <w:r>
              <w:rPr>
                <w:rFonts w:hint="eastAsia" w:ascii="Times New Roman" w:hAnsi="Times New Roman" w:cs="Times New Roman"/>
                <w:b w:val="0"/>
                <w:bCs w:val="0"/>
                <w:sz w:val="24"/>
                <w:szCs w:val="24"/>
                <w:lang w:val="en-US" w:eastAsia="zh-CN"/>
              </w:rPr>
              <w:t>固体废物</w:t>
            </w:r>
            <w:r>
              <w:rPr>
                <w:rFonts w:hint="eastAsia" w:ascii="Times New Roman" w:hAnsi="Times New Roman" w:cs="Times New Roman"/>
                <w:b w:val="0"/>
                <w:bCs w:val="0"/>
                <w:sz w:val="24"/>
                <w:szCs w:val="24"/>
                <w:lang w:eastAsia="zh-CN"/>
              </w:rPr>
              <w:t>，年产生量为</w:t>
            </w:r>
            <w:r>
              <w:rPr>
                <w:rFonts w:hint="eastAsia" w:ascii="Times New Roman" w:hAnsi="Times New Roman" w:cs="Times New Roman"/>
                <w:b w:val="0"/>
                <w:bCs w:val="0"/>
                <w:sz w:val="24"/>
                <w:szCs w:val="24"/>
                <w:lang w:val="en-US" w:eastAsia="zh-CN"/>
              </w:rPr>
              <w:t>2.80t</w:t>
            </w:r>
            <w:r>
              <w:rPr>
                <w:rFonts w:hint="eastAsia" w:ascii="Times New Roman" w:hAnsi="Times New Roman" w:cs="Times New Roman"/>
                <w:b w:val="0"/>
                <w:bCs w:val="0"/>
                <w:sz w:val="24"/>
                <w:szCs w:val="24"/>
                <w:lang w:eastAsia="zh-CN"/>
              </w:rPr>
              <w:t>。危险废物主要是废润滑油（</w:t>
            </w:r>
            <w:r>
              <w:rPr>
                <w:rFonts w:hint="eastAsia" w:ascii="Times New Roman" w:hAnsi="Times New Roman" w:cs="Times New Roman"/>
                <w:b w:val="0"/>
                <w:bCs w:val="0"/>
                <w:sz w:val="24"/>
                <w:szCs w:val="24"/>
                <w:lang w:val="en-US" w:eastAsia="zh-CN"/>
              </w:rPr>
              <w:t>0.03t/a</w:t>
            </w:r>
            <w:r>
              <w:rPr>
                <w:rFonts w:hint="eastAsia"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油罐</w:t>
            </w:r>
            <w:r>
              <w:rPr>
                <w:rFonts w:hint="eastAsia" w:ascii="Times New Roman" w:hAnsi="Times New Roman" w:cs="Times New Roman"/>
                <w:b w:val="0"/>
                <w:bCs w:val="0"/>
                <w:sz w:val="24"/>
                <w:szCs w:val="24"/>
                <w:lang w:val="en-US" w:eastAsia="zh-CN"/>
              </w:rPr>
              <w:t>底部</w:t>
            </w:r>
            <w:r>
              <w:rPr>
                <w:rFonts w:hint="default" w:ascii="Times New Roman" w:hAnsi="Times New Roman" w:cs="Times New Roman"/>
                <w:b w:val="0"/>
                <w:bCs w:val="0"/>
                <w:sz w:val="24"/>
                <w:szCs w:val="24"/>
              </w:rPr>
              <w:t>油泥</w:t>
            </w:r>
            <w:r>
              <w:rPr>
                <w:rFonts w:hint="eastAsia" w:ascii="Times New Roman" w:hAnsi="Times New Roman" w:cs="Times New Roman"/>
                <w:b w:val="0"/>
                <w:bCs w:val="0"/>
                <w:sz w:val="24"/>
                <w:szCs w:val="24"/>
                <w:lang w:eastAsia="zh-CN"/>
              </w:rPr>
              <w:t>（</w:t>
            </w:r>
            <w:r>
              <w:rPr>
                <w:rFonts w:hint="eastAsia" w:ascii="Times New Roman" w:hAnsi="Times New Roman" w:cs="Times New Roman"/>
                <w:b w:val="0"/>
                <w:bCs w:val="0"/>
                <w:sz w:val="24"/>
                <w:szCs w:val="24"/>
                <w:lang w:val="en-US" w:eastAsia="zh-CN"/>
              </w:rPr>
              <w:t>0.10t/a</w:t>
            </w:r>
            <w:r>
              <w:rPr>
                <w:rFonts w:hint="eastAsia" w:ascii="Times New Roman" w:hAnsi="Times New Roman" w:cs="Times New Roman"/>
                <w:b w:val="0"/>
                <w:bCs w:val="0"/>
                <w:sz w:val="24"/>
                <w:szCs w:val="24"/>
                <w:lang w:eastAsia="zh-CN"/>
              </w:rPr>
              <w:t>）、废含油棉纱、废手套（</w:t>
            </w:r>
            <w:r>
              <w:rPr>
                <w:rFonts w:hint="eastAsia" w:ascii="Times New Roman" w:hAnsi="Times New Roman" w:cs="Times New Roman"/>
                <w:b w:val="0"/>
                <w:bCs w:val="0"/>
                <w:sz w:val="24"/>
                <w:szCs w:val="24"/>
                <w:lang w:val="en-US" w:eastAsia="zh-CN"/>
              </w:rPr>
              <w:t>0.002t/a</w:t>
            </w:r>
            <w:r>
              <w:rPr>
                <w:rFonts w:hint="eastAsia" w:ascii="Times New Roman" w:hAnsi="Times New Roman" w:cs="Times New Roman"/>
                <w:b w:val="0"/>
                <w:bCs w:val="0"/>
                <w:sz w:val="24"/>
                <w:szCs w:val="24"/>
                <w:lang w:eastAsia="zh-CN"/>
              </w:rPr>
              <w:t>）、废油沙（</w:t>
            </w:r>
            <w:r>
              <w:rPr>
                <w:rFonts w:hint="eastAsia" w:ascii="Times New Roman" w:hAnsi="Times New Roman" w:cs="Times New Roman"/>
                <w:b w:val="0"/>
                <w:bCs w:val="0"/>
                <w:sz w:val="24"/>
                <w:szCs w:val="24"/>
                <w:lang w:val="en-US" w:eastAsia="zh-CN"/>
              </w:rPr>
              <w:t>0.1t/a</w:t>
            </w:r>
            <w:r>
              <w:rPr>
                <w:rFonts w:hint="eastAsia" w:ascii="Times New Roman" w:hAnsi="Times New Roman" w:cs="Times New Roman"/>
                <w:b w:val="0"/>
                <w:bCs w:val="0"/>
                <w:sz w:val="24"/>
                <w:szCs w:val="24"/>
                <w:lang w:eastAsia="zh-CN"/>
              </w:rPr>
              <w:t>）</w:t>
            </w:r>
            <w:r>
              <w:rPr>
                <w:rFonts w:hint="default" w:ascii="Times New Roman" w:hAnsi="Times New Roman" w:cs="Times New Roman"/>
                <w:b w:val="0"/>
                <w:bCs w:val="0"/>
                <w:sz w:val="24"/>
                <w:szCs w:val="24"/>
                <w:lang w:eastAsia="zh-CN"/>
              </w:rPr>
              <w:t>。</w:t>
            </w:r>
            <w:r>
              <w:rPr>
                <w:rFonts w:hint="eastAsia" w:ascii="Times New Roman" w:hAnsi="Times New Roman" w:cs="Times New Roman"/>
                <w:b w:val="0"/>
                <w:bCs w:val="0"/>
                <w:lang w:val="en-US" w:eastAsia="zh-CN"/>
              </w:rPr>
              <w:t>生活垃圾分类收集，交由环卫部门统一清运。</w:t>
            </w:r>
            <w:r>
              <w:rPr>
                <w:rFonts w:hint="eastAsia" w:ascii="Times New Roman" w:hAnsi="Times New Roman" w:cs="Times New Roman"/>
                <w:b w:val="0"/>
                <w:bCs w:val="0"/>
                <w:highlight w:val="none"/>
                <w:lang w:val="en-US" w:eastAsia="zh-CN"/>
              </w:rPr>
              <w:t>油罐底部</w:t>
            </w:r>
            <w:r>
              <w:rPr>
                <w:rFonts w:hint="default" w:ascii="Times New Roman" w:hAnsi="Times New Roman" w:eastAsia="宋体" w:cs="Times New Roman"/>
                <w:b w:val="0"/>
                <w:bCs w:val="0"/>
                <w:highlight w:val="none"/>
                <w:lang w:val="en-US" w:eastAsia="zh-CN"/>
              </w:rPr>
              <w:t>油泥</w:t>
            </w:r>
            <w:r>
              <w:rPr>
                <w:rFonts w:hint="eastAsia" w:ascii="Times New Roman" w:hAnsi="Times New Roman" w:cs="Times New Roman"/>
                <w:b w:val="0"/>
                <w:bCs w:val="0"/>
                <w:highlight w:val="none"/>
                <w:lang w:val="en-US" w:eastAsia="zh-CN"/>
              </w:rPr>
              <w:t>交由专业公司统一处理，不在站内贮存。</w:t>
            </w:r>
            <w:r>
              <w:rPr>
                <w:rFonts w:hint="eastAsia" w:ascii="Times New Roman" w:hAnsi="Times New Roman" w:cs="Times New Roman"/>
                <w:b w:val="0"/>
                <w:bCs w:val="0"/>
                <w:lang w:val="en-US" w:eastAsia="zh-CN"/>
              </w:rPr>
              <w:t>废润滑油、</w:t>
            </w:r>
            <w:r>
              <w:rPr>
                <w:rFonts w:hint="eastAsia" w:ascii="Times New Roman" w:hAnsi="Times New Roman" w:cs="Times New Roman"/>
                <w:b w:val="0"/>
                <w:bCs w:val="0"/>
                <w:sz w:val="24"/>
                <w:szCs w:val="24"/>
                <w:lang w:eastAsia="zh-CN"/>
              </w:rPr>
              <w:t>废含油棉纱、废手套、废油沙</w:t>
            </w:r>
            <w:r>
              <w:rPr>
                <w:rFonts w:hint="default" w:ascii="Times New Roman" w:hAnsi="Times New Roman" w:eastAsia="宋体" w:cs="Times New Roman"/>
                <w:b w:val="0"/>
                <w:bCs w:val="0"/>
                <w:lang w:val="en-US" w:eastAsia="zh-CN"/>
              </w:rPr>
              <w:t>暂存于危废暂存间，统一交由陕西明瑞资源再生有限公司处置。</w:t>
            </w:r>
          </w:p>
          <w:p>
            <w:pPr>
              <w:pStyle w:val="21"/>
              <w:keepNext w:val="0"/>
              <w:keepLines w:val="0"/>
              <w:pageBreakBefore w:val="0"/>
              <w:widowControl w:val="0"/>
              <w:numPr>
                <w:ilvl w:val="-1"/>
                <w:numId w:val="0"/>
              </w:numPr>
              <w:tabs>
                <w:tab w:val="left" w:pos="954"/>
              </w:tabs>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cs="Times New Roman" w:eastAsiaTheme="minorEastAsia"/>
                <w:b/>
                <w:color w:val="000000"/>
                <w:sz w:val="28"/>
                <w:szCs w:val="28"/>
                <w:highlight w:val="none"/>
                <w:lang w:val="en-US" w:bidi="ar-SA"/>
              </w:rPr>
            </w:pPr>
            <w:r>
              <w:rPr>
                <w:rStyle w:val="23"/>
                <w:rFonts w:hint="eastAsia" w:ascii="Times New Roman" w:hAnsi="Times New Roman" w:cs="Times New Roman"/>
                <w:highlight w:val="none"/>
                <w:lang w:val="en-US" w:eastAsia="zh-CN"/>
              </w:rPr>
              <w:t>三</w:t>
            </w:r>
            <w:r>
              <w:rPr>
                <w:rStyle w:val="23"/>
                <w:rFonts w:hint="default" w:ascii="Times New Roman" w:hAnsi="Times New Roman" w:cs="Times New Roman"/>
                <w:highlight w:val="none"/>
                <w:lang w:val="en-US" w:eastAsia="zh-CN"/>
              </w:rPr>
              <w:t>、</w:t>
            </w:r>
            <w:r>
              <w:rPr>
                <w:rStyle w:val="23"/>
                <w:rFonts w:hint="default" w:ascii="Times New Roman" w:hAnsi="Times New Roman" w:cs="Times New Roman"/>
                <w:highlight w:val="none"/>
                <w:lang w:val="en-US"/>
              </w:rPr>
              <w:t>污染物排放总量核算</w:t>
            </w:r>
          </w:p>
          <w:bookmarkEnd w:id="72"/>
          <w:bookmarkEnd w:id="73"/>
          <w:p>
            <w:pPr>
              <w:keepNext w:val="0"/>
              <w:keepLines w:val="0"/>
              <w:pageBreakBefore w:val="0"/>
              <w:widowControl w:val="0"/>
              <w:kinsoku/>
              <w:wordWrap/>
              <w:overflowPunct/>
              <w:topLinePunct w:val="0"/>
              <w:autoSpaceDE w:val="0"/>
              <w:autoSpaceDN w:val="0"/>
              <w:bidi w:val="0"/>
              <w:adjustRightInd/>
              <w:snapToGrid/>
              <w:spacing w:line="360" w:lineRule="auto"/>
              <w:ind w:firstLine="482"/>
              <w:jc w:val="both"/>
              <w:textAlignment w:val="auto"/>
              <w:rPr>
                <w:rFonts w:hint="default" w:ascii="Times New Roman" w:hAnsi="Times New Roman" w:eastAsia="宋体" w:cs="Times New Roman"/>
                <w:b w:val="0"/>
                <w:bCs w:val="0"/>
                <w:sz w:val="24"/>
                <w:szCs w:val="24"/>
                <w:lang w:val="zh-CN" w:eastAsia="zh-CN" w:bidi="zh-CN"/>
              </w:rPr>
            </w:pPr>
            <w:r>
              <w:rPr>
                <w:rFonts w:hint="default" w:ascii="Times New Roman" w:hAnsi="Times New Roman" w:eastAsia="宋体" w:cs="Times New Roman"/>
                <w:b w:val="0"/>
                <w:bCs w:val="0"/>
                <w:sz w:val="24"/>
                <w:szCs w:val="24"/>
                <w:lang w:val="zh-CN" w:eastAsia="zh-CN" w:bidi="zh-CN"/>
              </w:rPr>
              <w:t>根据“十三五”全国主要污染物排放总量控制中提出的全国主要污染物排放总量控制项目，结合本工程的排污特点，本项目产生的废气主要为无组织排放的非甲烷总烃；产生的废水经处理后综合利用不外排</w:t>
            </w:r>
            <w:r>
              <w:rPr>
                <w:rFonts w:hint="eastAsia" w:ascii="Times New Roman" w:hAnsi="Times New Roman" w:eastAsia="宋体" w:cs="Times New Roman"/>
                <w:b w:val="0"/>
                <w:bCs w:val="0"/>
                <w:sz w:val="24"/>
                <w:szCs w:val="24"/>
                <w:lang w:val="zh-CN" w:eastAsia="zh-CN" w:bidi="zh-CN"/>
              </w:rPr>
              <w:t>。</w:t>
            </w:r>
            <w:r>
              <w:rPr>
                <w:rFonts w:hint="eastAsia" w:ascii="Times New Roman" w:hAnsi="Times New Roman" w:cs="Times New Roman"/>
                <w:b w:val="0"/>
                <w:bCs w:val="0"/>
                <w:sz w:val="24"/>
                <w:szCs w:val="24"/>
                <w:lang w:val="zh-CN" w:eastAsia="zh-CN" w:bidi="zh-CN"/>
              </w:rPr>
              <w:t>环评建议</w:t>
            </w:r>
            <w:r>
              <w:rPr>
                <w:rFonts w:hint="default" w:ascii="Times New Roman" w:hAnsi="Times New Roman" w:eastAsia="宋体" w:cs="Times New Roman"/>
                <w:b w:val="0"/>
                <w:bCs w:val="0"/>
                <w:sz w:val="24"/>
                <w:szCs w:val="24"/>
                <w:lang w:val="zh-CN" w:eastAsia="zh-CN" w:bidi="zh-CN"/>
              </w:rPr>
              <w:t>本</w:t>
            </w:r>
            <w:r>
              <w:rPr>
                <w:rFonts w:hint="eastAsia" w:ascii="Times New Roman" w:hAnsi="Times New Roman" w:eastAsia="宋体" w:cs="Times New Roman"/>
                <w:b w:val="0"/>
                <w:bCs w:val="0"/>
                <w:sz w:val="24"/>
                <w:szCs w:val="24"/>
                <w:lang w:val="zh-CN" w:eastAsia="zh-CN" w:bidi="zh-CN"/>
              </w:rPr>
              <w:t>项目总量控制指标</w:t>
            </w:r>
            <w:r>
              <w:rPr>
                <w:rFonts w:hint="default" w:ascii="Times New Roman" w:hAnsi="Times New Roman" w:eastAsia="宋体" w:cs="Times New Roman"/>
                <w:b w:val="0"/>
                <w:bCs w:val="0"/>
                <w:sz w:val="24"/>
                <w:szCs w:val="24"/>
                <w:lang w:val="zh-CN" w:eastAsia="zh-CN" w:bidi="zh-CN"/>
              </w:rPr>
              <w:t>VOCs：0.455t/a</w:t>
            </w:r>
            <w:r>
              <w:rPr>
                <w:rFonts w:hint="eastAsia" w:ascii="Times New Roman" w:hAnsi="Times New Roman" w:eastAsia="宋体" w:cs="Times New Roman"/>
                <w:b w:val="0"/>
                <w:bCs w:val="0"/>
                <w:sz w:val="24"/>
                <w:szCs w:val="24"/>
                <w:lang w:val="zh-CN" w:eastAsia="zh-CN" w:bidi="zh-CN"/>
              </w:rPr>
              <w:t>。</w:t>
            </w:r>
            <w:r>
              <w:rPr>
                <w:rFonts w:hint="default" w:ascii="Times New Roman" w:hAnsi="Times New Roman" w:eastAsia="宋体" w:cs="Times New Roman"/>
                <w:b w:val="0"/>
                <w:bCs w:val="0"/>
                <w:sz w:val="24"/>
                <w:szCs w:val="24"/>
                <w:lang w:val="zh-CN" w:eastAsia="zh-CN" w:bidi="zh-CN"/>
              </w:rPr>
              <w:t>验收监测期间，非甲烷总烃</w:t>
            </w:r>
            <w:r>
              <w:rPr>
                <w:rFonts w:hint="eastAsia" w:ascii="Times New Roman" w:hAnsi="Times New Roman" w:cs="Times New Roman"/>
                <w:b w:val="0"/>
                <w:bCs w:val="0"/>
                <w:sz w:val="24"/>
                <w:szCs w:val="24"/>
                <w:lang w:val="zh-CN" w:eastAsia="zh-CN" w:bidi="zh-CN"/>
              </w:rPr>
              <w:t>无组织</w:t>
            </w:r>
            <w:r>
              <w:rPr>
                <w:rFonts w:hint="default" w:ascii="Times New Roman" w:hAnsi="Times New Roman" w:eastAsia="宋体" w:cs="Times New Roman"/>
                <w:b w:val="0"/>
                <w:bCs w:val="0"/>
                <w:sz w:val="24"/>
                <w:szCs w:val="24"/>
                <w:lang w:val="zh-CN" w:eastAsia="zh-CN" w:bidi="zh-CN"/>
              </w:rPr>
              <w:t>最大排放总量小于环评的总量要求，可达标排放。</w:t>
            </w:r>
          </w:p>
          <w:p>
            <w:pPr>
              <w:pStyle w:val="5"/>
              <w:spacing w:after="0" w:line="360" w:lineRule="auto"/>
              <w:ind w:right="0" w:firstLine="480" w:firstLineChars="200"/>
              <w:jc w:val="both"/>
              <w:rPr>
                <w:rFonts w:hint="default" w:ascii="Times New Roman" w:hAnsi="Times New Roman" w:cs="Times New Roman" w:eastAsiaTheme="minorEastAsia"/>
                <w:sz w:val="24"/>
                <w:szCs w:val="24"/>
              </w:rPr>
            </w:pPr>
          </w:p>
        </w:tc>
      </w:tr>
    </w:tbl>
    <w:p>
      <w:pPr>
        <w:rPr>
          <w:rFonts w:hint="default"/>
        </w:rPr>
      </w:pPr>
      <w:r>
        <w:rPr>
          <w:rFonts w:hint="default"/>
        </w:rPr>
        <w:br w:type="page"/>
      </w:r>
    </w:p>
    <w:p>
      <w:pPr>
        <w:pStyle w:val="6"/>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t xml:space="preserve">表 </w:t>
      </w:r>
      <w:r>
        <w:rPr>
          <w:rFonts w:hint="eastAsia" w:ascii="Times New Roman" w:hAnsi="Times New Roman" w:eastAsia="黑体" w:cs="Times New Roman"/>
          <w:lang w:val="en-US" w:eastAsia="zh-CN"/>
        </w:rPr>
        <w:t>8</w:t>
      </w:r>
      <w:r>
        <w:rPr>
          <w:rFonts w:hint="default" w:ascii="Times New Roman" w:hAnsi="Times New Roman" w:eastAsia="黑体" w:cs="Times New Roman"/>
        </w:rPr>
        <w:t xml:space="preserve"> 验收监测结论</w:t>
      </w:r>
    </w:p>
    <w:tbl>
      <w:tblPr>
        <w:tblStyle w:val="17"/>
        <w:tblW w:w="95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507" w:type="dxa"/>
            <w:vAlign w:val="top"/>
          </w:tcPr>
          <w:p>
            <w:pPr>
              <w:pStyle w:val="7"/>
              <w:bidi w:val="0"/>
              <w:spacing w:line="360" w:lineRule="auto"/>
              <w:ind w:left="0"/>
              <w:rPr>
                <w:rFonts w:hint="default" w:ascii="Times New Roman" w:hAnsi="Times New Roman" w:cs="Times New Roman"/>
                <w:lang w:val="en-US" w:eastAsia="zh-CN"/>
              </w:rPr>
            </w:pPr>
            <w:r>
              <w:rPr>
                <w:rFonts w:hint="default" w:ascii="Times New Roman" w:hAnsi="Times New Roman" w:cs="Times New Roman"/>
                <w:lang w:val="en-US" w:eastAsia="zh-CN"/>
              </w:rPr>
              <w:t>一、环境保护设施调试运行结果</w:t>
            </w:r>
          </w:p>
          <w:p>
            <w:pPr>
              <w:pStyle w:val="5"/>
              <w:spacing w:before="0" w:after="0" w:line="360" w:lineRule="auto"/>
              <w:ind w:right="0" w:firstLine="480" w:firstLineChars="200"/>
              <w:rPr>
                <w:rFonts w:hint="default" w:ascii="Times New Roman" w:hAnsi="Times New Roman" w:eastAsia="宋体" w:cs="Times New Roman"/>
                <w:highlight w:val="none"/>
              </w:rPr>
            </w:pPr>
            <w:bookmarkStart w:id="74" w:name="_Toc280"/>
            <w:r>
              <w:rPr>
                <w:rFonts w:hint="default" w:ascii="Times New Roman" w:hAnsi="Times New Roman" w:eastAsia="宋体" w:cs="Times New Roman"/>
                <w:sz w:val="24"/>
                <w:szCs w:val="24"/>
                <w:lang w:val="en-US" w:eastAsia="zh-CN" w:bidi="zh-CN"/>
              </w:rPr>
              <w:t>根据陕西</w:t>
            </w:r>
            <w:r>
              <w:rPr>
                <w:rFonts w:hint="eastAsia" w:ascii="Times New Roman" w:hAnsi="Times New Roman" w:eastAsia="宋体" w:cs="Times New Roman"/>
                <w:sz w:val="24"/>
                <w:szCs w:val="24"/>
                <w:lang w:val="en-US" w:eastAsia="zh-CN" w:bidi="zh-CN"/>
              </w:rPr>
              <w:t>安讯环境</w:t>
            </w:r>
            <w:r>
              <w:rPr>
                <w:rFonts w:hint="default" w:ascii="Times New Roman" w:hAnsi="Times New Roman" w:eastAsia="宋体" w:cs="Times New Roman"/>
                <w:sz w:val="24"/>
                <w:szCs w:val="24"/>
                <w:lang w:val="en-US" w:eastAsia="zh-CN" w:bidi="zh-CN"/>
              </w:rPr>
              <w:t>检测有限公司于20</w:t>
            </w:r>
            <w:r>
              <w:rPr>
                <w:rFonts w:hint="eastAsia" w:ascii="Times New Roman" w:hAnsi="Times New Roman" w:eastAsia="宋体" w:cs="Times New Roman"/>
                <w:sz w:val="24"/>
                <w:szCs w:val="24"/>
                <w:lang w:val="en-US" w:eastAsia="zh-CN" w:bidi="zh-CN"/>
              </w:rPr>
              <w:t>20</w:t>
            </w:r>
            <w:r>
              <w:rPr>
                <w:rFonts w:hint="default" w:ascii="Times New Roman" w:hAnsi="Times New Roman" w:eastAsia="宋体" w:cs="Times New Roman"/>
                <w:sz w:val="24"/>
                <w:szCs w:val="24"/>
                <w:lang w:val="en-US" w:eastAsia="zh-CN" w:bidi="zh-CN"/>
              </w:rPr>
              <w:t>年</w:t>
            </w:r>
            <w:r>
              <w:rPr>
                <w:rFonts w:hint="eastAsia" w:ascii="Times New Roman" w:hAnsi="Times New Roman" w:eastAsia="宋体" w:cs="Times New Roman"/>
                <w:sz w:val="24"/>
                <w:szCs w:val="24"/>
                <w:lang w:val="en-US" w:eastAsia="zh-CN" w:bidi="zh-CN"/>
              </w:rPr>
              <w:t>8</w:t>
            </w:r>
            <w:r>
              <w:rPr>
                <w:rFonts w:hint="default" w:ascii="Times New Roman" w:hAnsi="Times New Roman" w:eastAsia="宋体" w:cs="Times New Roman"/>
                <w:sz w:val="24"/>
                <w:szCs w:val="24"/>
                <w:lang w:val="en-US" w:eastAsia="zh-CN" w:bidi="zh-CN"/>
              </w:rPr>
              <w:t>月</w:t>
            </w:r>
            <w:r>
              <w:rPr>
                <w:rFonts w:hint="eastAsia" w:ascii="Times New Roman" w:hAnsi="Times New Roman" w:eastAsia="宋体" w:cs="Times New Roman"/>
                <w:sz w:val="24"/>
                <w:szCs w:val="24"/>
                <w:lang w:val="en-US" w:eastAsia="zh-CN" w:bidi="zh-CN"/>
              </w:rPr>
              <w:t>31</w:t>
            </w:r>
            <w:r>
              <w:rPr>
                <w:rFonts w:hint="default" w:ascii="Times New Roman" w:hAnsi="Times New Roman" w:eastAsia="宋体" w:cs="Times New Roman"/>
                <w:sz w:val="24"/>
                <w:szCs w:val="24"/>
                <w:lang w:val="en-US" w:eastAsia="zh-CN" w:bidi="zh-CN"/>
              </w:rPr>
              <w:t>日</w:t>
            </w:r>
            <w:r>
              <w:rPr>
                <w:rFonts w:hint="eastAsia" w:ascii="Times New Roman" w:hAnsi="Times New Roman" w:eastAsia="宋体" w:cs="Times New Roman"/>
                <w:sz w:val="24"/>
                <w:szCs w:val="24"/>
                <w:lang w:val="en-US" w:eastAsia="zh-CN" w:bidi="zh-CN"/>
              </w:rPr>
              <w:t>-9</w:t>
            </w:r>
            <w:r>
              <w:rPr>
                <w:rFonts w:hint="default" w:ascii="Times New Roman" w:hAnsi="Times New Roman" w:eastAsia="宋体" w:cs="Times New Roman"/>
                <w:sz w:val="24"/>
                <w:szCs w:val="24"/>
                <w:lang w:val="en-US" w:eastAsia="zh-CN" w:bidi="zh-CN"/>
              </w:rPr>
              <w:t>月1日对项目废水、废气、噪声现场监测结果分析项目环保设施调试效果。</w:t>
            </w:r>
          </w:p>
          <w:p>
            <w:pPr>
              <w:pStyle w:val="22"/>
              <w:keepNext w:val="0"/>
              <w:keepLines w:val="0"/>
              <w:pageBreakBefore w:val="0"/>
              <w:widowControl/>
              <w:numPr>
                <w:ilvl w:val="-1"/>
                <w:numId w:val="0"/>
              </w:numPr>
              <w:kinsoku/>
              <w:wordWrap/>
              <w:overflowPunct/>
              <w:topLinePunct w:val="0"/>
              <w:autoSpaceDE/>
              <w:autoSpaceDN/>
              <w:bidi w:val="0"/>
              <w:adjustRightInd/>
              <w:snapToGrid/>
              <w:spacing w:before="0" w:beforeLines="0" w:beforeAutospacing="0" w:after="0" w:afterLines="0" w:afterAutospacing="0" w:line="360" w:lineRule="auto"/>
              <w:ind w:leftChars="0" w:firstLine="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1、废水治理措施</w:t>
            </w:r>
          </w:p>
          <w:p>
            <w:pPr>
              <w:pStyle w:val="19"/>
              <w:keepNext w:val="0"/>
              <w:keepLines w:val="0"/>
              <w:pageBreakBefore w:val="0"/>
              <w:widowControl/>
              <w:numPr>
                <w:ilvl w:val="-1"/>
                <w:numId w:val="0"/>
              </w:numPr>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项目场地废水主要为生活污水，生活污水</w:t>
            </w:r>
            <w:r>
              <w:rPr>
                <w:rFonts w:hint="eastAsia"/>
                <w:snapToGrid w:val="0"/>
                <w:color w:val="auto"/>
                <w:kern w:val="0"/>
                <w:sz w:val="24"/>
                <w:szCs w:val="24"/>
              </w:rPr>
              <w:t>依托服务区内一体化埋地式中水回用膜处理设备处理后，出水回用于服务区场区绿化</w:t>
            </w:r>
            <w:r>
              <w:rPr>
                <w:rFonts w:hint="eastAsia"/>
                <w:snapToGrid w:val="0"/>
                <w:color w:val="auto"/>
                <w:kern w:val="0"/>
                <w:sz w:val="24"/>
                <w:szCs w:val="24"/>
                <w:lang w:eastAsia="zh-CN"/>
              </w:rPr>
              <w:t>和厕所冲水</w:t>
            </w:r>
            <w:r>
              <w:rPr>
                <w:rFonts w:hint="eastAsia"/>
                <w:snapToGrid w:val="0"/>
                <w:color w:val="auto"/>
                <w:kern w:val="0"/>
                <w:sz w:val="24"/>
                <w:szCs w:val="24"/>
              </w:rPr>
              <w:t>，不外排</w:t>
            </w:r>
            <w:r>
              <w:rPr>
                <w:rFonts w:hint="eastAsia"/>
                <w:snapToGrid w:val="0"/>
                <w:color w:val="auto"/>
                <w:kern w:val="0"/>
                <w:sz w:val="24"/>
                <w:lang w:eastAsia="zh-CN"/>
              </w:rPr>
              <w:t>。</w:t>
            </w:r>
            <w:r>
              <w:rPr>
                <w:rFonts w:hint="default" w:ascii="Times New Roman" w:hAnsi="Times New Roman" w:eastAsia="宋体" w:cs="Times New Roman"/>
                <w:sz w:val="24"/>
                <w:szCs w:val="24"/>
                <w:lang w:val="en-US" w:eastAsia="zh-CN" w:bidi="zh-CN"/>
              </w:rPr>
              <w:t>废水水质符合《污水综合排放标准》（GB8978-1996）中的一级标准及《城市污水再生利用城市杂用水水质标准》（GB T 18920-2002）中绿化水质标准。</w:t>
            </w:r>
            <w:bookmarkEnd w:id="74"/>
          </w:p>
          <w:p>
            <w:pPr>
              <w:pStyle w:val="22"/>
              <w:keepNext w:val="0"/>
              <w:keepLines w:val="0"/>
              <w:pageBreakBefore w:val="0"/>
              <w:widowControl/>
              <w:numPr>
                <w:ilvl w:val="-1"/>
                <w:numId w:val="0"/>
              </w:numPr>
              <w:kinsoku/>
              <w:wordWrap/>
              <w:overflowPunct/>
              <w:topLinePunct w:val="0"/>
              <w:autoSpaceDE/>
              <w:autoSpaceDN/>
              <w:bidi w:val="0"/>
              <w:adjustRightInd/>
              <w:snapToGrid/>
              <w:spacing w:before="0" w:beforeLines="0" w:beforeAutospacing="0" w:after="0" w:afterLines="0" w:afterAutospacing="0" w:line="360" w:lineRule="auto"/>
              <w:ind w:leftChars="0" w:firstLine="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2、废气治理措施</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项目地油气经三级回收装置处理，油气回收装置排放口监控点非甲烷总烃浓度符合《加油站大气污染物排放标准》（GB20952-2007）</w:t>
            </w:r>
            <w:r>
              <w:rPr>
                <w:rFonts w:hint="eastAsia" w:ascii="Times New Roman" w:hAnsi="Times New Roman" w:cs="Times New Roman"/>
                <w:lang w:val="en-US" w:eastAsia="zh-CN"/>
              </w:rPr>
              <w:t>排放标准，</w:t>
            </w:r>
            <w:r>
              <w:rPr>
                <w:rFonts w:hint="default" w:ascii="Times New Roman" w:hAnsi="Times New Roman" w:eastAsia="宋体" w:cs="Times New Roman"/>
                <w:lang w:val="en-US" w:eastAsia="zh-CN"/>
              </w:rPr>
              <w:t>无组织废气监控点</w:t>
            </w:r>
            <w:r>
              <w:rPr>
                <w:rFonts w:hint="default" w:ascii="Times New Roman" w:hAnsi="Times New Roman" w:cs="Times New Roman" w:eastAsiaTheme="minorEastAsia"/>
                <w:color w:val="auto"/>
                <w:kern w:val="0"/>
                <w:sz w:val="24"/>
              </w:rPr>
              <w:t>非甲烷总烃</w:t>
            </w:r>
            <w:r>
              <w:rPr>
                <w:rFonts w:hint="eastAsia" w:ascii="Times New Roman" w:hAnsi="Times New Roman" w:cs="Times New Roman" w:eastAsiaTheme="minorEastAsia"/>
                <w:color w:val="auto"/>
                <w:kern w:val="0"/>
                <w:sz w:val="24"/>
                <w:lang w:eastAsia="zh-CN"/>
              </w:rPr>
              <w:t>浓度满足</w:t>
            </w:r>
            <w:r>
              <w:rPr>
                <w:rFonts w:hint="default" w:ascii="Times New Roman" w:hAnsi="Times New Roman" w:cs="Times New Roman" w:eastAsiaTheme="minorEastAsia"/>
                <w:color w:val="auto"/>
                <w:kern w:val="0"/>
                <w:sz w:val="24"/>
              </w:rPr>
              <w:t>《大气污染物综合排放标准》（GB16297-1996）中无组织排放标准</w:t>
            </w:r>
            <w:r>
              <w:rPr>
                <w:rFonts w:hint="eastAsia" w:ascii="Times New Roman" w:hAnsi="Times New Roman" w:cs="Times New Roman" w:eastAsiaTheme="minorEastAsia"/>
                <w:color w:val="auto"/>
                <w:kern w:val="0"/>
                <w:sz w:val="24"/>
                <w:lang w:eastAsia="zh-CN"/>
              </w:rPr>
              <w:t>。</w:t>
            </w:r>
          </w:p>
          <w:p>
            <w:pPr>
              <w:pStyle w:val="22"/>
              <w:keepNext w:val="0"/>
              <w:keepLines w:val="0"/>
              <w:pageBreakBefore w:val="0"/>
              <w:widowControl/>
              <w:numPr>
                <w:ilvl w:val="-1"/>
                <w:numId w:val="0"/>
              </w:numPr>
              <w:kinsoku/>
              <w:wordWrap/>
              <w:overflowPunct/>
              <w:topLinePunct w:val="0"/>
              <w:autoSpaceDE/>
              <w:autoSpaceDN/>
              <w:bidi w:val="0"/>
              <w:adjustRightInd/>
              <w:snapToGrid/>
              <w:spacing w:before="0" w:beforeLines="0" w:beforeAutospacing="0" w:after="0" w:afterLines="0" w:afterAutospacing="0" w:line="360" w:lineRule="auto"/>
              <w:ind w:leftChars="0" w:firstLine="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3、噪声治理措施</w:t>
            </w:r>
          </w:p>
          <w:p>
            <w:pPr>
              <w:widowControl/>
              <w:numPr>
                <w:ilvl w:val="0"/>
                <w:numId w:val="0"/>
              </w:numPr>
              <w:autoSpaceDE/>
              <w:autoSpaceDN/>
              <w:adjustRightInd w:val="0"/>
              <w:snapToGrid w:val="0"/>
              <w:spacing w:line="360" w:lineRule="auto"/>
              <w:ind w:firstLine="480" w:firstLineChars="200"/>
              <w:outlineLvl w:val="9"/>
              <w:rPr>
                <w:rFonts w:hint="eastAsia"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rPr>
              <w:t>根据验收监测结果，项目验收监测期间，各高噪声设备经减振、隔声和距离衰减等措施后</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东厂界</w:t>
            </w:r>
            <w:r>
              <w:rPr>
                <w:rFonts w:hint="default" w:ascii="Times New Roman" w:hAnsi="Times New Roman" w:eastAsia="宋体" w:cs="Times New Roman"/>
                <w:color w:val="auto"/>
                <w:sz w:val="24"/>
                <w:szCs w:val="24"/>
                <w:lang w:val="en-US" w:eastAsia="zh-CN"/>
              </w:rPr>
              <w:t>监测点昼夜间噪声测定值均符合</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工业企业厂界环境噪声排放标准》（G12348-2008）</w:t>
            </w:r>
            <w:r>
              <w:rPr>
                <w:rFonts w:hint="eastAsia" w:ascii="Times New Roman" w:hAnsi="Times New Roman" w:cs="Times New Roman"/>
                <w:color w:val="auto"/>
                <w:sz w:val="24"/>
                <w:szCs w:val="24"/>
                <w:lang w:val="en-US" w:eastAsia="zh-CN"/>
              </w:rPr>
              <w:t>中的2</w:t>
            </w:r>
            <w:r>
              <w:rPr>
                <w:rFonts w:hint="default" w:ascii="Times New Roman" w:hAnsi="Times New Roman" w:eastAsia="宋体" w:cs="Times New Roman"/>
                <w:color w:val="auto"/>
                <w:sz w:val="24"/>
                <w:szCs w:val="24"/>
                <w:lang w:val="en-US" w:eastAsia="zh-CN"/>
              </w:rPr>
              <w:t>类标准</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项目厂界</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北厂界</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南厂界</w:t>
            </w:r>
            <w:r>
              <w:rPr>
                <w:rFonts w:hint="default" w:ascii="Times New Roman" w:hAnsi="Times New Roman" w:eastAsia="宋体" w:cs="Times New Roman"/>
                <w:color w:val="auto"/>
                <w:sz w:val="24"/>
                <w:szCs w:val="24"/>
                <w:lang w:val="en-US" w:eastAsia="zh-CN"/>
              </w:rPr>
              <w:t>、4#</w:t>
            </w:r>
            <w:r>
              <w:rPr>
                <w:rFonts w:hint="eastAsia" w:ascii="Times New Roman" w:hAnsi="Times New Roman" w:cs="Times New Roman"/>
                <w:color w:val="auto"/>
                <w:sz w:val="24"/>
                <w:szCs w:val="24"/>
                <w:lang w:val="en-US" w:eastAsia="zh-CN"/>
              </w:rPr>
              <w:t>西厂界</w:t>
            </w:r>
            <w:r>
              <w:rPr>
                <w:rFonts w:hint="default" w:ascii="Times New Roman" w:hAnsi="Times New Roman" w:eastAsia="宋体" w:cs="Times New Roman"/>
                <w:color w:val="auto"/>
                <w:sz w:val="24"/>
                <w:szCs w:val="24"/>
                <w:lang w:val="en-US" w:eastAsia="zh-CN"/>
              </w:rPr>
              <w:t>监测点昼夜间噪声测定值均符合《工业企业厂界环境噪声排放标准》（G12348-2008）中的</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类标准</w:t>
            </w:r>
            <w:r>
              <w:rPr>
                <w:rFonts w:hint="eastAsia" w:ascii="Times New Roman" w:hAnsi="Times New Roman" w:cs="Times New Roman"/>
                <w:color w:val="auto"/>
                <w:sz w:val="24"/>
                <w:szCs w:val="24"/>
                <w:lang w:val="en-US" w:eastAsia="zh-CN"/>
              </w:rPr>
              <w:t>。</w:t>
            </w:r>
          </w:p>
          <w:p>
            <w:pPr>
              <w:widowControl/>
              <w:numPr>
                <w:ilvl w:val="0"/>
                <w:numId w:val="0"/>
              </w:numPr>
              <w:autoSpaceDE/>
              <w:autoSpaceDN/>
              <w:adjustRightInd w:val="0"/>
              <w:snapToGrid w:val="0"/>
              <w:spacing w:line="360" w:lineRule="auto"/>
              <w:outlineLvl w:val="9"/>
              <w:rPr>
                <w:rFonts w:hint="default" w:ascii="Times New Roman" w:hAnsi="Times New Roman" w:cs="Times New Roman" w:eastAsiaTheme="minorEastAsia"/>
                <w:b w:val="0"/>
                <w:bCs w:val="0"/>
                <w:color w:val="auto"/>
                <w:sz w:val="24"/>
                <w:szCs w:val="24"/>
                <w:lang w:val="zh-CN" w:eastAsia="zh-CN"/>
              </w:rPr>
            </w:pPr>
            <w:r>
              <w:rPr>
                <w:rFonts w:hint="default" w:ascii="Times New Roman" w:hAnsi="Times New Roman" w:cs="Times New Roman" w:eastAsiaTheme="minorEastAsia"/>
                <w:color w:val="auto"/>
                <w:sz w:val="24"/>
                <w:szCs w:val="24"/>
                <w:lang w:val="zh-CN" w:eastAsia="zh-CN"/>
              </w:rPr>
              <w:t>4、</w:t>
            </w:r>
            <w:r>
              <w:rPr>
                <w:rFonts w:hint="default" w:ascii="Times New Roman" w:hAnsi="Times New Roman" w:cs="Times New Roman" w:eastAsiaTheme="minorEastAsia"/>
                <w:b w:val="0"/>
                <w:bCs w:val="0"/>
                <w:color w:val="auto"/>
                <w:sz w:val="24"/>
                <w:szCs w:val="24"/>
                <w:lang w:val="zh-CN" w:eastAsia="zh-CN"/>
              </w:rPr>
              <w:t>固</w:t>
            </w:r>
            <w:r>
              <w:rPr>
                <w:rFonts w:hint="eastAsia" w:ascii="Times New Roman" w:hAnsi="Times New Roman" w:cs="Times New Roman" w:eastAsiaTheme="minorEastAsia"/>
                <w:b w:val="0"/>
                <w:bCs w:val="0"/>
                <w:color w:val="auto"/>
                <w:sz w:val="24"/>
                <w:szCs w:val="24"/>
                <w:lang w:val="zh-CN" w:eastAsia="zh-CN"/>
              </w:rPr>
              <w:t>废治理措施</w:t>
            </w:r>
          </w:p>
          <w:p>
            <w:pPr>
              <w:adjustRightInd w:val="0"/>
              <w:snapToGrid w:val="0"/>
              <w:spacing w:line="360" w:lineRule="auto"/>
              <w:ind w:firstLine="480" w:firstLineChars="200"/>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本项目产生的固体废物主要是员工日常活动及流动人员产生的生活垃圾</w:t>
            </w:r>
            <w:r>
              <w:rPr>
                <w:rFonts w:hint="eastAsia" w:ascii="Times New Roman" w:hAnsi="Times New Roman" w:cs="Times New Roman"/>
                <w:snapToGrid w:val="0"/>
                <w:color w:val="000000"/>
                <w:kern w:val="0"/>
                <w:sz w:val="24"/>
                <w:szCs w:val="24"/>
                <w:lang w:eastAsia="zh-CN"/>
              </w:rPr>
              <w:t>，设备维修产生的废润滑油、</w:t>
            </w:r>
            <w:r>
              <w:rPr>
                <w:rFonts w:hint="eastAsia" w:ascii="Times New Roman" w:hAnsi="Times New Roman" w:cs="Times New Roman"/>
                <w:b w:val="0"/>
                <w:bCs w:val="0"/>
                <w:sz w:val="24"/>
                <w:szCs w:val="24"/>
                <w:lang w:eastAsia="zh-CN"/>
              </w:rPr>
              <w:t>废含油棉纱、废手套，废油沙和</w:t>
            </w:r>
            <w:r>
              <w:rPr>
                <w:rFonts w:hint="eastAsia" w:ascii="Times New Roman" w:hAnsi="Times New Roman" w:cs="Times New Roman"/>
                <w:snapToGrid w:val="0"/>
                <w:color w:val="000000"/>
                <w:kern w:val="0"/>
                <w:sz w:val="24"/>
                <w:szCs w:val="24"/>
                <w:lang w:eastAsia="zh-CN"/>
              </w:rPr>
              <w:t>油罐底部油泥</w:t>
            </w:r>
            <w:r>
              <w:rPr>
                <w:rFonts w:hint="default" w:ascii="Times New Roman" w:hAnsi="Times New Roman" w:cs="Times New Roman"/>
                <w:snapToGrid w:val="0"/>
                <w:color w:val="000000"/>
                <w:kern w:val="0"/>
                <w:sz w:val="24"/>
                <w:szCs w:val="24"/>
              </w:rPr>
              <w:t>。</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（1）生活垃圾</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color w:val="000000"/>
                <w:kern w:val="0"/>
                <w:sz w:val="24"/>
                <w:szCs w:val="24"/>
              </w:rPr>
              <w:t>项目产生的一般固废主要是员工日常活动产生的生活垃圾、流动人员产生的垃圾，产生量为</w:t>
            </w:r>
            <w:r>
              <w:rPr>
                <w:rFonts w:hint="eastAsia" w:ascii="Times New Roman" w:hAnsi="Times New Roman" w:cs="Times New Roman"/>
                <w:snapToGrid w:val="0"/>
                <w:color w:val="000000"/>
                <w:kern w:val="0"/>
                <w:sz w:val="24"/>
                <w:szCs w:val="24"/>
                <w:lang w:val="en-US" w:eastAsia="zh-CN"/>
              </w:rPr>
              <w:t>3.10</w:t>
            </w:r>
            <w:r>
              <w:rPr>
                <w:rFonts w:hint="default" w:ascii="Times New Roman" w:hAnsi="Times New Roman" w:cs="Times New Roman"/>
                <w:snapToGrid w:val="0"/>
                <w:color w:val="000000"/>
                <w:kern w:val="0"/>
                <w:sz w:val="24"/>
                <w:szCs w:val="24"/>
              </w:rPr>
              <w:t>t/a，</w:t>
            </w:r>
            <w:r>
              <w:rPr>
                <w:rFonts w:hint="eastAsia" w:ascii="Times New Roman" w:hAnsi="Times New Roman" w:cs="Times New Roman"/>
                <w:snapToGrid w:val="0"/>
                <w:color w:val="000000"/>
                <w:kern w:val="0"/>
                <w:sz w:val="24"/>
                <w:szCs w:val="24"/>
                <w:lang w:eastAsia="zh-CN"/>
              </w:rPr>
              <w:t>分类收集，统一</w:t>
            </w:r>
            <w:r>
              <w:rPr>
                <w:rFonts w:hint="default" w:ascii="Times New Roman" w:hAnsi="Times New Roman" w:cs="Times New Roman"/>
                <w:snapToGrid w:val="0"/>
                <w:color w:val="000000"/>
                <w:kern w:val="0"/>
                <w:sz w:val="24"/>
                <w:szCs w:val="24"/>
              </w:rPr>
              <w:t>交由环卫部门处理。</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（2）危险废物</w:t>
            </w:r>
          </w:p>
          <w:p>
            <w:pPr>
              <w:numPr>
                <w:ilvl w:val="-1"/>
                <w:numId w:val="0"/>
              </w:numPr>
              <w:spacing w:line="360" w:lineRule="auto"/>
              <w:ind w:firstLine="480" w:firstLineChars="200"/>
              <w:rPr>
                <w:rFonts w:hint="default" w:ascii="Times New Roman" w:hAnsi="Times New Roman" w:cs="Times New Roman" w:eastAsiaTheme="minorEastAsia"/>
                <w:color w:val="auto"/>
                <w:sz w:val="24"/>
                <w:szCs w:val="24"/>
                <w:lang w:val="zh-CN" w:eastAsia="zh-CN"/>
              </w:rPr>
            </w:pPr>
            <w:r>
              <w:rPr>
                <w:rFonts w:hint="default" w:ascii="Times New Roman" w:hAnsi="Times New Roman" w:cs="Times New Roman"/>
                <w:snapToGrid w:val="0"/>
                <w:kern w:val="0"/>
                <w:sz w:val="24"/>
                <w:szCs w:val="24"/>
              </w:rPr>
              <w:t>项目产生的</w:t>
            </w:r>
            <w:r>
              <w:rPr>
                <w:rFonts w:hint="eastAsia" w:ascii="Times New Roman" w:hAnsi="Times New Roman" w:cs="Times New Roman"/>
                <w:b w:val="0"/>
                <w:bCs w:val="0"/>
                <w:sz w:val="24"/>
                <w:szCs w:val="24"/>
                <w:lang w:eastAsia="zh-CN"/>
              </w:rPr>
              <w:t>危险废物主要是废润滑油（</w:t>
            </w:r>
            <w:r>
              <w:rPr>
                <w:rFonts w:hint="eastAsia" w:ascii="Times New Roman" w:hAnsi="Times New Roman" w:cs="Times New Roman"/>
                <w:b w:val="0"/>
                <w:bCs w:val="0"/>
                <w:sz w:val="24"/>
                <w:szCs w:val="24"/>
                <w:lang w:val="en-US" w:eastAsia="zh-CN"/>
              </w:rPr>
              <w:t>0.05t/a</w:t>
            </w:r>
            <w:r>
              <w:rPr>
                <w:rFonts w:hint="eastAsia"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油罐</w:t>
            </w:r>
            <w:r>
              <w:rPr>
                <w:rFonts w:hint="eastAsia" w:ascii="Times New Roman" w:hAnsi="Times New Roman" w:cs="Times New Roman"/>
                <w:b w:val="0"/>
                <w:bCs w:val="0"/>
                <w:sz w:val="24"/>
                <w:szCs w:val="24"/>
                <w:lang w:val="en-US" w:eastAsia="zh-CN"/>
              </w:rPr>
              <w:t>底部</w:t>
            </w:r>
            <w:r>
              <w:rPr>
                <w:rFonts w:hint="default" w:ascii="Times New Roman" w:hAnsi="Times New Roman" w:cs="Times New Roman"/>
                <w:b w:val="0"/>
                <w:bCs w:val="0"/>
                <w:sz w:val="24"/>
                <w:szCs w:val="24"/>
              </w:rPr>
              <w:t>油泥</w:t>
            </w:r>
            <w:r>
              <w:rPr>
                <w:rFonts w:hint="eastAsia" w:ascii="Times New Roman" w:hAnsi="Times New Roman" w:cs="Times New Roman"/>
                <w:b w:val="0"/>
                <w:bCs w:val="0"/>
                <w:sz w:val="24"/>
                <w:szCs w:val="24"/>
                <w:lang w:eastAsia="zh-CN"/>
              </w:rPr>
              <w:t>（</w:t>
            </w:r>
            <w:r>
              <w:rPr>
                <w:rFonts w:hint="eastAsia" w:ascii="Times New Roman" w:hAnsi="Times New Roman" w:cs="Times New Roman"/>
                <w:b w:val="0"/>
                <w:bCs w:val="0"/>
                <w:sz w:val="24"/>
                <w:szCs w:val="24"/>
                <w:lang w:val="en-US" w:eastAsia="zh-CN"/>
              </w:rPr>
              <w:t>0.15t/a</w:t>
            </w:r>
            <w:r>
              <w:rPr>
                <w:rFonts w:hint="eastAsia" w:ascii="Times New Roman" w:hAnsi="Times New Roman" w:cs="Times New Roman"/>
                <w:b w:val="0"/>
                <w:bCs w:val="0"/>
                <w:sz w:val="24"/>
                <w:szCs w:val="24"/>
                <w:lang w:eastAsia="zh-CN"/>
              </w:rPr>
              <w:t>）、废含油棉纱和废手套（</w:t>
            </w:r>
            <w:r>
              <w:rPr>
                <w:rFonts w:hint="eastAsia" w:ascii="Times New Roman" w:hAnsi="Times New Roman" w:cs="Times New Roman"/>
                <w:b w:val="0"/>
                <w:bCs w:val="0"/>
                <w:sz w:val="24"/>
                <w:szCs w:val="24"/>
                <w:lang w:val="en-US" w:eastAsia="zh-CN"/>
              </w:rPr>
              <w:t>0.004t/a</w:t>
            </w:r>
            <w:r>
              <w:rPr>
                <w:rFonts w:hint="eastAsia" w:ascii="Times New Roman" w:hAnsi="Times New Roman" w:cs="Times New Roman"/>
                <w:b w:val="0"/>
                <w:bCs w:val="0"/>
                <w:sz w:val="24"/>
                <w:szCs w:val="24"/>
                <w:lang w:eastAsia="zh-CN"/>
              </w:rPr>
              <w:t>）、废油沙（</w:t>
            </w:r>
            <w:r>
              <w:rPr>
                <w:rFonts w:hint="eastAsia" w:ascii="Times New Roman" w:hAnsi="Times New Roman" w:cs="Times New Roman"/>
                <w:b w:val="0"/>
                <w:bCs w:val="0"/>
                <w:sz w:val="24"/>
                <w:szCs w:val="24"/>
                <w:lang w:val="en-US" w:eastAsia="zh-CN"/>
              </w:rPr>
              <w:t>0.1t/a</w:t>
            </w:r>
            <w:r>
              <w:rPr>
                <w:rFonts w:hint="eastAsia" w:ascii="Times New Roman" w:hAnsi="Times New Roman" w:cs="Times New Roman"/>
                <w:b w:val="0"/>
                <w:bCs w:val="0"/>
                <w:sz w:val="24"/>
                <w:szCs w:val="24"/>
                <w:lang w:eastAsia="zh-CN"/>
              </w:rPr>
              <w:t>）</w:t>
            </w:r>
            <w:r>
              <w:rPr>
                <w:rFonts w:hint="default" w:ascii="Times New Roman" w:hAnsi="Times New Roman" w:cs="Times New Roman"/>
                <w:snapToGrid w:val="0"/>
                <w:color w:val="000000"/>
                <w:kern w:val="0"/>
                <w:sz w:val="24"/>
                <w:szCs w:val="24"/>
              </w:rPr>
              <w:t>。</w:t>
            </w:r>
            <w:r>
              <w:rPr>
                <w:rFonts w:hint="eastAsia" w:ascii="Times New Roman" w:hAnsi="Times New Roman" w:cs="Times New Roman"/>
                <w:snapToGrid w:val="0"/>
                <w:color w:val="000000"/>
                <w:kern w:val="0"/>
                <w:sz w:val="24"/>
                <w:szCs w:val="24"/>
                <w:lang w:val="en-US" w:eastAsia="zh-CN"/>
              </w:rPr>
              <w:t>油罐底部</w:t>
            </w:r>
            <w:r>
              <w:rPr>
                <w:rFonts w:hint="default" w:ascii="Times New Roman" w:hAnsi="Times New Roman" w:cs="Times New Roman"/>
                <w:snapToGrid w:val="0"/>
                <w:color w:val="000000"/>
                <w:kern w:val="0"/>
                <w:sz w:val="24"/>
                <w:szCs w:val="24"/>
                <w:lang w:val="en-US" w:eastAsia="zh-CN"/>
              </w:rPr>
              <w:t>油泥</w:t>
            </w:r>
            <w:r>
              <w:rPr>
                <w:rFonts w:hint="eastAsia" w:ascii="Times New Roman" w:hAnsi="Times New Roman" w:cs="Times New Roman"/>
                <w:snapToGrid w:val="0"/>
                <w:color w:val="000000"/>
                <w:kern w:val="0"/>
                <w:sz w:val="24"/>
                <w:szCs w:val="24"/>
                <w:lang w:val="en-US" w:eastAsia="zh-CN"/>
              </w:rPr>
              <w:t>交由专业公司统一处理，不在站内贮存。废润滑油、</w:t>
            </w:r>
            <w:r>
              <w:rPr>
                <w:rFonts w:hint="eastAsia" w:ascii="Times New Roman" w:hAnsi="Times New Roman" w:cs="Times New Roman"/>
                <w:b w:val="0"/>
                <w:bCs w:val="0"/>
                <w:sz w:val="24"/>
                <w:szCs w:val="24"/>
                <w:lang w:eastAsia="zh-CN"/>
              </w:rPr>
              <w:t>废含油棉纱和废手套、废油沙</w:t>
            </w:r>
            <w:r>
              <w:rPr>
                <w:rFonts w:hint="default" w:ascii="Times New Roman" w:hAnsi="Times New Roman" w:cs="Times New Roman"/>
                <w:snapToGrid w:val="0"/>
                <w:color w:val="000000"/>
                <w:kern w:val="0"/>
                <w:sz w:val="24"/>
                <w:szCs w:val="24"/>
                <w:lang w:val="en-US" w:eastAsia="zh-CN"/>
              </w:rPr>
              <w:t>暂存于危废暂存间，统一交由陕西明瑞资源再生有限公司处置。</w:t>
            </w:r>
          </w:p>
          <w:p>
            <w:pPr>
              <w:numPr>
                <w:ilvl w:val="-1"/>
                <w:numId w:val="0"/>
              </w:numPr>
              <w:spacing w:line="360" w:lineRule="auto"/>
              <w:rPr>
                <w:rFonts w:hint="default" w:ascii="Times New Roman" w:hAnsi="Times New Roman" w:cs="Times New Roman"/>
                <w:snapToGrid w:val="0"/>
                <w:kern w:val="0"/>
                <w:sz w:val="24"/>
                <w:szCs w:val="24"/>
              </w:rPr>
            </w:pPr>
            <w:r>
              <w:rPr>
                <w:rFonts w:hint="eastAsia" w:ascii="Times New Roman" w:hAnsi="Times New Roman" w:eastAsia="宋体" w:cs="Times New Roman"/>
                <w:b/>
                <w:bCs/>
                <w:sz w:val="24"/>
                <w:szCs w:val="24"/>
                <w:lang w:val="en-US" w:eastAsia="zh-CN" w:bidi="zh-CN"/>
              </w:rPr>
              <w:t>二、项目审批及三同时执行情况</w:t>
            </w:r>
            <w:r>
              <w:rPr>
                <w:rFonts w:hint="eastAsia" w:ascii="Times New Roman" w:hAnsi="Times New Roman" w:cs="Times New Roman"/>
                <w:snapToGrid w:val="0"/>
                <w:kern w:val="0"/>
                <w:sz w:val="24"/>
                <w:szCs w:val="24"/>
                <w:lang w:val="en-US" w:eastAsia="zh-CN"/>
              </w:rPr>
              <w:t xml:space="preserve"> </w:t>
            </w:r>
          </w:p>
          <w:p>
            <w:pPr>
              <w:numPr>
                <w:ilvl w:val="-1"/>
                <w:numId w:val="0"/>
              </w:numPr>
              <w:spacing w:line="360" w:lineRule="auto"/>
              <w:ind w:firstLine="480" w:firstLineChars="200"/>
              <w:rPr>
                <w:rFonts w:hint="default" w:ascii="Times New Roman" w:hAnsi="Times New Roman" w:cs="Times New Roman"/>
                <w:snapToGrid w:val="0"/>
                <w:kern w:val="0"/>
                <w:sz w:val="24"/>
                <w:szCs w:val="24"/>
              </w:rPr>
            </w:pPr>
            <w:r>
              <w:rPr>
                <w:rFonts w:hint="eastAsia" w:ascii="Times New Roman" w:hAnsi="Times New Roman" w:cs="Times New Roman"/>
                <w:snapToGrid w:val="0"/>
                <w:kern w:val="0"/>
                <w:sz w:val="24"/>
                <w:szCs w:val="24"/>
                <w:lang w:val="en-US" w:eastAsia="zh-CN"/>
              </w:rPr>
              <w:t>陕西省石油化工工业贸易有限公司泾阳服务区南加油站于</w:t>
            </w:r>
            <w:r>
              <w:rPr>
                <w:rFonts w:hint="default" w:ascii="Times New Roman" w:hAnsi="Times New Roman" w:cs="Times New Roman"/>
                <w:snapToGrid w:val="0"/>
                <w:kern w:val="0"/>
                <w:sz w:val="24"/>
                <w:szCs w:val="24"/>
                <w:lang w:val="en-US" w:eastAsia="zh-CN"/>
              </w:rPr>
              <w:t>2019</w:t>
            </w:r>
            <w:r>
              <w:rPr>
                <w:rFonts w:hint="eastAsia" w:ascii="Times New Roman" w:hAnsi="Times New Roman" w:cs="Times New Roman"/>
                <w:snapToGrid w:val="0"/>
                <w:kern w:val="0"/>
                <w:sz w:val="24"/>
                <w:szCs w:val="24"/>
                <w:lang w:val="en-US" w:eastAsia="zh-CN"/>
              </w:rPr>
              <w:t>年6月委托西安海浪环保科技有限公司编制完成了《陕西省石油化工工业贸易有限公司泾阳服务区南加油站建设项目环境影响报告表》，咸阳市生态环境局泾阳分局于</w:t>
            </w:r>
            <w:r>
              <w:rPr>
                <w:rFonts w:hint="default" w:ascii="Times New Roman" w:hAnsi="Times New Roman" w:cs="Times New Roman"/>
                <w:snapToGrid w:val="0"/>
                <w:kern w:val="0"/>
                <w:sz w:val="24"/>
                <w:szCs w:val="24"/>
                <w:lang w:val="en-US" w:eastAsia="zh-CN"/>
              </w:rPr>
              <w:t>2020</w:t>
            </w:r>
            <w:r>
              <w:rPr>
                <w:rFonts w:hint="eastAsia" w:ascii="Times New Roman" w:hAnsi="Times New Roman" w:cs="Times New Roman"/>
                <w:snapToGrid w:val="0"/>
                <w:kern w:val="0"/>
                <w:sz w:val="24"/>
                <w:szCs w:val="24"/>
                <w:lang w:val="en-US" w:eastAsia="zh-CN"/>
              </w:rPr>
              <w:t>年6月18日予以批复（咸环泾函</w:t>
            </w:r>
            <w:r>
              <w:rPr>
                <w:rFonts w:hint="default" w:ascii="Times New Roman" w:hAnsi="Times New Roman" w:cs="Times New Roman"/>
                <w:snapToGrid w:val="0"/>
                <w:kern w:val="0"/>
                <w:sz w:val="24"/>
                <w:szCs w:val="24"/>
                <w:lang w:val="en-US" w:eastAsia="zh-CN"/>
              </w:rPr>
              <w:t>[2020]</w:t>
            </w:r>
            <w:r>
              <w:rPr>
                <w:rFonts w:hint="eastAsia" w:ascii="Times New Roman" w:hAnsi="Times New Roman" w:cs="Times New Roman"/>
                <w:snapToGrid w:val="0"/>
                <w:kern w:val="0"/>
                <w:sz w:val="24"/>
                <w:szCs w:val="24"/>
                <w:lang w:val="en-US" w:eastAsia="zh-CN"/>
              </w:rPr>
              <w:t xml:space="preserve">69号）。 项目按照环评及环评批复要求建设了各项环保设施，环保设施与主体工程同时设计、同时施工、同时投产使用。履行了各项环保手续及“三同时”制度。 </w:t>
            </w:r>
          </w:p>
          <w:p>
            <w:pPr>
              <w:numPr>
                <w:ilvl w:val="-1"/>
                <w:numId w:val="0"/>
              </w:numPr>
              <w:spacing w:line="360" w:lineRule="auto"/>
              <w:rPr>
                <w:rFonts w:hint="default" w:ascii="Times New Roman" w:hAnsi="Times New Roman" w:eastAsia="宋体" w:cs="Times New Roman"/>
                <w:b/>
                <w:bCs/>
                <w:sz w:val="24"/>
                <w:szCs w:val="24"/>
                <w:lang w:val="en-US" w:eastAsia="zh-CN" w:bidi="zh-CN"/>
              </w:rPr>
            </w:pPr>
            <w:r>
              <w:rPr>
                <w:rFonts w:hint="eastAsia" w:ascii="Times New Roman" w:hAnsi="Times New Roman" w:eastAsia="宋体" w:cs="Times New Roman"/>
                <w:b/>
                <w:bCs/>
                <w:sz w:val="24"/>
                <w:szCs w:val="24"/>
                <w:lang w:val="en-US" w:eastAsia="zh-CN" w:bidi="zh-CN"/>
              </w:rPr>
              <w:t xml:space="preserve">三、环境管理规章制度的建立与执行情况 </w:t>
            </w:r>
          </w:p>
          <w:p>
            <w:pPr>
              <w:numPr>
                <w:ilvl w:val="-1"/>
                <w:numId w:val="0"/>
              </w:numPr>
              <w:spacing w:line="360" w:lineRule="auto"/>
              <w:ind w:firstLine="480" w:firstLineChars="200"/>
              <w:rPr>
                <w:rFonts w:hint="eastAsia" w:ascii="Times New Roman" w:hAnsi="Times New Roman" w:cs="Times New Roman"/>
                <w:snapToGrid w:val="0"/>
                <w:kern w:val="0"/>
                <w:sz w:val="24"/>
                <w:szCs w:val="24"/>
                <w:lang w:val="zh-CN" w:eastAsia="zh-CN"/>
              </w:rPr>
            </w:pPr>
            <w:r>
              <w:rPr>
                <w:rFonts w:hint="eastAsia" w:ascii="Times New Roman" w:hAnsi="Times New Roman" w:cs="Times New Roman"/>
                <w:snapToGrid w:val="0"/>
                <w:kern w:val="0"/>
                <w:sz w:val="24"/>
                <w:szCs w:val="24"/>
                <w:lang w:val="zh-CN" w:eastAsia="zh-CN"/>
              </w:rPr>
              <w:t>公司建立了《环境保护管理制度》等环境管理制度，由环保专职管理员负责企业环境保护的管理工作。</w:t>
            </w:r>
          </w:p>
          <w:p>
            <w:pPr>
              <w:numPr>
                <w:ilvl w:val="-1"/>
                <w:numId w:val="0"/>
              </w:numPr>
              <w:spacing w:line="360" w:lineRule="auto"/>
              <w:ind w:firstLine="480" w:firstLineChars="200"/>
              <w:rPr>
                <w:rFonts w:hint="default" w:ascii="Times New Roman" w:hAnsi="Times New Roman" w:cs="Times New Roman"/>
                <w:snapToGrid w:val="0"/>
                <w:kern w:val="0"/>
                <w:sz w:val="24"/>
                <w:szCs w:val="24"/>
                <w:lang w:val="zh-CN" w:eastAsia="zh-CN"/>
              </w:rPr>
            </w:pPr>
            <w:r>
              <w:rPr>
                <w:rFonts w:hint="eastAsia" w:ascii="Times New Roman" w:hAnsi="Times New Roman" w:cs="Times New Roman"/>
                <w:snapToGrid w:val="0"/>
                <w:kern w:val="0"/>
                <w:sz w:val="24"/>
                <w:szCs w:val="24"/>
                <w:lang w:val="zh-CN" w:eastAsia="zh-CN"/>
              </w:rPr>
              <w:t>为便于环保部门的日常监管，派专人做好设施运行记录的工作。</w:t>
            </w:r>
          </w:p>
          <w:p>
            <w:pPr>
              <w:numPr>
                <w:ilvl w:val="-1"/>
                <w:numId w:val="0"/>
              </w:numPr>
              <w:spacing w:line="360" w:lineRule="auto"/>
              <w:rPr>
                <w:rFonts w:hint="default" w:ascii="Times New Roman" w:hAnsi="Times New Roman" w:eastAsia="宋体" w:cs="Times New Roman"/>
                <w:b/>
                <w:bCs/>
                <w:sz w:val="24"/>
                <w:szCs w:val="24"/>
                <w:lang w:val="en-US" w:eastAsia="zh-CN" w:bidi="zh-CN"/>
              </w:rPr>
            </w:pPr>
            <w:r>
              <w:rPr>
                <w:rFonts w:hint="eastAsia" w:ascii="Times New Roman" w:hAnsi="Times New Roman" w:cs="Times New Roman"/>
                <w:b/>
                <w:bCs/>
                <w:sz w:val="24"/>
                <w:szCs w:val="24"/>
                <w:lang w:val="en-US" w:eastAsia="zh-CN" w:bidi="zh-CN"/>
              </w:rPr>
              <w:t>四</w:t>
            </w:r>
            <w:r>
              <w:rPr>
                <w:rFonts w:hint="eastAsia" w:ascii="Times New Roman" w:hAnsi="Times New Roman" w:eastAsia="宋体" w:cs="Times New Roman"/>
                <w:b/>
                <w:bCs/>
                <w:sz w:val="24"/>
                <w:szCs w:val="24"/>
                <w:lang w:val="en-US" w:eastAsia="zh-CN" w:bidi="zh-CN"/>
              </w:rPr>
              <w:t xml:space="preserve">、结论 </w:t>
            </w:r>
          </w:p>
          <w:p>
            <w:pPr>
              <w:pStyle w:val="24"/>
              <w:keepNext w:val="0"/>
              <w:keepLines w:val="0"/>
              <w:pageBreakBefore w:val="0"/>
              <w:kinsoku/>
              <w:wordWrap/>
              <w:overflowPunct/>
              <w:topLinePunct w:val="0"/>
              <w:autoSpaceDE w:val="0"/>
              <w:autoSpaceDN w:val="0"/>
              <w:bidi w:val="0"/>
              <w:snapToGrid/>
              <w:spacing w:line="360" w:lineRule="auto"/>
              <w:rPr>
                <w:rFonts w:hint="default" w:ascii="Times New Roman" w:hAnsi="Times New Roman" w:cs="Times New Roman"/>
                <w:lang w:val="en-US" w:eastAsia="zh-CN"/>
              </w:rPr>
            </w:pPr>
            <w:r>
              <w:rPr>
                <w:rFonts w:hint="eastAsia" w:ascii="Times New Roman" w:hAnsi="Times New Roman" w:cs="Times New Roman"/>
                <w:lang w:val="en-US" w:eastAsia="zh-CN"/>
              </w:rPr>
              <w:t xml:space="preserve">根据对本项目竣工环境保护验收调查结果，陕西省石油化工工业贸易有限公司泾阳 </w:t>
            </w:r>
          </w:p>
          <w:p>
            <w:pPr>
              <w:pStyle w:val="24"/>
              <w:keepNext w:val="0"/>
              <w:keepLines w:val="0"/>
              <w:pageBreakBefore w:val="0"/>
              <w:kinsoku/>
              <w:wordWrap/>
              <w:overflowPunct/>
              <w:topLinePunct w:val="0"/>
              <w:autoSpaceDE w:val="0"/>
              <w:autoSpaceDN w:val="0"/>
              <w:bidi w:val="0"/>
              <w:snapToGrid/>
              <w:spacing w:line="360" w:lineRule="auto"/>
              <w:ind w:left="0" w:leftChars="0"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 xml:space="preserve">服务区南加油站建设项目执行了建设项目环境管理制度，进行了环境影响评价，应急预 </w:t>
            </w:r>
          </w:p>
          <w:p>
            <w:pPr>
              <w:pStyle w:val="24"/>
              <w:keepNext w:val="0"/>
              <w:keepLines w:val="0"/>
              <w:pageBreakBefore w:val="0"/>
              <w:kinsoku/>
              <w:wordWrap/>
              <w:overflowPunct/>
              <w:topLinePunct w:val="0"/>
              <w:autoSpaceDE w:val="0"/>
              <w:autoSpaceDN w:val="0"/>
              <w:bidi w:val="0"/>
              <w:snapToGrid/>
              <w:spacing w:line="360" w:lineRule="auto"/>
              <w:ind w:left="0" w:leftChars="0"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 xml:space="preserve">案备案，批复文件齐全，环评文件及批复提出的各项环境环保措施要求得到了较好的落实，基本执行了环境保护“三同时”制度。因此，本项目符合建设项目竣工环境保护验收的要求。 </w:t>
            </w:r>
          </w:p>
          <w:p>
            <w:pPr>
              <w:numPr>
                <w:ilvl w:val="-1"/>
                <w:numId w:val="0"/>
              </w:numPr>
              <w:spacing w:line="360" w:lineRule="auto"/>
              <w:rPr>
                <w:rFonts w:hint="default" w:ascii="Times New Roman" w:hAnsi="Times New Roman" w:eastAsia="宋体" w:cs="Times New Roman"/>
                <w:b/>
                <w:bCs/>
                <w:sz w:val="24"/>
                <w:szCs w:val="24"/>
                <w:lang w:val="en-US" w:eastAsia="zh-CN" w:bidi="zh-CN"/>
              </w:rPr>
            </w:pPr>
            <w:r>
              <w:rPr>
                <w:rFonts w:hint="eastAsia" w:ascii="Times New Roman" w:hAnsi="Times New Roman" w:cs="Times New Roman"/>
                <w:b/>
                <w:bCs/>
                <w:sz w:val="24"/>
                <w:szCs w:val="24"/>
                <w:lang w:val="en-US" w:eastAsia="zh-CN" w:bidi="zh-CN"/>
              </w:rPr>
              <w:t>五</w:t>
            </w:r>
            <w:r>
              <w:rPr>
                <w:rFonts w:hint="eastAsia" w:ascii="Times New Roman" w:hAnsi="Times New Roman" w:eastAsia="宋体" w:cs="Times New Roman"/>
                <w:b/>
                <w:bCs/>
                <w:sz w:val="24"/>
                <w:szCs w:val="24"/>
                <w:lang w:val="en-US" w:eastAsia="zh-CN" w:bidi="zh-CN"/>
              </w:rPr>
              <w:t xml:space="preserve">、建议 </w:t>
            </w:r>
          </w:p>
          <w:p>
            <w:pPr>
              <w:pStyle w:val="24"/>
              <w:keepNext w:val="0"/>
              <w:keepLines w:val="0"/>
              <w:pageBreakBefore w:val="0"/>
              <w:kinsoku/>
              <w:wordWrap/>
              <w:overflowPunct/>
              <w:topLinePunct w:val="0"/>
              <w:autoSpaceDE w:val="0"/>
              <w:autoSpaceDN w:val="0"/>
              <w:bidi w:val="0"/>
              <w:snapToGrid/>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1</w:t>
            </w:r>
            <w:r>
              <w:rPr>
                <w:rFonts w:hint="eastAsia" w:ascii="Times New Roman" w:hAnsi="Times New Roman" w:cs="Times New Roman"/>
                <w:lang w:val="en-US" w:eastAsia="zh-CN"/>
              </w:rPr>
              <w:t xml:space="preserve">、做好未来环境管理计划，注意维护环保处理设施，确保环保验收后日常产生的污染物满足排放要求。 </w:t>
            </w:r>
          </w:p>
          <w:p>
            <w:pPr>
              <w:pStyle w:val="24"/>
              <w:keepNext w:val="0"/>
              <w:keepLines w:val="0"/>
              <w:pageBreakBefore w:val="0"/>
              <w:kinsoku/>
              <w:wordWrap/>
              <w:overflowPunct/>
              <w:topLinePunct w:val="0"/>
              <w:autoSpaceDE w:val="0"/>
              <w:autoSpaceDN w:val="0"/>
              <w:bidi w:val="0"/>
              <w:snapToGrid/>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2</w:t>
            </w:r>
            <w:r>
              <w:rPr>
                <w:rFonts w:hint="eastAsia" w:ascii="Times New Roman" w:hAnsi="Times New Roman" w:cs="Times New Roman"/>
                <w:lang w:val="en-US" w:eastAsia="zh-CN"/>
              </w:rPr>
              <w:t>、做好固体废弃物的管理工作，提高环保管理水平，健全环保资料档案。</w:t>
            </w:r>
          </w:p>
          <w:p>
            <w:pPr>
              <w:keepNext w:val="0"/>
              <w:keepLines w:val="0"/>
              <w:pageBreakBefore w:val="0"/>
              <w:widowControl/>
              <w:suppressLineNumbers w:val="0"/>
              <w:kinsoku/>
              <w:wordWrap/>
              <w:overflowPunct/>
              <w:topLinePunct w:val="0"/>
              <w:autoSpaceDE w:val="0"/>
              <w:autoSpaceDN w:val="0"/>
              <w:bidi w:val="0"/>
              <w:snapToGrid/>
              <w:spacing w:line="360" w:lineRule="auto"/>
              <w:ind w:firstLine="480" w:firstLineChars="200"/>
              <w:jc w:val="left"/>
              <w:rPr>
                <w:rFonts w:hint="default" w:ascii="Times New Roman" w:hAnsi="Times New Roman" w:eastAsia="宋体" w:cs="Times New Roman"/>
                <w:kern w:val="24"/>
                <w:sz w:val="24"/>
                <w:szCs w:val="20"/>
                <w:lang w:val="en-US" w:eastAsia="zh-CN" w:bidi="zh-CN"/>
              </w:rPr>
            </w:pPr>
          </w:p>
          <w:p>
            <w:pPr>
              <w:pStyle w:val="24"/>
              <w:spacing w:line="360" w:lineRule="auto"/>
              <w:ind w:firstLine="480" w:firstLineChars="200"/>
              <w:rPr>
                <w:rFonts w:hint="default" w:ascii="Times New Roman" w:hAnsi="Times New Roman" w:cs="Times New Roman"/>
                <w:lang w:val="en-US" w:eastAsia="zh-CN"/>
              </w:rPr>
            </w:pPr>
          </w:p>
          <w:p>
            <w:pPr>
              <w:rPr>
                <w:rFonts w:hint="default" w:ascii="Times New Roman" w:hAnsi="Times New Roman" w:cs="Times New Roman"/>
                <w:b w:val="0"/>
                <w:bCs w:val="0"/>
              </w:rPr>
            </w:pPr>
          </w:p>
          <w:p>
            <w:pPr>
              <w:pStyle w:val="7"/>
              <w:rPr>
                <w:rFonts w:hint="default" w:ascii="Times New Roman" w:hAnsi="Times New Roman" w:cs="Times New Roman"/>
                <w:b w:val="0"/>
                <w:bCs w:val="0"/>
              </w:rPr>
            </w:pPr>
          </w:p>
          <w:p>
            <w:pPr>
              <w:rPr>
                <w:rFonts w:hint="default" w:ascii="Times New Roman" w:hAnsi="Times New Roman" w:cs="Times New Roman"/>
                <w:b w:val="0"/>
                <w:bCs w:val="0"/>
              </w:rPr>
            </w:pPr>
          </w:p>
          <w:p>
            <w:pPr>
              <w:pStyle w:val="7"/>
              <w:rPr>
                <w:rFonts w:hint="default" w:ascii="Times New Roman" w:hAnsi="Times New Roman" w:cs="Times New Roman"/>
                <w:b w:val="0"/>
                <w:bCs w:val="0"/>
              </w:rPr>
            </w:pPr>
          </w:p>
          <w:p>
            <w:pPr>
              <w:rPr>
                <w:rFonts w:hint="default" w:ascii="Times New Roman" w:hAnsi="Times New Roman" w:cs="Times New Roman"/>
                <w:b w:val="0"/>
                <w:bCs w:val="0"/>
              </w:rPr>
            </w:pPr>
          </w:p>
          <w:p>
            <w:pPr>
              <w:pStyle w:val="7"/>
              <w:rPr>
                <w:rFonts w:hint="default" w:ascii="Times New Roman" w:hAnsi="Times New Roman" w:cs="Times New Roman"/>
                <w:b w:val="0"/>
                <w:bCs w:val="0"/>
              </w:rPr>
            </w:pPr>
          </w:p>
          <w:p>
            <w:pPr>
              <w:pStyle w:val="7"/>
              <w:ind w:left="0" w:leftChars="0" w:firstLine="0" w:firstLineChars="0"/>
              <w:rPr>
                <w:rFonts w:hint="default" w:ascii="Times New Roman" w:hAnsi="Times New Roman" w:cs="Times New Roman"/>
                <w:b w:val="0"/>
                <w:bCs w:val="0"/>
              </w:rPr>
            </w:pPr>
          </w:p>
          <w:p>
            <w:pPr>
              <w:rPr>
                <w:rFonts w:hint="default" w:ascii="Times New Roman" w:hAnsi="Times New Roman" w:cs="Times New Roman"/>
              </w:rPr>
            </w:pPr>
          </w:p>
        </w:tc>
      </w:tr>
    </w:tbl>
    <w:p>
      <w:pPr>
        <w:rPr>
          <w:rFonts w:hint="eastAsia"/>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keepNext/>
        <w:keepLines/>
        <w:pageBreakBefore w:val="0"/>
        <w:widowControl w:val="0"/>
        <w:kinsoku/>
        <w:wordWrap/>
        <w:overflowPunct/>
        <w:topLinePunct w:val="0"/>
        <w:autoSpaceDE/>
        <w:autoSpaceDN/>
        <w:bidi w:val="0"/>
        <w:adjustRightInd/>
        <w:snapToGrid/>
        <w:spacing w:beforeLines="0" w:after="164" w:afterLines="50" w:line="240" w:lineRule="exact"/>
        <w:jc w:val="center"/>
        <w:textAlignment w:val="auto"/>
        <w:rPr>
          <w:rStyle w:val="29"/>
          <w:rFonts w:hint="default" w:ascii="Times New Roman" w:hAnsi="Times New Roman" w:eastAsia="微软雅黑" w:cs="Times New Roman"/>
          <w:b/>
          <w:bCs w:val="0"/>
          <w:color w:val="auto"/>
          <w:kern w:val="2"/>
          <w:sz w:val="24"/>
          <w:lang w:val="en-US" w:eastAsia="zh-CN" w:bidi="ar-SA"/>
        </w:rPr>
      </w:pPr>
      <w:r>
        <w:rPr>
          <w:rStyle w:val="29"/>
          <w:rFonts w:hint="default" w:ascii="Times New Roman" w:hAnsi="Times New Roman" w:eastAsia="微软雅黑" w:cs="Times New Roman"/>
          <w:b/>
          <w:bCs w:val="0"/>
          <w:color w:val="auto"/>
          <w:kern w:val="2"/>
          <w:sz w:val="24"/>
          <w:lang w:val="en-US" w:eastAsia="zh-CN" w:bidi="ar-SA"/>
        </w:rPr>
        <w:t xml:space="preserve"> 建设项目</w:t>
      </w:r>
      <w:r>
        <w:rPr>
          <w:rStyle w:val="29"/>
          <w:rFonts w:hint="eastAsia" w:eastAsia="微软雅黑" w:cs="Times New Roman"/>
          <w:b/>
          <w:bCs w:val="0"/>
          <w:color w:val="auto"/>
          <w:kern w:val="2"/>
          <w:sz w:val="24"/>
          <w:lang w:val="en-US" w:eastAsia="zh-CN" w:bidi="ar-SA"/>
        </w:rPr>
        <w:t>竣工</w:t>
      </w:r>
      <w:r>
        <w:rPr>
          <w:rStyle w:val="29"/>
          <w:rFonts w:hint="default" w:ascii="Times New Roman" w:hAnsi="Times New Roman" w:eastAsia="微软雅黑" w:cs="Times New Roman"/>
          <w:b/>
          <w:bCs w:val="0"/>
          <w:color w:val="auto"/>
          <w:kern w:val="2"/>
          <w:sz w:val="24"/>
          <w:lang w:val="en-US" w:eastAsia="zh-CN" w:bidi="ar-SA"/>
        </w:rPr>
        <w:t>环境保护“三同时”验收登记表</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填表单位（盖章）：</w:t>
      </w:r>
      <w:r>
        <w:rPr>
          <w:rFonts w:hint="eastAsia" w:cs="Times New Roman"/>
          <w:b/>
          <w:color w:val="auto"/>
          <w:sz w:val="15"/>
          <w:szCs w:val="15"/>
          <w:lang w:eastAsia="zh-CN"/>
        </w:rPr>
        <w:t>陕西省石油化工工业贸易有限公司泾阳服务区南加油站</w:t>
      </w:r>
      <w:r>
        <w:rPr>
          <w:rFonts w:hint="eastAsia" w:cs="Times New Roman"/>
          <w:b/>
          <w:color w:val="auto"/>
          <w:sz w:val="15"/>
          <w:szCs w:val="15"/>
          <w:lang w:val="en-US" w:eastAsia="zh-CN"/>
        </w:rPr>
        <w:t xml:space="preserve">   </w:t>
      </w:r>
      <w:r>
        <w:rPr>
          <w:rFonts w:hint="default" w:ascii="Times New Roman" w:hAnsi="Times New Roman" w:cs="Times New Roman"/>
          <w:b/>
          <w:color w:val="auto"/>
          <w:sz w:val="15"/>
          <w:szCs w:val="15"/>
        </w:rPr>
        <w:t xml:space="preserve">                  填表人（签字）：                              项目经办人（签字）：</w:t>
      </w:r>
    </w:p>
    <w:tbl>
      <w:tblPr>
        <w:tblStyle w:val="16"/>
        <w:tblW w:w="1501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1"/>
        <w:gridCol w:w="156"/>
        <w:gridCol w:w="944"/>
        <w:gridCol w:w="729"/>
        <w:gridCol w:w="771"/>
        <w:gridCol w:w="121"/>
        <w:gridCol w:w="1164"/>
        <w:gridCol w:w="291"/>
        <w:gridCol w:w="350"/>
        <w:gridCol w:w="381"/>
        <w:gridCol w:w="80"/>
        <w:gridCol w:w="721"/>
        <w:gridCol w:w="483"/>
        <w:gridCol w:w="321"/>
        <w:gridCol w:w="400"/>
        <w:gridCol w:w="355"/>
        <w:gridCol w:w="612"/>
        <w:gridCol w:w="1063"/>
        <w:gridCol w:w="134"/>
        <w:gridCol w:w="892"/>
        <w:gridCol w:w="325"/>
        <w:gridCol w:w="313"/>
        <w:gridCol w:w="262"/>
        <w:gridCol w:w="688"/>
        <w:gridCol w:w="21"/>
        <w:gridCol w:w="262"/>
        <w:gridCol w:w="167"/>
        <w:gridCol w:w="615"/>
        <w:gridCol w:w="2"/>
        <w:gridCol w:w="1026"/>
        <w:gridCol w:w="2"/>
        <w:gridCol w:w="9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401" w:type="dxa"/>
            <w:vMerge w:val="restart"/>
            <w:tcMar>
              <w:left w:w="57" w:type="dxa"/>
              <w:right w:w="57" w:type="dxa"/>
            </w:tcMar>
            <w:textDirection w:val="tbRlV"/>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建设项目</w:t>
            </w: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项目名称</w:t>
            </w:r>
          </w:p>
        </w:tc>
        <w:tc>
          <w:tcPr>
            <w:tcW w:w="4362"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eastAsia" w:cs="Times New Roman"/>
                <w:b/>
                <w:color w:val="auto"/>
                <w:sz w:val="15"/>
                <w:szCs w:val="15"/>
                <w:lang w:eastAsia="zh-CN"/>
              </w:rPr>
              <w:t>陕西省石油化工工业贸易有限公司泾阳服务区南加油站建设项目</w:t>
            </w:r>
            <w:r>
              <w:rPr>
                <w:rFonts w:hint="default" w:ascii="Times New Roman" w:hAnsi="Times New Roman" w:cs="Times New Roman"/>
                <w:b/>
                <w:color w:val="auto"/>
                <w:sz w:val="15"/>
                <w:szCs w:val="15"/>
              </w:rPr>
              <w:t xml:space="preserve"> </w:t>
            </w:r>
          </w:p>
        </w:tc>
        <w:tc>
          <w:tcPr>
            <w:tcW w:w="1688"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lang w:eastAsia="zh-CN"/>
              </w:rPr>
              <w:t>项目代码</w:t>
            </w:r>
          </w:p>
        </w:tc>
        <w:tc>
          <w:tcPr>
            <w:tcW w:w="119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lang w:val="en-US" w:eastAsia="zh-CN"/>
              </w:rPr>
              <w:t>/</w:t>
            </w:r>
          </w:p>
        </w:tc>
        <w:tc>
          <w:tcPr>
            <w:tcW w:w="1792"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lang w:eastAsia="zh-CN"/>
              </w:rPr>
              <w:t>建设地点</w:t>
            </w:r>
          </w:p>
        </w:tc>
        <w:tc>
          <w:tcPr>
            <w:tcW w:w="3744"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eastAsia="zh-CN"/>
              </w:rPr>
            </w:pPr>
            <w:r>
              <w:rPr>
                <w:rFonts w:hint="eastAsia" w:cs="Times New Roman"/>
                <w:b/>
                <w:bCs w:val="0"/>
                <w:color w:val="auto"/>
                <w:sz w:val="15"/>
                <w:szCs w:val="15"/>
                <w:highlight w:val="none"/>
                <w:lang w:eastAsia="zh-CN"/>
              </w:rPr>
              <w:t>陕西省咸阳市泾阳县西咸北环高速公路泾阳服务区南区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行业类别（分类管理名录）</w:t>
            </w:r>
          </w:p>
        </w:tc>
        <w:tc>
          <w:tcPr>
            <w:tcW w:w="2697"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eastAsia" w:cs="Times New Roman"/>
                <w:b/>
                <w:color w:val="auto"/>
                <w:sz w:val="15"/>
                <w:szCs w:val="15"/>
                <w:highlight w:val="none"/>
                <w:lang w:val="en-US" w:eastAsia="zh-CN"/>
              </w:rPr>
              <w:t>F5265机动车燃油零售</w:t>
            </w:r>
          </w:p>
        </w:tc>
        <w:tc>
          <w:tcPr>
            <w:tcW w:w="1665"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cs="Times New Roman"/>
                <w:b/>
                <w:color w:val="auto"/>
                <w:sz w:val="15"/>
                <w:szCs w:val="15"/>
                <w:highlight w:val="none"/>
                <w:lang w:eastAsia="zh-CN"/>
              </w:rPr>
              <w:t>建设性质</w:t>
            </w:r>
          </w:p>
        </w:tc>
        <w:tc>
          <w:tcPr>
            <w:tcW w:w="2885" w:type="dxa"/>
            <w:gridSpan w:val="6"/>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lang w:eastAsia="zh-CN"/>
              </w:rPr>
              <w:t>√ 新建  □ 改扩建  □ 技术改造</w:t>
            </w:r>
          </w:p>
        </w:tc>
        <w:tc>
          <w:tcPr>
            <w:tcW w:w="1792"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lang w:val="en-US" w:eastAsia="zh-CN"/>
              </w:rPr>
              <w:t>项目厂区中心经度/纬度</w:t>
            </w:r>
          </w:p>
        </w:tc>
        <w:tc>
          <w:tcPr>
            <w:tcW w:w="3744"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lang w:val="en-US" w:eastAsia="zh-CN"/>
              </w:rPr>
              <w:t>E</w:t>
            </w:r>
            <w:r>
              <w:rPr>
                <w:rFonts w:hint="eastAsia" w:ascii="Times New Roman" w:hAnsi="Times New Roman" w:cs="Times New Roman"/>
                <w:b/>
                <w:bCs w:val="0"/>
                <w:color w:val="auto"/>
                <w:sz w:val="15"/>
                <w:szCs w:val="15"/>
                <w:lang w:val="en-US" w:eastAsia="zh-CN"/>
              </w:rPr>
              <w:t>108.770368</w:t>
            </w:r>
            <w:r>
              <w:rPr>
                <w:rFonts w:hint="eastAsia" w:cs="Times New Roman"/>
                <w:b/>
                <w:bCs w:val="0"/>
                <w:color w:val="auto"/>
                <w:sz w:val="15"/>
                <w:szCs w:val="15"/>
                <w:lang w:val="en-US" w:eastAsia="zh-CN"/>
              </w:rPr>
              <w:t>，</w:t>
            </w:r>
            <w:r>
              <w:rPr>
                <w:rFonts w:hint="default" w:ascii="Times New Roman" w:hAnsi="Times New Roman" w:cs="Times New Roman"/>
                <w:b/>
                <w:bCs w:val="0"/>
                <w:color w:val="auto"/>
                <w:sz w:val="15"/>
                <w:szCs w:val="15"/>
                <w:lang w:val="en-US" w:eastAsia="zh-CN"/>
              </w:rPr>
              <w:t>N</w:t>
            </w:r>
            <w:r>
              <w:rPr>
                <w:rFonts w:hint="eastAsia" w:ascii="Times New Roman" w:hAnsi="Times New Roman" w:cs="Times New Roman"/>
                <w:b/>
                <w:bCs w:val="0"/>
                <w:color w:val="auto"/>
                <w:sz w:val="15"/>
                <w:szCs w:val="15"/>
                <w:lang w:val="en-US" w:eastAsia="zh-CN"/>
              </w:rPr>
              <w:t>34.529586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25"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lang w:val="en-US" w:eastAsia="zh-CN"/>
              </w:rPr>
            </w:pPr>
            <w:r>
              <w:rPr>
                <w:rFonts w:hint="default" w:ascii="Times New Roman" w:hAnsi="Times New Roman" w:cs="Times New Roman"/>
                <w:b/>
                <w:color w:val="auto"/>
                <w:sz w:val="15"/>
                <w:szCs w:val="15"/>
                <w:lang w:val="en-US" w:eastAsia="zh-CN"/>
              </w:rPr>
              <w:t>设计生产能力</w:t>
            </w:r>
          </w:p>
        </w:tc>
        <w:tc>
          <w:tcPr>
            <w:tcW w:w="4362"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bCs w:val="0"/>
                <w:color w:val="auto"/>
                <w:kern w:val="2"/>
                <w:sz w:val="15"/>
                <w:szCs w:val="15"/>
                <w:highlight w:val="none"/>
                <w:lang w:val="en-US" w:eastAsia="zh-CN" w:bidi="ar-SA"/>
              </w:rPr>
            </w:pPr>
            <w:r>
              <w:rPr>
                <w:rFonts w:hint="eastAsia" w:cs="Times New Roman"/>
                <w:b/>
                <w:bCs w:val="0"/>
                <w:color w:val="auto"/>
                <w:sz w:val="15"/>
                <w:szCs w:val="15"/>
                <w:highlight w:val="none"/>
                <w:lang w:eastAsia="zh-CN"/>
              </w:rPr>
              <w:t>年销售油品</w:t>
            </w:r>
            <w:r>
              <w:rPr>
                <w:rFonts w:hint="eastAsia" w:cs="Times New Roman"/>
                <w:b/>
                <w:bCs w:val="0"/>
                <w:color w:val="auto"/>
                <w:sz w:val="15"/>
                <w:szCs w:val="15"/>
                <w:highlight w:val="none"/>
                <w:lang w:val="en-US" w:eastAsia="zh-CN"/>
              </w:rPr>
              <w:t>3000t</w:t>
            </w:r>
          </w:p>
        </w:tc>
        <w:tc>
          <w:tcPr>
            <w:tcW w:w="1688"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lang w:val="en-US" w:eastAsia="zh-CN"/>
              </w:rPr>
              <w:t>实际生产能力</w:t>
            </w:r>
          </w:p>
        </w:tc>
        <w:tc>
          <w:tcPr>
            <w:tcW w:w="2989"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val="en-US" w:eastAsia="zh-CN"/>
              </w:rPr>
            </w:pPr>
            <w:r>
              <w:rPr>
                <w:rFonts w:hint="eastAsia" w:cs="Times New Roman"/>
                <w:b/>
                <w:bCs w:val="0"/>
                <w:color w:val="auto"/>
                <w:sz w:val="15"/>
                <w:szCs w:val="15"/>
                <w:lang w:val="en-US" w:eastAsia="zh-CN"/>
              </w:rPr>
              <w:t>年销售油品3000t</w:t>
            </w:r>
          </w:p>
        </w:tc>
        <w:tc>
          <w:tcPr>
            <w:tcW w:w="1138"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highlight w:val="none"/>
                <w:lang w:eastAsia="zh-CN"/>
              </w:rPr>
              <w:t>环评单位</w:t>
            </w:r>
          </w:p>
        </w:tc>
        <w:tc>
          <w:tcPr>
            <w:tcW w:w="2606"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eastAsia="zh-CN"/>
              </w:rPr>
            </w:pPr>
            <w:r>
              <w:rPr>
                <w:rFonts w:hint="eastAsia" w:cs="Times New Roman"/>
                <w:b/>
                <w:bCs w:val="0"/>
                <w:color w:val="auto"/>
                <w:sz w:val="15"/>
                <w:szCs w:val="15"/>
                <w:lang w:eastAsia="zh-CN"/>
              </w:rPr>
              <w:t>西安海浪环保科技有限公司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环评文件审批机关</w:t>
            </w:r>
          </w:p>
        </w:tc>
        <w:tc>
          <w:tcPr>
            <w:tcW w:w="4362"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bCs w:val="0"/>
                <w:color w:val="auto"/>
                <w:kern w:val="2"/>
                <w:sz w:val="15"/>
                <w:szCs w:val="15"/>
                <w:highlight w:val="none"/>
                <w:lang w:val="en-US" w:eastAsia="zh-CN" w:bidi="ar-SA"/>
              </w:rPr>
            </w:pPr>
            <w:r>
              <w:rPr>
                <w:rFonts w:hint="eastAsia" w:cs="Times New Roman"/>
                <w:b/>
                <w:bCs w:val="0"/>
                <w:color w:val="auto"/>
                <w:sz w:val="15"/>
                <w:szCs w:val="15"/>
                <w:lang w:eastAsia="zh-CN"/>
              </w:rPr>
              <w:t>咸阳市生态环境局泾阳分局</w:t>
            </w:r>
          </w:p>
        </w:tc>
        <w:tc>
          <w:tcPr>
            <w:tcW w:w="1688"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highlight w:val="none"/>
                <w:lang w:eastAsia="zh-CN"/>
              </w:rPr>
            </w:pPr>
            <w:r>
              <w:rPr>
                <w:rFonts w:hint="default" w:ascii="Times New Roman" w:hAnsi="Times New Roman" w:cs="Times New Roman"/>
                <w:b/>
                <w:bCs w:val="0"/>
                <w:color w:val="auto"/>
                <w:sz w:val="15"/>
                <w:szCs w:val="15"/>
                <w:highlight w:val="none"/>
                <w:lang w:eastAsia="zh-CN"/>
              </w:rPr>
              <w:t>审批文号</w:t>
            </w:r>
          </w:p>
        </w:tc>
        <w:tc>
          <w:tcPr>
            <w:tcW w:w="2989"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highlight w:val="none"/>
                <w:lang w:eastAsia="zh-CN"/>
              </w:rPr>
            </w:pPr>
            <w:r>
              <w:rPr>
                <w:rFonts w:hint="eastAsia" w:cs="Times New Roman"/>
                <w:b/>
                <w:bCs w:val="0"/>
                <w:color w:val="auto"/>
                <w:sz w:val="15"/>
                <w:szCs w:val="15"/>
                <w:lang w:eastAsia="zh-CN"/>
              </w:rPr>
              <w:t>咸环泾函【20</w:t>
            </w:r>
            <w:r>
              <w:rPr>
                <w:rFonts w:hint="eastAsia" w:cs="Times New Roman"/>
                <w:b/>
                <w:bCs w:val="0"/>
                <w:color w:val="auto"/>
                <w:sz w:val="15"/>
                <w:szCs w:val="15"/>
                <w:lang w:val="en-US" w:eastAsia="zh-CN"/>
              </w:rPr>
              <w:t>20</w:t>
            </w:r>
            <w:r>
              <w:rPr>
                <w:rFonts w:hint="eastAsia" w:cs="Times New Roman"/>
                <w:b/>
                <w:bCs w:val="0"/>
                <w:color w:val="auto"/>
                <w:sz w:val="15"/>
                <w:szCs w:val="15"/>
                <w:lang w:eastAsia="zh-CN"/>
              </w:rPr>
              <w:t>】</w:t>
            </w:r>
            <w:r>
              <w:rPr>
                <w:rFonts w:hint="eastAsia" w:cs="Times New Roman"/>
                <w:b/>
                <w:bCs w:val="0"/>
                <w:color w:val="auto"/>
                <w:sz w:val="15"/>
                <w:szCs w:val="15"/>
                <w:lang w:val="en-US" w:eastAsia="zh-CN"/>
              </w:rPr>
              <w:t>69</w:t>
            </w:r>
            <w:r>
              <w:rPr>
                <w:rFonts w:hint="eastAsia" w:cs="Times New Roman"/>
                <w:b/>
                <w:bCs w:val="0"/>
                <w:color w:val="auto"/>
                <w:sz w:val="15"/>
                <w:szCs w:val="15"/>
                <w:lang w:eastAsia="zh-CN"/>
              </w:rPr>
              <w:t>号</w:t>
            </w:r>
          </w:p>
        </w:tc>
        <w:tc>
          <w:tcPr>
            <w:tcW w:w="1753"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highlight w:val="none"/>
                <w:lang w:eastAsia="zh-CN"/>
              </w:rPr>
            </w:pPr>
            <w:r>
              <w:rPr>
                <w:rFonts w:hint="default" w:ascii="Times New Roman" w:hAnsi="Times New Roman" w:cs="Times New Roman"/>
                <w:b/>
                <w:bCs w:val="0"/>
                <w:color w:val="auto"/>
                <w:sz w:val="15"/>
                <w:szCs w:val="15"/>
                <w:highlight w:val="none"/>
                <w:lang w:eastAsia="zh-CN"/>
              </w:rPr>
              <w:t>环评文件类型</w:t>
            </w:r>
          </w:p>
        </w:tc>
        <w:tc>
          <w:tcPr>
            <w:tcW w:w="1991"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eastAsia="zh-CN"/>
              </w:rPr>
            </w:pPr>
            <w:r>
              <w:rPr>
                <w:rFonts w:hint="default" w:ascii="Times New Roman" w:hAnsi="Times New Roman" w:cs="Times New Roman"/>
                <w:b/>
                <w:color w:val="auto"/>
                <w:sz w:val="15"/>
                <w:szCs w:val="15"/>
                <w:highlight w:val="none"/>
                <w:lang w:eastAsia="zh-CN"/>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开工日期</w:t>
            </w:r>
          </w:p>
        </w:tc>
        <w:tc>
          <w:tcPr>
            <w:tcW w:w="4362"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cs="Times New Roman"/>
                <w:b/>
                <w:color w:val="auto"/>
                <w:sz w:val="15"/>
                <w:szCs w:val="15"/>
                <w:highlight w:val="none"/>
                <w:lang w:eastAsia="zh-CN"/>
              </w:rPr>
              <w:t>201</w:t>
            </w:r>
            <w:r>
              <w:rPr>
                <w:rFonts w:hint="eastAsia" w:cs="Times New Roman"/>
                <w:b/>
                <w:color w:val="auto"/>
                <w:sz w:val="15"/>
                <w:szCs w:val="15"/>
                <w:highlight w:val="none"/>
                <w:lang w:val="en-US" w:eastAsia="zh-CN"/>
              </w:rPr>
              <w:t>3</w:t>
            </w:r>
            <w:r>
              <w:rPr>
                <w:rFonts w:hint="default" w:ascii="Times New Roman" w:hAnsi="Times New Roman" w:cs="Times New Roman"/>
                <w:b/>
                <w:color w:val="auto"/>
                <w:sz w:val="15"/>
                <w:szCs w:val="15"/>
                <w:highlight w:val="none"/>
                <w:lang w:eastAsia="zh-CN"/>
              </w:rPr>
              <w:t>年</w:t>
            </w:r>
            <w:r>
              <w:rPr>
                <w:rFonts w:hint="eastAsia" w:cs="Times New Roman"/>
                <w:b/>
                <w:color w:val="auto"/>
                <w:sz w:val="15"/>
                <w:szCs w:val="15"/>
                <w:highlight w:val="none"/>
                <w:lang w:val="en-US" w:eastAsia="zh-CN"/>
              </w:rPr>
              <w:t>12</w:t>
            </w:r>
            <w:r>
              <w:rPr>
                <w:rFonts w:hint="default" w:ascii="Times New Roman" w:hAnsi="Times New Roman" w:cs="Times New Roman"/>
                <w:b/>
                <w:color w:val="auto"/>
                <w:sz w:val="15"/>
                <w:szCs w:val="15"/>
                <w:highlight w:val="none"/>
                <w:lang w:eastAsia="zh-CN"/>
              </w:rPr>
              <w:t>月</w:t>
            </w:r>
          </w:p>
        </w:tc>
        <w:tc>
          <w:tcPr>
            <w:tcW w:w="1688"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竣工日期</w:t>
            </w:r>
          </w:p>
        </w:tc>
        <w:tc>
          <w:tcPr>
            <w:tcW w:w="2989"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lang w:eastAsia="zh-CN"/>
              </w:rPr>
              <w:t>201</w:t>
            </w:r>
            <w:r>
              <w:rPr>
                <w:rFonts w:hint="eastAsia" w:cs="Times New Roman"/>
                <w:b/>
                <w:color w:val="auto"/>
                <w:sz w:val="15"/>
                <w:szCs w:val="15"/>
                <w:highlight w:val="none"/>
                <w:lang w:val="en-US" w:eastAsia="zh-CN"/>
              </w:rPr>
              <w:t>4</w:t>
            </w:r>
            <w:r>
              <w:rPr>
                <w:rFonts w:hint="default" w:ascii="Times New Roman" w:hAnsi="Times New Roman" w:cs="Times New Roman"/>
                <w:b/>
                <w:color w:val="auto"/>
                <w:sz w:val="15"/>
                <w:szCs w:val="15"/>
                <w:highlight w:val="none"/>
                <w:lang w:eastAsia="zh-CN"/>
              </w:rPr>
              <w:t>年</w:t>
            </w:r>
            <w:r>
              <w:rPr>
                <w:rFonts w:hint="eastAsia" w:cs="Times New Roman"/>
                <w:b/>
                <w:color w:val="auto"/>
                <w:sz w:val="15"/>
                <w:szCs w:val="15"/>
                <w:highlight w:val="none"/>
                <w:lang w:val="en-US" w:eastAsia="zh-CN"/>
              </w:rPr>
              <w:t>11</w:t>
            </w:r>
            <w:r>
              <w:rPr>
                <w:rFonts w:hint="default" w:ascii="Times New Roman" w:hAnsi="Times New Roman" w:cs="Times New Roman"/>
                <w:b/>
                <w:color w:val="auto"/>
                <w:sz w:val="15"/>
                <w:szCs w:val="15"/>
                <w:highlight w:val="none"/>
                <w:lang w:eastAsia="zh-CN"/>
              </w:rPr>
              <w:t>月</w:t>
            </w:r>
          </w:p>
        </w:tc>
        <w:tc>
          <w:tcPr>
            <w:tcW w:w="1753"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排污许可证申领时间</w:t>
            </w:r>
          </w:p>
        </w:tc>
        <w:tc>
          <w:tcPr>
            <w:tcW w:w="1991"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环保设施设计单位</w:t>
            </w:r>
          </w:p>
        </w:tc>
        <w:tc>
          <w:tcPr>
            <w:tcW w:w="4362"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eastAsia" w:cs="Times New Roman"/>
                <w:b/>
                <w:color w:val="auto"/>
                <w:sz w:val="15"/>
                <w:szCs w:val="15"/>
                <w:highlight w:val="none"/>
                <w:lang w:eastAsia="zh-CN"/>
              </w:rPr>
              <w:t>陕西宇泰建筑设计有限公司</w:t>
            </w:r>
          </w:p>
        </w:tc>
        <w:tc>
          <w:tcPr>
            <w:tcW w:w="1688"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环保设施施工单位</w:t>
            </w:r>
          </w:p>
        </w:tc>
        <w:tc>
          <w:tcPr>
            <w:tcW w:w="2989"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eastAsia" w:cs="Times New Roman"/>
                <w:b/>
                <w:color w:val="auto"/>
                <w:sz w:val="15"/>
                <w:szCs w:val="15"/>
                <w:highlight w:val="none"/>
                <w:lang w:eastAsia="zh-CN"/>
              </w:rPr>
              <w:t>陕西连腾建工集团有限公司</w:t>
            </w:r>
          </w:p>
        </w:tc>
        <w:tc>
          <w:tcPr>
            <w:tcW w:w="1753"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rPr>
              <w:t>本工程排污许可证编号</w:t>
            </w:r>
          </w:p>
        </w:tc>
        <w:tc>
          <w:tcPr>
            <w:tcW w:w="1991"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验收单位</w:t>
            </w:r>
          </w:p>
        </w:tc>
        <w:tc>
          <w:tcPr>
            <w:tcW w:w="4362"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eastAsia" w:ascii="Times New Roman" w:hAnsi="Times New Roman" w:eastAsia="宋体" w:cs="Times New Roman"/>
                <w:b/>
                <w:color w:val="auto"/>
                <w:kern w:val="2"/>
                <w:sz w:val="15"/>
                <w:szCs w:val="15"/>
                <w:highlight w:val="none"/>
                <w:lang w:val="en-US" w:eastAsia="zh-CN" w:bidi="ar-SA"/>
              </w:rPr>
            </w:pPr>
            <w:r>
              <w:rPr>
                <w:rFonts w:hint="eastAsia" w:cs="Times New Roman"/>
                <w:b/>
                <w:color w:val="auto"/>
                <w:sz w:val="15"/>
                <w:szCs w:val="15"/>
                <w:highlight w:val="none"/>
                <w:lang w:eastAsia="zh-CN"/>
              </w:rPr>
              <w:t>河北鑫旺工程建设服务有限公司陕西分公司</w:t>
            </w:r>
          </w:p>
        </w:tc>
        <w:tc>
          <w:tcPr>
            <w:tcW w:w="1688"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环保设施监测单位</w:t>
            </w:r>
          </w:p>
        </w:tc>
        <w:tc>
          <w:tcPr>
            <w:tcW w:w="2989"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eastAsia" w:ascii="Times New Roman" w:hAnsi="Times New Roman" w:eastAsia="宋体" w:cs="Times New Roman"/>
                <w:b/>
                <w:color w:val="auto"/>
                <w:sz w:val="15"/>
                <w:szCs w:val="15"/>
                <w:highlight w:val="none"/>
                <w:lang w:eastAsia="zh-CN"/>
              </w:rPr>
            </w:pPr>
            <w:r>
              <w:rPr>
                <w:rFonts w:hint="default" w:ascii="Times New Roman" w:hAnsi="Times New Roman" w:cs="Times New Roman"/>
                <w:b/>
                <w:color w:val="auto"/>
                <w:sz w:val="15"/>
                <w:szCs w:val="15"/>
                <w:highlight w:val="none"/>
              </w:rPr>
              <w:t>陕西</w:t>
            </w:r>
            <w:r>
              <w:rPr>
                <w:rFonts w:hint="eastAsia" w:cs="Times New Roman"/>
                <w:b/>
                <w:color w:val="auto"/>
                <w:sz w:val="15"/>
                <w:szCs w:val="15"/>
                <w:highlight w:val="none"/>
                <w:lang w:eastAsia="zh-CN"/>
              </w:rPr>
              <w:t>安讯环境检测有限公司</w:t>
            </w:r>
          </w:p>
        </w:tc>
        <w:tc>
          <w:tcPr>
            <w:tcW w:w="1753"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rPr>
              <w:t>验收监测时工况</w:t>
            </w:r>
          </w:p>
        </w:tc>
        <w:tc>
          <w:tcPr>
            <w:tcW w:w="1991"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rPr>
              <w:t>环保设施均正常运行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25"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投资总概算（万元）</w:t>
            </w:r>
          </w:p>
        </w:tc>
        <w:tc>
          <w:tcPr>
            <w:tcW w:w="4362"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eastAsia" w:cs="Times New Roman"/>
                <w:b/>
                <w:color w:val="auto"/>
                <w:sz w:val="15"/>
                <w:szCs w:val="15"/>
                <w:highlight w:val="none"/>
                <w:lang w:val="en-US" w:eastAsia="zh-CN"/>
              </w:rPr>
              <w:t>567.75</w:t>
            </w:r>
          </w:p>
        </w:tc>
        <w:tc>
          <w:tcPr>
            <w:tcW w:w="1688"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环保投资总概算（万元）</w:t>
            </w:r>
          </w:p>
        </w:tc>
        <w:tc>
          <w:tcPr>
            <w:tcW w:w="2989"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eastAsia="zh-CN"/>
              </w:rPr>
            </w:pPr>
            <w:r>
              <w:rPr>
                <w:rFonts w:hint="eastAsia" w:cs="Times New Roman"/>
                <w:b/>
                <w:color w:val="auto"/>
                <w:sz w:val="15"/>
                <w:szCs w:val="15"/>
                <w:highlight w:val="none"/>
                <w:lang w:val="en-US" w:eastAsia="zh-CN"/>
              </w:rPr>
              <w:t>35.7</w:t>
            </w:r>
          </w:p>
        </w:tc>
        <w:tc>
          <w:tcPr>
            <w:tcW w:w="1753"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所占比例（%）</w:t>
            </w:r>
          </w:p>
        </w:tc>
        <w:tc>
          <w:tcPr>
            <w:tcW w:w="1991"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eastAsia="zh-CN"/>
              </w:rPr>
            </w:pPr>
            <w:r>
              <w:rPr>
                <w:rFonts w:hint="eastAsia" w:cs="Times New Roman"/>
                <w:b/>
                <w:color w:val="auto"/>
                <w:sz w:val="15"/>
                <w:szCs w:val="15"/>
                <w:highlight w:val="none"/>
                <w:lang w:val="en-US" w:eastAsia="zh-CN"/>
              </w:rPr>
              <w:t>6.29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95"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实际总投资（万元）</w:t>
            </w:r>
          </w:p>
        </w:tc>
        <w:tc>
          <w:tcPr>
            <w:tcW w:w="4362"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eastAsia" w:cs="Times New Roman"/>
                <w:b/>
                <w:color w:val="auto"/>
                <w:sz w:val="15"/>
                <w:szCs w:val="15"/>
                <w:highlight w:val="none"/>
                <w:lang w:val="en-US" w:eastAsia="zh-CN"/>
              </w:rPr>
              <w:t>567.75</w:t>
            </w:r>
          </w:p>
        </w:tc>
        <w:tc>
          <w:tcPr>
            <w:tcW w:w="1688"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实际环保投资（万元）</w:t>
            </w:r>
          </w:p>
        </w:tc>
        <w:tc>
          <w:tcPr>
            <w:tcW w:w="2989"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eastAsia="zh-CN"/>
              </w:rPr>
            </w:pPr>
            <w:r>
              <w:rPr>
                <w:rFonts w:hint="eastAsia" w:cs="Times New Roman"/>
                <w:b/>
                <w:color w:val="auto"/>
                <w:sz w:val="15"/>
                <w:szCs w:val="15"/>
                <w:highlight w:val="none"/>
                <w:lang w:val="en-US" w:eastAsia="zh-CN"/>
              </w:rPr>
              <w:t>35.7</w:t>
            </w:r>
          </w:p>
        </w:tc>
        <w:tc>
          <w:tcPr>
            <w:tcW w:w="1753"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所占比例（%）</w:t>
            </w:r>
          </w:p>
        </w:tc>
        <w:tc>
          <w:tcPr>
            <w:tcW w:w="1991"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eastAsia="zh-CN"/>
              </w:rPr>
            </w:pPr>
            <w:r>
              <w:rPr>
                <w:rFonts w:hint="eastAsia" w:cs="Times New Roman"/>
                <w:b/>
                <w:color w:val="auto"/>
                <w:sz w:val="15"/>
                <w:szCs w:val="15"/>
                <w:highlight w:val="none"/>
                <w:lang w:val="en-US" w:eastAsia="zh-CN"/>
              </w:rPr>
              <w:t>6.29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7"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废水治理（万元）</w:t>
            </w:r>
          </w:p>
        </w:tc>
        <w:tc>
          <w:tcPr>
            <w:tcW w:w="892" w:type="dxa"/>
            <w:gridSpan w:val="2"/>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lang w:val="en-US" w:eastAsia="zh-CN"/>
              </w:rPr>
              <w:t>/</w:t>
            </w:r>
          </w:p>
        </w:tc>
        <w:tc>
          <w:tcPr>
            <w:tcW w:w="1455" w:type="dxa"/>
            <w:gridSpan w:val="2"/>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废气治理（万元）</w:t>
            </w:r>
          </w:p>
        </w:tc>
        <w:tc>
          <w:tcPr>
            <w:tcW w:w="811" w:type="dxa"/>
            <w:gridSpan w:val="3"/>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eastAsia" w:cs="Times New Roman"/>
                <w:b/>
                <w:color w:val="auto"/>
                <w:sz w:val="15"/>
                <w:szCs w:val="15"/>
                <w:lang w:val="en-US" w:eastAsia="zh-CN"/>
              </w:rPr>
              <w:t>20</w:t>
            </w:r>
          </w:p>
        </w:tc>
        <w:tc>
          <w:tcPr>
            <w:tcW w:w="1525" w:type="dxa"/>
            <w:gridSpan w:val="3"/>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噪声治理（万元）</w:t>
            </w:r>
          </w:p>
        </w:tc>
        <w:tc>
          <w:tcPr>
            <w:tcW w:w="755" w:type="dxa"/>
            <w:gridSpan w:val="2"/>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eastAsia" w:cs="Times New Roman"/>
                <w:b/>
                <w:color w:val="auto"/>
                <w:sz w:val="15"/>
                <w:szCs w:val="15"/>
                <w:lang w:val="en-US" w:eastAsia="zh-CN"/>
              </w:rPr>
              <w:t>2.5</w:t>
            </w:r>
          </w:p>
        </w:tc>
        <w:tc>
          <w:tcPr>
            <w:tcW w:w="1675" w:type="dxa"/>
            <w:gridSpan w:val="2"/>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固体废物治理（万元）</w:t>
            </w:r>
          </w:p>
        </w:tc>
        <w:tc>
          <w:tcPr>
            <w:tcW w:w="1026" w:type="dxa"/>
            <w:gridSpan w:val="2"/>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eastAsia" w:cs="Times New Roman"/>
                <w:b/>
                <w:color w:val="auto"/>
                <w:sz w:val="15"/>
                <w:szCs w:val="15"/>
                <w:lang w:val="en-US" w:eastAsia="zh-CN"/>
              </w:rPr>
              <w:t>3.2</w:t>
            </w:r>
          </w:p>
        </w:tc>
        <w:tc>
          <w:tcPr>
            <w:tcW w:w="1609"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绿化及生态（万元）</w:t>
            </w:r>
          </w:p>
        </w:tc>
        <w:tc>
          <w:tcPr>
            <w:tcW w:w="262" w:type="dxa"/>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eastAsia" w:cs="Times New Roman"/>
                <w:b/>
                <w:color w:val="auto"/>
                <w:kern w:val="2"/>
                <w:sz w:val="15"/>
                <w:szCs w:val="15"/>
                <w:lang w:val="en-US" w:eastAsia="zh-CN" w:bidi="ar-SA"/>
              </w:rPr>
              <w:t>/</w:t>
            </w:r>
          </w:p>
        </w:tc>
        <w:tc>
          <w:tcPr>
            <w:tcW w:w="1810"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其他（万元）</w:t>
            </w:r>
          </w:p>
        </w:tc>
        <w:tc>
          <w:tcPr>
            <w:tcW w:w="963" w:type="dxa"/>
            <w:gridSpan w:val="2"/>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eastAsia" w:cs="Times New Roman"/>
                <w:b/>
                <w:color w:val="auto"/>
                <w:sz w:val="15"/>
                <w:szCs w:val="15"/>
                <w:lang w:val="en-US" w:eastAsia="zh-CN"/>
              </w:rPr>
              <w:t>1</w:t>
            </w:r>
            <w:r>
              <w:rPr>
                <w:rFonts w:hint="default" w:ascii="Times New Roman" w:hAnsi="Times New Roman" w:cs="Times New Roman"/>
                <w:b/>
                <w:color w:val="auto"/>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新增废水处理设施能力</w:t>
            </w:r>
          </w:p>
        </w:tc>
        <w:tc>
          <w:tcPr>
            <w:tcW w:w="5083" w:type="dxa"/>
            <w:gridSpan w:val="11"/>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w:t>
            </w:r>
          </w:p>
        </w:tc>
        <w:tc>
          <w:tcPr>
            <w:tcW w:w="2030"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新增废气处理设施能力</w:t>
            </w:r>
          </w:p>
        </w:tc>
        <w:tc>
          <w:tcPr>
            <w:tcW w:w="1664"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w:t>
            </w:r>
          </w:p>
        </w:tc>
        <w:tc>
          <w:tcPr>
            <w:tcW w:w="1233"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年平均工作时</w:t>
            </w:r>
          </w:p>
        </w:tc>
        <w:tc>
          <w:tcPr>
            <w:tcW w:w="2773" w:type="dxa"/>
            <w:gridSpan w:val="6"/>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lang w:val="en-US" w:eastAsia="zh-CN"/>
              </w:rPr>
            </w:pPr>
            <w:r>
              <w:rPr>
                <w:rFonts w:hint="eastAsia" w:cs="Times New Roman"/>
                <w:b/>
                <w:color w:val="auto"/>
                <w:sz w:val="15"/>
                <w:szCs w:val="15"/>
                <w:lang w:val="en-US" w:eastAsia="zh-CN"/>
              </w:rPr>
              <w:t>8760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7" w:hRule="atLeast"/>
          <w:jc w:val="center"/>
        </w:trPr>
        <w:tc>
          <w:tcPr>
            <w:tcW w:w="2230"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运营单位</w:t>
            </w:r>
          </w:p>
        </w:tc>
        <w:tc>
          <w:tcPr>
            <w:tcW w:w="3879" w:type="dxa"/>
            <w:gridSpan w:val="8"/>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eastAsia" w:ascii="Times New Roman" w:hAnsi="Times New Roman" w:eastAsia="宋体" w:cs="Times New Roman"/>
                <w:b/>
                <w:color w:val="auto"/>
                <w:sz w:val="15"/>
                <w:szCs w:val="15"/>
                <w:lang w:val="en-US" w:eastAsia="zh-CN"/>
              </w:rPr>
            </w:pPr>
            <w:r>
              <w:rPr>
                <w:rFonts w:hint="eastAsia" w:cs="Times New Roman"/>
                <w:b/>
                <w:color w:val="auto"/>
                <w:sz w:val="15"/>
                <w:szCs w:val="15"/>
                <w:lang w:val="en-US" w:eastAsia="zh-CN"/>
              </w:rPr>
              <w:t>陕西省石油化工工业贸易有限公司泾阳服务区南加油站</w:t>
            </w:r>
          </w:p>
        </w:tc>
        <w:tc>
          <w:tcPr>
            <w:tcW w:w="3234"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运营单位社会统一信用代码（或组织机构代码）</w:t>
            </w:r>
          </w:p>
        </w:tc>
        <w:tc>
          <w:tcPr>
            <w:tcW w:w="1926"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91610423MA6XNK2Q33</w:t>
            </w:r>
            <w:r>
              <w:rPr>
                <w:rFonts w:hint="default" w:ascii="Times New Roman" w:hAnsi="Times New Roman" w:eastAsia="宋体" w:cs="Times New Roman"/>
                <w:b/>
                <w:color w:val="auto"/>
                <w:sz w:val="15"/>
                <w:szCs w:val="15"/>
                <w:highlight w:val="none"/>
                <w:lang w:val="en-US" w:eastAsia="zh-CN"/>
              </w:rPr>
              <w:t xml:space="preserve"> </w:t>
            </w:r>
          </w:p>
        </w:tc>
        <w:tc>
          <w:tcPr>
            <w:tcW w:w="971" w:type="dxa"/>
            <w:gridSpan w:val="3"/>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验收时间</w:t>
            </w:r>
          </w:p>
        </w:tc>
        <w:tc>
          <w:tcPr>
            <w:tcW w:w="2773"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cs="Times New Roman"/>
                <w:b/>
                <w:color w:val="auto"/>
                <w:sz w:val="15"/>
                <w:szCs w:val="15"/>
                <w:highlight w:val="none"/>
              </w:rPr>
              <w:t>20</w:t>
            </w:r>
            <w:r>
              <w:rPr>
                <w:rFonts w:hint="eastAsia" w:cs="Times New Roman"/>
                <w:b/>
                <w:color w:val="auto"/>
                <w:sz w:val="15"/>
                <w:szCs w:val="15"/>
                <w:highlight w:val="none"/>
                <w:lang w:val="en-US" w:eastAsia="zh-CN"/>
              </w:rPr>
              <w:t>20.09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restart"/>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污染</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物排</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放达</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标与</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总量</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控制（工</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业建</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设项</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r>
              <w:rPr>
                <w:rFonts w:hint="default" w:ascii="Times New Roman" w:hAnsi="Times New Roman" w:cs="Times New Roman"/>
                <w:b/>
                <w:color w:val="auto"/>
                <w:sz w:val="15"/>
                <w:szCs w:val="15"/>
              </w:rPr>
              <w:t>目详填）</w:t>
            </w: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污染物</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原有排</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放量(1)</w:t>
            </w: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本期工程实际排放浓度(2)</w:t>
            </w: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本期工程允许排放浓度(3)</w:t>
            </w:r>
          </w:p>
        </w:tc>
        <w:tc>
          <w:tcPr>
            <w:tcW w:w="1284"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本期工程产生量(4)</w:t>
            </w:r>
          </w:p>
        </w:tc>
        <w:tc>
          <w:tcPr>
            <w:tcW w:w="721"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本期工程自身削减量(5)</w:t>
            </w:r>
          </w:p>
        </w:tc>
        <w:tc>
          <w:tcPr>
            <w:tcW w:w="96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本期工程实际排放量(6)</w:t>
            </w: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本期工程核定排放总量(7)</w:t>
            </w: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本期工程“以新带老”削减量(8)</w:t>
            </w: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全厂实际排放总量(9)</w:t>
            </w: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全厂核定排放总量(10)</w:t>
            </w: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区域平衡替代削减量(11)</w:t>
            </w: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废水</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4"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0.030224</w:t>
            </w:r>
          </w:p>
        </w:tc>
        <w:tc>
          <w:tcPr>
            <w:tcW w:w="721"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0.030224</w:t>
            </w:r>
          </w:p>
        </w:tc>
        <w:tc>
          <w:tcPr>
            <w:tcW w:w="96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0</w:t>
            </w: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r>
              <w:rPr>
                <w:rFonts w:hint="eastAsia" w:cs="Times New Roman"/>
                <w:b/>
                <w:color w:val="auto"/>
                <w:sz w:val="15"/>
                <w:szCs w:val="15"/>
                <w:highlight w:val="none"/>
                <w:lang w:val="en-US" w:eastAsia="zh-CN"/>
              </w:rPr>
              <w:t>0</w:t>
            </w: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化学需氧量</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4"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1"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6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氨氮</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4"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1"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6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石油类</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4"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1"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6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废气</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4"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1"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6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二氧化硫</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4"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1"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lang w:val="en-US" w:eastAsia="zh-CN"/>
              </w:rPr>
            </w:pPr>
            <w:r>
              <w:rPr>
                <w:rFonts w:hint="default" w:ascii="Times New Roman" w:hAnsi="Times New Roman" w:cs="Times New Roman"/>
                <w:b/>
                <w:color w:val="auto"/>
                <w:sz w:val="15"/>
                <w:szCs w:val="15"/>
              </w:rPr>
              <w:t>烟尘</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4"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1"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4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工业粉尘</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4"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1"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氮氧化物</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4"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1"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6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工业固体废物</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4"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0.0003032</w:t>
            </w:r>
          </w:p>
        </w:tc>
        <w:tc>
          <w:tcPr>
            <w:tcW w:w="721"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0</w:t>
            </w:r>
          </w:p>
        </w:tc>
        <w:tc>
          <w:tcPr>
            <w:tcW w:w="96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0.0003032</w:t>
            </w: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0.0003032</w:t>
            </w: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944" w:type="dxa"/>
            <w:vMerge w:val="restart"/>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与项目有关的其他特征污染物</w:t>
            </w:r>
          </w:p>
        </w:tc>
        <w:tc>
          <w:tcPr>
            <w:tcW w:w="729"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lang w:val="en-US" w:eastAsia="zh-CN"/>
              </w:rPr>
            </w:pP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4"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1"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6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944"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729"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4"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1"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6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944"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729"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4"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1"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6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b/>
          <w:color w:val="auto"/>
          <w:sz w:val="15"/>
          <w:szCs w:val="15"/>
        </w:rPr>
        <w:sectPr>
          <w:footerReference r:id="rId7" w:type="default"/>
          <w:pgSz w:w="16838" w:h="11906" w:orient="landscape"/>
          <w:pgMar w:top="850" w:right="1440" w:bottom="850" w:left="1440" w:header="851" w:footer="992" w:gutter="0"/>
          <w:pgBorders>
            <w:top w:val="none" w:sz="0" w:space="0"/>
            <w:left w:val="none" w:sz="0" w:space="0"/>
            <w:bottom w:val="none" w:sz="0" w:space="0"/>
            <w:right w:val="none" w:sz="0" w:space="0"/>
          </w:pgBorders>
          <w:pgNumType w:fmt="decimal"/>
          <w:cols w:space="720" w:num="1"/>
          <w:docGrid w:type="lines" w:linePitch="326" w:charSpace="0"/>
        </w:sectPr>
      </w:pPr>
      <w:r>
        <w:rPr>
          <w:rFonts w:hint="default" w:ascii="Times New Roman" w:hAnsi="Times New Roman" w:cs="Times New Roman"/>
          <w:b/>
          <w:color w:val="auto"/>
          <w:sz w:val="15"/>
          <w:szCs w:val="15"/>
        </w:rPr>
        <w:t>注：1、</w:t>
      </w:r>
      <w:r>
        <w:rPr>
          <w:rFonts w:hint="default" w:ascii="Times New Roman" w:hAnsi="Times New Roman" w:cs="Times New Roman"/>
          <w:b/>
          <w:color w:val="auto"/>
          <w:spacing w:val="-4"/>
          <w:sz w:val="15"/>
          <w:szCs w:val="15"/>
        </w:rPr>
        <w:t>排放增减量：（+）表示增加，（-）表示减少。2、(12)=(6)-(8)-(11)，（9）= (4)-(5)-(8)- (11) +（1）。3、计量单位：废水排放量——万吨/年；废气排放量——万标立方米/年；工业固体废物排放</w:t>
      </w:r>
      <w:r>
        <w:rPr>
          <w:rFonts w:hint="default" w:ascii="Times New Roman" w:hAnsi="Times New Roman" w:cs="Times New Roman"/>
          <w:b/>
          <w:color w:val="auto"/>
          <w:sz w:val="15"/>
          <w:szCs w:val="15"/>
        </w:rPr>
        <w:t>量——万吨/年；水污染物排放浓度——毫克/升</w:t>
      </w:r>
    </w:p>
    <w:p>
      <w:pPr>
        <w:jc w:val="center"/>
        <w:rPr>
          <w:rFonts w:hint="eastAsia"/>
          <w:lang w:val="en-US" w:eastAsia="zh-CN"/>
        </w:rPr>
        <w:sectPr>
          <w:footerReference r:id="rId8"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75" w:name="_GoBack"/>
      <w:r>
        <w:rPr>
          <w:rFonts w:hint="eastAsia"/>
          <w:lang w:val="en-US" w:eastAsia="zh-CN"/>
        </w:rPr>
        <w:drawing>
          <wp:inline distT="0" distB="0" distL="114300" distR="114300">
            <wp:extent cx="9329420" cy="6597650"/>
            <wp:effectExtent l="0" t="0" r="5080" b="12700"/>
            <wp:docPr id="50" name="图片 50" descr="陕西省石油化工工业贸易有限公司泾阳服务区南加油站验收报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陕西省石油化工工业贸易有限公司泾阳服务区南加油站验收报告_00"/>
                    <pic:cNvPicPr>
                      <a:picLocks noChangeAspect="1"/>
                    </pic:cNvPicPr>
                  </pic:nvPicPr>
                  <pic:blipFill>
                    <a:blip r:embed="rId26"/>
                    <a:stretch>
                      <a:fillRect/>
                    </a:stretch>
                  </pic:blipFill>
                  <pic:spPr>
                    <a:xfrm>
                      <a:off x="0" y="0"/>
                      <a:ext cx="9329420" cy="6597650"/>
                    </a:xfrm>
                    <a:prstGeom prst="rect">
                      <a:avLst/>
                    </a:prstGeom>
                  </pic:spPr>
                </pic:pic>
              </a:graphicData>
            </a:graphic>
          </wp:inline>
        </w:drawing>
      </w:r>
      <w:bookmarkEnd w:id="75"/>
    </w:p>
    <w:p>
      <w:pPr>
        <w:jc w:val="center"/>
        <w:rPr>
          <w:rFonts w:hint="eastAsia"/>
          <w:lang w:val="en-US" w:eastAsia="zh-CN"/>
        </w:rPr>
      </w:pPr>
      <w:r>
        <w:rPr>
          <w:rFonts w:hint="eastAsia"/>
          <w:lang w:val="en-US" w:eastAsia="zh-CN"/>
        </w:rPr>
        <w:drawing>
          <wp:inline distT="0" distB="0" distL="114300" distR="114300">
            <wp:extent cx="6143625" cy="8689340"/>
            <wp:effectExtent l="0" t="0" r="9525" b="16510"/>
            <wp:docPr id="44" name="图片 44" descr="陕西省石油化工工业贸易有限公司泾阳服务区南加油站验收报告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陕西省石油化工工业贸易有限公司泾阳服务区南加油站验收报告_06"/>
                    <pic:cNvPicPr>
                      <a:picLocks noChangeAspect="1"/>
                    </pic:cNvPicPr>
                  </pic:nvPicPr>
                  <pic:blipFill>
                    <a:blip r:embed="rId27"/>
                    <a:stretch>
                      <a:fillRect/>
                    </a:stretch>
                  </pic:blipFill>
                  <pic:spPr>
                    <a:xfrm>
                      <a:off x="0" y="0"/>
                      <a:ext cx="6143625" cy="8689340"/>
                    </a:xfrm>
                    <a:prstGeom prst="rect">
                      <a:avLst/>
                    </a:prstGeom>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sans serif">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Calibri Light">
    <w:panose1 w:val="020F0302020204030204"/>
    <w:charset w:val="00"/>
    <w:family w:val="auto"/>
    <w:pitch w:val="default"/>
    <w:sig w:usb0="A00002EF" w:usb1="4000207B" w:usb2="0000000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Arial">
    <w:panose1 w:val="020B0604020202020204"/>
    <w:charset w:val="00"/>
    <w:family w:val="auto"/>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MS Gothic">
    <w:panose1 w:val="020B0609070205080204"/>
    <w:charset w:val="80"/>
    <w:family w:val="modern"/>
    <w:pitch w:val="default"/>
    <w:sig w:usb0="E00002FF" w:usb1="6AC7FDFB" w:usb2="00000012" w:usb3="00000000" w:csb0="4002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e?">
    <w:altName w:val="Times New Roman"/>
    <w:panose1 w:val="00000000000000000000"/>
    <w:charset w:val="00"/>
    <w:family w:val="auto"/>
    <w:pitch w:val="default"/>
    <w:sig w:usb0="00000000" w:usb1="00000000" w:usb2="00000000" w:usb3="00000000" w:csb0="00000001" w:csb1="00000000"/>
  </w:font>
  <w:font w:name="方正小标宋简体">
    <w:altName w:val="微软雅黑"/>
    <w:panose1 w:val="03000509000000000000"/>
    <w:charset w:val="86"/>
    <w:family w:val="script"/>
    <w:pitch w:val="default"/>
    <w:sig w:usb0="00000000" w:usb1="0000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B413E9"/>
    <w:multiLevelType w:val="singleLevel"/>
    <w:tmpl w:val="A7B413E9"/>
    <w:lvl w:ilvl="0" w:tentative="0">
      <w:start w:val="5"/>
      <w:numFmt w:val="chineseCounting"/>
      <w:suff w:val="nothing"/>
      <w:lvlText w:val="%1、"/>
      <w:lvlJc w:val="left"/>
      <w:rPr>
        <w:rFonts w:hint="eastAsia"/>
      </w:rPr>
    </w:lvl>
  </w:abstractNum>
  <w:abstractNum w:abstractNumId="1">
    <w:nsid w:val="B882FC87"/>
    <w:multiLevelType w:val="singleLevel"/>
    <w:tmpl w:val="B882FC87"/>
    <w:lvl w:ilvl="0" w:tentative="0">
      <w:start w:val="2"/>
      <w:numFmt w:val="chineseCounting"/>
      <w:suff w:val="nothing"/>
      <w:lvlText w:val="%1、"/>
      <w:lvlJc w:val="left"/>
      <w:rPr>
        <w:rFonts w:hint="eastAsia"/>
      </w:rPr>
    </w:lvl>
  </w:abstractNum>
  <w:abstractNum w:abstractNumId="2">
    <w:nsid w:val="DEB6588D"/>
    <w:multiLevelType w:val="singleLevel"/>
    <w:tmpl w:val="DEB6588D"/>
    <w:lvl w:ilvl="0" w:tentative="0">
      <w:start w:val="4"/>
      <w:numFmt w:val="chineseCounting"/>
      <w:suff w:val="nothing"/>
      <w:lvlText w:val="%1、"/>
      <w:lvlJc w:val="left"/>
      <w:rPr>
        <w:rFonts w:hint="eastAsia"/>
      </w:rPr>
    </w:lvl>
  </w:abstractNum>
  <w:abstractNum w:abstractNumId="3">
    <w:nsid w:val="F4550A80"/>
    <w:multiLevelType w:val="singleLevel"/>
    <w:tmpl w:val="F4550A80"/>
    <w:lvl w:ilvl="0" w:tentative="0">
      <w:start w:val="1"/>
      <w:numFmt w:val="decimal"/>
      <w:suff w:val="nothing"/>
      <w:lvlText w:val="%1、"/>
      <w:lvlJc w:val="left"/>
    </w:lvl>
  </w:abstractNum>
  <w:abstractNum w:abstractNumId="4">
    <w:nsid w:val="FB6F0AAA"/>
    <w:multiLevelType w:val="singleLevel"/>
    <w:tmpl w:val="FB6F0AAA"/>
    <w:lvl w:ilvl="0" w:tentative="0">
      <w:start w:val="1"/>
      <w:numFmt w:val="chineseCounting"/>
      <w:suff w:val="nothing"/>
      <w:lvlText w:val="（%1）"/>
      <w:lvlJc w:val="left"/>
      <w:rPr>
        <w:rFonts w:hint="eastAsia"/>
      </w:rPr>
    </w:lvl>
  </w:abstractNum>
  <w:abstractNum w:abstractNumId="5">
    <w:nsid w:val="3545DB67"/>
    <w:multiLevelType w:val="singleLevel"/>
    <w:tmpl w:val="3545DB67"/>
    <w:lvl w:ilvl="0" w:tentative="0">
      <w:start w:val="1"/>
      <w:numFmt w:val="chineseCounting"/>
      <w:suff w:val="nothing"/>
      <w:lvlText w:val="（%1）"/>
      <w:lvlJc w:val="left"/>
      <w:rPr>
        <w:rFonts w:hint="eastAsia"/>
      </w:rPr>
    </w:lvl>
  </w:abstractNum>
  <w:abstractNum w:abstractNumId="6">
    <w:nsid w:val="39815A8B"/>
    <w:multiLevelType w:val="singleLevel"/>
    <w:tmpl w:val="39815A8B"/>
    <w:lvl w:ilvl="0" w:tentative="0">
      <w:start w:val="1"/>
      <w:numFmt w:val="chineseCounting"/>
      <w:suff w:val="nothing"/>
      <w:lvlText w:val="%1、"/>
      <w:lvlJc w:val="left"/>
      <w:rPr>
        <w:rFonts w:hint="eastAsia"/>
      </w:rPr>
    </w:lvl>
  </w:abstractNum>
  <w:abstractNum w:abstractNumId="7">
    <w:nsid w:val="4725967D"/>
    <w:multiLevelType w:val="singleLevel"/>
    <w:tmpl w:val="4725967D"/>
    <w:lvl w:ilvl="0" w:tentative="0">
      <w:start w:val="3"/>
      <w:numFmt w:val="decimal"/>
      <w:suff w:val="nothing"/>
      <w:lvlText w:val="%1、"/>
      <w:lvlJc w:val="left"/>
    </w:lvl>
  </w:abstractNum>
  <w:abstractNum w:abstractNumId="8">
    <w:nsid w:val="7252C528"/>
    <w:multiLevelType w:val="singleLevel"/>
    <w:tmpl w:val="7252C528"/>
    <w:lvl w:ilvl="0" w:tentative="0">
      <w:start w:val="4"/>
      <w:numFmt w:val="decimal"/>
      <w:suff w:val="nothing"/>
      <w:lvlText w:val="（%1）"/>
      <w:lvlJc w:val="left"/>
      <w:pPr>
        <w:ind w:left="120" w:leftChars="0" w:firstLine="0" w:firstLineChars="0"/>
      </w:pPr>
    </w:lvl>
  </w:abstractNum>
  <w:num w:numId="1">
    <w:abstractNumId w:val="0"/>
  </w:num>
  <w:num w:numId="2">
    <w:abstractNumId w:val="8"/>
  </w:num>
  <w:num w:numId="3">
    <w:abstractNumId w:val="2"/>
  </w:num>
  <w:num w:numId="4">
    <w:abstractNumId w:val="5"/>
  </w:num>
  <w:num w:numId="5">
    <w:abstractNumId w:val="6"/>
  </w:num>
  <w:num w:numId="6">
    <w:abstractNumId w:val="7"/>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B00FFA"/>
    <w:rsid w:val="02DB565C"/>
    <w:rsid w:val="03506465"/>
    <w:rsid w:val="03785315"/>
    <w:rsid w:val="04943450"/>
    <w:rsid w:val="057F6BC5"/>
    <w:rsid w:val="05FD1489"/>
    <w:rsid w:val="074D1C0B"/>
    <w:rsid w:val="09505031"/>
    <w:rsid w:val="0AC30804"/>
    <w:rsid w:val="0C3141D3"/>
    <w:rsid w:val="0F866D50"/>
    <w:rsid w:val="108E54EB"/>
    <w:rsid w:val="1126732E"/>
    <w:rsid w:val="16C658A9"/>
    <w:rsid w:val="17074C05"/>
    <w:rsid w:val="17B00FFA"/>
    <w:rsid w:val="204424DA"/>
    <w:rsid w:val="205E1044"/>
    <w:rsid w:val="20856E1F"/>
    <w:rsid w:val="209D7225"/>
    <w:rsid w:val="20B201F0"/>
    <w:rsid w:val="20B763BE"/>
    <w:rsid w:val="21634B11"/>
    <w:rsid w:val="28280191"/>
    <w:rsid w:val="285C550F"/>
    <w:rsid w:val="2958740A"/>
    <w:rsid w:val="2C41012C"/>
    <w:rsid w:val="2D4E088C"/>
    <w:rsid w:val="31112F1F"/>
    <w:rsid w:val="34160CA7"/>
    <w:rsid w:val="35D965CD"/>
    <w:rsid w:val="388852E6"/>
    <w:rsid w:val="3C4270A9"/>
    <w:rsid w:val="3DE80373"/>
    <w:rsid w:val="41057648"/>
    <w:rsid w:val="45AC70B0"/>
    <w:rsid w:val="46350E56"/>
    <w:rsid w:val="463D16A1"/>
    <w:rsid w:val="4927553F"/>
    <w:rsid w:val="4BDA037A"/>
    <w:rsid w:val="4C3755F5"/>
    <w:rsid w:val="4D5A0032"/>
    <w:rsid w:val="4D9324E5"/>
    <w:rsid w:val="4FF11608"/>
    <w:rsid w:val="4FF52438"/>
    <w:rsid w:val="50966503"/>
    <w:rsid w:val="51E036EE"/>
    <w:rsid w:val="52144DFB"/>
    <w:rsid w:val="55B001EA"/>
    <w:rsid w:val="58210341"/>
    <w:rsid w:val="586E0F43"/>
    <w:rsid w:val="5B463163"/>
    <w:rsid w:val="5C8134C0"/>
    <w:rsid w:val="5C906F18"/>
    <w:rsid w:val="5D4E3783"/>
    <w:rsid w:val="5E5F2E8A"/>
    <w:rsid w:val="5FD141EC"/>
    <w:rsid w:val="60182797"/>
    <w:rsid w:val="609C528F"/>
    <w:rsid w:val="621855A7"/>
    <w:rsid w:val="62460B2A"/>
    <w:rsid w:val="62DA6C09"/>
    <w:rsid w:val="62DD7723"/>
    <w:rsid w:val="63385DB0"/>
    <w:rsid w:val="63B25816"/>
    <w:rsid w:val="63EF7253"/>
    <w:rsid w:val="64F02002"/>
    <w:rsid w:val="65812DAE"/>
    <w:rsid w:val="665C20D3"/>
    <w:rsid w:val="67263C0F"/>
    <w:rsid w:val="680B117F"/>
    <w:rsid w:val="69831C4E"/>
    <w:rsid w:val="69BB7F1F"/>
    <w:rsid w:val="69E3333B"/>
    <w:rsid w:val="6A6A7F23"/>
    <w:rsid w:val="6B1E7D76"/>
    <w:rsid w:val="6F6C0242"/>
    <w:rsid w:val="71F83DDA"/>
    <w:rsid w:val="72EE027D"/>
    <w:rsid w:val="7341512D"/>
    <w:rsid w:val="74475A28"/>
    <w:rsid w:val="75B91960"/>
    <w:rsid w:val="75E21997"/>
    <w:rsid w:val="76D76404"/>
    <w:rsid w:val="7AD63EC6"/>
    <w:rsid w:val="7D973AF9"/>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6">
    <w:name w:val="heading 1"/>
    <w:basedOn w:val="1"/>
    <w:next w:val="1"/>
    <w:qFormat/>
    <w:uiPriority w:val="1"/>
    <w:pPr>
      <w:spacing w:before="35"/>
      <w:ind w:left="220"/>
      <w:outlineLvl w:val="1"/>
    </w:pPr>
    <w:rPr>
      <w:rFonts w:ascii="宋体" w:hAnsi="宋体" w:eastAsia="宋体" w:cs="宋体"/>
      <w:sz w:val="28"/>
      <w:szCs w:val="28"/>
      <w:lang w:val="zh-CN" w:eastAsia="zh-CN" w:bidi="zh-CN"/>
    </w:rPr>
  </w:style>
  <w:style w:type="paragraph" w:styleId="7">
    <w:name w:val="heading 2"/>
    <w:basedOn w:val="1"/>
    <w:next w:val="1"/>
    <w:link w:val="18"/>
    <w:qFormat/>
    <w:uiPriority w:val="1"/>
    <w:pPr>
      <w:spacing w:before="222"/>
      <w:ind w:left="220"/>
      <w:outlineLvl w:val="2"/>
    </w:pPr>
    <w:rPr>
      <w:rFonts w:ascii="宋体" w:hAnsi="宋体" w:eastAsia="宋体" w:cs="宋体"/>
      <w:b/>
      <w:bCs/>
      <w:sz w:val="24"/>
      <w:szCs w:val="24"/>
      <w:lang w:val="zh-CN" w:eastAsia="zh-CN" w:bidi="zh-CN"/>
    </w:rPr>
  </w:style>
  <w:style w:type="paragraph" w:styleId="8">
    <w:name w:val="heading 3"/>
    <w:basedOn w:val="1"/>
    <w:next w:val="1"/>
    <w:link w:val="23"/>
    <w:qFormat/>
    <w:uiPriority w:val="0"/>
    <w:pPr>
      <w:keepNext/>
      <w:keepLines/>
      <w:widowControl w:val="0"/>
      <w:spacing w:before="20" w:after="20" w:line="412" w:lineRule="auto"/>
      <w:jc w:val="left"/>
      <w:outlineLvl w:val="2"/>
    </w:pPr>
    <w:rPr>
      <w:rFonts w:ascii="Times New Roman" w:hAnsi="Times New Roman" w:eastAsia="宋体"/>
      <w:bCs/>
      <w:iCs/>
      <w:sz w:val="24"/>
      <w:szCs w:val="32"/>
    </w:rPr>
  </w:style>
  <w:style w:type="character" w:default="1" w:styleId="15">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next w:val="4"/>
    <w:qFormat/>
    <w:uiPriority w:val="0"/>
    <w:pPr>
      <w:spacing w:before="0" w:after="120"/>
      <w:ind w:left="200" w:leftChars="200" w:firstLine="200" w:firstLineChars="200"/>
    </w:pPr>
    <w:rPr>
      <w:sz w:val="21"/>
    </w:rPr>
  </w:style>
  <w:style w:type="paragraph" w:styleId="3">
    <w:name w:val="Body Text Indent"/>
    <w:basedOn w:val="1"/>
    <w:qFormat/>
    <w:uiPriority w:val="0"/>
    <w:pPr>
      <w:ind w:firstLine="480"/>
      <w:jc w:val="left"/>
    </w:pPr>
    <w:rPr>
      <w:rFonts w:ascii="楷体_GB2312" w:eastAsia="楷体_GB2312"/>
      <w:sz w:val="24"/>
      <w:szCs w:val="20"/>
    </w:rPr>
  </w:style>
  <w:style w:type="paragraph" w:styleId="4">
    <w:name w:val="Body Text First Indent"/>
    <w:basedOn w:val="5"/>
    <w:qFormat/>
    <w:uiPriority w:val="0"/>
    <w:pPr>
      <w:ind w:firstLine="100" w:firstLineChars="100"/>
      <w:jc w:val="center"/>
    </w:pPr>
    <w:rPr>
      <w:b/>
      <w:sz w:val="21"/>
    </w:rPr>
  </w:style>
  <w:style w:type="paragraph" w:styleId="5">
    <w:name w:val="Body Text"/>
    <w:basedOn w:val="1"/>
    <w:qFormat/>
    <w:uiPriority w:val="1"/>
    <w:rPr>
      <w:rFonts w:ascii="宋体" w:hAnsi="宋体" w:eastAsia="宋体" w:cs="宋体"/>
      <w:sz w:val="24"/>
      <w:szCs w:val="24"/>
      <w:lang w:val="zh-CN" w:eastAsia="zh-CN" w:bidi="zh-CN"/>
    </w:rPr>
  </w:style>
  <w:style w:type="paragraph" w:styleId="9">
    <w:name w:val="Normal Indent"/>
    <w:basedOn w:val="1"/>
    <w:unhideWhenUsed/>
    <w:qFormat/>
    <w:uiPriority w:val="0"/>
    <w:pPr>
      <w:ind w:firstLine="420"/>
    </w:pPr>
    <w:rPr>
      <w:szCs w:val="20"/>
    </w:rPr>
  </w:style>
  <w:style w:type="paragraph" w:styleId="10">
    <w:name w:val="annotation text"/>
    <w:basedOn w:val="1"/>
    <w:qFormat/>
    <w:uiPriority w:val="0"/>
    <w:pPr>
      <w:jc w:val="left"/>
    </w:pPr>
  </w:style>
  <w:style w:type="paragraph" w:styleId="11">
    <w:name w:val="Plain Text"/>
    <w:basedOn w:val="1"/>
    <w:qFormat/>
    <w:uiPriority w:val="0"/>
    <w:rPr>
      <w:rFonts w:ascii="宋体" w:hAnsi="Courier New"/>
      <w:sz w:val="21"/>
    </w:rPr>
  </w:style>
  <w:style w:type="paragraph" w:styleId="12">
    <w:name w:val="footer"/>
    <w:basedOn w:val="1"/>
    <w:qFormat/>
    <w:uiPriority w:val="0"/>
    <w:pPr>
      <w:tabs>
        <w:tab w:val="center" w:pos="4153"/>
        <w:tab w:val="right" w:pos="8306"/>
      </w:tabs>
    </w:pPr>
    <w:rPr>
      <w:rFonts w:ascii="Tahoma" w:hAnsi="Tahoma"/>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1"/>
    <w:pPr>
      <w:spacing w:before="160"/>
      <w:ind w:left="220"/>
    </w:pPr>
    <w:rPr>
      <w:rFonts w:ascii="宋体" w:hAnsi="宋体" w:eastAsia="宋体" w:cs="宋体"/>
      <w:sz w:val="24"/>
      <w:szCs w:val="24"/>
      <w:lang w:val="zh-CN" w:eastAsia="zh-CN" w:bidi="zh-CN"/>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8">
    <w:name w:val="标题 2 Char"/>
    <w:link w:val="7"/>
    <w:qFormat/>
    <w:uiPriority w:val="0"/>
    <w:rPr>
      <w:rFonts w:ascii="宋体" w:hAnsi="宋体" w:eastAsia="宋体" w:cs="宋体"/>
      <w:b/>
      <w:bCs/>
      <w:sz w:val="24"/>
      <w:szCs w:val="24"/>
      <w:lang w:val="zh-CN" w:eastAsia="zh-CN" w:bidi="zh-CN"/>
    </w:rPr>
  </w:style>
  <w:style w:type="paragraph" w:customStyle="1" w:styleId="19">
    <w:name w:val="WPSOffice手动目录 1"/>
    <w:qFormat/>
    <w:uiPriority w:val="0"/>
    <w:pPr>
      <w:ind w:leftChars="0"/>
    </w:pPr>
    <w:rPr>
      <w:rFonts w:asciiTheme="minorHAnsi" w:hAnsiTheme="minorHAnsi" w:eastAsiaTheme="minorEastAsia" w:cstheme="minorBidi"/>
      <w:sz w:val="20"/>
      <w:szCs w:val="20"/>
    </w:rPr>
  </w:style>
  <w:style w:type="paragraph" w:customStyle="1" w:styleId="20">
    <w:name w:val="Table Paragraph"/>
    <w:basedOn w:val="1"/>
    <w:qFormat/>
    <w:uiPriority w:val="1"/>
    <w:rPr>
      <w:rFonts w:ascii="宋体" w:hAnsi="宋体" w:eastAsia="宋体" w:cs="宋体"/>
      <w:lang w:val="zh-CN" w:eastAsia="zh-CN" w:bidi="zh-CN"/>
    </w:rPr>
  </w:style>
  <w:style w:type="paragraph" w:customStyle="1" w:styleId="21">
    <w:name w:val="List Paragraph"/>
    <w:basedOn w:val="1"/>
    <w:qFormat/>
    <w:uiPriority w:val="1"/>
    <w:pPr>
      <w:spacing w:before="1"/>
      <w:ind w:left="1301" w:hanging="601"/>
    </w:pPr>
    <w:rPr>
      <w:rFonts w:ascii="宋体" w:hAnsi="宋体" w:eastAsia="宋体" w:cs="宋体"/>
      <w:lang w:val="zh-CN" w:eastAsia="zh-CN" w:bidi="zh-CN"/>
    </w:rPr>
  </w:style>
  <w:style w:type="paragraph" w:customStyle="1" w:styleId="22">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character" w:customStyle="1" w:styleId="23">
    <w:name w:val="标题 3 Char"/>
    <w:link w:val="8"/>
    <w:qFormat/>
    <w:uiPriority w:val="0"/>
    <w:rPr>
      <w:rFonts w:ascii="Times New Roman" w:hAnsi="Times New Roman" w:eastAsia="宋体"/>
      <w:bCs/>
      <w:iCs/>
      <w:sz w:val="24"/>
      <w:szCs w:val="32"/>
    </w:rPr>
  </w:style>
  <w:style w:type="paragraph" w:customStyle="1" w:styleId="24">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5">
    <w:name w:val="表"/>
    <w:basedOn w:val="1"/>
    <w:qFormat/>
    <w:uiPriority w:val="0"/>
    <w:pPr>
      <w:spacing w:line="240" w:lineRule="auto"/>
      <w:ind w:firstLine="0" w:firstLineChars="0"/>
    </w:pPr>
    <w:rPr>
      <w:rFonts w:ascii="Times New Roman" w:hAnsi="Times New Roman" w:eastAsia="宋体"/>
      <w:kern w:val="0"/>
      <w:sz w:val="24"/>
      <w:szCs w:val="20"/>
    </w:rPr>
  </w:style>
  <w:style w:type="paragraph" w:customStyle="1" w:styleId="26">
    <w:name w:val="Body text|1"/>
    <w:basedOn w:val="1"/>
    <w:qFormat/>
    <w:uiPriority w:val="0"/>
    <w:pPr>
      <w:widowControl w:val="0"/>
      <w:shd w:val="clear" w:color="auto" w:fill="auto"/>
      <w:spacing w:line="420" w:lineRule="auto"/>
      <w:ind w:firstLine="400"/>
    </w:pPr>
    <w:rPr>
      <w:rFonts w:ascii="宋体" w:hAnsi="宋体" w:eastAsia="宋体" w:cs="宋体"/>
      <w:sz w:val="28"/>
      <w:szCs w:val="28"/>
      <w:u w:val="none"/>
      <w:shd w:val="clear" w:color="auto" w:fill="auto"/>
      <w:lang w:val="zh-TW" w:eastAsia="zh-TW" w:bidi="zh-TW"/>
    </w:rPr>
  </w:style>
  <w:style w:type="paragraph" w:customStyle="1" w:styleId="27">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28">
    <w:name w:val="表格内容"/>
    <w:basedOn w:val="1"/>
    <w:qFormat/>
    <w:uiPriority w:val="0"/>
    <w:pPr>
      <w:spacing w:line="320" w:lineRule="exact"/>
      <w:ind w:firstLine="0" w:firstLineChars="0"/>
      <w:jc w:val="center"/>
      <w:textAlignment w:val="baseline"/>
    </w:pPr>
    <w:rPr>
      <w:sz w:val="21"/>
      <w:szCs w:val="20"/>
    </w:rPr>
  </w:style>
  <w:style w:type="character" w:customStyle="1" w:styleId="29">
    <w:name w:val="fontstyle01"/>
    <w:basedOn w:val="15"/>
    <w:qFormat/>
    <w:uiPriority w:val="0"/>
    <w:rPr>
      <w:rFonts w:hint="eastAsia" w:ascii="黑体" w:hAnsi="黑体" w:eastAsia="黑体"/>
      <w:color w:val="000000"/>
      <w:sz w:val="22"/>
      <w:szCs w:val="22"/>
    </w:rPr>
  </w:style>
  <w:style w:type="paragraph" w:customStyle="1" w:styleId="30">
    <w:name w:val="样式1"/>
    <w:basedOn w:val="1"/>
    <w:qFormat/>
    <w:uiPriority w:val="99"/>
    <w:pPr>
      <w:spacing w:line="540" w:lineRule="exact"/>
      <w:ind w:firstLine="200" w:firstLineChars="200"/>
    </w:pPr>
    <w:rPr>
      <w:rFonts w:ascii="仿宋" w:hAnsi="仿宋" w:eastAsia="仿宋"/>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glossaryDocument" Target="glossary/document.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08d9686-7364-455a-aa4a-02965f188b50}"/>
        <w:style w:val=""/>
        <w:category>
          <w:name w:val="常规"/>
          <w:gallery w:val="placeholder"/>
        </w:category>
        <w:types>
          <w:type w:val="bbPlcHdr"/>
        </w:types>
        <w:behaviors>
          <w:behavior w:val="content"/>
        </w:behaviors>
        <w:description w:val=""/>
        <w:guid w:val="{008d9686-7364-455a-aa4a-02965f188b50}"/>
      </w:docPartPr>
      <w:docPartBody>
        <w:p>
          <w:r>
            <w:rPr>
              <w:color w:val="808080"/>
            </w:rPr>
            <w:t>单击此处输入文字。</w:t>
          </w:r>
        </w:p>
      </w:docPartBody>
    </w:docPart>
    <w:docPart>
      <w:docPartPr>
        <w:name w:val="{b4db02f8-fd9f-4d27-8e68-e0410c349bd0}"/>
        <w:style w:val=""/>
        <w:category>
          <w:name w:val="常规"/>
          <w:gallery w:val="placeholder"/>
        </w:category>
        <w:types>
          <w:type w:val="bbPlcHdr"/>
        </w:types>
        <w:behaviors>
          <w:behavior w:val="content"/>
        </w:behaviors>
        <w:description w:val=""/>
        <w:guid w:val="{b4db02f8-fd9f-4d27-8e68-e0410c349bd0}"/>
      </w:docPartPr>
      <w:docPartBody>
        <w:p>
          <w:r>
            <w:rPr>
              <w:color w:val="808080"/>
            </w:rPr>
            <w:t>单击此处输入文字。</w:t>
          </w:r>
        </w:p>
      </w:docPartBody>
    </w:docPart>
    <w:docPart>
      <w:docPartPr>
        <w:name w:val="{80647338-d634-4768-98d0-c1ec740d5044}"/>
        <w:style w:val=""/>
        <w:category>
          <w:name w:val="常规"/>
          <w:gallery w:val="placeholder"/>
        </w:category>
        <w:types>
          <w:type w:val="bbPlcHdr"/>
        </w:types>
        <w:behaviors>
          <w:behavior w:val="content"/>
        </w:behaviors>
        <w:description w:val=""/>
        <w:guid w:val="{80647338-d634-4768-98d0-c1ec740d5044}"/>
      </w:docPartPr>
      <w:docPartBody>
        <w:p>
          <w:r>
            <w:rPr>
              <w:color w:val="808080"/>
            </w:rPr>
            <w:t>单击此处输入文字。</w:t>
          </w:r>
        </w:p>
      </w:docPartBody>
    </w:docPart>
    <w:docPart>
      <w:docPartPr>
        <w:name w:val="{876ef055-6334-4791-a674-97960599abd9}"/>
        <w:style w:val=""/>
        <w:category>
          <w:name w:val="常规"/>
          <w:gallery w:val="placeholder"/>
        </w:category>
        <w:types>
          <w:type w:val="bbPlcHdr"/>
        </w:types>
        <w:behaviors>
          <w:behavior w:val="content"/>
        </w:behaviors>
        <w:description w:val=""/>
        <w:guid w:val="{876ef055-6334-4791-a674-97960599abd9}"/>
      </w:docPartPr>
      <w:docPartBody>
        <w:p>
          <w:r>
            <w:rPr>
              <w:color w:val="808080"/>
            </w:rPr>
            <w:t>单击此处输入文字。</w:t>
          </w:r>
        </w:p>
      </w:docPartBody>
    </w:docPart>
    <w:docPart>
      <w:docPartPr>
        <w:name w:val="{96d1e4e3-0c90-4e7b-abfd-6f26a0f89d71}"/>
        <w:style w:val=""/>
        <w:category>
          <w:name w:val="常规"/>
          <w:gallery w:val="placeholder"/>
        </w:category>
        <w:types>
          <w:type w:val="bbPlcHdr"/>
        </w:types>
        <w:behaviors>
          <w:behavior w:val="content"/>
        </w:behaviors>
        <w:description w:val=""/>
        <w:guid w:val="{96d1e4e3-0c90-4e7b-abfd-6f26a0f89d71}"/>
      </w:docPartPr>
      <w:docPartBody>
        <w:p>
          <w:r>
            <w:rPr>
              <w:color w:val="808080"/>
            </w:rPr>
            <w:t>单击此处输入文字。</w:t>
          </w:r>
        </w:p>
      </w:docPartBody>
    </w:docPart>
    <w:docPart>
      <w:docPartPr>
        <w:name w:val="{488cff74-2f1f-45c7-802b-788fe0394693}"/>
        <w:style w:val=""/>
        <w:category>
          <w:name w:val="常规"/>
          <w:gallery w:val="placeholder"/>
        </w:category>
        <w:types>
          <w:type w:val="bbPlcHdr"/>
        </w:types>
        <w:behaviors>
          <w:behavior w:val="content"/>
        </w:behaviors>
        <w:description w:val=""/>
        <w:guid w:val="{488cff74-2f1f-45c7-802b-788fe0394693}"/>
      </w:docPartPr>
      <w:docPartBody>
        <w:p>
          <w:r>
            <w:rPr>
              <w:color w:val="808080"/>
            </w:rPr>
            <w:t>单击此处输入文字。</w:t>
          </w:r>
        </w:p>
      </w:docPartBody>
    </w:docPart>
    <w:docPart>
      <w:docPartPr>
        <w:name w:val="{d7125435-b1f7-4fd5-bdeb-58d04df9c5e3}"/>
        <w:style w:val=""/>
        <w:category>
          <w:name w:val="常规"/>
          <w:gallery w:val="placeholder"/>
        </w:category>
        <w:types>
          <w:type w:val="bbPlcHdr"/>
        </w:types>
        <w:behaviors>
          <w:behavior w:val="content"/>
        </w:behaviors>
        <w:description w:val=""/>
        <w:guid w:val="{d7125435-b1f7-4fd5-bdeb-58d04df9c5e3}"/>
      </w:docPartPr>
      <w:docPartBody>
        <w:p>
          <w:r>
            <w:rPr>
              <w:color w:val="808080"/>
            </w:rPr>
            <w:t>单击此处输入文字。</w:t>
          </w:r>
        </w:p>
      </w:docPartBody>
    </w:docPart>
    <w:docPart>
      <w:docPartPr>
        <w:name w:val="{482f9a65-463d-4b73-af01-55aedf688901}"/>
        <w:style w:val=""/>
        <w:category>
          <w:name w:val="常规"/>
          <w:gallery w:val="placeholder"/>
        </w:category>
        <w:types>
          <w:type w:val="bbPlcHdr"/>
        </w:types>
        <w:behaviors>
          <w:behavior w:val="content"/>
        </w:behaviors>
        <w:description w:val=""/>
        <w:guid w:val="{482f9a65-463d-4b73-af01-55aedf688901}"/>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sans serif">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Calibri Light">
    <w:panose1 w:val="020F0302020204030204"/>
    <w:charset w:val="00"/>
    <w:family w:val="auto"/>
    <w:pitch w:val="default"/>
    <w:sig w:usb0="A00002EF" w:usb1="4000207B" w:usb2="0000000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Arial">
    <w:panose1 w:val="020B0604020202020204"/>
    <w:charset w:val="00"/>
    <w:family w:val="auto"/>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MS Gothic">
    <w:panose1 w:val="020B0609070205080204"/>
    <w:charset w:val="80"/>
    <w:family w:val="modern"/>
    <w:pitch w:val="default"/>
    <w:sig w:usb0="E00002FF" w:usb1="6AC7FDFB" w:usb2="00000012" w:usb3="00000000" w:csb0="4002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e?">
    <w:altName w:val="Times New Roman"/>
    <w:panose1 w:val="00000000000000000000"/>
    <w:charset w:val="00"/>
    <w:family w:val="auto"/>
    <w:pitch w:val="default"/>
    <w:sig w:usb0="00000000" w:usb1="00000000" w:usb2="00000000" w:usb3="00000000" w:csb0="00000001" w:csb1="00000000"/>
  </w:font>
  <w:font w:name="方正小标宋简体">
    <w:altName w:val="微软雅黑"/>
    <w:panose1 w:val="03000509000000000000"/>
    <w:charset w:val="86"/>
    <w:family w:val="script"/>
    <w:pitch w:val="default"/>
    <w:sig w:usb0="00000000" w:usb1="0000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lMargin m:val="0"/>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17357</Words>
  <Characters>20368</Characters>
  <Lines>0</Lines>
  <Paragraphs>0</Paragraphs>
  <ScaleCrop>false</ScaleCrop>
  <LinksUpToDate>false</LinksUpToDate>
  <CharactersWithSpaces>20644</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2019-11-05T05:19:00Z</dcterms:created>
  <dc:creator>一缕阳光</dc:creator>
  <cp:lastModifiedBy>Administrator</cp:lastModifiedBy>
  <cp:lastPrinted>2019-12-13T07:53:00Z</cp:lastPrinted>
  <dcterms:modified xsi:type="dcterms:W3CDTF">2020-09-30T10:01:13Z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