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kinsoku/>
        <w:wordWrap/>
        <w:topLinePunct w:val="0"/>
        <w:bidi w:val="0"/>
        <w:rPr>
          <w:rFonts w:ascii="Times New Roman"/>
          <w:sz w:val="20"/>
        </w:rPr>
      </w:pPr>
    </w:p>
    <w:p>
      <w:pPr>
        <w:pStyle w:val="3"/>
        <w:keepNext w:val="0"/>
        <w:keepLines w:val="0"/>
        <w:pageBreakBefore w:val="0"/>
        <w:widowControl w:val="0"/>
        <w:kinsoku/>
        <w:wordWrap/>
        <w:topLinePunct w:val="0"/>
        <w:bidi w:val="0"/>
        <w:rPr>
          <w:rFonts w:ascii="Times New Roman"/>
          <w:sz w:val="20"/>
        </w:rPr>
      </w:pPr>
    </w:p>
    <w:p>
      <w:pPr>
        <w:pStyle w:val="3"/>
        <w:keepNext w:val="0"/>
        <w:keepLines w:val="0"/>
        <w:pageBreakBefore w:val="0"/>
        <w:widowControl w:val="0"/>
        <w:kinsoku/>
        <w:wordWrap/>
        <w:topLinePunct w:val="0"/>
        <w:bidi w:val="0"/>
        <w:rPr>
          <w:rFonts w:ascii="Times New Roman"/>
          <w:sz w:val="20"/>
        </w:rPr>
      </w:pPr>
    </w:p>
    <w:p>
      <w:pPr>
        <w:pStyle w:val="3"/>
        <w:keepNext w:val="0"/>
        <w:keepLines w:val="0"/>
        <w:pageBreakBefore w:val="0"/>
        <w:widowControl w:val="0"/>
        <w:kinsoku/>
        <w:wordWrap/>
        <w:topLinePunct w:val="0"/>
        <w:bidi w:val="0"/>
        <w:rPr>
          <w:rFonts w:ascii="Times New Roman"/>
          <w:sz w:val="20"/>
        </w:rPr>
      </w:pPr>
    </w:p>
    <w:p>
      <w:pPr>
        <w:pStyle w:val="3"/>
        <w:keepNext w:val="0"/>
        <w:keepLines w:val="0"/>
        <w:pageBreakBefore w:val="0"/>
        <w:widowControl w:val="0"/>
        <w:kinsoku/>
        <w:wordWrap/>
        <w:topLinePunct w:val="0"/>
        <w:bidi w:val="0"/>
        <w:rPr>
          <w:rFonts w:ascii="Times New Roman"/>
          <w:sz w:val="20"/>
        </w:rPr>
      </w:pPr>
    </w:p>
    <w:p>
      <w:pPr>
        <w:keepNext w:val="0"/>
        <w:keepLines w:val="0"/>
        <w:pageBreakBefore w:val="0"/>
        <w:widowControl w:val="0"/>
        <w:kinsoku/>
        <w:wordWrap/>
        <w:topLinePunct w:val="0"/>
        <w:bidi w:val="0"/>
        <w:spacing w:before="150"/>
        <w:ind w:left="0" w:right="29" w:firstLine="0"/>
        <w:jc w:val="center"/>
        <w:rPr>
          <w:b/>
          <w:sz w:val="52"/>
        </w:rPr>
      </w:pPr>
      <w:r>
        <w:rPr>
          <w:b/>
          <w:sz w:val="52"/>
        </w:rPr>
        <w:t>建设项目环境影响报告表</w:t>
      </w:r>
    </w:p>
    <w:p>
      <w:pPr>
        <w:pStyle w:val="3"/>
        <w:keepNext w:val="0"/>
        <w:keepLines w:val="0"/>
        <w:pageBreakBefore w:val="0"/>
        <w:widowControl w:val="0"/>
        <w:kinsoku/>
        <w:wordWrap/>
        <w:topLinePunct w:val="0"/>
        <w:bidi w:val="0"/>
        <w:rPr>
          <w:b/>
          <w:sz w:val="52"/>
        </w:rPr>
      </w:pPr>
    </w:p>
    <w:p>
      <w:pPr>
        <w:pStyle w:val="3"/>
        <w:keepNext w:val="0"/>
        <w:keepLines w:val="0"/>
        <w:pageBreakBefore w:val="0"/>
        <w:widowControl w:val="0"/>
        <w:kinsoku/>
        <w:wordWrap/>
        <w:topLinePunct w:val="0"/>
        <w:bidi w:val="0"/>
        <w:rPr>
          <w:b/>
          <w:sz w:val="52"/>
        </w:rPr>
      </w:pPr>
    </w:p>
    <w:p>
      <w:pPr>
        <w:pStyle w:val="3"/>
        <w:keepNext w:val="0"/>
        <w:keepLines w:val="0"/>
        <w:pageBreakBefore w:val="0"/>
        <w:widowControl w:val="0"/>
        <w:kinsoku/>
        <w:wordWrap/>
        <w:topLinePunct w:val="0"/>
        <w:bidi w:val="0"/>
        <w:rPr>
          <w:b/>
          <w:sz w:val="52"/>
        </w:rPr>
      </w:pPr>
    </w:p>
    <w:p>
      <w:pPr>
        <w:pStyle w:val="3"/>
        <w:keepNext w:val="0"/>
        <w:keepLines w:val="0"/>
        <w:pageBreakBefore w:val="0"/>
        <w:widowControl w:val="0"/>
        <w:kinsoku/>
        <w:wordWrap/>
        <w:topLinePunct w:val="0"/>
        <w:bidi w:val="0"/>
        <w:rPr>
          <w:b/>
          <w:sz w:val="52"/>
        </w:rPr>
      </w:pPr>
    </w:p>
    <w:p>
      <w:pPr>
        <w:pStyle w:val="5"/>
        <w:keepNext w:val="0"/>
        <w:keepLines w:val="0"/>
        <w:pageBreakBefore w:val="0"/>
        <w:widowControl w:val="0"/>
        <w:kinsoku/>
        <w:wordWrap/>
        <w:topLinePunct w:val="0"/>
        <w:bidi w:val="0"/>
        <w:spacing w:before="398"/>
        <w:ind w:left="2186" w:leftChars="346" w:hanging="1356" w:hangingChars="500"/>
      </w:pPr>
      <w:r>
        <w:rPr>
          <w:w w:val="90"/>
        </w:rPr>
        <w:t>项目名称：</w:t>
      </w:r>
      <w:r>
        <w:rPr>
          <w:rFonts w:hint="eastAsia"/>
          <w:b/>
          <w:bCs/>
          <w:w w:val="90"/>
          <w:u w:val="thick"/>
        </w:rPr>
        <w:t>国华神木墩梁风电场薛家畔、李家畔、槐树峁风电项目110KV送出线路</w:t>
      </w:r>
    </w:p>
    <w:p>
      <w:pPr>
        <w:pStyle w:val="3"/>
        <w:keepNext w:val="0"/>
        <w:keepLines w:val="0"/>
        <w:pageBreakBefore w:val="0"/>
        <w:widowControl w:val="0"/>
        <w:kinsoku/>
        <w:wordWrap/>
        <w:topLinePunct w:val="0"/>
        <w:bidi w:val="0"/>
        <w:spacing w:before="5"/>
        <w:rPr>
          <w:b/>
          <w:sz w:val="13"/>
        </w:rPr>
      </w:pPr>
    </w:p>
    <w:p>
      <w:pPr>
        <w:keepNext w:val="0"/>
        <w:keepLines w:val="0"/>
        <w:pageBreakBefore w:val="0"/>
        <w:widowControl w:val="0"/>
        <w:tabs>
          <w:tab w:val="left" w:pos="3084"/>
          <w:tab w:val="left" w:pos="7900"/>
        </w:tabs>
        <w:kinsoku/>
        <w:wordWrap/>
        <w:topLinePunct w:val="0"/>
        <w:bidi w:val="0"/>
        <w:spacing w:before="68"/>
        <w:ind w:left="831" w:right="0" w:firstLine="0"/>
        <w:jc w:val="left"/>
        <w:rPr>
          <w:b/>
          <w:sz w:val="30"/>
        </w:rPr>
      </w:pPr>
      <w:r>
        <w:rPr>
          <w:b/>
          <w:sz w:val="30"/>
        </w:rPr>
        <w:t>建设单位：</w:t>
      </w:r>
      <w:r>
        <w:rPr>
          <w:rFonts w:hint="eastAsia" w:ascii="宋体" w:hAnsi="宋体" w:eastAsia="宋体" w:cs="Times New Roman"/>
          <w:b/>
          <w:bCs/>
          <w:w w:val="90"/>
          <w:kern w:val="2"/>
          <w:sz w:val="30"/>
          <w:szCs w:val="24"/>
          <w:u w:val="thick"/>
          <w:lang w:val="en-US" w:eastAsia="zh-CN" w:bidi="ar-SA"/>
        </w:rPr>
        <w:tab/>
      </w:r>
      <w:r>
        <w:rPr>
          <w:rFonts w:hint="eastAsia" w:ascii="宋体" w:hAnsi="宋体" w:eastAsia="宋体" w:cs="Times New Roman"/>
          <w:b/>
          <w:bCs/>
          <w:w w:val="90"/>
          <w:kern w:val="2"/>
          <w:sz w:val="30"/>
          <w:szCs w:val="24"/>
          <w:u w:val="thick"/>
          <w:lang w:val="en-US" w:eastAsia="zh-CN" w:bidi="ar-SA"/>
        </w:rPr>
        <w:t>国华（神木）新能源有限公司</w:t>
      </w:r>
      <w:r>
        <w:rPr>
          <w:rFonts w:hint="eastAsia" w:ascii="宋体" w:hAnsi="宋体" w:eastAsia="宋体" w:cs="Times New Roman"/>
          <w:b/>
          <w:bCs/>
          <w:w w:val="90"/>
          <w:kern w:val="2"/>
          <w:sz w:val="30"/>
          <w:szCs w:val="24"/>
          <w:u w:val="thick"/>
          <w:lang w:val="en-US" w:eastAsia="zh-CN" w:bidi="ar-SA"/>
        </w:rPr>
        <w:tab/>
      </w:r>
    </w:p>
    <w:p>
      <w:pPr>
        <w:pStyle w:val="3"/>
        <w:keepNext w:val="0"/>
        <w:keepLines w:val="0"/>
        <w:pageBreakBefore w:val="0"/>
        <w:widowControl w:val="0"/>
        <w:kinsoku/>
        <w:wordWrap/>
        <w:topLinePunct w:val="0"/>
        <w:bidi w:val="0"/>
        <w:rPr>
          <w:b/>
          <w:sz w:val="20"/>
        </w:rPr>
      </w:pPr>
    </w:p>
    <w:p>
      <w:pPr>
        <w:pStyle w:val="3"/>
        <w:keepNext w:val="0"/>
        <w:keepLines w:val="0"/>
        <w:pageBreakBefore w:val="0"/>
        <w:widowControl w:val="0"/>
        <w:kinsoku/>
        <w:wordWrap/>
        <w:topLinePunct w:val="0"/>
        <w:bidi w:val="0"/>
        <w:rPr>
          <w:b/>
          <w:sz w:val="20"/>
        </w:rPr>
      </w:pPr>
    </w:p>
    <w:p>
      <w:pPr>
        <w:pStyle w:val="3"/>
        <w:keepNext w:val="0"/>
        <w:keepLines w:val="0"/>
        <w:pageBreakBefore w:val="0"/>
        <w:widowControl w:val="0"/>
        <w:kinsoku/>
        <w:wordWrap/>
        <w:topLinePunct w:val="0"/>
        <w:bidi w:val="0"/>
        <w:rPr>
          <w:b/>
          <w:sz w:val="20"/>
        </w:rPr>
      </w:pPr>
    </w:p>
    <w:p>
      <w:pPr>
        <w:pStyle w:val="3"/>
        <w:keepNext w:val="0"/>
        <w:keepLines w:val="0"/>
        <w:pageBreakBefore w:val="0"/>
        <w:widowControl w:val="0"/>
        <w:kinsoku/>
        <w:wordWrap/>
        <w:topLinePunct w:val="0"/>
        <w:bidi w:val="0"/>
        <w:rPr>
          <w:b/>
          <w:sz w:val="20"/>
        </w:rPr>
      </w:pPr>
    </w:p>
    <w:p>
      <w:pPr>
        <w:pStyle w:val="3"/>
        <w:keepNext w:val="0"/>
        <w:keepLines w:val="0"/>
        <w:pageBreakBefore w:val="0"/>
        <w:widowControl w:val="0"/>
        <w:kinsoku/>
        <w:wordWrap/>
        <w:topLinePunct w:val="0"/>
        <w:bidi w:val="0"/>
        <w:rPr>
          <w:b/>
          <w:sz w:val="20"/>
        </w:rPr>
      </w:pPr>
    </w:p>
    <w:p>
      <w:pPr>
        <w:pStyle w:val="3"/>
        <w:keepNext w:val="0"/>
        <w:keepLines w:val="0"/>
        <w:pageBreakBefore w:val="0"/>
        <w:widowControl w:val="0"/>
        <w:kinsoku/>
        <w:wordWrap/>
        <w:topLinePunct w:val="0"/>
        <w:bidi w:val="0"/>
        <w:rPr>
          <w:b/>
          <w:sz w:val="20"/>
        </w:rPr>
      </w:pPr>
    </w:p>
    <w:p>
      <w:pPr>
        <w:pStyle w:val="3"/>
        <w:keepNext w:val="0"/>
        <w:keepLines w:val="0"/>
        <w:pageBreakBefore w:val="0"/>
        <w:widowControl w:val="0"/>
        <w:kinsoku/>
        <w:wordWrap/>
        <w:topLinePunct w:val="0"/>
        <w:bidi w:val="0"/>
        <w:spacing w:before="7"/>
        <w:jc w:val="center"/>
        <w:rPr>
          <w:b/>
          <w:sz w:val="14"/>
        </w:rPr>
      </w:pPr>
    </w:p>
    <w:p>
      <w:pPr>
        <w:keepNext w:val="0"/>
        <w:keepLines w:val="0"/>
        <w:pageBreakBefore w:val="0"/>
        <w:widowControl w:val="0"/>
        <w:kinsoku/>
        <w:wordWrap/>
        <w:topLinePunct w:val="0"/>
        <w:bidi w:val="0"/>
        <w:spacing w:before="54" w:line="364" w:lineRule="auto"/>
        <w:ind w:left="3128" w:leftChars="800" w:right="1360" w:hanging="1208" w:hangingChars="376"/>
        <w:jc w:val="center"/>
        <w:rPr>
          <w:b/>
          <w:sz w:val="32"/>
        </w:rPr>
      </w:pPr>
      <w:r>
        <w:rPr>
          <w:b/>
          <w:sz w:val="32"/>
        </w:rPr>
        <w:t>编制日期：</w:t>
      </w:r>
      <w:r>
        <w:rPr>
          <w:rFonts w:hint="eastAsia" w:eastAsia="宋体"/>
          <w:b/>
          <w:sz w:val="32"/>
          <w:lang w:eastAsia="zh-CN"/>
        </w:rPr>
        <w:t>二〇二〇</w:t>
      </w:r>
      <w:r>
        <w:rPr>
          <w:b/>
          <w:spacing w:val="-40"/>
          <w:sz w:val="32"/>
        </w:rPr>
        <w:t xml:space="preserve">年 </w:t>
      </w:r>
      <w:r>
        <w:rPr>
          <w:rFonts w:hint="eastAsia"/>
          <w:b/>
          <w:spacing w:val="-40"/>
          <w:sz w:val="32"/>
          <w:lang w:eastAsia="zh-CN"/>
        </w:rPr>
        <w:t>十</w:t>
      </w:r>
      <w:r>
        <w:rPr>
          <w:b/>
          <w:sz w:val="32"/>
        </w:rPr>
        <w:t>月</w:t>
      </w:r>
    </w:p>
    <w:p>
      <w:pPr>
        <w:pStyle w:val="16"/>
        <w:rPr>
          <w:sz w:val="32"/>
        </w:rPr>
      </w:pPr>
    </w:p>
    <w:p/>
    <w:p>
      <w:pPr>
        <w:rPr>
          <w:sz w:val="32"/>
        </w:rPr>
      </w:pPr>
    </w:p>
    <w:p>
      <w:pPr>
        <w:pStyle w:val="16"/>
        <w:sectPr>
          <w:pgSz w:w="11910" w:h="16840"/>
          <w:pgMar w:top="1580" w:right="1160" w:bottom="280" w:left="1300" w:header="720" w:footer="720" w:gutter="0"/>
          <w:pgBorders>
            <w:top w:val="none" w:sz="0" w:space="0"/>
            <w:left w:val="none" w:sz="0" w:space="0"/>
            <w:bottom w:val="none" w:sz="0" w:space="0"/>
            <w:right w:val="none" w:sz="0" w:space="0"/>
          </w:pgBorders>
        </w:sectPr>
      </w:pPr>
    </w:p>
    <w:p>
      <w:pPr>
        <w:pStyle w:val="3"/>
        <w:keepNext w:val="0"/>
        <w:keepLines w:val="0"/>
        <w:pageBreakBefore w:val="0"/>
        <w:widowControl w:val="0"/>
        <w:kinsoku/>
        <w:wordWrap/>
        <w:topLinePunct w:val="0"/>
        <w:bidi w:val="0"/>
        <w:rPr>
          <w:b/>
          <w:sz w:val="20"/>
        </w:rP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p>
    <w:p>
      <w:pPr>
        <w:pStyle w:val="4"/>
        <w:keepNext w:val="0"/>
        <w:keepLines w:val="0"/>
        <w:pageBreakBefore w:val="0"/>
        <w:widowControl w:val="0"/>
        <w:kinsoku/>
        <w:wordWrap/>
        <w:topLinePunct w:val="0"/>
        <w:bidi w:val="0"/>
        <w:ind w:firstLine="0"/>
        <w:jc w:val="center"/>
      </w:pPr>
      <w:r>
        <w:t>《建设项目环境影响报告表》编制说明</w:t>
      </w:r>
    </w:p>
    <w:p>
      <w:pPr>
        <w:pStyle w:val="3"/>
        <w:keepNext w:val="0"/>
        <w:keepLines w:val="0"/>
        <w:pageBreakBefore w:val="0"/>
        <w:widowControl w:val="0"/>
        <w:kinsoku/>
        <w:wordWrap/>
        <w:topLinePunct w:val="0"/>
        <w:bidi w:val="0"/>
        <w:rPr>
          <w:b/>
          <w:sz w:val="36"/>
        </w:rPr>
      </w:pPr>
    </w:p>
    <w:p>
      <w:pPr>
        <w:keepNext w:val="0"/>
        <w:keepLines w:val="0"/>
        <w:pageBreakBefore w:val="0"/>
        <w:widowControl w:val="0"/>
        <w:kinsoku/>
        <w:wordWrap/>
        <w:topLinePunct w:val="0"/>
        <w:bidi w:val="0"/>
        <w:spacing w:before="0" w:line="417" w:lineRule="auto"/>
        <w:ind w:left="231" w:right="253" w:firstLine="559"/>
        <w:jc w:val="left"/>
        <w:rPr>
          <w:sz w:val="28"/>
        </w:rPr>
      </w:pPr>
      <w:r>
        <w:rPr>
          <w:sz w:val="28"/>
        </w:rPr>
        <w:t>《建设项目环境影响报告表》由具有从事环境影响评价工作资质的单位编制。</w:t>
      </w:r>
    </w:p>
    <w:p>
      <w:pPr>
        <w:keepNext w:val="0"/>
        <w:keepLines w:val="0"/>
        <w:pageBreakBefore w:val="0"/>
        <w:widowControl w:val="0"/>
        <w:kinsoku/>
        <w:wordWrap/>
        <w:topLinePunct w:val="0"/>
        <w:bidi w:val="0"/>
        <w:spacing w:before="0" w:line="417" w:lineRule="auto"/>
        <w:ind w:left="231" w:right="253" w:firstLine="559"/>
        <w:jc w:val="left"/>
        <w:rPr>
          <w:sz w:val="28"/>
        </w:rPr>
      </w:pPr>
      <w:r>
        <w:rPr>
          <w:rFonts w:ascii="Times New Roman" w:hAnsi="Times New Roman" w:eastAsia="Times New Roman"/>
          <w:sz w:val="28"/>
        </w:rPr>
        <w:t>1</w:t>
      </w:r>
      <w:r>
        <w:rPr>
          <w:spacing w:val="-3"/>
          <w:sz w:val="28"/>
        </w:rPr>
        <w:t>、项目名称</w:t>
      </w:r>
      <w:r>
        <w:rPr>
          <w:rFonts w:ascii="Times New Roman" w:hAnsi="Times New Roman" w:eastAsia="Times New Roman"/>
          <w:sz w:val="28"/>
        </w:rPr>
        <w:t>——</w:t>
      </w:r>
      <w:r>
        <w:rPr>
          <w:spacing w:val="-7"/>
          <w:sz w:val="28"/>
        </w:rPr>
        <w:t xml:space="preserve">指项目立项批复时的名称，应不超过 </w:t>
      </w:r>
      <w:r>
        <w:rPr>
          <w:rFonts w:ascii="Times New Roman" w:hAnsi="Times New Roman" w:eastAsia="Times New Roman"/>
          <w:sz w:val="28"/>
        </w:rPr>
        <w:t xml:space="preserve">30 </w:t>
      </w:r>
      <w:r>
        <w:rPr>
          <w:spacing w:val="-2"/>
          <w:sz w:val="28"/>
        </w:rPr>
        <w:t>个字</w:t>
      </w:r>
      <w:r>
        <w:rPr>
          <w:sz w:val="28"/>
        </w:rPr>
        <w:t>（两个</w:t>
      </w:r>
      <w:r>
        <w:rPr>
          <w:spacing w:val="-3"/>
          <w:sz w:val="28"/>
        </w:rPr>
        <w:t>英文字段作一个汉字</w:t>
      </w:r>
      <w:r>
        <w:rPr>
          <w:spacing w:val="-142"/>
          <w:sz w:val="28"/>
        </w:rPr>
        <w:t>）</w:t>
      </w:r>
      <w:r>
        <w:rPr>
          <w:sz w:val="28"/>
        </w:rPr>
        <w:t>。</w:t>
      </w:r>
    </w:p>
    <w:p>
      <w:pPr>
        <w:keepNext w:val="0"/>
        <w:keepLines w:val="0"/>
        <w:pageBreakBefore w:val="0"/>
        <w:widowControl w:val="0"/>
        <w:kinsoku/>
        <w:wordWrap/>
        <w:topLinePunct w:val="0"/>
        <w:bidi w:val="0"/>
        <w:spacing w:before="0" w:line="417" w:lineRule="auto"/>
        <w:ind w:left="231" w:right="255" w:firstLine="559"/>
        <w:jc w:val="left"/>
        <w:rPr>
          <w:sz w:val="28"/>
        </w:rPr>
      </w:pPr>
      <w:r>
        <w:rPr>
          <w:rFonts w:ascii="Times New Roman" w:hAnsi="Times New Roman" w:eastAsia="Times New Roman"/>
          <w:sz w:val="28"/>
        </w:rPr>
        <w:t>2</w:t>
      </w:r>
      <w:r>
        <w:rPr>
          <w:sz w:val="28"/>
        </w:rPr>
        <w:t>、建设地点</w:t>
      </w:r>
      <w:r>
        <w:rPr>
          <w:rFonts w:ascii="Times New Roman" w:hAnsi="Times New Roman" w:eastAsia="Times New Roman"/>
          <w:sz w:val="28"/>
        </w:rPr>
        <w:t>——</w:t>
      </w:r>
      <w:r>
        <w:rPr>
          <w:sz w:val="28"/>
        </w:rPr>
        <w:t>指项目所在地详细地址，公路、铁路应填写起止地点。</w:t>
      </w:r>
    </w:p>
    <w:p>
      <w:pPr>
        <w:keepNext w:val="0"/>
        <w:keepLines w:val="0"/>
        <w:pageBreakBefore w:val="0"/>
        <w:widowControl w:val="0"/>
        <w:kinsoku/>
        <w:wordWrap/>
        <w:topLinePunct w:val="0"/>
        <w:bidi w:val="0"/>
        <w:spacing w:before="0" w:line="358" w:lineRule="exact"/>
        <w:ind w:left="790" w:right="0" w:firstLine="0"/>
        <w:jc w:val="left"/>
        <w:rPr>
          <w:sz w:val="28"/>
        </w:rPr>
      </w:pPr>
      <w:r>
        <w:rPr>
          <w:rFonts w:ascii="Times New Roman" w:hAnsi="Times New Roman" w:eastAsia="Times New Roman"/>
          <w:sz w:val="28"/>
        </w:rPr>
        <w:t>3</w:t>
      </w:r>
      <w:r>
        <w:rPr>
          <w:sz w:val="28"/>
        </w:rPr>
        <w:t>、行业类别</w:t>
      </w:r>
      <w:r>
        <w:rPr>
          <w:rFonts w:ascii="Times New Roman" w:hAnsi="Times New Roman" w:eastAsia="Times New Roman"/>
          <w:sz w:val="28"/>
        </w:rPr>
        <w:t>——</w:t>
      </w:r>
      <w:r>
        <w:rPr>
          <w:sz w:val="28"/>
        </w:rPr>
        <w:t>按国标填写。</w:t>
      </w:r>
    </w:p>
    <w:p>
      <w:pPr>
        <w:keepNext w:val="0"/>
        <w:keepLines w:val="0"/>
        <w:pageBreakBefore w:val="0"/>
        <w:widowControl w:val="0"/>
        <w:kinsoku/>
        <w:wordWrap/>
        <w:topLinePunct w:val="0"/>
        <w:bidi w:val="0"/>
        <w:spacing w:before="264"/>
        <w:ind w:left="790" w:right="0" w:firstLine="0"/>
        <w:jc w:val="left"/>
        <w:rPr>
          <w:sz w:val="28"/>
        </w:rPr>
      </w:pPr>
      <w:r>
        <w:rPr>
          <w:rFonts w:ascii="Times New Roman" w:hAnsi="Times New Roman" w:eastAsia="Times New Roman"/>
          <w:sz w:val="28"/>
        </w:rPr>
        <w:t>4</w:t>
      </w:r>
      <w:r>
        <w:rPr>
          <w:sz w:val="28"/>
        </w:rPr>
        <w:t>、总投资</w:t>
      </w:r>
      <w:r>
        <w:rPr>
          <w:rFonts w:ascii="Times New Roman" w:hAnsi="Times New Roman" w:eastAsia="Times New Roman"/>
          <w:sz w:val="28"/>
        </w:rPr>
        <w:t>——</w:t>
      </w:r>
      <w:r>
        <w:rPr>
          <w:sz w:val="28"/>
        </w:rPr>
        <w:t>指项目投资总额。</w:t>
      </w:r>
    </w:p>
    <w:p>
      <w:pPr>
        <w:keepNext w:val="0"/>
        <w:keepLines w:val="0"/>
        <w:pageBreakBefore w:val="0"/>
        <w:widowControl w:val="0"/>
        <w:kinsoku/>
        <w:wordWrap/>
        <w:topLinePunct w:val="0"/>
        <w:bidi w:val="0"/>
        <w:spacing w:before="265" w:line="417" w:lineRule="auto"/>
        <w:ind w:left="231" w:right="114" w:firstLine="559"/>
        <w:jc w:val="left"/>
        <w:rPr>
          <w:sz w:val="28"/>
        </w:rPr>
      </w:pPr>
      <w:r>
        <w:rPr>
          <w:rFonts w:ascii="Times New Roman" w:hAnsi="Times New Roman" w:eastAsia="Times New Roman"/>
          <w:sz w:val="28"/>
        </w:rPr>
        <w:t>5</w:t>
      </w:r>
      <w:r>
        <w:rPr>
          <w:sz w:val="28"/>
        </w:rPr>
        <w:t>、主要环境保护目标</w:t>
      </w:r>
      <w:r>
        <w:rPr>
          <w:rFonts w:ascii="Times New Roman" w:hAnsi="Times New Roman" w:eastAsia="Times New Roman"/>
          <w:sz w:val="28"/>
        </w:rPr>
        <w:t>——</w:t>
      </w:r>
      <w:r>
        <w:rPr>
          <w:sz w:val="28"/>
        </w:rPr>
        <w:t>指项目区周围一定范围内集中居民住宅区、学校、医院、保护文物、风景名胜区、水源地和生态敏感点等，应尽可能给出保护目标、性质、规模和距厂界距离等。</w:t>
      </w:r>
    </w:p>
    <w:p>
      <w:pPr>
        <w:keepNext w:val="0"/>
        <w:keepLines w:val="0"/>
        <w:pageBreakBefore w:val="0"/>
        <w:widowControl w:val="0"/>
        <w:kinsoku/>
        <w:wordWrap/>
        <w:topLinePunct w:val="0"/>
        <w:bidi w:val="0"/>
        <w:spacing w:before="0" w:line="417" w:lineRule="auto"/>
        <w:ind w:left="231" w:right="255" w:firstLine="559"/>
        <w:jc w:val="both"/>
        <w:rPr>
          <w:sz w:val="28"/>
        </w:rPr>
      </w:pPr>
      <w:r>
        <w:rPr>
          <w:rFonts w:ascii="Times New Roman" w:hAnsi="Times New Roman" w:eastAsia="Times New Roman"/>
          <w:sz w:val="28"/>
        </w:rPr>
        <w:t>6</w:t>
      </w:r>
      <w:r>
        <w:rPr>
          <w:sz w:val="28"/>
        </w:rPr>
        <w:t>、结论与建议</w:t>
      </w:r>
      <w:r>
        <w:rPr>
          <w:rFonts w:ascii="Times New Roman" w:hAnsi="Times New Roman" w:eastAsia="Times New Roman"/>
          <w:sz w:val="28"/>
        </w:rPr>
        <w:t>——</w:t>
      </w:r>
      <w:r>
        <w:rPr>
          <w:sz w:val="28"/>
        </w:rPr>
        <w:t>给出本项目达标排放和总量控制的分析结论，确定污染防治措施的有效性，说明本项目对环境造成的影响，给出建设环境可行性的明确结论。同时提出减少环境影响的其他建议。</w:t>
      </w:r>
    </w:p>
    <w:p>
      <w:pPr>
        <w:keepNext w:val="0"/>
        <w:keepLines w:val="0"/>
        <w:pageBreakBefore w:val="0"/>
        <w:widowControl w:val="0"/>
        <w:kinsoku/>
        <w:wordWrap/>
        <w:topLinePunct w:val="0"/>
        <w:bidi w:val="0"/>
        <w:spacing w:before="0" w:line="417" w:lineRule="auto"/>
        <w:ind w:left="231" w:right="255" w:firstLine="559"/>
        <w:jc w:val="left"/>
        <w:rPr>
          <w:sz w:val="28"/>
        </w:rPr>
      </w:pPr>
      <w:r>
        <w:rPr>
          <w:rFonts w:ascii="Times New Roman" w:hAnsi="Times New Roman" w:eastAsia="Times New Roman"/>
          <w:sz w:val="28"/>
        </w:rPr>
        <w:t>7</w:t>
      </w:r>
      <w:r>
        <w:rPr>
          <w:sz w:val="28"/>
        </w:rPr>
        <w:t>、预审意见</w:t>
      </w:r>
      <w:r>
        <w:rPr>
          <w:rFonts w:ascii="Times New Roman" w:hAnsi="Times New Roman" w:eastAsia="Times New Roman"/>
          <w:sz w:val="28"/>
        </w:rPr>
        <w:t>——</w:t>
      </w:r>
      <w:r>
        <w:rPr>
          <w:sz w:val="28"/>
        </w:rPr>
        <w:t>由行业主管部门填写答复意见，无主管部门项目， 可不填。</w:t>
      </w:r>
    </w:p>
    <w:p>
      <w:pPr>
        <w:keepNext w:val="0"/>
        <w:keepLines w:val="0"/>
        <w:pageBreakBefore w:val="0"/>
        <w:widowControl w:val="0"/>
        <w:kinsoku/>
        <w:wordWrap/>
        <w:topLinePunct w:val="0"/>
        <w:bidi w:val="0"/>
        <w:spacing w:before="0" w:line="358" w:lineRule="exact"/>
        <w:ind w:left="790" w:right="0" w:firstLine="0"/>
        <w:jc w:val="left"/>
        <w:rPr>
          <w:sz w:val="28"/>
        </w:rPr>
      </w:pPr>
      <w:r>
        <w:rPr>
          <w:rFonts w:ascii="Times New Roman" w:hAnsi="Times New Roman" w:eastAsia="Times New Roman"/>
          <w:sz w:val="28"/>
        </w:rPr>
        <w:t>8</w:t>
      </w:r>
      <w:r>
        <w:rPr>
          <w:sz w:val="28"/>
        </w:rPr>
        <w:t>、审批意见</w:t>
      </w:r>
      <w:r>
        <w:rPr>
          <w:rFonts w:ascii="Times New Roman" w:hAnsi="Times New Roman" w:eastAsia="Times New Roman"/>
          <w:sz w:val="28"/>
        </w:rPr>
        <w:t>——</w:t>
      </w:r>
      <w:r>
        <w:rPr>
          <w:sz w:val="28"/>
        </w:rPr>
        <w:t>由负责审批该项目的环境保护行政主管部门批复。</w:t>
      </w:r>
    </w:p>
    <w:p>
      <w:pPr>
        <w:keepNext w:val="0"/>
        <w:keepLines w:val="0"/>
        <w:pageBreakBefore w:val="0"/>
        <w:widowControl w:val="0"/>
        <w:kinsoku/>
        <w:wordWrap/>
        <w:topLinePunct w:val="0"/>
        <w:bidi w:val="0"/>
        <w:spacing w:after="0" w:line="358" w:lineRule="exact"/>
        <w:jc w:val="left"/>
        <w:rPr>
          <w:sz w:val="28"/>
        </w:rPr>
        <w:sectPr>
          <w:pgSz w:w="11910" w:h="16840"/>
          <w:pgMar w:top="1580" w:right="1160" w:bottom="280" w:left="1300" w:header="720" w:footer="720" w:gutter="0"/>
          <w:pgBorders>
            <w:top w:val="none" w:sz="0" w:space="0"/>
            <w:left w:val="none" w:sz="0" w:space="0"/>
            <w:bottom w:val="none" w:sz="0" w:space="0"/>
            <w:right w:val="none" w:sz="0" w:space="0"/>
          </w:pgBorders>
        </w:sectPr>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pStyle w:val="6"/>
        <w:keepNext w:val="0"/>
        <w:keepLines w:val="0"/>
        <w:pageBreakBefore w:val="0"/>
        <w:widowControl w:val="0"/>
        <w:kinsoku/>
        <w:wordWrap/>
        <w:topLinePunct w:val="0"/>
        <w:bidi w:val="0"/>
        <w:spacing w:before="42" w:after="2"/>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widowControl w:val="0"/>
        <w:kinsoku/>
        <w:wordWrap/>
        <w:topLinePunct w:val="0"/>
        <w:bidi w:val="0"/>
        <w:spacing w:before="42" w:after="2"/>
      </w:pPr>
      <w:r>
        <w:rPr>
          <w:rFonts w:hint="eastAsia"/>
          <w:lang w:val="en-US" w:eastAsia="zh-CN"/>
        </w:rPr>
        <w:t>1建设项目</w:t>
      </w:r>
      <w:r>
        <w:t>基本情况</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49"/>
        <w:gridCol w:w="1464"/>
        <w:gridCol w:w="656"/>
        <w:gridCol w:w="1058"/>
        <w:gridCol w:w="1613"/>
        <w:gridCol w:w="1551"/>
        <w:gridCol w:w="111"/>
        <w:gridCol w:w="13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highlight w:val="cyan"/>
              </w:rPr>
            </w:pPr>
            <w:r>
              <w:rPr>
                <w:rFonts w:hint="default" w:ascii="Times New Roman" w:hAnsi="Times New Roman" w:cs="Times New Roman" w:eastAsiaTheme="minorEastAsia"/>
                <w:color w:val="auto"/>
                <w:kern w:val="0"/>
                <w:sz w:val="21"/>
                <w:szCs w:val="21"/>
              </w:rPr>
              <w:t>工程名称</w:t>
            </w:r>
          </w:p>
        </w:tc>
        <w:tc>
          <w:tcPr>
            <w:tcW w:w="4215" w:type="pct"/>
            <w:gridSpan w:val="7"/>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highlight w:val="cyan"/>
              </w:rPr>
            </w:pPr>
            <w:r>
              <w:rPr>
                <w:rFonts w:hint="default" w:ascii="Times New Roman" w:hAnsi="Times New Roman" w:cs="Times New Roman" w:eastAsiaTheme="minorEastAsia"/>
                <w:color w:val="auto"/>
                <w:sz w:val="21"/>
                <w:szCs w:val="21"/>
                <w:lang w:eastAsia="zh-CN"/>
              </w:rPr>
              <w:t>国华神木墩梁风电场薛家畔、李家畔、槐树峁风电项目</w:t>
            </w:r>
            <w:r>
              <w:rPr>
                <w:rFonts w:hint="default" w:ascii="Times New Roman" w:hAnsi="Times New Roman" w:cs="Times New Roman" w:eastAsiaTheme="minorEastAsia"/>
                <w:color w:val="auto"/>
                <w:sz w:val="21"/>
                <w:szCs w:val="21"/>
                <w:lang w:val="en-US" w:eastAsia="zh-CN"/>
              </w:rPr>
              <w:t>110KV送出线路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建设单位</w:t>
            </w:r>
          </w:p>
        </w:tc>
        <w:tc>
          <w:tcPr>
            <w:tcW w:w="4215" w:type="pct"/>
            <w:gridSpan w:val="7"/>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国华（神木）新能源有限公司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exac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法人代表</w:t>
            </w:r>
          </w:p>
        </w:tc>
        <w:tc>
          <w:tcPr>
            <w:tcW w:w="1719"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val="0"/>
                <w:color w:val="auto"/>
                <w:kern w:val="0"/>
                <w:sz w:val="21"/>
                <w:szCs w:val="21"/>
              </w:rPr>
            </w:pPr>
            <w:r>
              <w:rPr>
                <w:rFonts w:hint="default" w:ascii="Times New Roman" w:hAnsi="Times New Roman" w:cs="Times New Roman" w:eastAsiaTheme="minorEastAsia"/>
                <w:color w:val="auto"/>
                <w:sz w:val="21"/>
                <w:szCs w:val="21"/>
                <w:lang w:val="en-US" w:eastAsia="zh-CN"/>
              </w:rPr>
              <w:t>黄文海</w:t>
            </w:r>
          </w:p>
        </w:tc>
        <w:tc>
          <w:tcPr>
            <w:tcW w:w="8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联系人</w:t>
            </w:r>
          </w:p>
        </w:tc>
        <w:tc>
          <w:tcPr>
            <w:tcW w:w="1622"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sz w:val="21"/>
                <w:szCs w:val="21"/>
                <w:lang w:eastAsia="zh-CN"/>
              </w:rPr>
              <w:t>任航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通讯地址</w:t>
            </w:r>
          </w:p>
        </w:tc>
        <w:tc>
          <w:tcPr>
            <w:tcW w:w="4215" w:type="pct"/>
            <w:gridSpan w:val="7"/>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lang w:eastAsia="zh-CN"/>
              </w:rPr>
              <w:t>陕西省榆林市神木市太和寨乡墩梁村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联系电话</w:t>
            </w:r>
          </w:p>
        </w:tc>
        <w:tc>
          <w:tcPr>
            <w:tcW w:w="114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09123446139</w:t>
            </w:r>
          </w:p>
        </w:tc>
        <w:tc>
          <w:tcPr>
            <w:tcW w:w="57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传真</w:t>
            </w:r>
          </w:p>
        </w:tc>
        <w:tc>
          <w:tcPr>
            <w:tcW w:w="8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w:t>
            </w:r>
          </w:p>
        </w:tc>
        <w:tc>
          <w:tcPr>
            <w:tcW w:w="899"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邮政编码</w:t>
            </w:r>
          </w:p>
        </w:tc>
        <w:tc>
          <w:tcPr>
            <w:tcW w:w="72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719000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建设地点</w:t>
            </w:r>
          </w:p>
        </w:tc>
        <w:tc>
          <w:tcPr>
            <w:tcW w:w="4215" w:type="pct"/>
            <w:gridSpan w:val="7"/>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陕西省</w:t>
            </w:r>
            <w:r>
              <w:rPr>
                <w:rFonts w:hint="default" w:ascii="Times New Roman" w:hAnsi="Times New Roman" w:cs="Times New Roman" w:eastAsiaTheme="minorEastAsia"/>
                <w:color w:val="auto"/>
                <w:sz w:val="21"/>
                <w:szCs w:val="21"/>
                <w:lang w:eastAsia="zh-CN"/>
              </w:rPr>
              <w:t>榆林市</w:t>
            </w:r>
            <w:r>
              <w:rPr>
                <w:rFonts w:hint="default" w:ascii="Times New Roman" w:hAnsi="Times New Roman" w:cs="Times New Roman" w:eastAsiaTheme="minorEastAsia"/>
                <w:color w:val="auto"/>
                <w:sz w:val="21"/>
                <w:szCs w:val="21"/>
                <w:lang w:val="en-US" w:eastAsia="zh-CN"/>
              </w:rPr>
              <w:t>神木市高家堡镇、锦界镇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FF"/>
                <w:kern w:val="0"/>
                <w:sz w:val="21"/>
                <w:szCs w:val="21"/>
              </w:rPr>
            </w:pPr>
            <w:r>
              <w:rPr>
                <w:rFonts w:hint="default" w:ascii="Times New Roman" w:hAnsi="Times New Roman" w:cs="Times New Roman" w:eastAsiaTheme="minorEastAsia"/>
                <w:color w:val="auto"/>
                <w:kern w:val="0"/>
                <w:sz w:val="21"/>
                <w:szCs w:val="21"/>
              </w:rPr>
              <w:t>立项审批部门</w:t>
            </w:r>
          </w:p>
        </w:tc>
        <w:tc>
          <w:tcPr>
            <w:tcW w:w="1719" w:type="pct"/>
            <w:gridSpan w:val="3"/>
            <w:tcBorders>
              <w:bottom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rPr>
            </w:pPr>
            <w:r>
              <w:rPr>
                <w:rFonts w:hint="default" w:ascii="Times New Roman" w:hAnsi="Times New Roman" w:cs="Times New Roman" w:eastAsiaTheme="minorEastAsia"/>
                <w:b w:val="0"/>
                <w:bCs/>
                <w:color w:val="auto"/>
                <w:kern w:val="0"/>
                <w:sz w:val="21"/>
                <w:szCs w:val="21"/>
              </w:rPr>
              <w:t>陕西省地方电力（集团）有限公司</w:t>
            </w:r>
          </w:p>
        </w:tc>
        <w:tc>
          <w:tcPr>
            <w:tcW w:w="8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rPr>
            </w:pPr>
            <w:r>
              <w:rPr>
                <w:rFonts w:hint="default" w:ascii="Times New Roman" w:hAnsi="Times New Roman" w:cs="Times New Roman" w:eastAsiaTheme="minorEastAsia"/>
                <w:b w:val="0"/>
                <w:bCs/>
                <w:color w:val="auto"/>
                <w:kern w:val="0"/>
                <w:sz w:val="21"/>
                <w:szCs w:val="21"/>
              </w:rPr>
              <w:t>批准文号</w:t>
            </w:r>
          </w:p>
        </w:tc>
        <w:tc>
          <w:tcPr>
            <w:tcW w:w="1622"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陕地电计发〔2019〕</w:t>
            </w:r>
            <w:r>
              <w:rPr>
                <w:rFonts w:hint="default" w:ascii="Times New Roman" w:hAnsi="Times New Roman" w:cs="Times New Roman" w:eastAsiaTheme="minorEastAsia"/>
                <w:b w:val="0"/>
                <w:bCs/>
                <w:color w:val="auto"/>
                <w:sz w:val="21"/>
                <w:szCs w:val="21"/>
                <w:lang w:val="en-US" w:eastAsia="zh-CN"/>
              </w:rPr>
              <w:t>148</w:t>
            </w:r>
            <w:r>
              <w:rPr>
                <w:rFonts w:hint="default" w:ascii="Times New Roman" w:hAnsi="Times New Roman" w:cs="Times New Roman" w:eastAsiaTheme="minorEastAsia"/>
                <w:b w:val="0"/>
                <w:bCs/>
                <w:color w:val="auto"/>
                <w:sz w:val="21"/>
                <w:szCs w:val="21"/>
              </w:rPr>
              <w:t>号</w:t>
            </w:r>
          </w:p>
          <w:p>
            <w:pPr>
              <w:pStyle w:val="1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陕地电计发〔2019〕</w:t>
            </w:r>
            <w:r>
              <w:rPr>
                <w:rFonts w:hint="default" w:ascii="Times New Roman" w:hAnsi="Times New Roman" w:cs="Times New Roman" w:eastAsiaTheme="minorEastAsia"/>
                <w:b w:val="0"/>
                <w:bCs/>
                <w:color w:val="auto"/>
                <w:sz w:val="21"/>
                <w:szCs w:val="21"/>
                <w:lang w:val="en-US" w:eastAsia="zh-CN"/>
              </w:rPr>
              <w:t>149</w:t>
            </w:r>
            <w:r>
              <w:rPr>
                <w:rFonts w:hint="default" w:ascii="Times New Roman" w:hAnsi="Times New Roman" w:cs="Times New Roman" w:eastAsiaTheme="minorEastAsia"/>
                <w:b w:val="0"/>
                <w:bCs/>
                <w:color w:val="auto"/>
                <w:sz w:val="21"/>
                <w:szCs w:val="21"/>
              </w:rPr>
              <w:t>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陕地电计发〔2019〕</w:t>
            </w:r>
            <w:r>
              <w:rPr>
                <w:rFonts w:hint="default" w:ascii="Times New Roman" w:hAnsi="Times New Roman" w:cs="Times New Roman" w:eastAsiaTheme="minorEastAsia"/>
                <w:b w:val="0"/>
                <w:bCs/>
                <w:color w:val="auto"/>
                <w:sz w:val="21"/>
                <w:szCs w:val="21"/>
                <w:lang w:val="en-US" w:eastAsia="zh-CN"/>
              </w:rPr>
              <w:t>256</w:t>
            </w:r>
            <w:r>
              <w:rPr>
                <w:rFonts w:hint="default" w:ascii="Times New Roman" w:hAnsi="Times New Roman" w:cs="Times New Roman" w:eastAsiaTheme="minorEastAsia"/>
                <w:b w:val="0"/>
                <w:bCs/>
                <w:color w:val="auto"/>
                <w:sz w:val="21"/>
                <w:szCs w:val="21"/>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建设性质</w:t>
            </w:r>
          </w:p>
        </w:tc>
        <w:tc>
          <w:tcPr>
            <w:tcW w:w="1719" w:type="pct"/>
            <w:gridSpan w:val="3"/>
            <w:tcBorders>
              <w:top w:val="single" w:color="auto" w:sz="4" w:space="0"/>
              <w:bottom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新建</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kern w:val="0"/>
                <w:sz w:val="21"/>
                <w:szCs w:val="21"/>
              </w:rPr>
              <w:t xml:space="preserve"> 改扩建□ 技改</w:t>
            </w:r>
            <w:bookmarkStart w:id="0" w:name="OLE_LINK4"/>
            <w:bookmarkStart w:id="1" w:name="OLE_LINK3"/>
            <w:r>
              <w:rPr>
                <w:rFonts w:hint="default" w:ascii="Times New Roman" w:hAnsi="Times New Roman" w:cs="Times New Roman" w:eastAsiaTheme="minorEastAsia"/>
                <w:color w:val="auto"/>
                <w:kern w:val="0"/>
                <w:sz w:val="21"/>
                <w:szCs w:val="21"/>
              </w:rPr>
              <w:t>□</w:t>
            </w:r>
            <w:bookmarkEnd w:id="0"/>
            <w:bookmarkEnd w:id="1"/>
          </w:p>
        </w:tc>
        <w:tc>
          <w:tcPr>
            <w:tcW w:w="8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行业类别</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及代码</w:t>
            </w:r>
          </w:p>
        </w:tc>
        <w:tc>
          <w:tcPr>
            <w:tcW w:w="1622"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电力供应（D4420）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占地面积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(平方米)</w:t>
            </w:r>
          </w:p>
        </w:tc>
        <w:tc>
          <w:tcPr>
            <w:tcW w:w="1719" w:type="pct"/>
            <w:gridSpan w:val="3"/>
            <w:tcBorders>
              <w:top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永久占地</w:t>
            </w:r>
            <w:r>
              <w:rPr>
                <w:rFonts w:hint="default" w:ascii="Times New Roman" w:hAnsi="Times New Roman" w:cs="Times New Roman" w:eastAsiaTheme="minorEastAsia"/>
                <w:color w:val="auto"/>
                <w:kern w:val="0"/>
                <w:sz w:val="21"/>
                <w:szCs w:val="21"/>
                <w:lang w:val="en-US" w:eastAsia="zh-CN"/>
              </w:rPr>
              <w:t>990</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临时占地</w:t>
            </w:r>
            <w:r>
              <w:rPr>
                <w:rFonts w:hint="default" w:ascii="Times New Roman" w:hAnsi="Times New Roman" w:cs="Times New Roman" w:eastAsiaTheme="minorEastAsia"/>
                <w:color w:val="auto"/>
                <w:kern w:val="0"/>
                <w:sz w:val="21"/>
                <w:szCs w:val="21"/>
                <w:lang w:val="en-US" w:eastAsia="zh-CN"/>
              </w:rPr>
              <w:t>25800</w:t>
            </w:r>
          </w:p>
        </w:tc>
        <w:tc>
          <w:tcPr>
            <w:tcW w:w="8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绿化面积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(平方米)</w:t>
            </w:r>
          </w:p>
        </w:tc>
        <w:tc>
          <w:tcPr>
            <w:tcW w:w="1622"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总投资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(万元)</w:t>
            </w:r>
          </w:p>
        </w:tc>
        <w:tc>
          <w:tcPr>
            <w:tcW w:w="79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3460</w:t>
            </w:r>
          </w:p>
        </w:tc>
        <w:tc>
          <w:tcPr>
            <w:tcW w:w="92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环保投资(万元)</w:t>
            </w:r>
          </w:p>
        </w:tc>
        <w:tc>
          <w:tcPr>
            <w:tcW w:w="8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90.5</w:t>
            </w:r>
          </w:p>
        </w:tc>
        <w:tc>
          <w:tcPr>
            <w:tcW w:w="83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环保投资占总投资比例</w:t>
            </w:r>
          </w:p>
        </w:tc>
        <w:tc>
          <w:tcPr>
            <w:tcW w:w="783"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2.6</w:t>
            </w:r>
            <w:r>
              <w:rPr>
                <w:rFonts w:hint="eastAsia" w:ascii="Times New Roman" w:hAnsi="Times New Roman"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7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评价经费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(万元)</w:t>
            </w:r>
          </w:p>
        </w:tc>
        <w:tc>
          <w:tcPr>
            <w:tcW w:w="79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w:t>
            </w:r>
          </w:p>
        </w:tc>
        <w:tc>
          <w:tcPr>
            <w:tcW w:w="92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预期投产日期</w:t>
            </w:r>
          </w:p>
        </w:tc>
        <w:tc>
          <w:tcPr>
            <w:tcW w:w="2495" w:type="pct"/>
            <w:gridSpan w:val="4"/>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2020年12月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8" w:hRule="atLeast"/>
          <w:jc w:val="center"/>
        </w:trPr>
        <w:tc>
          <w:tcPr>
            <w:tcW w:w="5000" w:type="pct"/>
            <w:gridSpan w:val="8"/>
            <w:shd w:val="clear" w:color="auto" w:fill="auto"/>
            <w:noWrap w:val="0"/>
            <w:vAlign w:val="top"/>
          </w:tcPr>
          <w:p>
            <w:pPr>
              <w:keepNext w:val="0"/>
              <w:keepLines w:val="0"/>
              <w:pageBreakBefore w:val="0"/>
              <w:widowControl w:val="0"/>
              <w:kinsoku/>
              <w:wordWrap/>
              <w:topLinePunct w:val="0"/>
              <w:bidi w:val="0"/>
              <w:jc w:val="both"/>
              <w:rPr>
                <w:rFonts w:hint="default" w:ascii="Times New Roman" w:hAnsi="Times New Roman" w:cs="Times New Roman"/>
                <w:b/>
                <w:color w:val="auto"/>
                <w:kern w:val="24"/>
              </w:rPr>
            </w:pPr>
            <w:r>
              <w:rPr>
                <w:rFonts w:hint="default" w:ascii="Times New Roman" w:hAnsi="Times New Roman" w:cs="Times New Roman"/>
                <w:b/>
                <w:color w:val="auto"/>
                <w:kern w:val="24"/>
                <w:lang w:val="en-US" w:eastAsia="zh-CN"/>
              </w:rPr>
              <w:t>1</w:t>
            </w:r>
            <w:r>
              <w:rPr>
                <w:rFonts w:hint="eastAsia" w:ascii="Times New Roman" w:hAnsi="Times New Roman" w:cs="Times New Roman"/>
                <w:b/>
                <w:color w:val="auto"/>
                <w:kern w:val="24"/>
                <w:lang w:val="en-US" w:eastAsia="zh-CN"/>
              </w:rPr>
              <w:t>.1</w:t>
            </w:r>
            <w:r>
              <w:rPr>
                <w:rFonts w:hint="default" w:ascii="Times New Roman" w:hAnsi="Times New Roman" w:cs="Times New Roman"/>
                <w:b/>
                <w:color w:val="auto"/>
                <w:kern w:val="24"/>
              </w:rPr>
              <w:t>工程由来</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kern w:val="24"/>
                <w:lang w:eastAsia="zh-CN"/>
              </w:rPr>
            </w:pPr>
            <w:r>
              <w:rPr>
                <w:rFonts w:hint="default" w:ascii="Times New Roman" w:hAnsi="Times New Roman" w:cs="Times New Roman"/>
                <w:color w:val="auto"/>
                <w:kern w:val="24"/>
                <w:lang w:eastAsia="zh-CN"/>
              </w:rPr>
              <w:t>近年来全球雾霾、极端气候等恶劣环境的日益加剧，国内外对清洁能源越来越重视，风能以其情节、安全、可再生的特点，已成为新能源的一个重要分支。为了充分利用风能资源，促进风电场大规模开发，国家鼓励在风能资源丰富、占用耕地少的地区，建设风电基地，促进全国风电大规模发展。</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kern w:val="24"/>
                <w:lang w:eastAsia="zh-CN"/>
              </w:rPr>
            </w:pPr>
            <w:r>
              <w:rPr>
                <w:rFonts w:hint="default" w:ascii="Times New Roman" w:hAnsi="Times New Roman" w:cs="Times New Roman"/>
                <w:color w:val="auto"/>
                <w:kern w:val="24"/>
                <w:lang w:eastAsia="zh-CN"/>
              </w:rPr>
              <w:t>陕西省将以风电、光伏发电为重点，加大非化石能源资源开大力度，进一步提高非化石能源占一次能源消费总量的比重。以风电光伏发电项目建设为依托，通过集中布局，规模化开发，实现新能源装机由原规划的700万千瓦到1100万千瓦的跃升。以分散式风电、分布式光伏发电项目建设为突破口，大力推进新能源发电产业由陕北向关中、陕南地区全面开展。</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kern w:val="24"/>
                <w:lang w:eastAsia="zh-CN"/>
              </w:rPr>
            </w:pPr>
            <w:r>
              <w:rPr>
                <w:rFonts w:hint="default" w:ascii="Times New Roman" w:hAnsi="Times New Roman" w:cs="Times New Roman"/>
                <w:color w:val="auto"/>
                <w:kern w:val="24"/>
                <w:lang w:eastAsia="zh-CN"/>
              </w:rPr>
              <w:t>我国风能蓄量较为丰富且近年发展迅速。截止2017年底，我国并网风电装机已居世界首位。但陕西电网是一个以火电为主的系统，新能源发电装机比例低。截止2017 年底，陕西电网按五级调度口径电源总装机34476.45MW，其中火电装机26302MW，占76.29%；水电装机1790.05MW，占5.19%；风力发电装机2477.1MW，占7.18%；光伏发电装机3907.3MW，占11.33%。</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kern w:val="24"/>
                <w:lang w:val="en-US" w:eastAsia="zh-CN"/>
              </w:rPr>
            </w:pPr>
            <w:r>
              <w:rPr>
                <w:rFonts w:hint="default" w:ascii="Times New Roman" w:hAnsi="Times New Roman" w:cs="Times New Roman"/>
                <w:color w:val="auto"/>
                <w:kern w:val="24"/>
                <w:lang w:eastAsia="zh-CN"/>
              </w:rPr>
              <w:t>李家畔、薛家畔、槐树峁风电场的开发符合我国可再生能源发展规划和能源产业发展方向。该项目对调整能源结构、改善我国环境质量、洁能减排都具有重要的意义。其配套送出工程的建设是必要的。</w:t>
            </w: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color w:val="auto"/>
                <w:kern w:val="24"/>
                <w:lang w:eastAsia="zh-CN"/>
              </w:rPr>
              <w:t>薛家畔风电场位于神木解家堡乡，规模为</w:t>
            </w:r>
            <w:r>
              <w:rPr>
                <w:rFonts w:hint="default" w:ascii="Times New Roman" w:hAnsi="Times New Roman" w:cs="Times New Roman"/>
                <w:color w:val="auto"/>
                <w:kern w:val="24"/>
                <w:lang w:val="en-US" w:eastAsia="zh-CN"/>
              </w:rPr>
              <w:t>49.5MW，安装了33台单机容量为1500kw的风力发电机，110kv升压站（为薛家畔、李家畔、槐树峁风电场项目合建站，下称李家畔升压站），</w:t>
            </w:r>
            <w:r>
              <w:rPr>
                <w:rFonts w:hint="default" w:ascii="Times New Roman" w:hAnsi="Times New Roman" w:cs="Times New Roman"/>
                <w:color w:val="auto"/>
                <w:spacing w:val="-15"/>
                <w:sz w:val="24"/>
              </w:rPr>
              <w:t xml:space="preserve">年上网电量为 </w:t>
            </w:r>
            <w:r>
              <w:rPr>
                <w:rFonts w:hint="default" w:ascii="Times New Roman" w:hAnsi="Times New Roman" w:cs="Times New Roman"/>
                <w:color w:val="auto"/>
                <w:spacing w:val="-4"/>
                <w:sz w:val="24"/>
                <w:lang w:val="en-US" w:eastAsia="zh-CN"/>
              </w:rPr>
              <w:t>10986.5</w:t>
            </w:r>
            <w:r>
              <w:rPr>
                <w:rFonts w:hint="default" w:ascii="Times New Roman" w:hAnsi="Times New Roman" w:cs="Times New Roman"/>
                <w:color w:val="auto"/>
                <w:spacing w:val="-30"/>
                <w:sz w:val="24"/>
              </w:rPr>
              <w:t xml:space="preserve">万 </w:t>
            </w:r>
            <w:r>
              <w:rPr>
                <w:rFonts w:hint="default" w:ascii="Times New Roman" w:hAnsi="Times New Roman" w:eastAsia="Times New Roman" w:cs="Times New Roman"/>
                <w:color w:val="auto"/>
                <w:spacing w:val="-8"/>
                <w:sz w:val="24"/>
              </w:rPr>
              <w:t>kWh</w:t>
            </w:r>
            <w:r>
              <w:rPr>
                <w:rFonts w:hint="default" w:ascii="Times New Roman" w:hAnsi="Times New Roman" w:cs="Times New Roman"/>
                <w:color w:val="auto"/>
                <w:spacing w:val="-8"/>
                <w:sz w:val="24"/>
              </w:rPr>
              <w:t>，年</w:t>
            </w:r>
            <w:r>
              <w:rPr>
                <w:rFonts w:hint="default" w:ascii="Times New Roman" w:hAnsi="Times New Roman" w:cs="Times New Roman"/>
                <w:color w:val="auto"/>
                <w:spacing w:val="-8"/>
                <w:sz w:val="24"/>
                <w:lang w:eastAsia="zh-CN"/>
              </w:rPr>
              <w:t>可利用</w:t>
            </w:r>
            <w:r>
              <w:rPr>
                <w:rFonts w:hint="default" w:ascii="Times New Roman" w:hAnsi="Times New Roman" w:cs="Times New Roman"/>
                <w:color w:val="auto"/>
                <w:spacing w:val="-8"/>
                <w:sz w:val="24"/>
              </w:rPr>
              <w:t>小时数为</w:t>
            </w:r>
            <w:r>
              <w:rPr>
                <w:rFonts w:hint="default" w:ascii="Times New Roman" w:hAnsi="Times New Roman" w:cs="Times New Roman"/>
                <w:color w:val="auto"/>
                <w:spacing w:val="-8"/>
                <w:sz w:val="24"/>
                <w:lang w:val="en-US" w:eastAsia="zh-CN"/>
              </w:rPr>
              <w:t>2197</w:t>
            </w:r>
            <w:r>
              <w:rPr>
                <w:rFonts w:hint="default" w:ascii="Times New Roman" w:hAnsi="Times New Roman" w:eastAsia="Times New Roman" w:cs="Times New Roman"/>
                <w:color w:val="auto"/>
                <w:spacing w:val="-5"/>
                <w:sz w:val="24"/>
              </w:rPr>
              <w:t>h</w:t>
            </w:r>
            <w:r>
              <w:rPr>
                <w:rFonts w:hint="default" w:ascii="Times New Roman" w:hAnsi="Times New Roman" w:cs="Times New Roman"/>
                <w:color w:val="auto"/>
                <w:spacing w:val="-4"/>
                <w:sz w:val="24"/>
                <w:lang w:eastAsia="zh-CN"/>
              </w:rPr>
              <w:t>。</w:t>
            </w:r>
            <w:r>
              <w:rPr>
                <w:rFonts w:hint="default" w:ascii="Times New Roman" w:hAnsi="Times New Roman" w:cs="Times New Roman"/>
                <w:color w:val="auto"/>
                <w:spacing w:val="-4"/>
                <w:sz w:val="24"/>
              </w:rPr>
              <w:t>风电场建设已取得原</w:t>
            </w:r>
            <w:r>
              <w:rPr>
                <w:rFonts w:hint="default" w:ascii="Times New Roman" w:hAnsi="Times New Roman" w:cs="Times New Roman"/>
                <w:color w:val="auto"/>
                <w:spacing w:val="-4"/>
                <w:sz w:val="24"/>
                <w:lang w:eastAsia="zh-CN"/>
              </w:rPr>
              <w:t>榆林市环境保护局</w:t>
            </w:r>
            <w:r>
              <w:rPr>
                <w:rFonts w:hint="default" w:ascii="Times New Roman" w:hAnsi="Times New Roman" w:cs="Times New Roman"/>
                <w:color w:val="auto"/>
                <w:spacing w:val="-1"/>
                <w:sz w:val="24"/>
              </w:rPr>
              <w:t>的批复</w:t>
            </w:r>
            <w:r>
              <w:rPr>
                <w:rFonts w:hint="default" w:ascii="Times New Roman" w:hAnsi="Times New Roman" w:cs="Times New Roman"/>
                <w:color w:val="auto"/>
                <w:sz w:val="24"/>
              </w:rPr>
              <w:t>（</w:t>
            </w:r>
            <w:r>
              <w:rPr>
                <w:rFonts w:hint="default" w:ascii="Times New Roman" w:hAnsi="Times New Roman" w:cs="Times New Roman"/>
                <w:color w:val="auto"/>
                <w:spacing w:val="-4"/>
                <w:sz w:val="24"/>
                <w:lang w:eastAsia="zh-CN"/>
              </w:rPr>
              <w:t>榆林市环境保护局</w:t>
            </w:r>
            <w:r>
              <w:rPr>
                <w:rFonts w:hint="default" w:ascii="Times New Roman" w:hAnsi="Times New Roman" w:cs="Times New Roman"/>
                <w:color w:val="auto"/>
                <w:spacing w:val="-4"/>
                <w:sz w:val="24"/>
              </w:rPr>
              <w:t>《关于</w:t>
            </w:r>
            <w:r>
              <w:rPr>
                <w:rFonts w:hint="default" w:ascii="Times New Roman" w:hAnsi="Times New Roman" w:cs="Times New Roman"/>
                <w:color w:val="auto"/>
                <w:spacing w:val="-4"/>
                <w:sz w:val="24"/>
                <w:lang w:eastAsia="zh-CN"/>
              </w:rPr>
              <w:t>国华（神木</w:t>
            </w:r>
            <w:r>
              <w:rPr>
                <w:rFonts w:hint="default" w:ascii="Times New Roman" w:hAnsi="Times New Roman" w:cs="Times New Roman"/>
                <w:color w:val="0000FF"/>
                <w:spacing w:val="-4"/>
                <w:sz w:val="24"/>
                <w:lang w:eastAsia="zh-CN"/>
              </w:rPr>
              <w:t>）</w:t>
            </w:r>
            <w:r>
              <w:rPr>
                <w:rFonts w:hint="default" w:ascii="Times New Roman" w:hAnsi="Times New Roman" w:cs="Times New Roman"/>
                <w:color w:val="auto"/>
                <w:spacing w:val="-4"/>
                <w:sz w:val="24"/>
                <w:lang w:eastAsia="zh-CN"/>
              </w:rPr>
              <w:t>四期风电场（薛家畔）项目</w:t>
            </w:r>
            <w:r>
              <w:rPr>
                <w:rFonts w:hint="default" w:ascii="Times New Roman" w:hAnsi="Times New Roman" w:cs="Times New Roman"/>
                <w:color w:val="auto"/>
                <w:spacing w:val="-2"/>
                <w:sz w:val="24"/>
              </w:rPr>
              <w:t>环境影</w:t>
            </w:r>
            <w:r>
              <w:rPr>
                <w:rFonts w:hint="default" w:ascii="Times New Roman" w:hAnsi="Times New Roman" w:cs="Times New Roman"/>
                <w:color w:val="auto"/>
                <w:spacing w:val="-15"/>
                <w:sz w:val="24"/>
              </w:rPr>
              <w:t>响报告表的批复》</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榆政环发</w:t>
            </w:r>
            <w:r>
              <w:rPr>
                <w:rFonts w:hint="default" w:ascii="Times New Roman" w:hAnsi="Times New Roman" w:eastAsia="Times New Roman" w:cs="Times New Roman"/>
                <w:color w:val="auto"/>
                <w:spacing w:val="1"/>
                <w:sz w:val="24"/>
              </w:rPr>
              <w:t>[</w:t>
            </w:r>
            <w:r>
              <w:rPr>
                <w:rFonts w:hint="default" w:ascii="Times New Roman" w:hAnsi="Times New Roman" w:eastAsia="Times New Roman" w:cs="Times New Roman"/>
                <w:color w:val="auto"/>
                <w:sz w:val="24"/>
              </w:rPr>
              <w:t>201</w:t>
            </w:r>
            <w:r>
              <w:rPr>
                <w:rFonts w:hint="default" w:ascii="Times New Roman" w:hAnsi="Times New Roman" w:cs="Times New Roman"/>
                <w:color w:val="auto"/>
                <w:sz w:val="24"/>
                <w:lang w:val="en-US" w:eastAsia="zh-CN"/>
              </w:rPr>
              <w:t>3</w:t>
            </w:r>
            <w:r>
              <w:rPr>
                <w:rFonts w:hint="default" w:ascii="Times New Roman" w:hAnsi="Times New Roman" w:eastAsia="Times New Roman" w:cs="Times New Roman"/>
                <w:color w:val="auto"/>
                <w:spacing w:val="-1"/>
                <w:sz w:val="24"/>
              </w:rPr>
              <w:t>]</w:t>
            </w:r>
            <w:r>
              <w:rPr>
                <w:rFonts w:hint="default" w:ascii="Times New Roman" w:hAnsi="Times New Roman" w:cs="Times New Roman"/>
                <w:color w:val="auto"/>
                <w:sz w:val="24"/>
                <w:lang w:val="en-US" w:eastAsia="zh-CN"/>
              </w:rPr>
              <w:t>302</w:t>
            </w:r>
            <w:r>
              <w:rPr>
                <w:rFonts w:hint="default" w:ascii="Times New Roman" w:hAnsi="Times New Roman" w:eastAsia="Times New Roman" w:cs="Times New Roman"/>
                <w:color w:val="auto"/>
                <w:sz w:val="24"/>
              </w:rPr>
              <w:t xml:space="preserve"> </w:t>
            </w:r>
            <w:r>
              <w:rPr>
                <w:rFonts w:hint="default" w:ascii="Times New Roman" w:hAnsi="Times New Roman" w:cs="Times New Roman"/>
                <w:color w:val="auto"/>
                <w:sz w:val="24"/>
              </w:rPr>
              <w:t>号</w:t>
            </w:r>
            <w:r>
              <w:rPr>
                <w:rFonts w:hint="default" w:ascii="Times New Roman" w:hAnsi="Times New Roman" w:cs="Times New Roman"/>
                <w:color w:val="auto"/>
                <w:spacing w:val="-120"/>
                <w:sz w:val="24"/>
              </w:rPr>
              <w:t>）</w:t>
            </w:r>
            <w:r>
              <w:rPr>
                <w:rFonts w:hint="default" w:ascii="Times New Roman" w:hAnsi="Times New Roman" w:cs="Times New Roman"/>
                <w:color w:val="auto"/>
                <w:sz w:val="24"/>
                <w:lang w:eastAsia="zh-CN"/>
              </w:rPr>
              <w:t>）（见附件</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目前风电场</w:t>
            </w:r>
            <w:r>
              <w:rPr>
                <w:rFonts w:hint="eastAsia" w:cs="Times New Roman"/>
                <w:color w:val="auto"/>
                <w:sz w:val="24"/>
                <w:lang w:val="en-US" w:eastAsia="zh-CN"/>
              </w:rPr>
              <w:t>正在建设中</w:t>
            </w:r>
            <w:r>
              <w:rPr>
                <w:rFonts w:hint="default" w:ascii="Times New Roman" w:hAnsi="Times New Roman" w:cs="Times New Roman"/>
                <w:color w:val="auto"/>
                <w:sz w:val="24"/>
                <w:lang w:eastAsia="zh-CN"/>
              </w:rPr>
              <w:t>，</w:t>
            </w:r>
            <w:r>
              <w:rPr>
                <w:rFonts w:hint="default" w:ascii="Times New Roman" w:hAnsi="Times New Roman" w:cs="Times New Roman"/>
                <w:color w:val="auto"/>
                <w:kern w:val="24"/>
                <w:lang w:val="en-US" w:eastAsia="zh-CN"/>
              </w:rPr>
              <w:t>110kv升压站正在建设中</w:t>
            </w:r>
            <w:r>
              <w:rPr>
                <w:rFonts w:hint="default" w:ascii="Times New Roman" w:hAnsi="Times New Roman" w:cs="Times New Roman"/>
                <w:color w:val="auto"/>
                <w:sz w:val="24"/>
              </w:rPr>
              <w:t>。</w:t>
            </w:r>
            <w:r>
              <w:rPr>
                <w:rFonts w:hint="default" w:ascii="Times New Roman" w:hAnsi="Times New Roman" w:cs="Times New Roman" w:eastAsiaTheme="minorEastAsia"/>
                <w:sz w:val="24"/>
              </w:rPr>
              <w:t>李家畔、薛家畔</w:t>
            </w:r>
            <w:r>
              <w:rPr>
                <w:rFonts w:hint="default" w:ascii="Times New Roman" w:hAnsi="Times New Roman" w:cs="Times New Roman" w:eastAsiaTheme="minorEastAsia"/>
                <w:sz w:val="24"/>
                <w:lang w:eastAsia="zh-CN"/>
              </w:rPr>
              <w:t>、槐树峁</w:t>
            </w:r>
            <w:r>
              <w:rPr>
                <w:rFonts w:hint="default" w:ascii="Times New Roman" w:hAnsi="Times New Roman" w:cs="Times New Roman" w:eastAsiaTheme="minorEastAsia"/>
                <w:sz w:val="24"/>
              </w:rPr>
              <w:t>风电场</w:t>
            </w:r>
            <w:r>
              <w:rPr>
                <w:rFonts w:hint="eastAsia" w:cs="Times New Roman" w:eastAsiaTheme="minorEastAsia"/>
                <w:sz w:val="24"/>
                <w:lang w:eastAsia="zh-CN"/>
              </w:rPr>
              <w:t>、国电投</w:t>
            </w:r>
            <w:r>
              <w:rPr>
                <w:rFonts w:hint="eastAsia" w:cs="Times New Roman" w:eastAsiaTheme="minorEastAsia"/>
                <w:sz w:val="24"/>
                <w:lang w:val="en-US" w:eastAsia="zh-CN"/>
              </w:rPr>
              <w:t>110kv升压站、锦界变330kv变电站</w:t>
            </w:r>
            <w:r>
              <w:rPr>
                <w:rFonts w:hint="default" w:ascii="Times New Roman" w:hAnsi="Times New Roman" w:cs="Times New Roman" w:eastAsiaTheme="minorEastAsia"/>
                <w:sz w:val="24"/>
              </w:rPr>
              <w:t>地理位置见</w:t>
            </w:r>
            <w:r>
              <w:rPr>
                <w:rFonts w:hint="default" w:ascii="Times New Roman" w:hAnsi="Times New Roman" w:cs="Times New Roman" w:eastAsiaTheme="minorEastAsia"/>
                <w:sz w:val="24"/>
                <w:lang w:eastAsia="zh-CN"/>
              </w:rPr>
              <w:t>图</w:t>
            </w:r>
            <w:r>
              <w:rPr>
                <w:rFonts w:hint="default" w:ascii="Times New Roman" w:hAnsi="Times New Roman" w:cs="Times New Roman" w:eastAsiaTheme="minorEastAsia"/>
                <w:sz w:val="24"/>
                <w:lang w:val="en-US" w:eastAsia="zh-CN"/>
              </w:rPr>
              <w:t>1</w:t>
            </w:r>
            <w:r>
              <w:rPr>
                <w:rFonts w:hint="default" w:ascii="Times New Roman" w:hAnsi="Times New Roman" w:cs="Times New Roman" w:eastAsiaTheme="minorEastAsia"/>
                <w:sz w:val="24"/>
              </w:rPr>
              <w:t>。</w:t>
            </w:r>
          </w:p>
          <w:p>
            <w:pPr>
              <w:pStyle w:val="27"/>
              <w:keepNext w:val="0"/>
              <w:keepLines w:val="0"/>
              <w:pageBreakBefore w:val="0"/>
              <w:widowControl w:val="0"/>
              <w:kinsoku/>
              <w:wordWrap/>
              <w:topLinePunct w:val="0"/>
              <w:bidi w:val="0"/>
              <w:spacing w:before="3" w:line="364" w:lineRule="auto"/>
              <w:ind w:left="107" w:leftChars="0" w:right="75" w:hanging="107" w:firstLineChars="0"/>
              <w:jc w:val="center"/>
              <w:rPr>
                <w:rFonts w:hint="default" w:ascii="Times New Roman" w:hAnsi="Times New Roman" w:cs="Times New Roman"/>
                <w:color w:val="auto"/>
                <w:sz w:val="24"/>
              </w:rPr>
            </w:pPr>
            <w:r>
              <w:rPr>
                <w:sz w:val="24"/>
              </w:rPr>
              <mc:AlternateContent>
                <mc:Choice Requires="wpg">
                  <w:drawing>
                    <wp:anchor distT="0" distB="0" distL="114300" distR="114300" simplePos="0" relativeHeight="2239162368" behindDoc="0" locked="0" layoutInCell="1" allowOverlap="1">
                      <wp:simplePos x="0" y="0"/>
                      <wp:positionH relativeFrom="column">
                        <wp:posOffset>149225</wp:posOffset>
                      </wp:positionH>
                      <wp:positionV relativeFrom="paragraph">
                        <wp:posOffset>306705</wp:posOffset>
                      </wp:positionV>
                      <wp:extent cx="5447665" cy="2728595"/>
                      <wp:effectExtent l="6350" t="6350" r="13335" b="8255"/>
                      <wp:wrapNone/>
                      <wp:docPr id="39" name="组合 39"/>
                      <wp:cNvGraphicFramePr/>
                      <a:graphic xmlns:a="http://schemas.openxmlformats.org/drawingml/2006/main">
                        <a:graphicData uri="http://schemas.microsoft.com/office/word/2010/wordprocessingGroup">
                          <wpg:wgp>
                            <wpg:cNvGrpSpPr/>
                            <wpg:grpSpPr>
                              <a:xfrm>
                                <a:off x="0" y="0"/>
                                <a:ext cx="5447665" cy="2728595"/>
                                <a:chOff x="6396" y="92054"/>
                                <a:chExt cx="8579" cy="4297"/>
                              </a:xfrm>
                            </wpg:grpSpPr>
                            <wpg:grpSp>
                              <wpg:cNvPr id="9" name="组合 9"/>
                              <wpg:cNvGrpSpPr/>
                              <wpg:grpSpPr>
                                <a:xfrm>
                                  <a:off x="8615" y="93953"/>
                                  <a:ext cx="6096" cy="2399"/>
                                  <a:chOff x="11643" y="4140"/>
                                  <a:chExt cx="6096" cy="2399"/>
                                </a:xfrm>
                              </wpg:grpSpPr>
                              <wps:wsp>
                                <wps:cNvPr id="19" name="矩形标注 2"/>
                                <wps:cNvSpPr/>
                                <wps:spPr>
                                  <a:xfrm>
                                    <a:off x="11643" y="4484"/>
                                    <a:ext cx="1170" cy="435"/>
                                  </a:xfrm>
                                  <a:prstGeom prst="wedgeRectCallout">
                                    <a:avLst>
                                      <a:gd name="adj1" fmla="val 85299"/>
                                      <a:gd name="adj2" fmla="val -11367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auto"/>
                                          <w:lang w:val="en-US" w:eastAsia="zh-CN"/>
                                        </w:rPr>
                                      </w:pPr>
                                      <w:r>
                                        <w:rPr>
                                          <w:rFonts w:hint="eastAsia"/>
                                          <w:color w:val="auto"/>
                                          <w:lang w:val="en-US" w:eastAsia="zh-CN"/>
                                        </w:rPr>
                                        <w:t>槐树峁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矩形标注 3"/>
                                <wps:cNvSpPr/>
                                <wps:spPr>
                                  <a:xfrm>
                                    <a:off x="15402" y="6105"/>
                                    <a:ext cx="1170" cy="435"/>
                                  </a:xfrm>
                                  <a:prstGeom prst="wedgeRectCallout">
                                    <a:avLst>
                                      <a:gd name="adj1" fmla="val 107606"/>
                                      <a:gd name="adj2" fmla="val -6816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auto"/>
                                          <w:lang w:val="en-US" w:eastAsia="zh-CN"/>
                                        </w:rPr>
                                      </w:pPr>
                                      <w:r>
                                        <w:rPr>
                                          <w:rFonts w:hint="eastAsia"/>
                                          <w:color w:val="auto"/>
                                          <w:lang w:val="en-US" w:eastAsia="zh-CN"/>
                                        </w:rPr>
                                        <w:t>薛家畔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标注 5"/>
                                <wps:cNvSpPr/>
                                <wps:spPr>
                                  <a:xfrm>
                                    <a:off x="15777" y="4743"/>
                                    <a:ext cx="1170" cy="435"/>
                                  </a:xfrm>
                                  <a:prstGeom prst="wedgeRectCallout">
                                    <a:avLst>
                                      <a:gd name="adj1" fmla="val 106239"/>
                                      <a:gd name="adj2" fmla="val 21666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auto"/>
                                          <w:lang w:val="en-US" w:eastAsia="zh-CN"/>
                                        </w:rPr>
                                      </w:pPr>
                                      <w:r>
                                        <w:rPr>
                                          <w:rFonts w:hint="eastAsia"/>
                                          <w:color w:val="auto"/>
                                          <w:lang w:val="en-US" w:eastAsia="zh-CN"/>
                                        </w:rPr>
                                        <w:t>李家畔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五角星 6"/>
                                <wps:cNvSpPr/>
                                <wps:spPr>
                                  <a:xfrm>
                                    <a:off x="13260" y="4140"/>
                                    <a:ext cx="119" cy="11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五角星 7"/>
                                <wps:cNvSpPr/>
                                <wps:spPr>
                                  <a:xfrm>
                                    <a:off x="17621" y="5888"/>
                                    <a:ext cx="119" cy="11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五角星 8"/>
                                <wps:cNvSpPr/>
                                <wps:spPr>
                                  <a:xfrm>
                                    <a:off x="17274" y="5967"/>
                                    <a:ext cx="119" cy="11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 name="矩形标注 5"/>
                              <wps:cNvSpPr/>
                              <wps:spPr>
                                <a:xfrm>
                                  <a:off x="13071" y="92630"/>
                                  <a:ext cx="1904" cy="601"/>
                                </a:xfrm>
                                <a:prstGeom prst="wedgeRectCallout">
                                  <a:avLst>
                                    <a:gd name="adj1" fmla="val -64390"/>
                                    <a:gd name="adj2" fmla="val 24916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auto"/>
                                        <w:lang w:val="en-US" w:eastAsia="zh-CN"/>
                                      </w:rPr>
                                    </w:pPr>
                                    <w:r>
                                      <w:rPr>
                                        <w:rFonts w:hint="eastAsia"/>
                                        <w:color w:val="auto"/>
                                        <w:lang w:val="en-US" w:eastAsia="zh-CN"/>
                                      </w:rPr>
                                      <w:t xml:space="preserve">李家畔升压站shengyazhan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标注 2"/>
                              <wps:cNvSpPr/>
                              <wps:spPr>
                                <a:xfrm>
                                  <a:off x="9122" y="92054"/>
                                  <a:ext cx="1820" cy="601"/>
                                </a:xfrm>
                                <a:prstGeom prst="wedgeRectCallout">
                                  <a:avLst>
                                    <a:gd name="adj1" fmla="val -131978"/>
                                    <a:gd name="adj2" fmla="val -3885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auto"/>
                                        <w:lang w:val="en-US" w:eastAsia="zh-CN"/>
                                      </w:rPr>
                                    </w:pPr>
                                    <w:r>
                                      <w:rPr>
                                        <w:rFonts w:hint="eastAsia"/>
                                        <w:color w:val="auto"/>
                                        <w:lang w:val="en-US" w:eastAsia="zh-CN"/>
                                      </w:rPr>
                                      <w:t>国电投升压站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流程图: 联系 36"/>
                              <wps:cNvSpPr/>
                              <wps:spPr>
                                <a:xfrm>
                                  <a:off x="6630" y="92218"/>
                                  <a:ext cx="119" cy="119"/>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流程图: 联系 35"/>
                              <wps:cNvSpPr/>
                              <wps:spPr>
                                <a:xfrm>
                                  <a:off x="7524" y="92061"/>
                                  <a:ext cx="119" cy="119"/>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矩形标注 2"/>
                              <wps:cNvSpPr/>
                              <wps:spPr>
                                <a:xfrm>
                                  <a:off x="6396" y="93426"/>
                                  <a:ext cx="1820" cy="537"/>
                                </a:xfrm>
                                <a:prstGeom prst="wedgeRectCallout">
                                  <a:avLst>
                                    <a:gd name="adj1" fmla="val -34065"/>
                                    <a:gd name="adj2" fmla="val -25515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auto"/>
                                        <w:lang w:val="en-US" w:eastAsia="zh-CN"/>
                                      </w:rPr>
                                    </w:pPr>
                                    <w:r>
                                      <w:rPr>
                                        <w:rFonts w:hint="eastAsia"/>
                                        <w:color w:val="auto"/>
                                        <w:lang w:val="en-US" w:eastAsia="zh-CN"/>
                                      </w:rPr>
                                      <w:t>锦界变电站</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75pt;margin-top:24.15pt;height:214.85pt;width:428.95pt;z-index:-2055804928;mso-width-relative:page;mso-height-relative:page;" coordorigin="6396,92054" coordsize="8579,4297" o:gfxdata="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AAAAABkcnMvUEsBAhQAFAAAAAgAh07i&#10;QIXRWG7aAAAACQEAAA8AAAAAAAAAAQAgAAAAIgAAAGRycy9kb3ducmV2LnhtbFBLAQIUABQAAAAI&#10;AIdO4kCiZXYdewUAAC0oAAAOAAAAAAAAAAEAIAAAACkBAABkcnMvZTJvRG9jLnhtbFBLBQYAAAAA&#10;BgAGAFkBAAAWCQAAAAA=&#10;">
                      <o:lock v:ext="edit" aspectratio="f"/>
                      <v:group id="_x0000_s1026" o:spid="_x0000_s1026" o:spt="203" style="position:absolute;left:8615;top:93953;height:2399;width:6096;" coordorigin="11643,4140" coordsize="6096,239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矩形标注 2" o:spid="_x0000_s1026" o:spt="61" type="#_x0000_t61" style="position:absolute;left:11643;top:4484;height:435;width:1170;v-text-anchor:middle;" filled="f" stroked="t" coordsize="21600,21600" o:gfxdata="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eNSiLgAAADbAAAA&#10;DwAAAAAAAAABACAAAAAiAAAAZHJzL2Rvd25yZXYueG1sUEsBAhQAFAAAAAgAh07iQDMvBZ47AAAA&#10;OQAAABAAAAAAAAAAAQAgAAAABwEAAGRycy9zaGFwZXhtbC54bWxQSwUGAAAAAAYABgBbAQAAsQMA&#10;AAAA&#10;" adj="29225,-13754">
                          <v:fill on="f" focussize="0,0"/>
                          <v:stroke weight="1pt" color="#000000 [3213]"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槐树峁</w:t>
                                </w:r>
                              </w:p>
                            </w:txbxContent>
                          </v:textbox>
                        </v:shape>
                        <v:shape id="矩形标注 3" o:spid="_x0000_s1026" o:spt="61" type="#_x0000_t61" style="position:absolute;left:15402;top:6105;height:435;width:1170;v-text-anchor:middle;" filled="f" stroked="t" coordsize="21600,21600" o:gfxdata="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DgwotwAAANsAAAAP&#10;AAAAAAAAAAEAIAAAACIAAABkcnMvZG93bnJldi54bWxQSwECFAAUAAAACACHTuJAMy8FnjsAAAA5&#10;AAAAEAAAAAAAAAABACAAAAAGAQAAZHJzL3NoYXBleG1sLnhtbFBLBQYAAAAABgAGAFsBAACwAwAA&#10;AAA=&#10;" adj="34043,-3923">
                          <v:fill on="f" focussize="0,0"/>
                          <v:stroke weight="1pt" color="#000000 [3213]" miterlimit="8" joinstyle="miter"/>
                          <v:imagedata o:title=""/>
                          <o:lock v:ext="edit" aspectratio="f"/>
                          <v:textbox>
                            <w:txbxContent>
                              <w:p>
                                <w:pPr>
                                  <w:jc w:val="center"/>
                                  <w:rPr>
                                    <w:rFonts w:hint="default" w:eastAsiaTheme="minorEastAsia"/>
                                    <w:color w:val="auto"/>
                                    <w:lang w:val="en-US" w:eastAsia="zh-CN"/>
                                  </w:rPr>
                                </w:pPr>
                                <w:r>
                                  <w:rPr>
                                    <w:rFonts w:hint="eastAsia"/>
                                    <w:color w:val="auto"/>
                                    <w:lang w:val="en-US" w:eastAsia="zh-CN"/>
                                  </w:rPr>
                                  <w:t>薛家畔</w:t>
                                </w:r>
                              </w:p>
                            </w:txbxContent>
                          </v:textbox>
                        </v:shape>
                        <v:shape id="矩形标注 5" o:spid="_x0000_s1026" o:spt="61" type="#_x0000_t61" style="position:absolute;left:15777;top:4743;height:435;width:1170;v-text-anchor:middle;" filled="f" stroked="t" coordsize="21600,21600" o:gfxdata="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qwVO8AAAA&#10;2wAAAA8AAAAAAAAAAQAgAAAAIgAAAGRycy9kb3ducmV2LnhtbFBLAQIUABQAAAAIAIdO4kAzLwWe&#10;OwAAADkAAAAQAAAAAAAAAAEAIAAAAAsBAABkcnMvc2hhcGV4bWwueG1sUEsFBgAAAAAGAAYAWwEA&#10;ALUDAAAAAA==&#10;" adj="33748,57600">
                          <v:fill on="f" focussize="0,0"/>
                          <v:stroke weight="1pt" color="#000000 [3213]" miterlimit="8" joinstyle="miter"/>
                          <v:imagedata o:title=""/>
                          <o:lock v:ext="edit" aspectratio="f"/>
                          <v:textbox>
                            <w:txbxContent>
                              <w:p>
                                <w:pPr>
                                  <w:jc w:val="center"/>
                                  <w:rPr>
                                    <w:rFonts w:hint="default" w:eastAsiaTheme="minorEastAsia"/>
                                    <w:color w:val="auto"/>
                                    <w:lang w:val="en-US" w:eastAsia="zh-CN"/>
                                  </w:rPr>
                                </w:pPr>
                                <w:r>
                                  <w:rPr>
                                    <w:rFonts w:hint="eastAsia"/>
                                    <w:color w:val="auto"/>
                                    <w:lang w:val="en-US" w:eastAsia="zh-CN"/>
                                  </w:rPr>
                                  <w:t>李家畔</w:t>
                                </w:r>
                              </w:p>
                            </w:txbxContent>
                          </v:textbox>
                        </v:shape>
                        <v:shape id="五角星 6" o:spid="_x0000_s1026" style="position:absolute;left:13260;top:4140;height:119;width:119;v-text-anchor:middle;" fillcolor="#FF0000" filled="t" stroked="t" coordsize="119,119" o:gfxdata="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oSDxvQAA&#10;ANsAAAAPAAAAAAAAAAEAIAAAACIAAABkcnMvZG93bnJldi54bWxQSwECFAAUAAAACACHTuJAMy8F&#10;njsAAAA5AAAAEAAAAAAAAAABACAAAAAMAQAAZHJzL3NoYXBleG1sLnhtbFBLBQYAAAAABgAGAFsB&#10;AAC2AwAAAAA=&#10;" path="m0,45l45,45,59,0,73,45,118,45,82,73,96,118,59,90,22,118,36,73xe">
                          <v:path o:connectlocs="59,0;0,45;22,118;96,118;118,45" o:connectangles="247,164,82,82,0"/>
                          <v:fill on="t" focussize="0,0"/>
                          <v:stroke weight="1pt" color="#FF0000 [3204]" miterlimit="8" joinstyle="miter"/>
                          <v:imagedata o:title=""/>
                          <o:lock v:ext="edit" aspectratio="f"/>
                        </v:shape>
                        <v:shape id="五角星 7" o:spid="_x0000_s1026" style="position:absolute;left:17621;top:5888;height:119;width:119;v-text-anchor:middle;" fillcolor="#FF0000" filled="t" stroked="t" coordsize="119,119" o:gfxdata="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7YVqvQAA&#10;ANsAAAAPAAAAAAAAAAEAIAAAACIAAABkcnMvZG93bnJldi54bWxQSwECFAAUAAAACACHTuJAMy8F&#10;njsAAAA5AAAAEAAAAAAAAAABACAAAAAMAQAAZHJzL3NoYXBleG1sLnhtbFBLBQYAAAAABgAGAFsB&#10;AAC2AwAAAAA=&#10;" path="m0,45l45,45,59,0,73,45,118,45,82,73,96,118,59,90,22,118,36,73xe">
                          <v:path o:connectlocs="59,0;0,45;22,118;96,118;118,45" o:connectangles="247,164,82,82,0"/>
                          <v:fill on="t" focussize="0,0"/>
                          <v:stroke weight="1pt" color="#FF0000 [3204]" miterlimit="8" joinstyle="miter"/>
                          <v:imagedata o:title=""/>
                          <o:lock v:ext="edit" aspectratio="f"/>
                        </v:shape>
                        <v:shape id="五角星 8" o:spid="_x0000_s1026" style="position:absolute;left:17274;top:5967;height:119;width:119;v-text-anchor:middle;" fillcolor="#FF0000" filled="t" stroked="t" coordsize="119,119" o:gfxdata="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BB0evQAA&#10;ANsAAAAPAAAAAAAAAAEAIAAAACIAAABkcnMvZG93bnJldi54bWxQSwECFAAUAAAACACHTuJAMy8F&#10;njsAAAA5AAAAEAAAAAAAAAABACAAAAAMAQAAZHJzL3NoYXBleG1sLnhtbFBLBQYAAAAABgAGAFsB&#10;AAC2AwAAAAA=&#10;" path="m0,45l45,45,59,0,73,45,118,45,82,73,96,118,59,90,22,118,36,73xe">
                          <v:path o:connectlocs="59,0;0,45;22,118;96,118;118,45" o:connectangles="247,164,82,82,0"/>
                          <v:fill on="t" focussize="0,0"/>
                          <v:stroke weight="1pt" color="#FF0000 [3204]" miterlimit="8" joinstyle="miter"/>
                          <v:imagedata o:title=""/>
                          <o:lock v:ext="edit" aspectratio="f"/>
                        </v:shape>
                      </v:group>
                      <v:shape id="矩形标注 5" o:spid="_x0000_s1026" o:spt="61" type="#_x0000_t61" style="position:absolute;left:13071;top:92630;height:601;width:1904;v-text-anchor:middle;" filled="f" stroked="t" coordsize="21600,21600" o:gfxdata="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s/FCLsAAADb&#10;AAAADwAAAAAAAAABACAAAAAiAAAAZHJzL2Rvd25yZXYueG1sUEsBAhQAFAAAAAgAh07iQDMvBZ47&#10;AAAAOQAAABAAAAAAAAAAAQAgAAAACgEAAGRycy9zaGFwZXhtbC54bWxQSwUGAAAAAAYABgBbAQAA&#10;tAMAAAAA&#10;" adj="-3108,64620">
                        <v:fill on="f" focussize="0,0"/>
                        <v:stroke weight="1pt" color="#000000 [3213]" miterlimit="8" joinstyle="miter"/>
                        <v:imagedata o:title=""/>
                        <o:lock v:ext="edit" aspectratio="f"/>
                        <v:textbox>
                          <w:txbxContent>
                            <w:p>
                              <w:pPr>
                                <w:jc w:val="center"/>
                                <w:rPr>
                                  <w:rFonts w:hint="default" w:eastAsiaTheme="minorEastAsia"/>
                                  <w:color w:val="auto"/>
                                  <w:lang w:val="en-US" w:eastAsia="zh-CN"/>
                                </w:rPr>
                              </w:pPr>
                              <w:r>
                                <w:rPr>
                                  <w:rFonts w:hint="eastAsia"/>
                                  <w:color w:val="auto"/>
                                  <w:lang w:val="en-US" w:eastAsia="zh-CN"/>
                                </w:rPr>
                                <w:t xml:space="preserve">李家畔升压站shengyazhan </w:t>
                              </w:r>
                            </w:p>
                          </w:txbxContent>
                        </v:textbox>
                      </v:shape>
                      <v:shape id="矩形标注 2" o:spid="_x0000_s1026" o:spt="61" type="#_x0000_t61" style="position:absolute;left:9122;top:92054;height:601;width:1820;v-text-anchor:middle;" filled="f" stroked="t" coordsize="21600,21600" o:gfxdata="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1zP/vQAA&#10;ANsAAAAPAAAAAAAAAAEAIAAAACIAAABkcnMvZG93bnJldi54bWxQSwECFAAUAAAACACHTuJAMy8F&#10;njsAAAA5AAAAEAAAAAAAAAABACAAAAAMAQAAZHJzL3NoYXBleG1sLnhtbFBLBQYAAAAABgAGAFsB&#10;AAC2AwAAAAA=&#10;" adj="-17707,2408">
                        <v:fill on="f" focussize="0,0"/>
                        <v:stroke weight="1pt" color="#000000 [3213]"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国电投升压站</w:t>
                              </w:r>
                            </w:p>
                          </w:txbxContent>
                        </v:textbox>
                      </v:shape>
                      <v:shape id="_x0000_s1026" o:spid="_x0000_s1026" o:spt="120" type="#_x0000_t120" style="position:absolute;left:6630;top:92218;height:119;width:119;v-text-anchor:middle;" fillcolor="#FF0000" filled="t" stroked="t" coordsize="21600,21600" o:gfxdata="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mxw+5AAAA2wAA&#10;AA8AAAAAAAAAAQAgAAAAIgAAAGRycy9kb3ducmV2LnhtbFBLAQIUABQAAAAIAIdO4kAzLwWeOwAA&#10;ADkAAAAQAAAAAAAAAAEAIAAAAAgBAABkcnMvc2hhcGV4bWwueG1sUEsFBgAAAAAGAAYAWwEAALID&#10;AAAAAA==&#10;">
                        <v:fill on="t" focussize="0,0"/>
                        <v:stroke weight="1pt" color="#41719C [3204]" miterlimit="8" joinstyle="miter"/>
                        <v:imagedata o:title=""/>
                        <o:lock v:ext="edit" aspectratio="f"/>
                      </v:shape>
                      <v:shape id="_x0000_s1026" o:spid="_x0000_s1026" o:spt="120" type="#_x0000_t120" style="position:absolute;left:7524;top:92061;height:119;width:119;v-text-anchor:middle;" fillcolor="#FF0000" filled="t" stroked="t" coordsize="21600,21600" o:gfxdata="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e0WXi5AAAA2wAA&#10;AA8AAAAAAAAAAQAgAAAAIgAAAGRycy9kb3ducmV2LnhtbFBLAQIUABQAAAAIAIdO4kAzLwWeOwAA&#10;ADkAAAAQAAAAAAAAAAEAIAAAAAgBAABkcnMvc2hhcGV4bWwueG1sUEsFBgAAAAAGAAYAWwEAALID&#10;AAAAAA==&#10;">
                        <v:fill on="t" focussize="0,0"/>
                        <v:stroke weight="1pt" color="#41719C [3204]" miterlimit="8" joinstyle="miter"/>
                        <v:imagedata o:title=""/>
                        <o:lock v:ext="edit" aspectratio="f"/>
                      </v:shape>
                      <v:shape id="矩形标注 2" o:spid="_x0000_s1026" o:spt="61" type="#_x0000_t61" style="position:absolute;left:6396;top:93426;height:537;width:1820;v-text-anchor:middle;" filled="f" stroked="t" coordsize="21600,21600" o:gfxdata="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1TvougAAANsA&#10;AAAPAAAAAAAAAAEAIAAAACIAAABkcnMvZG93bnJldi54bWxQSwECFAAUAAAACACHTuJAMy8FnjsA&#10;AAA5AAAAEAAAAAAAAAABACAAAAAJAQAAZHJzL3NoYXBleG1sLnhtbFBLBQYAAAAABgAGAFsBAACz&#10;AwAAAAA=&#10;" adj="3442,-44314">
                        <v:fill on="f" focussize="0,0"/>
                        <v:stroke weight="1pt" color="#000000 [3213]" miterlimit="8" joinstyle="miter"/>
                        <v:imagedata o:title=""/>
                        <o:lock v:ext="edit" aspectratio="f"/>
                        <v:textbox>
                          <w:txbxContent>
                            <w:p>
                              <w:pPr>
                                <w:jc w:val="center"/>
                                <w:rPr>
                                  <w:rFonts w:hint="eastAsia" w:eastAsiaTheme="minorEastAsia"/>
                                  <w:color w:val="auto"/>
                                  <w:lang w:val="en-US" w:eastAsia="zh-CN"/>
                                </w:rPr>
                              </w:pPr>
                              <w:r>
                                <w:rPr>
                                  <w:rFonts w:hint="eastAsia"/>
                                  <w:color w:val="auto"/>
                                  <w:lang w:val="en-US" w:eastAsia="zh-CN"/>
                                </w:rPr>
                                <w:t>锦界变电站</w:t>
                              </w:r>
                            </w:p>
                          </w:txbxContent>
                        </v:textbox>
                      </v:shape>
                    </v:group>
                  </w:pict>
                </mc:Fallback>
              </mc:AlternateContent>
            </w:r>
            <w:r>
              <w:rPr>
                <w:sz w:val="24"/>
              </w:rPr>
              <mc:AlternateContent>
                <mc:Choice Requires="wps">
                  <w:drawing>
                    <wp:anchor distT="0" distB="0" distL="114300" distR="114300" simplePos="0" relativeHeight="2239161344" behindDoc="0" locked="0" layoutInCell="1" allowOverlap="1">
                      <wp:simplePos x="0" y="0"/>
                      <wp:positionH relativeFrom="column">
                        <wp:posOffset>4184650</wp:posOffset>
                      </wp:positionH>
                      <wp:positionV relativeFrom="paragraph">
                        <wp:posOffset>1767205</wp:posOffset>
                      </wp:positionV>
                      <wp:extent cx="75565" cy="75565"/>
                      <wp:effectExtent l="6350" t="6350" r="13335" b="13335"/>
                      <wp:wrapNone/>
                      <wp:docPr id="10" name="流程图: 联系 10"/>
                      <wp:cNvGraphicFramePr/>
                      <a:graphic xmlns:a="http://schemas.openxmlformats.org/drawingml/2006/main">
                        <a:graphicData uri="http://schemas.microsoft.com/office/word/2010/wordprocessingShape">
                          <wps:wsp>
                            <wps:cNvSpPr/>
                            <wps:spPr>
                              <a:xfrm>
                                <a:off x="5099050" y="5370830"/>
                                <a:ext cx="75565" cy="75565"/>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329.5pt;margin-top:139.15pt;height:5.95pt;width:5.95pt;z-index:-2055805952;v-text-anchor:middle;mso-width-relative:page;mso-height-relative:page;" fillcolor="#FF0000" filled="t" stroked="t" coordsize="21600,21600" o:gfxdata="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KTUoHWAAAACwEA&#10;AA8AAAAAAAAAAQAgAAAAIgAAAGRycy9kb3ducmV2LnhtbFBLAQIUABQAAAAIAIdO4kBqAV5XjgIA&#10;APYEAAAOAAAAAAAAAAEAIAAAACUBAABkcnMvZTJvRG9jLnhtbFBLBQYAAAAABgAGAFkBAAAlBgAA&#10;AAA=&#10;">
                      <v:fill on="t" focussize="0,0"/>
                      <v:stroke weight="1pt" color="#41719C [3204]"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239160320" behindDoc="0" locked="0" layoutInCell="1" allowOverlap="1">
                      <wp:simplePos x="0" y="0"/>
                      <wp:positionH relativeFrom="column">
                        <wp:posOffset>328295</wp:posOffset>
                      </wp:positionH>
                      <wp:positionV relativeFrom="paragraph">
                        <wp:posOffset>2840990</wp:posOffset>
                      </wp:positionV>
                      <wp:extent cx="380365" cy="200025"/>
                      <wp:effectExtent l="0" t="0" r="635" b="9525"/>
                      <wp:wrapNone/>
                      <wp:docPr id="34" name="文本框 34"/>
                      <wp:cNvGraphicFramePr/>
                      <a:graphic xmlns:a="http://schemas.openxmlformats.org/drawingml/2006/main">
                        <a:graphicData uri="http://schemas.microsoft.com/office/word/2010/wordprocessingShape">
                          <wps:wsp>
                            <wps:cNvSpPr txBox="1"/>
                            <wps:spPr>
                              <a:xfrm>
                                <a:off x="1233170" y="6549390"/>
                                <a:ext cx="380365" cy="200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3"/>
                                      <w:szCs w:val="13"/>
                                      <w:lang w:val="en-US" w:eastAsia="zh-CN"/>
                                    </w:rPr>
                                  </w:pPr>
                                  <w:r>
                                    <w:rPr>
                                      <w:rFonts w:hint="eastAsia"/>
                                      <w:sz w:val="13"/>
                                      <w:szCs w:val="13"/>
                                      <w:lang w:val="en-US" w:eastAsia="zh-CN"/>
                                    </w:rPr>
                                    <w:t>2km</w:t>
                                  </w:r>
                                </w:p>
                                <w:p>
                                  <w:pPr>
                                    <w:pStyle w:val="16"/>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5pt;margin-top:223.7pt;height:15.75pt;width:29.95pt;z-index:-2055806976;mso-width-relative:page;mso-height-relative:page;" filled="f" stroked="f" coordsize="21600,21600" o:gfxdata="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5Livg2wAAAAoBAAAPAAAAAAAAAAEAIAAAACIAAABkcnMvZG93bnJldi54bWxQSwEC&#10;FAAUAAAACACHTuJAWgFMzyoCAAAlBAAADgAAAAAAAAABACAAAAAqAQAAZHJzL2Uyb0RvYy54bWxQ&#10;SwUGAAAAAAYABgBZAQAAxgUAAAAA&#10;">
                      <v:fill on="f" focussize="0,0"/>
                      <v:stroke on="f" weight="0.5pt"/>
                      <v:imagedata o:title=""/>
                      <o:lock v:ext="edit" aspectratio="f"/>
                      <v:textbox>
                        <w:txbxContent>
                          <w:p>
                            <w:pPr>
                              <w:rPr>
                                <w:rFonts w:hint="eastAsia"/>
                                <w:sz w:val="13"/>
                                <w:szCs w:val="13"/>
                                <w:lang w:val="en-US" w:eastAsia="zh-CN"/>
                              </w:rPr>
                            </w:pPr>
                            <w:r>
                              <w:rPr>
                                <w:rFonts w:hint="eastAsia"/>
                                <w:sz w:val="13"/>
                                <w:szCs w:val="13"/>
                                <w:lang w:val="en-US" w:eastAsia="zh-CN"/>
                              </w:rPr>
                              <w:t>2km</w:t>
                            </w:r>
                          </w:p>
                          <w:p>
                            <w:pPr>
                              <w:pStyle w:val="16"/>
                              <w:rPr>
                                <w:rFonts w:hint="default"/>
                                <w:lang w:val="en-US" w:eastAsia="zh-CN"/>
                              </w:rPr>
                            </w:pPr>
                          </w:p>
                        </w:txbxContent>
                      </v:textbox>
                    </v:shape>
                  </w:pict>
                </mc:Fallback>
              </mc:AlternateContent>
            </w:r>
            <w:r>
              <w:rPr>
                <w:sz w:val="24"/>
              </w:rPr>
              <mc:AlternateContent>
                <mc:Choice Requires="wps">
                  <w:drawing>
                    <wp:anchor distT="0" distB="0" distL="114300" distR="114300" simplePos="0" relativeHeight="2239159296" behindDoc="0" locked="0" layoutInCell="1" allowOverlap="1">
                      <wp:simplePos x="0" y="0"/>
                      <wp:positionH relativeFrom="column">
                        <wp:posOffset>204470</wp:posOffset>
                      </wp:positionH>
                      <wp:positionV relativeFrom="paragraph">
                        <wp:posOffset>3041015</wp:posOffset>
                      </wp:positionV>
                      <wp:extent cx="447675" cy="0"/>
                      <wp:effectExtent l="0" t="0" r="0" b="0"/>
                      <wp:wrapNone/>
                      <wp:docPr id="33" name="直接连接符 33"/>
                      <wp:cNvGraphicFramePr/>
                      <a:graphic xmlns:a="http://schemas.openxmlformats.org/drawingml/2006/main">
                        <a:graphicData uri="http://schemas.microsoft.com/office/word/2010/wordprocessingShape">
                          <wps:wsp>
                            <wps:cNvCnPr/>
                            <wps:spPr>
                              <a:xfrm>
                                <a:off x="1118870" y="6644640"/>
                                <a:ext cx="4476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pt;margin-top:239.45pt;height:0pt;width:35.25pt;z-index:-2055808000;mso-width-relative:page;mso-height-relative:page;" filled="f" stroked="t" coordsize="21600,21600" o:gfxdata="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H4K4NgAAAAKAQAADwAAAAAAAAAB&#10;ACAAAAAiAAAAZHJzL2Rvd25yZXYueG1sUEsBAhQAFAAAAAgAh07iQN+460rXAQAAcQMAAA4AAAAA&#10;AAAAAQAgAAAAJwEAAGRycy9lMm9Eb2MueG1sUEsFBgAAAAAGAAYAWQEAAHAFAAAAAA==&#10;">
                      <v:fill on="f" focussize="0,0"/>
                      <v:stroke weight="3pt" color="#000000 [3213]" miterlimit="8" joinstyle="miter"/>
                      <v:imagedata o:title=""/>
                      <o:lock v:ext="edit" aspectratio="f"/>
                    </v:line>
                  </w:pict>
                </mc:Fallback>
              </mc:AlternateContent>
            </w:r>
            <w:r>
              <mc:AlternateContent>
                <mc:Choice Requires="wps">
                  <w:drawing>
                    <wp:anchor distT="0" distB="0" distL="114300" distR="114300" simplePos="0" relativeHeight="2239157248" behindDoc="0" locked="0" layoutInCell="1" allowOverlap="1">
                      <wp:simplePos x="0" y="0"/>
                      <wp:positionH relativeFrom="column">
                        <wp:posOffset>13335</wp:posOffset>
                      </wp:positionH>
                      <wp:positionV relativeFrom="paragraph">
                        <wp:posOffset>2306955</wp:posOffset>
                      </wp:positionV>
                      <wp:extent cx="1409065" cy="868680"/>
                      <wp:effectExtent l="4445" t="4445" r="15240" b="22225"/>
                      <wp:wrapNone/>
                      <wp:docPr id="31" name="文本框 31"/>
                      <wp:cNvGraphicFramePr/>
                      <a:graphic xmlns:a="http://schemas.openxmlformats.org/drawingml/2006/main">
                        <a:graphicData uri="http://schemas.microsoft.com/office/word/2010/wordprocessingShape">
                          <wps:wsp>
                            <wps:cNvSpPr txBox="1"/>
                            <wps:spPr>
                              <a:xfrm>
                                <a:off x="0" y="0"/>
                                <a:ext cx="1409065" cy="868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18"/>
                                      <w:szCs w:val="13"/>
                                      <w:lang w:eastAsia="zh-CN"/>
                                    </w:rPr>
                                  </w:pPr>
                                  <w:r>
                                    <w:rPr>
                                      <w:rFonts w:hint="eastAsia"/>
                                      <w:b/>
                                      <w:bCs/>
                                      <w:sz w:val="18"/>
                                      <w:szCs w:val="13"/>
                                      <w:lang w:eastAsia="zh-CN"/>
                                    </w:rPr>
                                    <w:t>图</w:t>
                                  </w:r>
                                  <w:r>
                                    <w:rPr>
                                      <w:rFonts w:hint="eastAsia"/>
                                      <w:b/>
                                      <w:bCs/>
                                      <w:sz w:val="18"/>
                                      <w:szCs w:val="13"/>
                                      <w:lang w:val="en-US" w:eastAsia="zh-CN"/>
                                    </w:rPr>
                                    <w:t xml:space="preserve">  </w:t>
                                  </w:r>
                                  <w:r>
                                    <w:rPr>
                                      <w:rFonts w:hint="eastAsia"/>
                                      <w:b/>
                                      <w:bCs/>
                                      <w:sz w:val="18"/>
                                      <w:szCs w:val="13"/>
                                      <w:lang w:eastAsia="zh-CN"/>
                                    </w:rPr>
                                    <w:t>例</w:t>
                                  </w:r>
                                </w:p>
                                <w:p>
                                  <w:pPr>
                                    <w:pStyle w:val="16"/>
                                    <w:keepNext w:val="0"/>
                                    <w:keepLines w:val="0"/>
                                    <w:pageBreakBefore w:val="0"/>
                                    <w:widowControl w:val="0"/>
                                    <w:kinsoku/>
                                    <w:wordWrap/>
                                    <w:overflowPunct/>
                                    <w:topLinePunct w:val="0"/>
                                    <w:autoSpaceDE/>
                                    <w:autoSpaceDN/>
                                    <w:bidi w:val="0"/>
                                    <w:adjustRightInd/>
                                    <w:snapToGrid/>
                                    <w:spacing w:after="0"/>
                                    <w:textAlignment w:val="auto"/>
                                    <w:rPr>
                                      <w:rFonts w:hint="eastAsia"/>
                                      <w:sz w:val="16"/>
                                      <w:szCs w:val="20"/>
                                      <w:lang w:val="en-US" w:eastAsia="zh-CN"/>
                                    </w:rPr>
                                  </w:pPr>
                                  <w:r>
                                    <w:rPr>
                                      <w:rFonts w:hint="eastAsia"/>
                                      <w:sz w:val="16"/>
                                      <w:szCs w:val="20"/>
                                      <w:lang w:val="en-US" w:eastAsia="zh-CN"/>
                                    </w:rPr>
                                    <w:t xml:space="preserve">    </w:t>
                                  </w:r>
                                </w:p>
                                <w:p>
                                  <w:pPr>
                                    <w:pStyle w:val="16"/>
                                    <w:keepNext w:val="0"/>
                                    <w:keepLines w:val="0"/>
                                    <w:pageBreakBefore w:val="0"/>
                                    <w:widowControl w:val="0"/>
                                    <w:kinsoku/>
                                    <w:wordWrap/>
                                    <w:overflowPunct/>
                                    <w:topLinePunct w:val="0"/>
                                    <w:autoSpaceDE/>
                                    <w:autoSpaceDN/>
                                    <w:bidi w:val="0"/>
                                    <w:adjustRightInd/>
                                    <w:snapToGrid/>
                                    <w:spacing w:after="0"/>
                                    <w:textAlignment w:val="auto"/>
                                    <w:rPr>
                                      <w:rFonts w:hint="eastAsia"/>
                                      <w:sz w:val="11"/>
                                      <w:szCs w:val="8"/>
                                      <w:lang w:val="en-US" w:eastAsia="zh-CN"/>
                                    </w:rPr>
                                  </w:pPr>
                                  <w:r>
                                    <w:rPr>
                                      <w:rFonts w:hint="eastAsia"/>
                                      <w:sz w:val="21"/>
                                      <w:szCs w:val="20"/>
                                      <w:lang w:val="en-US" w:eastAsia="zh-CN"/>
                                    </w:rPr>
                                    <w:t xml:space="preserve"> </w:t>
                                  </w:r>
                                  <w:r>
                                    <w:rPr>
                                      <w:rFonts w:hint="eastAsia"/>
                                      <w:b/>
                                      <w:bCs/>
                                      <w:sz w:val="16"/>
                                      <w:szCs w:val="15"/>
                                      <w:lang w:val="en-US" w:eastAsia="zh-CN"/>
                                    </w:rPr>
                                    <w:t>线路走向</w:t>
                                  </w:r>
                                </w:p>
                                <w:p>
                                  <w:pPr>
                                    <w:ind w:firstLine="440" w:firstLineChars="400"/>
                                    <w:jc w:val="both"/>
                                    <w:rPr>
                                      <w:rFonts w:hint="default"/>
                                      <w:sz w:val="11"/>
                                      <w:szCs w:val="8"/>
                                      <w:lang w:val="en-US" w:eastAsia="zh-CN"/>
                                    </w:rPr>
                                  </w:pPr>
                                  <w:r>
                                    <w:rPr>
                                      <w:rFonts w:hint="eastAsia"/>
                                      <w:sz w:val="11"/>
                                      <w:szCs w:val="8"/>
                                      <w:lang w:val="en-US" w:eastAsia="zh-CN"/>
                                    </w:rPr>
                                    <w:t xml:space="preserve">           </w:t>
                                  </w:r>
                                  <w:r>
                                    <w:rPr>
                                      <w:rFonts w:hint="eastAsia" w:asciiTheme="minorAscii" w:hAnsiTheme="minorAscii" w:eastAsiaTheme="minorEastAsia" w:cstheme="minorBidi"/>
                                      <w:b/>
                                      <w:bCs/>
                                      <w:kern w:val="2"/>
                                      <w:sz w:val="16"/>
                                      <w:szCs w:val="15"/>
                                      <w:lang w:val="en-US" w:eastAsia="zh-CN" w:bidi="ar-SA"/>
                                    </w:rPr>
                                    <w:t>比例尺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81.65pt;height:68.4pt;width:110.95pt;z-index:-2055810048;mso-width-relative:page;mso-height-relative:page;" fillcolor="#FFFFFF [3201]" filled="t" stroked="t" coordsize="21600,21600" o:gfxdata="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jhII1QAAAAkBAAAPAAAAAAAAAAEAIAAAACIAAABkcnMv&#10;ZG93bnJldi54bWxQSwECFAAUAAAACACHTuJACVfFPD8CAABrBAAADgAAAAAAAAABACAAAAAkAQAA&#10;ZHJzL2Uyb0RvYy54bWxQSwUGAAAAAAYABgBZAQAA1Q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18"/>
                                <w:szCs w:val="13"/>
                                <w:lang w:eastAsia="zh-CN"/>
                              </w:rPr>
                            </w:pPr>
                            <w:r>
                              <w:rPr>
                                <w:rFonts w:hint="eastAsia"/>
                                <w:b/>
                                <w:bCs/>
                                <w:sz w:val="18"/>
                                <w:szCs w:val="13"/>
                                <w:lang w:eastAsia="zh-CN"/>
                              </w:rPr>
                              <w:t>图</w:t>
                            </w:r>
                            <w:r>
                              <w:rPr>
                                <w:rFonts w:hint="eastAsia"/>
                                <w:b/>
                                <w:bCs/>
                                <w:sz w:val="18"/>
                                <w:szCs w:val="13"/>
                                <w:lang w:val="en-US" w:eastAsia="zh-CN"/>
                              </w:rPr>
                              <w:t xml:space="preserve">  </w:t>
                            </w:r>
                            <w:r>
                              <w:rPr>
                                <w:rFonts w:hint="eastAsia"/>
                                <w:b/>
                                <w:bCs/>
                                <w:sz w:val="18"/>
                                <w:szCs w:val="13"/>
                                <w:lang w:eastAsia="zh-CN"/>
                              </w:rPr>
                              <w:t>例</w:t>
                            </w:r>
                          </w:p>
                          <w:p>
                            <w:pPr>
                              <w:pStyle w:val="16"/>
                              <w:keepNext w:val="0"/>
                              <w:keepLines w:val="0"/>
                              <w:pageBreakBefore w:val="0"/>
                              <w:widowControl w:val="0"/>
                              <w:kinsoku/>
                              <w:wordWrap/>
                              <w:overflowPunct/>
                              <w:topLinePunct w:val="0"/>
                              <w:autoSpaceDE/>
                              <w:autoSpaceDN/>
                              <w:bidi w:val="0"/>
                              <w:adjustRightInd/>
                              <w:snapToGrid/>
                              <w:spacing w:after="0"/>
                              <w:textAlignment w:val="auto"/>
                              <w:rPr>
                                <w:rFonts w:hint="eastAsia"/>
                                <w:sz w:val="16"/>
                                <w:szCs w:val="20"/>
                                <w:lang w:val="en-US" w:eastAsia="zh-CN"/>
                              </w:rPr>
                            </w:pPr>
                            <w:r>
                              <w:rPr>
                                <w:rFonts w:hint="eastAsia"/>
                                <w:sz w:val="16"/>
                                <w:szCs w:val="20"/>
                                <w:lang w:val="en-US" w:eastAsia="zh-CN"/>
                              </w:rPr>
                              <w:t xml:space="preserve">    </w:t>
                            </w:r>
                          </w:p>
                          <w:p>
                            <w:pPr>
                              <w:pStyle w:val="16"/>
                              <w:keepNext w:val="0"/>
                              <w:keepLines w:val="0"/>
                              <w:pageBreakBefore w:val="0"/>
                              <w:widowControl w:val="0"/>
                              <w:kinsoku/>
                              <w:wordWrap/>
                              <w:overflowPunct/>
                              <w:topLinePunct w:val="0"/>
                              <w:autoSpaceDE/>
                              <w:autoSpaceDN/>
                              <w:bidi w:val="0"/>
                              <w:adjustRightInd/>
                              <w:snapToGrid/>
                              <w:spacing w:after="0"/>
                              <w:textAlignment w:val="auto"/>
                              <w:rPr>
                                <w:rFonts w:hint="eastAsia"/>
                                <w:sz w:val="11"/>
                                <w:szCs w:val="8"/>
                                <w:lang w:val="en-US" w:eastAsia="zh-CN"/>
                              </w:rPr>
                            </w:pPr>
                            <w:r>
                              <w:rPr>
                                <w:rFonts w:hint="eastAsia"/>
                                <w:sz w:val="21"/>
                                <w:szCs w:val="20"/>
                                <w:lang w:val="en-US" w:eastAsia="zh-CN"/>
                              </w:rPr>
                              <w:t xml:space="preserve"> </w:t>
                            </w:r>
                            <w:r>
                              <w:rPr>
                                <w:rFonts w:hint="eastAsia"/>
                                <w:b/>
                                <w:bCs/>
                                <w:sz w:val="16"/>
                                <w:szCs w:val="15"/>
                                <w:lang w:val="en-US" w:eastAsia="zh-CN"/>
                              </w:rPr>
                              <w:t>线路走向</w:t>
                            </w:r>
                          </w:p>
                          <w:p>
                            <w:pPr>
                              <w:ind w:firstLine="440" w:firstLineChars="400"/>
                              <w:jc w:val="both"/>
                              <w:rPr>
                                <w:rFonts w:hint="default"/>
                                <w:sz w:val="11"/>
                                <w:szCs w:val="8"/>
                                <w:lang w:val="en-US" w:eastAsia="zh-CN"/>
                              </w:rPr>
                            </w:pPr>
                            <w:r>
                              <w:rPr>
                                <w:rFonts w:hint="eastAsia"/>
                                <w:sz w:val="11"/>
                                <w:szCs w:val="8"/>
                                <w:lang w:val="en-US" w:eastAsia="zh-CN"/>
                              </w:rPr>
                              <w:t xml:space="preserve">           </w:t>
                            </w:r>
                            <w:r>
                              <w:rPr>
                                <w:rFonts w:hint="eastAsia" w:asciiTheme="minorAscii" w:hAnsiTheme="minorAscii" w:eastAsiaTheme="minorEastAsia" w:cstheme="minorBidi"/>
                                <w:b/>
                                <w:bCs/>
                                <w:kern w:val="2"/>
                                <w:sz w:val="16"/>
                                <w:szCs w:val="15"/>
                                <w:lang w:val="en-US" w:eastAsia="zh-CN" w:bidi="ar-SA"/>
                              </w:rPr>
                              <w:t>比例尺</w:t>
                            </w:r>
                          </w:p>
                        </w:txbxContent>
                      </v:textbox>
                    </v:shape>
                  </w:pict>
                </mc:Fallback>
              </mc:AlternateContent>
            </w:r>
            <w:r>
              <w:rPr>
                <w:sz w:val="24"/>
              </w:rPr>
              <mc:AlternateContent>
                <mc:Choice Requires="wps">
                  <w:drawing>
                    <wp:anchor distT="0" distB="0" distL="114300" distR="114300" simplePos="0" relativeHeight="2239158272" behindDoc="0" locked="0" layoutInCell="1" allowOverlap="1">
                      <wp:simplePos x="0" y="0"/>
                      <wp:positionH relativeFrom="column">
                        <wp:posOffset>203200</wp:posOffset>
                      </wp:positionH>
                      <wp:positionV relativeFrom="paragraph">
                        <wp:posOffset>2829560</wp:posOffset>
                      </wp:positionV>
                      <wp:extent cx="434340" cy="0"/>
                      <wp:effectExtent l="0" t="13970" r="3810" b="24130"/>
                      <wp:wrapNone/>
                      <wp:docPr id="32" name="直接连接符 32"/>
                      <wp:cNvGraphicFramePr/>
                      <a:graphic xmlns:a="http://schemas.openxmlformats.org/drawingml/2006/main">
                        <a:graphicData uri="http://schemas.microsoft.com/office/word/2010/wordprocessingShape">
                          <wps:wsp>
                            <wps:cNvCnPr/>
                            <wps:spPr>
                              <a:xfrm>
                                <a:off x="1117600" y="6433185"/>
                                <a:ext cx="434340" cy="0"/>
                              </a:xfrm>
                              <a:prstGeom prst="line">
                                <a:avLst/>
                              </a:prstGeom>
                              <a:ln w="28575">
                                <a:solidFill>
                                  <a:srgbClr val="030EF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pt;margin-top:222.8pt;height:0pt;width:34.2pt;z-index:-2055809024;mso-width-relative:page;mso-height-relative:page;" filled="f" stroked="t" coordsize="21600,21600" o:gfxdata="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zQ17/XAAAACgEAAA8AAAAA&#10;AAAAAQAgAAAAIgAAAGRycy9kb3ducmV2LnhtbFBLAQIUABQAAAAIAIdO4kAofcqu3AEAAHEDAAAO&#10;AAAAAAAAAAEAIAAAACYBAABkcnMvZTJvRG9jLnhtbFBLBQYAAAAABgAGAFkBAAB0BQAAAAA=&#10;">
                      <v:fill on="f" focussize="0,0"/>
                      <v:stroke weight="2.25pt" color="#030EF1 [3204]" miterlimit="8" joinstyle="miter"/>
                      <v:imagedata o:title=""/>
                      <o:lock v:ext="edit" aspectratio="f"/>
                    </v:line>
                  </w:pict>
                </mc:Fallback>
              </mc:AlternateContent>
            </w:r>
            <w:r>
              <w:rPr>
                <w:rFonts w:hint="eastAsia"/>
                <w:sz w:val="32"/>
                <w:szCs w:val="28"/>
                <w:lang w:eastAsia="zh-CN"/>
              </w:rPr>
              <w:drawing>
                <wp:anchor distT="0" distB="0" distL="114300" distR="114300" simplePos="0" relativeHeight="2239156224" behindDoc="0" locked="0" layoutInCell="1" allowOverlap="1">
                  <wp:simplePos x="0" y="0"/>
                  <wp:positionH relativeFrom="column">
                    <wp:posOffset>5438775</wp:posOffset>
                  </wp:positionH>
                  <wp:positionV relativeFrom="page">
                    <wp:posOffset>2689860</wp:posOffset>
                  </wp:positionV>
                  <wp:extent cx="218440" cy="240665"/>
                  <wp:effectExtent l="0" t="0" r="10160" b="6985"/>
                  <wp:wrapNone/>
                  <wp:docPr id="30" name="图片 30" descr="指北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指北图标"/>
                          <pic:cNvPicPr>
                            <a:picLocks noChangeAspect="1"/>
                          </pic:cNvPicPr>
                        </pic:nvPicPr>
                        <pic:blipFill>
                          <a:blip r:embed="rId10"/>
                          <a:srcRect l="14670" t="9024" r="21108"/>
                          <a:stretch>
                            <a:fillRect/>
                          </a:stretch>
                        </pic:blipFill>
                        <pic:spPr>
                          <a:xfrm>
                            <a:off x="0" y="0"/>
                            <a:ext cx="218440" cy="240665"/>
                          </a:xfrm>
                          <a:prstGeom prst="rect">
                            <a:avLst/>
                          </a:prstGeom>
                        </pic:spPr>
                      </pic:pic>
                    </a:graphicData>
                  </a:graphic>
                </wp:anchor>
              </w:drawing>
            </w:r>
            <w:r>
              <w:drawing>
                <wp:inline distT="0" distB="0" distL="114300" distR="114300">
                  <wp:extent cx="5654040" cy="3225800"/>
                  <wp:effectExtent l="0" t="0" r="3810"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5654040" cy="3225800"/>
                          </a:xfrm>
                          <a:prstGeom prst="rect">
                            <a:avLst/>
                          </a:prstGeom>
                          <a:noFill/>
                          <a:ln>
                            <a:noFill/>
                          </a:ln>
                        </pic:spPr>
                      </pic:pic>
                    </a:graphicData>
                  </a:graphic>
                </wp:inline>
              </w:drawing>
            </w:r>
            <w:r>
              <w:rPr>
                <w:rFonts w:hint="eastAsia"/>
                <w:color w:val="auto"/>
                <w:sz w:val="32"/>
                <w:szCs w:val="28"/>
                <w:lang w:eastAsia="zh-CN"/>
              </w:rPr>
              <w:drawing>
                <wp:anchor distT="0" distB="0" distL="114300" distR="114300" simplePos="0" relativeHeight="2901648384" behindDoc="0" locked="0" layoutInCell="1" allowOverlap="1">
                  <wp:simplePos x="0" y="0"/>
                  <wp:positionH relativeFrom="column">
                    <wp:posOffset>8564880</wp:posOffset>
                  </wp:positionH>
                  <wp:positionV relativeFrom="page">
                    <wp:posOffset>50165</wp:posOffset>
                  </wp:positionV>
                  <wp:extent cx="558800" cy="615315"/>
                  <wp:effectExtent l="0" t="0" r="12700" b="13335"/>
                  <wp:wrapNone/>
                  <wp:docPr id="27" name="图片 27" descr="指北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指北图标"/>
                          <pic:cNvPicPr>
                            <a:picLocks noChangeAspect="1"/>
                          </pic:cNvPicPr>
                        </pic:nvPicPr>
                        <pic:blipFill>
                          <a:blip r:embed="rId10"/>
                          <a:srcRect l="14670" t="9024" r="21108"/>
                          <a:stretch>
                            <a:fillRect/>
                          </a:stretch>
                        </pic:blipFill>
                        <pic:spPr>
                          <a:xfrm>
                            <a:off x="0" y="0"/>
                            <a:ext cx="558800" cy="6153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lang w:val="en-US" w:eastAsia="zh-CN"/>
              </w:rPr>
              <w:t xml:space="preserve">图1     李家畔、薛家畔、槐树峁风电场地理位置图 </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rPr>
            </w:pPr>
            <w:r>
              <w:rPr>
                <w:rFonts w:hint="eastAsia"/>
                <w:sz w:val="32"/>
                <w:szCs w:val="28"/>
                <w:lang w:eastAsia="zh-CN"/>
              </w:rPr>
              <w:drawing>
                <wp:anchor distT="0" distB="0" distL="114300" distR="114300" simplePos="0" relativeHeight="2901648384" behindDoc="0" locked="0" layoutInCell="1" allowOverlap="1">
                  <wp:simplePos x="0" y="0"/>
                  <wp:positionH relativeFrom="column">
                    <wp:posOffset>8717280</wp:posOffset>
                  </wp:positionH>
                  <wp:positionV relativeFrom="page">
                    <wp:posOffset>202565</wp:posOffset>
                  </wp:positionV>
                  <wp:extent cx="558800" cy="615315"/>
                  <wp:effectExtent l="0" t="0" r="12700" b="13335"/>
                  <wp:wrapNone/>
                  <wp:docPr id="28" name="图片 28" descr="指北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指北图标"/>
                          <pic:cNvPicPr>
                            <a:picLocks noChangeAspect="1"/>
                          </pic:cNvPicPr>
                        </pic:nvPicPr>
                        <pic:blipFill>
                          <a:blip r:embed="rId10"/>
                          <a:srcRect l="14670" t="9024" r="21108"/>
                          <a:stretch>
                            <a:fillRect/>
                          </a:stretch>
                        </pic:blipFill>
                        <pic:spPr>
                          <a:xfrm>
                            <a:off x="0" y="0"/>
                            <a:ext cx="558800" cy="615315"/>
                          </a:xfrm>
                          <a:prstGeom prst="rect">
                            <a:avLst/>
                          </a:prstGeom>
                        </pic:spPr>
                      </pic:pic>
                    </a:graphicData>
                  </a:graphic>
                </wp:anchor>
              </w:drawing>
            </w:r>
            <w:r>
              <w:rPr>
                <w:rFonts w:hint="default" w:ascii="Times New Roman" w:hAnsi="Times New Roman" w:cs="Times New Roman"/>
                <w:color w:val="auto"/>
                <w:kern w:val="24"/>
                <w:lang w:eastAsia="zh-CN"/>
              </w:rPr>
              <w:t>李家畔风电场位于神木县神木镇李家畔村，规模为</w:t>
            </w:r>
            <w:r>
              <w:rPr>
                <w:rFonts w:hint="default" w:ascii="Times New Roman" w:hAnsi="Times New Roman" w:cs="Times New Roman"/>
                <w:color w:val="auto"/>
                <w:kern w:val="24"/>
                <w:lang w:val="en-US" w:eastAsia="zh-CN"/>
              </w:rPr>
              <w:t>50MW，安装了28台单机容量为 1800kw的风力发电机，</w:t>
            </w:r>
            <w:r>
              <w:rPr>
                <w:rFonts w:hint="default" w:ascii="Times New Roman" w:hAnsi="Times New Roman" w:cs="Times New Roman"/>
                <w:color w:val="auto"/>
                <w:spacing w:val="-15"/>
                <w:sz w:val="24"/>
              </w:rPr>
              <w:t xml:space="preserve">年上网电量为 </w:t>
            </w:r>
            <w:r>
              <w:rPr>
                <w:rFonts w:hint="default" w:ascii="Times New Roman" w:hAnsi="Times New Roman" w:cs="Times New Roman"/>
                <w:color w:val="auto"/>
                <w:spacing w:val="-4"/>
                <w:sz w:val="24"/>
                <w:lang w:val="en-US" w:eastAsia="zh-CN"/>
              </w:rPr>
              <w:t>10357.2</w:t>
            </w:r>
            <w:r>
              <w:rPr>
                <w:rFonts w:hint="default" w:ascii="Times New Roman" w:hAnsi="Times New Roman" w:cs="Times New Roman"/>
                <w:color w:val="auto"/>
                <w:spacing w:val="-30"/>
                <w:sz w:val="24"/>
              </w:rPr>
              <w:t xml:space="preserve">万 </w:t>
            </w:r>
            <w:r>
              <w:rPr>
                <w:rFonts w:hint="default" w:ascii="Times New Roman" w:hAnsi="Times New Roman" w:eastAsia="Times New Roman" w:cs="Times New Roman"/>
                <w:color w:val="auto"/>
                <w:spacing w:val="-8"/>
                <w:sz w:val="24"/>
              </w:rPr>
              <w:t>kWh</w:t>
            </w:r>
            <w:r>
              <w:rPr>
                <w:rFonts w:hint="default" w:ascii="Times New Roman" w:hAnsi="Times New Roman" w:cs="Times New Roman"/>
                <w:color w:val="auto"/>
                <w:spacing w:val="-8"/>
                <w:sz w:val="24"/>
              </w:rPr>
              <w:t>，年</w:t>
            </w:r>
            <w:r>
              <w:rPr>
                <w:rFonts w:hint="default" w:ascii="Times New Roman" w:hAnsi="Times New Roman" w:cs="Times New Roman"/>
                <w:color w:val="auto"/>
                <w:spacing w:val="-8"/>
                <w:sz w:val="24"/>
                <w:lang w:eastAsia="zh-CN"/>
              </w:rPr>
              <w:t>可利用</w:t>
            </w:r>
            <w:r>
              <w:rPr>
                <w:rFonts w:hint="default" w:ascii="Times New Roman" w:hAnsi="Times New Roman" w:cs="Times New Roman"/>
                <w:color w:val="auto"/>
                <w:spacing w:val="-8"/>
                <w:sz w:val="24"/>
              </w:rPr>
              <w:t>小时数为</w:t>
            </w:r>
            <w:r>
              <w:rPr>
                <w:rFonts w:hint="default" w:ascii="Times New Roman" w:hAnsi="Times New Roman" w:cs="Times New Roman"/>
                <w:color w:val="auto"/>
                <w:spacing w:val="-8"/>
                <w:sz w:val="24"/>
                <w:lang w:val="en-US" w:eastAsia="zh-CN"/>
              </w:rPr>
              <w:t>2055</w:t>
            </w:r>
            <w:r>
              <w:rPr>
                <w:rFonts w:hint="default" w:ascii="Times New Roman" w:hAnsi="Times New Roman" w:eastAsia="Times New Roman" w:cs="Times New Roman"/>
                <w:color w:val="auto"/>
                <w:spacing w:val="-5"/>
                <w:sz w:val="24"/>
              </w:rPr>
              <w:t>h</w:t>
            </w:r>
            <w:r>
              <w:rPr>
                <w:rFonts w:hint="default" w:ascii="Times New Roman" w:hAnsi="Times New Roman" w:cs="Times New Roman"/>
                <w:color w:val="auto"/>
                <w:spacing w:val="-4"/>
                <w:sz w:val="24"/>
                <w:lang w:eastAsia="zh-CN"/>
              </w:rPr>
              <w:t>。</w:t>
            </w:r>
            <w:r>
              <w:rPr>
                <w:rFonts w:hint="default" w:ascii="Times New Roman" w:hAnsi="Times New Roman" w:cs="Times New Roman"/>
                <w:color w:val="auto"/>
                <w:spacing w:val="-4"/>
                <w:sz w:val="24"/>
              </w:rPr>
              <w:t>风电场建设已取得</w:t>
            </w:r>
            <w:r>
              <w:rPr>
                <w:rFonts w:hint="default" w:ascii="Times New Roman" w:hAnsi="Times New Roman" w:cs="Times New Roman"/>
                <w:color w:val="auto"/>
                <w:spacing w:val="-4"/>
                <w:sz w:val="24"/>
                <w:lang w:eastAsia="zh-CN"/>
              </w:rPr>
              <w:t>陕西省环境保护厅</w:t>
            </w:r>
            <w:r>
              <w:rPr>
                <w:rFonts w:hint="default" w:ascii="Times New Roman" w:hAnsi="Times New Roman" w:cs="Times New Roman"/>
                <w:color w:val="auto"/>
                <w:spacing w:val="-1"/>
                <w:sz w:val="24"/>
              </w:rPr>
              <w:t>的批复</w:t>
            </w:r>
            <w:r>
              <w:rPr>
                <w:rFonts w:hint="default" w:ascii="Times New Roman" w:hAnsi="Times New Roman" w:cs="Times New Roman"/>
                <w:color w:val="auto"/>
                <w:sz w:val="24"/>
              </w:rPr>
              <w:t>（</w:t>
            </w:r>
            <w:r>
              <w:rPr>
                <w:rFonts w:hint="default" w:ascii="Times New Roman" w:hAnsi="Times New Roman" w:cs="Times New Roman"/>
                <w:color w:val="auto"/>
                <w:spacing w:val="-4"/>
                <w:sz w:val="24"/>
                <w:lang w:eastAsia="zh-CN"/>
              </w:rPr>
              <w:t>陕西省环境保护厅</w:t>
            </w:r>
            <w:r>
              <w:rPr>
                <w:rFonts w:hint="default" w:ascii="Times New Roman" w:hAnsi="Times New Roman" w:cs="Times New Roman"/>
                <w:color w:val="auto"/>
                <w:spacing w:val="-4"/>
                <w:sz w:val="24"/>
              </w:rPr>
              <w:t>《关于</w:t>
            </w:r>
            <w:r>
              <w:rPr>
                <w:rFonts w:hint="default" w:ascii="Times New Roman" w:hAnsi="Times New Roman" w:cs="Times New Roman"/>
                <w:color w:val="auto"/>
                <w:spacing w:val="-4"/>
                <w:sz w:val="24"/>
                <w:lang w:eastAsia="zh-CN"/>
              </w:rPr>
              <w:t>国华神木李家畔风电场</w:t>
            </w:r>
            <w:r>
              <w:rPr>
                <w:rFonts w:hint="default" w:ascii="Times New Roman" w:hAnsi="Times New Roman" w:cs="Times New Roman"/>
                <w:color w:val="auto"/>
                <w:spacing w:val="-4"/>
                <w:sz w:val="24"/>
                <w:lang w:val="en-US" w:eastAsia="zh-CN"/>
              </w:rPr>
              <w:t>50兆瓦工程</w:t>
            </w:r>
            <w:r>
              <w:rPr>
                <w:rFonts w:hint="default" w:ascii="Times New Roman" w:hAnsi="Times New Roman" w:cs="Times New Roman"/>
                <w:color w:val="auto"/>
                <w:spacing w:val="-2"/>
                <w:sz w:val="24"/>
              </w:rPr>
              <w:t>环境影</w:t>
            </w:r>
            <w:r>
              <w:rPr>
                <w:rFonts w:hint="default" w:ascii="Times New Roman" w:hAnsi="Times New Roman" w:cs="Times New Roman"/>
                <w:color w:val="auto"/>
                <w:spacing w:val="-15"/>
                <w:sz w:val="24"/>
              </w:rPr>
              <w:t>响报告表的批复》</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陕环批复</w:t>
            </w:r>
            <w:r>
              <w:rPr>
                <w:rFonts w:hint="default" w:ascii="Times New Roman" w:hAnsi="Times New Roman" w:eastAsia="Times New Roman" w:cs="Times New Roman"/>
                <w:color w:val="auto"/>
                <w:spacing w:val="1"/>
                <w:sz w:val="24"/>
              </w:rPr>
              <w:t>[</w:t>
            </w:r>
            <w:r>
              <w:rPr>
                <w:rFonts w:hint="default" w:ascii="Times New Roman" w:hAnsi="Times New Roman" w:eastAsia="Times New Roman" w:cs="Times New Roman"/>
                <w:color w:val="auto"/>
                <w:sz w:val="24"/>
              </w:rPr>
              <w:t>201</w:t>
            </w:r>
            <w:r>
              <w:rPr>
                <w:rFonts w:hint="default" w:ascii="Times New Roman" w:hAnsi="Times New Roman" w:cs="Times New Roman"/>
                <w:color w:val="auto"/>
                <w:sz w:val="24"/>
                <w:lang w:val="en-US" w:eastAsia="zh-CN"/>
              </w:rPr>
              <w:t>5</w:t>
            </w:r>
            <w:r>
              <w:rPr>
                <w:rFonts w:hint="default" w:ascii="Times New Roman" w:hAnsi="Times New Roman" w:eastAsia="Times New Roman" w:cs="Times New Roman"/>
                <w:color w:val="auto"/>
                <w:spacing w:val="-1"/>
                <w:sz w:val="24"/>
              </w:rPr>
              <w:t>]</w:t>
            </w:r>
            <w:r>
              <w:rPr>
                <w:rFonts w:hint="default" w:ascii="Times New Roman" w:hAnsi="Times New Roman" w:cs="Times New Roman"/>
                <w:color w:val="auto"/>
                <w:sz w:val="24"/>
                <w:lang w:val="en-US" w:eastAsia="zh-CN"/>
              </w:rPr>
              <w:t>684</w:t>
            </w:r>
            <w:r>
              <w:rPr>
                <w:rFonts w:hint="default" w:ascii="Times New Roman" w:hAnsi="Times New Roman" w:cs="Times New Roman"/>
                <w:color w:val="auto"/>
                <w:sz w:val="24"/>
              </w:rPr>
              <w:t>号</w:t>
            </w:r>
            <w:r>
              <w:rPr>
                <w:rFonts w:hint="default" w:ascii="Times New Roman" w:hAnsi="Times New Roman" w:cs="Times New Roman"/>
                <w:color w:val="auto"/>
                <w:sz w:val="24"/>
                <w:lang w:eastAsia="zh-CN"/>
              </w:rPr>
              <w:t>）（见附件</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目前风电场</w:t>
            </w:r>
            <w:r>
              <w:rPr>
                <w:rFonts w:hint="eastAsia" w:cs="Times New Roman"/>
                <w:color w:val="auto"/>
                <w:sz w:val="24"/>
                <w:lang w:val="en-US" w:eastAsia="zh-CN"/>
              </w:rPr>
              <w:t>正在建设中</w:t>
            </w:r>
            <w:r>
              <w:rPr>
                <w:rFonts w:hint="default" w:ascii="Times New Roman" w:hAnsi="Times New Roman" w:cs="Times New Roman"/>
                <w:color w:val="auto"/>
                <w:sz w:val="24"/>
              </w:rPr>
              <w:t>。</w:t>
            </w:r>
          </w:p>
          <w:p>
            <w:pPr>
              <w:keepNext w:val="0"/>
              <w:keepLines w:val="0"/>
              <w:pageBreakBefore w:val="0"/>
              <w:widowControl w:val="0"/>
              <w:kinsoku/>
              <w:wordWrap/>
              <w:topLinePunct w:val="0"/>
              <w:autoSpaceDE w:val="0"/>
              <w:autoSpaceDN w:val="0"/>
              <w:bidi w:val="0"/>
              <w:ind w:firstLine="480" w:firstLineChars="200"/>
              <w:jc w:val="both"/>
              <w:rPr>
                <w:rFonts w:hint="eastAsia" w:cs="Times New Roman"/>
                <w:color w:val="auto"/>
                <w:sz w:val="24"/>
                <w:lang w:eastAsia="zh-CN"/>
              </w:rPr>
            </w:pPr>
            <w:r>
              <w:rPr>
                <w:rFonts w:hint="default" w:ascii="Times New Roman" w:hAnsi="Times New Roman" w:cs="Times New Roman" w:eastAsiaTheme="minorEastAsia"/>
                <w:color w:val="auto"/>
                <w:kern w:val="24"/>
                <w:lang w:eastAsia="zh-CN"/>
              </w:rPr>
              <w:t>槐树峁风电场位于神木县解家堡乡，规模为</w:t>
            </w:r>
            <w:r>
              <w:rPr>
                <w:rFonts w:hint="default" w:ascii="Times New Roman" w:hAnsi="Times New Roman" w:cs="Times New Roman" w:eastAsiaTheme="minorEastAsia"/>
                <w:color w:val="auto"/>
                <w:kern w:val="24"/>
                <w:lang w:val="en-US" w:eastAsia="zh-CN"/>
              </w:rPr>
              <w:t>100MW，安装了50台单机容量为 2000kw的风力发电机，</w:t>
            </w:r>
            <w:r>
              <w:rPr>
                <w:rFonts w:hint="default" w:ascii="Times New Roman" w:hAnsi="Times New Roman" w:cs="Times New Roman" w:eastAsiaTheme="minorEastAsia"/>
                <w:color w:val="auto"/>
                <w:spacing w:val="-15"/>
                <w:sz w:val="24"/>
              </w:rPr>
              <w:t xml:space="preserve">年上网电量为 </w:t>
            </w:r>
            <w:r>
              <w:rPr>
                <w:rFonts w:hint="default" w:ascii="Times New Roman" w:hAnsi="Times New Roman" w:cs="Times New Roman" w:eastAsiaTheme="minorEastAsia"/>
                <w:color w:val="auto"/>
                <w:spacing w:val="-4"/>
                <w:sz w:val="24"/>
                <w:lang w:val="en-US" w:eastAsia="zh-CN"/>
              </w:rPr>
              <w:t>20344.2</w:t>
            </w:r>
            <w:r>
              <w:rPr>
                <w:rFonts w:hint="default" w:ascii="Times New Roman" w:hAnsi="Times New Roman" w:cs="Times New Roman" w:eastAsiaTheme="minorEastAsia"/>
                <w:color w:val="auto"/>
                <w:spacing w:val="-30"/>
                <w:sz w:val="24"/>
              </w:rPr>
              <w:t xml:space="preserve">万 </w:t>
            </w:r>
            <w:r>
              <w:rPr>
                <w:rFonts w:hint="default" w:ascii="Times New Roman" w:hAnsi="Times New Roman" w:cs="Times New Roman" w:eastAsiaTheme="minorEastAsia"/>
                <w:color w:val="auto"/>
                <w:spacing w:val="-8"/>
                <w:sz w:val="24"/>
              </w:rPr>
              <w:t>kWh，年</w:t>
            </w:r>
            <w:r>
              <w:rPr>
                <w:rFonts w:hint="default" w:ascii="Times New Roman" w:hAnsi="Times New Roman" w:cs="Times New Roman" w:eastAsiaTheme="minorEastAsia"/>
                <w:color w:val="auto"/>
                <w:spacing w:val="-8"/>
                <w:sz w:val="24"/>
                <w:lang w:eastAsia="zh-CN"/>
              </w:rPr>
              <w:t>可利用</w:t>
            </w:r>
            <w:r>
              <w:rPr>
                <w:rFonts w:hint="default" w:ascii="Times New Roman" w:hAnsi="Times New Roman" w:cs="Times New Roman" w:eastAsiaTheme="minorEastAsia"/>
                <w:color w:val="auto"/>
                <w:spacing w:val="-8"/>
                <w:sz w:val="24"/>
              </w:rPr>
              <w:t>小时数为</w:t>
            </w:r>
            <w:r>
              <w:rPr>
                <w:rFonts w:hint="default" w:ascii="Times New Roman" w:hAnsi="Times New Roman" w:cs="Times New Roman" w:eastAsiaTheme="minorEastAsia"/>
                <w:color w:val="auto"/>
                <w:spacing w:val="-8"/>
                <w:sz w:val="24"/>
                <w:lang w:val="en-US" w:eastAsia="zh-CN"/>
              </w:rPr>
              <w:t>2055</w:t>
            </w:r>
            <w:r>
              <w:rPr>
                <w:rFonts w:hint="default" w:ascii="Times New Roman" w:hAnsi="Times New Roman" w:cs="Times New Roman" w:eastAsiaTheme="minorEastAsia"/>
                <w:color w:val="auto"/>
                <w:spacing w:val="-5"/>
                <w:sz w:val="24"/>
              </w:rPr>
              <w:t>h</w:t>
            </w:r>
            <w:r>
              <w:rPr>
                <w:rFonts w:hint="default" w:ascii="Times New Roman" w:hAnsi="Times New Roman" w:cs="Times New Roman" w:eastAsiaTheme="minorEastAsia"/>
                <w:color w:val="auto"/>
                <w:spacing w:val="-4"/>
                <w:sz w:val="24"/>
                <w:lang w:eastAsia="zh-CN"/>
              </w:rPr>
              <w:t>。</w:t>
            </w:r>
            <w:r>
              <w:rPr>
                <w:rFonts w:hint="default" w:ascii="Times New Roman" w:hAnsi="Times New Roman" w:cs="Times New Roman" w:eastAsiaTheme="minorEastAsia"/>
                <w:color w:val="auto"/>
                <w:spacing w:val="-4"/>
                <w:sz w:val="24"/>
              </w:rPr>
              <w:t>风电场建设已取得</w:t>
            </w:r>
            <w:r>
              <w:rPr>
                <w:rFonts w:hint="default" w:ascii="Times New Roman" w:hAnsi="Times New Roman" w:cs="Times New Roman" w:eastAsiaTheme="minorEastAsia"/>
                <w:color w:val="auto"/>
                <w:spacing w:val="-4"/>
                <w:sz w:val="24"/>
                <w:lang w:eastAsia="zh-CN"/>
              </w:rPr>
              <w:t>陕西省环境保护厅</w:t>
            </w:r>
            <w:r>
              <w:rPr>
                <w:rFonts w:hint="default" w:ascii="Times New Roman" w:hAnsi="Times New Roman" w:cs="Times New Roman" w:eastAsiaTheme="minorEastAsia"/>
                <w:color w:val="auto"/>
                <w:spacing w:val="-1"/>
                <w:sz w:val="24"/>
              </w:rPr>
              <w:t>的批复</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pacing w:val="-4"/>
                <w:sz w:val="24"/>
                <w:lang w:eastAsia="zh-CN"/>
              </w:rPr>
              <w:t>陕西省环境保护厅</w:t>
            </w:r>
            <w:r>
              <w:rPr>
                <w:rFonts w:hint="default" w:ascii="Times New Roman" w:hAnsi="Times New Roman" w:cs="Times New Roman" w:eastAsiaTheme="minorEastAsia"/>
                <w:color w:val="auto"/>
                <w:spacing w:val="-4"/>
                <w:sz w:val="24"/>
              </w:rPr>
              <w:t>《关于</w:t>
            </w:r>
            <w:r>
              <w:rPr>
                <w:rFonts w:hint="default" w:ascii="Times New Roman" w:hAnsi="Times New Roman" w:cs="Times New Roman" w:eastAsiaTheme="minorEastAsia"/>
                <w:color w:val="auto"/>
                <w:spacing w:val="-4"/>
                <w:sz w:val="24"/>
                <w:lang w:eastAsia="zh-CN"/>
              </w:rPr>
              <w:t>国华神木槐树峁风电场</w:t>
            </w:r>
            <w:r>
              <w:rPr>
                <w:rFonts w:hint="default" w:ascii="Times New Roman" w:hAnsi="Times New Roman" w:cs="Times New Roman" w:eastAsiaTheme="minorEastAsia"/>
                <w:color w:val="auto"/>
                <w:spacing w:val="-4"/>
                <w:sz w:val="24"/>
                <w:lang w:val="en-US" w:eastAsia="zh-CN"/>
              </w:rPr>
              <w:t>100</w:t>
            </w:r>
            <w:r>
              <w:rPr>
                <w:rFonts w:hint="default" w:ascii="Times New Roman" w:hAnsi="Times New Roman" w:cs="Times New Roman" w:eastAsiaTheme="minorEastAsia"/>
                <w:color w:val="auto"/>
                <w:kern w:val="24"/>
                <w:lang w:val="en-US" w:eastAsia="zh-CN"/>
              </w:rPr>
              <w:t>MW</w:t>
            </w:r>
            <w:r>
              <w:rPr>
                <w:rFonts w:hint="default" w:ascii="Times New Roman" w:hAnsi="Times New Roman" w:cs="Times New Roman" w:eastAsiaTheme="minorEastAsia"/>
                <w:color w:val="auto"/>
                <w:spacing w:val="-4"/>
                <w:sz w:val="24"/>
                <w:lang w:val="en-US" w:eastAsia="zh-CN"/>
              </w:rPr>
              <w:t>工程</w:t>
            </w:r>
            <w:r>
              <w:rPr>
                <w:rFonts w:hint="default" w:ascii="Times New Roman" w:hAnsi="Times New Roman" w:cs="Times New Roman" w:eastAsiaTheme="minorEastAsia"/>
                <w:color w:val="auto"/>
                <w:spacing w:val="-2"/>
                <w:sz w:val="24"/>
              </w:rPr>
              <w:t>环境影</w:t>
            </w:r>
            <w:r>
              <w:rPr>
                <w:rFonts w:hint="default" w:ascii="Times New Roman" w:hAnsi="Times New Roman" w:cs="Times New Roman" w:eastAsiaTheme="minorEastAsia"/>
                <w:color w:val="auto"/>
                <w:spacing w:val="-15"/>
                <w:sz w:val="24"/>
              </w:rPr>
              <w:t>响报告表的批复》</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eastAsia="zh-CN"/>
              </w:rPr>
              <w:t>陕环批复</w:t>
            </w:r>
            <w:r>
              <w:rPr>
                <w:rFonts w:hint="default" w:ascii="Times New Roman" w:hAnsi="Times New Roman" w:cs="Times New Roman" w:eastAsiaTheme="minorEastAsia"/>
                <w:color w:val="auto"/>
                <w:spacing w:val="1"/>
                <w:sz w:val="24"/>
              </w:rPr>
              <w:t>[</w:t>
            </w:r>
            <w:r>
              <w:rPr>
                <w:rFonts w:hint="default" w:ascii="Times New Roman" w:hAnsi="Times New Roman" w:cs="Times New Roman" w:eastAsiaTheme="minorEastAsia"/>
                <w:color w:val="auto"/>
                <w:sz w:val="24"/>
              </w:rPr>
              <w:t>201</w:t>
            </w:r>
            <w:r>
              <w:rPr>
                <w:rFonts w:hint="default" w:ascii="Times New Roman" w:hAnsi="Times New Roman" w:cs="Times New Roman" w:eastAsiaTheme="minorEastAsia"/>
                <w:color w:val="auto"/>
                <w:sz w:val="24"/>
                <w:lang w:val="en-US" w:eastAsia="zh-CN"/>
              </w:rPr>
              <w:t>6</w:t>
            </w:r>
            <w:r>
              <w:rPr>
                <w:rFonts w:hint="default" w:ascii="Times New Roman" w:hAnsi="Times New Roman" w:cs="Times New Roman" w:eastAsiaTheme="minorEastAsia"/>
                <w:color w:val="auto"/>
                <w:spacing w:val="-1"/>
                <w:sz w:val="24"/>
              </w:rPr>
              <w:t>]</w:t>
            </w:r>
            <w:r>
              <w:rPr>
                <w:rFonts w:hint="default" w:ascii="Times New Roman" w:hAnsi="Times New Roman" w:cs="Times New Roman" w:eastAsiaTheme="minorEastAsia"/>
                <w:color w:val="auto"/>
                <w:sz w:val="24"/>
                <w:lang w:val="en-US" w:eastAsia="zh-CN"/>
              </w:rPr>
              <w:t>582</w:t>
            </w:r>
            <w:r>
              <w:rPr>
                <w:rFonts w:hint="default" w:ascii="Times New Roman" w:hAnsi="Times New Roman" w:cs="Times New Roman" w:eastAsiaTheme="minorEastAsia"/>
                <w:color w:val="auto"/>
                <w:sz w:val="24"/>
              </w:rPr>
              <w:t>号</w:t>
            </w:r>
            <w:r>
              <w:rPr>
                <w:rFonts w:hint="default" w:ascii="Times New Roman" w:hAnsi="Times New Roman" w:cs="Times New Roman" w:eastAsiaTheme="minorEastAsia"/>
                <w:color w:val="auto"/>
                <w:sz w:val="24"/>
                <w:lang w:eastAsia="zh-CN"/>
              </w:rPr>
              <w:t>）</w:t>
            </w:r>
            <w:r>
              <w:rPr>
                <w:rFonts w:hint="default" w:ascii="Times New Roman" w:hAnsi="Times New Roman" w:cs="Times New Roman"/>
                <w:color w:val="auto"/>
                <w:sz w:val="24"/>
                <w:lang w:eastAsia="zh-CN"/>
              </w:rPr>
              <w:t>（见附件</w:t>
            </w:r>
            <w:r>
              <w:rPr>
                <w:rFonts w:hint="default" w:ascii="Times New Roman" w:hAnsi="Times New Roman" w:cs="Times New Roman"/>
                <w:color w:val="auto"/>
                <w:sz w:val="24"/>
                <w:lang w:val="en-US" w:eastAsia="zh-CN"/>
              </w:rPr>
              <w:t>2）</w:t>
            </w:r>
            <w:r>
              <w:rPr>
                <w:rFonts w:hint="default" w:ascii="Times New Roman" w:hAnsi="Times New Roman" w:cs="Times New Roman" w:eastAsiaTheme="minorEastAsia"/>
                <w:color w:val="auto"/>
                <w:sz w:val="24"/>
                <w:lang w:eastAsia="zh-CN"/>
              </w:rPr>
              <w:t>，</w:t>
            </w:r>
            <w:r>
              <w:rPr>
                <w:rFonts w:hint="default" w:ascii="Times New Roman" w:hAnsi="Times New Roman" w:cs="Times New Roman"/>
                <w:color w:val="auto"/>
                <w:sz w:val="24"/>
              </w:rPr>
              <w:t>目前风电场</w:t>
            </w:r>
            <w:r>
              <w:rPr>
                <w:rFonts w:hint="eastAsia" w:cs="Times New Roman"/>
                <w:color w:val="auto"/>
                <w:sz w:val="24"/>
                <w:lang w:val="en-US" w:eastAsia="zh-CN"/>
              </w:rPr>
              <w:t>正在建设中</w:t>
            </w:r>
            <w:r>
              <w:rPr>
                <w:rFonts w:hint="eastAsia" w:cs="Times New Roman"/>
                <w:color w:val="auto"/>
                <w:sz w:val="24"/>
                <w:lang w:eastAsia="zh-CN"/>
              </w:rPr>
              <w:t>。</w:t>
            </w: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kern w:val="24"/>
                <w:lang w:val="en-US" w:eastAsia="zh-CN"/>
              </w:rPr>
              <w:t>建设单位国华（</w:t>
            </w:r>
            <w:r>
              <w:rPr>
                <w:rFonts w:hint="default" w:ascii="Times New Roman" w:hAnsi="Times New Roman" w:cs="Times New Roman"/>
                <w:color w:val="auto"/>
                <w:kern w:val="24"/>
                <w:lang w:val="en-US" w:eastAsia="zh-CN"/>
              </w:rPr>
              <w:t>神木</w:t>
            </w:r>
            <w:r>
              <w:rPr>
                <w:rFonts w:hint="default" w:ascii="Times New Roman" w:hAnsi="Times New Roman" w:eastAsia="宋体" w:cs="Times New Roman"/>
                <w:color w:val="auto"/>
                <w:kern w:val="24"/>
                <w:lang w:val="en-US" w:eastAsia="zh-CN"/>
              </w:rPr>
              <w:t>）新能源有限公司已</w:t>
            </w:r>
            <w:r>
              <w:rPr>
                <w:rFonts w:hint="default" w:ascii="Times New Roman" w:hAnsi="Times New Roman" w:cs="Times New Roman"/>
                <w:color w:val="auto"/>
                <w:kern w:val="24"/>
                <w:lang w:val="en-US" w:eastAsia="zh-CN"/>
              </w:rPr>
              <w:t>取得</w:t>
            </w:r>
            <w:r>
              <w:rPr>
                <w:rFonts w:hint="default" w:ascii="Times New Roman" w:hAnsi="Times New Roman" w:cs="Times New Roman"/>
                <w:color w:val="auto"/>
                <w:kern w:val="24"/>
              </w:rPr>
              <w:t>《国网陕西省电力公司关于印发国华能源投资有限公司神木李家畔风电场接入系统方案评审意见的通知》(陕电发展</w:t>
            </w:r>
            <w:r>
              <w:rPr>
                <w:rFonts w:hint="eastAsia" w:cs="Times New Roman"/>
                <w:color w:val="auto"/>
                <w:kern w:val="24"/>
                <w:lang w:val="en-US" w:eastAsia="zh-CN"/>
              </w:rPr>
              <w:t>[</w:t>
            </w:r>
            <w:r>
              <w:rPr>
                <w:rFonts w:hint="default" w:ascii="Times New Roman" w:hAnsi="Times New Roman" w:cs="Times New Roman"/>
                <w:color w:val="auto"/>
                <w:kern w:val="24"/>
              </w:rPr>
              <w:t>2019</w:t>
            </w:r>
            <w:r>
              <w:rPr>
                <w:rFonts w:hint="eastAsia" w:cs="Times New Roman"/>
                <w:color w:val="auto"/>
                <w:kern w:val="24"/>
                <w:lang w:val="en-US" w:eastAsia="zh-CN"/>
              </w:rPr>
              <w:t>]</w:t>
            </w:r>
            <w:r>
              <w:rPr>
                <w:rFonts w:hint="default" w:ascii="Times New Roman" w:hAnsi="Times New Roman" w:cs="Times New Roman"/>
                <w:color w:val="auto"/>
                <w:kern w:val="24"/>
              </w:rPr>
              <w:t>148号)</w:t>
            </w:r>
            <w:r>
              <w:rPr>
                <w:rFonts w:hint="default" w:ascii="Times New Roman" w:hAnsi="Times New Roman" w:cs="Times New Roman"/>
                <w:color w:val="auto"/>
                <w:sz w:val="24"/>
                <w:lang w:eastAsia="zh-CN"/>
              </w:rPr>
              <w:t>（见附件</w:t>
            </w:r>
            <w:r>
              <w:rPr>
                <w:rFonts w:hint="default" w:ascii="Times New Roman" w:hAnsi="Times New Roman" w:cs="Times New Roman"/>
                <w:color w:val="auto"/>
                <w:sz w:val="24"/>
                <w:lang w:val="en-US" w:eastAsia="zh-CN"/>
              </w:rPr>
              <w:t>3）</w:t>
            </w:r>
            <w:r>
              <w:rPr>
                <w:rFonts w:hint="default" w:ascii="Times New Roman" w:hAnsi="Times New Roman" w:cs="Times New Roman"/>
                <w:color w:val="auto"/>
                <w:kern w:val="24"/>
              </w:rPr>
              <w:t>、《国网陕西省电力公司关于印发国华能源投资有限公司神木薛家畔风电场接入系统方案评审意见的通知》(陕电发展</w:t>
            </w:r>
            <w:r>
              <w:rPr>
                <w:rFonts w:hint="eastAsia" w:cs="Times New Roman"/>
                <w:color w:val="auto"/>
                <w:kern w:val="24"/>
                <w:lang w:val="en-US" w:eastAsia="zh-CN"/>
              </w:rPr>
              <w:t>[</w:t>
            </w:r>
            <w:r>
              <w:rPr>
                <w:rFonts w:hint="default" w:ascii="Times New Roman" w:hAnsi="Times New Roman" w:cs="Times New Roman"/>
                <w:color w:val="auto"/>
                <w:kern w:val="24"/>
              </w:rPr>
              <w:t>2019</w:t>
            </w:r>
            <w:r>
              <w:rPr>
                <w:rFonts w:hint="eastAsia" w:cs="Times New Roman"/>
                <w:color w:val="auto"/>
                <w:kern w:val="24"/>
                <w:lang w:val="en-US" w:eastAsia="zh-CN"/>
              </w:rPr>
              <w:t>]</w:t>
            </w:r>
            <w:r>
              <w:rPr>
                <w:rFonts w:hint="default" w:ascii="Times New Roman" w:hAnsi="Times New Roman" w:cs="Times New Roman"/>
                <w:color w:val="auto"/>
                <w:kern w:val="24"/>
              </w:rPr>
              <w:t>149号)</w:t>
            </w:r>
            <w:r>
              <w:rPr>
                <w:rFonts w:hint="default" w:ascii="Times New Roman" w:hAnsi="Times New Roman" w:cs="Times New Roman"/>
                <w:color w:val="auto"/>
                <w:sz w:val="24"/>
                <w:lang w:eastAsia="zh-CN"/>
              </w:rPr>
              <w:t>（见附件</w:t>
            </w:r>
            <w:r>
              <w:rPr>
                <w:rFonts w:hint="default" w:ascii="Times New Roman" w:hAnsi="Times New Roman" w:cs="Times New Roman"/>
                <w:color w:val="auto"/>
                <w:sz w:val="24"/>
                <w:lang w:val="en-US" w:eastAsia="zh-CN"/>
              </w:rPr>
              <w:t>3）</w:t>
            </w:r>
            <w:r>
              <w:rPr>
                <w:rFonts w:hint="default" w:ascii="Times New Roman" w:hAnsi="Times New Roman" w:cs="Times New Roman"/>
                <w:color w:val="auto"/>
                <w:kern w:val="24"/>
              </w:rPr>
              <w:t>、《国网陕西省电力公司关于印发国华(神木)新能源有限公司神木槐树茆风电场接入系统方案评审意见的通知》(陕电发展</w:t>
            </w:r>
            <w:r>
              <w:rPr>
                <w:rFonts w:hint="eastAsia" w:cs="Times New Roman"/>
                <w:color w:val="auto"/>
                <w:kern w:val="24"/>
                <w:lang w:val="en-US" w:eastAsia="zh-CN"/>
              </w:rPr>
              <w:t>[</w:t>
            </w:r>
            <w:r>
              <w:rPr>
                <w:rFonts w:hint="default" w:ascii="Times New Roman" w:hAnsi="Times New Roman" w:cs="Times New Roman"/>
                <w:color w:val="auto"/>
                <w:kern w:val="24"/>
              </w:rPr>
              <w:t>2019</w:t>
            </w:r>
            <w:r>
              <w:rPr>
                <w:rFonts w:hint="eastAsia" w:cs="Times New Roman"/>
                <w:color w:val="auto"/>
                <w:kern w:val="24"/>
                <w:lang w:val="en-US" w:eastAsia="zh-CN"/>
              </w:rPr>
              <w:t>]</w:t>
            </w:r>
            <w:r>
              <w:rPr>
                <w:rFonts w:hint="default" w:ascii="Times New Roman" w:hAnsi="Times New Roman" w:cs="Times New Roman"/>
                <w:color w:val="auto"/>
                <w:kern w:val="24"/>
              </w:rPr>
              <w:t>256号)，</w:t>
            </w:r>
            <w:r>
              <w:rPr>
                <w:rFonts w:hint="default" w:ascii="Times New Roman" w:hAnsi="Times New Roman" w:cs="Times New Roman"/>
                <w:color w:val="auto"/>
                <w:sz w:val="24"/>
                <w:lang w:eastAsia="zh-CN"/>
              </w:rPr>
              <w:t>（见附件</w:t>
            </w:r>
            <w:r>
              <w:rPr>
                <w:rFonts w:hint="default" w:ascii="Times New Roman" w:hAnsi="Times New Roman" w:cs="Times New Roman"/>
                <w:color w:val="auto"/>
                <w:sz w:val="24"/>
                <w:lang w:val="en-US" w:eastAsia="zh-CN"/>
              </w:rPr>
              <w:t>3）。</w:t>
            </w: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eastAsia="宋体" w:cs="Times New Roman"/>
                <w:color w:val="auto"/>
                <w:kern w:val="24"/>
                <w:lang w:val="en-US" w:eastAsia="zh-CN"/>
              </w:rPr>
            </w:pPr>
            <w:r>
              <w:rPr>
                <w:rFonts w:hint="default" w:ascii="Times New Roman" w:hAnsi="Times New Roman" w:eastAsia="宋体" w:cs="Times New Roman"/>
                <w:color w:val="auto"/>
                <w:kern w:val="24"/>
                <w:lang w:val="en-US" w:eastAsia="zh-CN"/>
              </w:rPr>
              <w:t>为解决薛家畔、李家畔、槐树峁风电项目电力输出，加快推进项目整体建设进度，</w:t>
            </w:r>
            <w:r>
              <w:rPr>
                <w:rFonts w:hint="default" w:ascii="Times New Roman" w:hAnsi="Times New Roman" w:cs="Times New Roman"/>
                <w:color w:val="auto"/>
                <w:kern w:val="24"/>
                <w:lang w:val="en-US" w:eastAsia="zh-CN"/>
              </w:rPr>
              <w:t>拟建设</w:t>
            </w:r>
            <w:r>
              <w:rPr>
                <w:rFonts w:hint="default" w:ascii="Times New Roman" w:hAnsi="Times New Roman" w:eastAsia="宋体" w:cs="Times New Roman"/>
                <w:color w:val="auto"/>
                <w:kern w:val="24"/>
                <w:lang w:val="en-US" w:eastAsia="zh-CN"/>
              </w:rPr>
              <w:t>国华（神木）新能源有限公司新建国华神木墩梁风电场薛家畔、李家畔、槐树峁风电项目110KV送出线路</w:t>
            </w:r>
            <w:r>
              <w:rPr>
                <w:rFonts w:hint="default" w:ascii="Times New Roman" w:hAnsi="Times New Roman" w:cs="Times New Roman"/>
                <w:color w:val="auto"/>
                <w:kern w:val="24"/>
                <w:lang w:val="en-US" w:eastAsia="zh-CN"/>
              </w:rPr>
              <w:t>，</w:t>
            </w:r>
            <w:r>
              <w:rPr>
                <w:rFonts w:hint="default" w:ascii="Times New Roman" w:hAnsi="Times New Roman" w:eastAsia="宋体" w:cs="Times New Roman"/>
                <w:color w:val="auto"/>
                <w:kern w:val="24"/>
                <w:lang w:val="en-US" w:eastAsia="zh-CN"/>
              </w:rPr>
              <w:t>李家畔风电场升压站以1回110kV线路接入锦界330kV变电站，新建李家畔风电场升压站至锦界330kV变110kV 架空线路27.5km，锦界变扩建一个110kV间隔（利用原有备用间隔</w:t>
            </w:r>
            <w:r>
              <w:rPr>
                <w:rFonts w:hint="default" w:ascii="Times New Roman" w:hAnsi="Times New Roman" w:cs="Times New Roman"/>
                <w:color w:val="auto"/>
                <w:kern w:val="24"/>
                <w:lang w:val="en-US" w:eastAsia="zh-CN"/>
              </w:rPr>
              <w:t>，不在本次评价范围内</w:t>
            </w:r>
            <w:r>
              <w:rPr>
                <w:rFonts w:hint="default" w:ascii="Times New Roman" w:hAnsi="Times New Roman" w:eastAsia="宋体" w:cs="Times New Roman"/>
                <w:color w:val="auto"/>
                <w:kern w:val="24"/>
                <w:lang w:val="en-US" w:eastAsia="zh-CN"/>
              </w:rPr>
              <w:t>）。李家畔升压站为槐树峁风电场预留100MVA 主变1台及相应的间隔扩建位置</w:t>
            </w:r>
            <w:r>
              <w:rPr>
                <w:rFonts w:hint="default" w:ascii="Times New Roman" w:hAnsi="Times New Roman" w:cs="Times New Roman"/>
                <w:color w:val="auto"/>
                <w:kern w:val="24"/>
                <w:lang w:val="en-US" w:eastAsia="zh-CN"/>
              </w:rPr>
              <w:t>。</w:t>
            </w: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eastAsia="宋体" w:cs="Times New Roman"/>
                <w:color w:val="auto"/>
                <w:kern w:val="24"/>
                <w:lang w:val="en-US" w:eastAsia="zh-CN"/>
              </w:rPr>
            </w:pPr>
            <w:r>
              <w:rPr>
                <w:rFonts w:hint="default" w:ascii="Times New Roman" w:hAnsi="Times New Roman" w:eastAsia="宋体" w:cs="Times New Roman"/>
                <w:color w:val="auto"/>
                <w:kern w:val="24"/>
                <w:lang w:val="en-US" w:eastAsia="zh-CN"/>
              </w:rPr>
              <w:t>该项目110KV送出线路起点位于在建李家畔110kV升压站西北侧，坐标为东经449779.466，北纬4281819.348，终点位于锦界330kV变电站，坐标为东经434808.455，北纬4287061.416。李家畔110kV升压站~锦界330kv变电站架空线路长度总计27.5km。本项目地理位置图见附图1</w:t>
            </w:r>
            <w:r>
              <w:rPr>
                <w:rFonts w:hint="default" w:ascii="Times New Roman" w:hAnsi="Times New Roman" w:cs="Times New Roman"/>
                <w:color w:val="auto"/>
                <w:kern w:val="24"/>
                <w:lang w:val="en-US" w:eastAsia="zh-CN"/>
              </w:rPr>
              <w:t>，线路走向图见附图2。</w:t>
            </w: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eastAsia="宋体" w:cs="Times New Roman"/>
                <w:color w:val="auto"/>
                <w:kern w:val="24"/>
                <w:lang w:val="en-US" w:eastAsia="zh-CN"/>
              </w:rPr>
            </w:pPr>
            <w:r>
              <w:rPr>
                <w:rFonts w:hint="default" w:ascii="Times New Roman" w:hAnsi="Times New Roman" w:eastAsia="宋体" w:cs="Times New Roman"/>
                <w:color w:val="auto"/>
                <w:kern w:val="24"/>
                <w:lang w:val="en-US" w:eastAsia="zh-CN"/>
              </w:rPr>
              <w:t>根据《中华人民共和国环境影响评价法》、《建设项目环境保护管理条例》和《建设项目环境影响评价分类管理名录》等有关规定，</w:t>
            </w:r>
            <w:r>
              <w:rPr>
                <w:rFonts w:hint="default" w:ascii="Times New Roman" w:hAnsi="Times New Roman" w:cs="Times New Roman"/>
                <w:color w:val="auto"/>
                <w:kern w:val="24"/>
                <w:lang w:val="en-US" w:eastAsia="zh-CN"/>
              </w:rPr>
              <w:t>本项目</w:t>
            </w:r>
            <w:r>
              <w:rPr>
                <w:rFonts w:hint="default" w:ascii="Times New Roman" w:hAnsi="Times New Roman" w:eastAsia="宋体" w:cs="Times New Roman"/>
                <w:color w:val="auto"/>
                <w:kern w:val="24"/>
                <w:lang w:val="en-US" w:eastAsia="zh-CN"/>
              </w:rPr>
              <w:t>属于第五十条、核与辐射，181 输变电工程，其中规定500千伏及以上；涉及环境敏感区的330千伏及以上工程应当编制报告书，其他（100千伏以下除外）编制报告表。</w:t>
            </w:r>
            <w:r>
              <w:rPr>
                <w:rFonts w:hint="default" w:ascii="Times New Roman" w:hAnsi="Times New Roman" w:cs="Times New Roman"/>
                <w:color w:val="auto"/>
                <w:kern w:val="24"/>
                <w:lang w:val="en-US" w:eastAsia="zh-CN"/>
              </w:rPr>
              <w:t>本项目</w:t>
            </w:r>
            <w:r>
              <w:rPr>
                <w:rFonts w:hint="default" w:ascii="Times New Roman" w:hAnsi="Times New Roman" w:eastAsia="宋体" w:cs="Times New Roman"/>
                <w:color w:val="auto"/>
                <w:kern w:val="24"/>
                <w:lang w:val="en-US" w:eastAsia="zh-CN"/>
              </w:rPr>
              <w:t>为110千伏输变电工程，因此应编制环境影响报告表。</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pacing w:val="-8"/>
                <w:sz w:val="24"/>
              </w:rPr>
            </w:pPr>
            <w:r>
              <w:rPr>
                <w:rFonts w:hint="default" w:ascii="Times New Roman" w:hAnsi="Times New Roman" w:eastAsia="Times New Roman" w:cs="Times New Roman"/>
                <w:sz w:val="24"/>
              </w:rPr>
              <w:t>20</w:t>
            </w:r>
            <w:r>
              <w:rPr>
                <w:rFonts w:hint="default" w:ascii="Times New Roman" w:hAnsi="Times New Roman" w:cs="Times New Roman"/>
                <w:sz w:val="24"/>
                <w:lang w:val="en-US" w:eastAsia="zh-CN"/>
              </w:rPr>
              <w:t>20</w:t>
            </w:r>
            <w:r>
              <w:rPr>
                <w:rFonts w:hint="default" w:ascii="Times New Roman" w:hAnsi="Times New Roman" w:cs="Times New Roman"/>
                <w:spacing w:val="-30"/>
                <w:sz w:val="24"/>
              </w:rPr>
              <w:t xml:space="preserve">年 </w:t>
            </w:r>
            <w:r>
              <w:rPr>
                <w:rFonts w:hint="default" w:ascii="Times New Roman" w:hAnsi="Times New Roman" w:cs="Times New Roman"/>
                <w:sz w:val="24"/>
                <w:lang w:val="en-US" w:eastAsia="zh-CN"/>
              </w:rPr>
              <w:t>8</w:t>
            </w:r>
            <w:r>
              <w:rPr>
                <w:rFonts w:hint="default" w:ascii="Times New Roman" w:hAnsi="Times New Roman" w:cs="Times New Roman"/>
                <w:spacing w:val="-17"/>
                <w:sz w:val="24"/>
              </w:rPr>
              <w:t>月国华</w:t>
            </w:r>
            <w:r>
              <w:rPr>
                <w:rFonts w:hint="default" w:ascii="Times New Roman" w:hAnsi="Times New Roman" w:cs="Times New Roman"/>
                <w:spacing w:val="-3"/>
                <w:sz w:val="24"/>
              </w:rPr>
              <w:t>（</w:t>
            </w:r>
            <w:r>
              <w:rPr>
                <w:rFonts w:hint="default" w:ascii="Times New Roman" w:hAnsi="Times New Roman" w:cs="Times New Roman"/>
                <w:sz w:val="24"/>
                <w:lang w:eastAsia="zh-CN"/>
              </w:rPr>
              <w:t>神木</w:t>
            </w:r>
            <w:r>
              <w:rPr>
                <w:rFonts w:hint="default" w:ascii="Times New Roman" w:hAnsi="Times New Roman" w:cs="Times New Roman"/>
                <w:spacing w:val="-51"/>
                <w:sz w:val="24"/>
              </w:rPr>
              <w:t>）</w:t>
            </w:r>
            <w:r>
              <w:rPr>
                <w:rFonts w:hint="default" w:ascii="Times New Roman" w:hAnsi="Times New Roman" w:cs="Times New Roman"/>
                <w:spacing w:val="-1"/>
                <w:sz w:val="24"/>
              </w:rPr>
              <w:t>新能源有限公司委托我公司承担该项目的环境影响评价</w:t>
            </w:r>
            <w:r>
              <w:rPr>
                <w:rFonts w:hint="default" w:ascii="Times New Roman" w:hAnsi="Times New Roman" w:cs="Times New Roman"/>
                <w:spacing w:val="-12"/>
                <w:sz w:val="24"/>
              </w:rPr>
              <w:t>工作，委托书见附件</w:t>
            </w:r>
            <w:r>
              <w:rPr>
                <w:rFonts w:hint="default" w:ascii="Times New Roman" w:hAnsi="Times New Roman" w:eastAsia="Times New Roman" w:cs="Times New Roman"/>
                <w:sz w:val="24"/>
              </w:rPr>
              <w:t>1</w:t>
            </w:r>
            <w:r>
              <w:rPr>
                <w:rFonts w:hint="default" w:ascii="Times New Roman" w:hAnsi="Times New Roman" w:cs="Times New Roman"/>
                <w:spacing w:val="-10"/>
                <w:sz w:val="24"/>
              </w:rPr>
              <w:t>。接受委托后，我公司立即组织环评技术人员对现场进行踏勘和</w:t>
            </w:r>
            <w:r>
              <w:rPr>
                <w:rFonts w:hint="default" w:ascii="Times New Roman" w:hAnsi="Times New Roman" w:cs="Times New Roman"/>
                <w:spacing w:val="-15"/>
                <w:sz w:val="24"/>
              </w:rPr>
              <w:t>资料收集工作，并依据建设单位提供的有关技术资料，编制完成了《</w:t>
            </w:r>
            <w:r>
              <w:rPr>
                <w:rFonts w:hint="default" w:ascii="Times New Roman" w:hAnsi="Times New Roman" w:eastAsia="宋体" w:cs="Times New Roman"/>
                <w:color w:val="auto"/>
                <w:kern w:val="24"/>
                <w:lang w:val="en-US" w:eastAsia="zh-CN"/>
              </w:rPr>
              <w:t>国华神木墩梁风电场薛家畔、李家畔、槐树峁风电项目110kv送出线路</w:t>
            </w:r>
            <w:r>
              <w:rPr>
                <w:rFonts w:hint="default" w:ascii="Times New Roman" w:hAnsi="Times New Roman" w:cs="Times New Roman"/>
                <w:spacing w:val="-8"/>
                <w:sz w:val="24"/>
              </w:rPr>
              <w:t>环境影响报告表》。</w:t>
            </w:r>
          </w:p>
          <w:p>
            <w:pPr>
              <w:pStyle w:val="27"/>
              <w:keepNext w:val="0"/>
              <w:keepLines w:val="0"/>
              <w:pageBreakBefore w:val="0"/>
              <w:widowControl w:val="0"/>
              <w:kinsoku/>
              <w:wordWrap/>
              <w:topLinePunct w:val="0"/>
              <w:bidi w:val="0"/>
              <w:spacing w:before="3"/>
              <w:jc w:val="left"/>
              <w:rPr>
                <w:rFonts w:hint="default" w:ascii="Times New Roman" w:hAnsi="Times New Roman" w:cs="Times New Roman"/>
                <w:b/>
                <w:sz w:val="24"/>
              </w:rPr>
            </w:pPr>
            <w:r>
              <w:rPr>
                <w:rFonts w:hint="eastAsia" w:ascii="Times New Roman" w:hAnsi="Times New Roman" w:eastAsia="宋体" w:cs="Times New Roman"/>
                <w:b/>
                <w:sz w:val="24"/>
                <w:lang w:val="en-US" w:eastAsia="zh-CN"/>
              </w:rPr>
              <w:t>1.2</w:t>
            </w:r>
            <w:r>
              <w:rPr>
                <w:rFonts w:hint="default" w:ascii="Times New Roman" w:hAnsi="Times New Roman" w:cs="Times New Roman"/>
                <w:b/>
                <w:sz w:val="24"/>
              </w:rPr>
              <w:t>分析判定情况</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eastAsia="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eastAsia="Times New Roman" w:cs="Times New Roman"/>
                <w:color w:val="auto"/>
                <w:sz w:val="24"/>
              </w:rPr>
              <w:t>产业政策符合性</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eastAsia="Times New Roman" w:cs="Times New Roman"/>
                <w:color w:val="auto"/>
                <w:sz w:val="24"/>
              </w:rPr>
            </w:pPr>
            <w:r>
              <w:rPr>
                <w:rFonts w:hint="default" w:ascii="Times New Roman" w:hAnsi="Times New Roman" w:eastAsia="Times New Roman" w:cs="Times New Roman"/>
                <w:color w:val="auto"/>
                <w:sz w:val="24"/>
              </w:rPr>
              <w:t>本项目为风力发电配套工程，</w:t>
            </w:r>
            <w:r>
              <w:rPr>
                <w:rFonts w:hint="default" w:ascii="Times New Roman" w:hAnsi="Times New Roman" w:eastAsia="宋体" w:cs="Times New Roman"/>
                <w:color w:val="auto"/>
                <w:sz w:val="24"/>
                <w:lang w:eastAsia="zh-CN"/>
              </w:rPr>
              <w:t>对照</w:t>
            </w:r>
            <w:r>
              <w:rPr>
                <w:rFonts w:hint="default" w:ascii="Times New Roman" w:hAnsi="Times New Roman" w:cs="Times New Roman" w:eastAsiaTheme="minorEastAsia"/>
                <w:color w:val="auto"/>
                <w:kern w:val="2"/>
              </w:rPr>
              <w:t>《产业结构调整指导目录（2019年本）》（2019年10月30日国家发展和改革委员会第29号令），该工程属于“四、电力 10、电网改造与建设，增量配电网建设”，为鼓励类项目</w:t>
            </w:r>
            <w:r>
              <w:rPr>
                <w:rFonts w:hint="default" w:ascii="Times New Roman" w:hAnsi="Times New Roman" w:eastAsia="Times New Roman" w:cs="Times New Roman"/>
                <w:color w:val="auto"/>
                <w:sz w:val="24"/>
              </w:rPr>
              <w:t>，因此本项目的建设符合国家产业政策。</w:t>
            </w:r>
          </w:p>
          <w:p>
            <w:pPr>
              <w:pStyle w:val="27"/>
              <w:keepNext w:val="0"/>
              <w:keepLines w:val="0"/>
              <w:pageBreakBefore w:val="0"/>
              <w:widowControl w:val="0"/>
              <w:numPr>
                <w:ilvl w:val="0"/>
                <w:numId w:val="0"/>
              </w:numPr>
              <w:tabs>
                <w:tab w:val="left" w:pos="1189"/>
              </w:tabs>
              <w:kinsoku/>
              <w:wordWrap/>
              <w:topLinePunct w:val="0"/>
              <w:bidi w:val="0"/>
              <w:spacing w:before="1" w:after="0" w:line="240" w:lineRule="auto"/>
              <w:ind w:left="586" w:leftChars="0" w:right="0" w:rightChars="0"/>
              <w:jc w:val="left"/>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项目与榆林市</w:t>
            </w:r>
            <w:r>
              <w:rPr>
                <w:rFonts w:hint="default" w:ascii="Times New Roman" w:hAnsi="Times New Roman" w:eastAsia="Times New Roman" w:cs="Times New Roman"/>
                <w:sz w:val="24"/>
              </w:rPr>
              <w:t>“</w:t>
            </w:r>
            <w:r>
              <w:rPr>
                <w:rFonts w:hint="default" w:ascii="Times New Roman" w:hAnsi="Times New Roman" w:cs="Times New Roman"/>
                <w:sz w:val="24"/>
              </w:rPr>
              <w:t>多规合一</w:t>
            </w:r>
            <w:r>
              <w:rPr>
                <w:rFonts w:hint="default" w:ascii="Times New Roman" w:hAnsi="Times New Roman" w:eastAsia="Times New Roman" w:cs="Times New Roman"/>
                <w:sz w:val="24"/>
              </w:rPr>
              <w:t>”</w:t>
            </w:r>
            <w:r>
              <w:rPr>
                <w:rFonts w:hint="default" w:ascii="Times New Roman" w:hAnsi="Times New Roman" w:cs="Times New Roman"/>
                <w:sz w:val="24"/>
              </w:rPr>
              <w:t>控制线检测结果符合性分析</w:t>
            </w:r>
          </w:p>
          <w:p>
            <w:pPr>
              <w:pStyle w:val="27"/>
              <w:keepNext w:val="0"/>
              <w:keepLines w:val="0"/>
              <w:pageBreakBefore w:val="0"/>
              <w:widowControl w:val="0"/>
              <w:kinsoku/>
              <w:wordWrap/>
              <w:topLinePunct w:val="0"/>
              <w:bidi w:val="0"/>
              <w:spacing w:before="161" w:line="364" w:lineRule="auto"/>
              <w:ind w:left="107" w:right="76" w:firstLine="480"/>
              <w:jc w:val="both"/>
              <w:rPr>
                <w:rFonts w:hint="default" w:ascii="Times New Roman" w:hAnsi="Times New Roman" w:cs="Times New Roman"/>
                <w:sz w:val="24"/>
              </w:rPr>
            </w:pPr>
            <w:r>
              <w:rPr>
                <w:rFonts w:hint="default" w:ascii="Times New Roman" w:hAnsi="Times New Roman" w:cs="Times New Roman"/>
                <w:sz w:val="24"/>
                <w:lang w:eastAsia="zh-CN"/>
              </w:rPr>
              <w:t>项目</w:t>
            </w:r>
            <w:r>
              <w:rPr>
                <w:rFonts w:hint="default" w:ascii="Times New Roman" w:hAnsi="Times New Roman" w:cs="Times New Roman"/>
                <w:spacing w:val="-3"/>
                <w:sz w:val="24"/>
              </w:rPr>
              <w:t>输电线路与榆林市</w:t>
            </w:r>
            <w:r>
              <w:rPr>
                <w:rFonts w:hint="default" w:ascii="Times New Roman" w:hAnsi="Times New Roman" w:eastAsia="Times New Roman" w:cs="Times New Roman"/>
                <w:sz w:val="24"/>
              </w:rPr>
              <w:t>“</w:t>
            </w:r>
            <w:r>
              <w:rPr>
                <w:rFonts w:hint="default" w:ascii="Times New Roman" w:hAnsi="Times New Roman" w:cs="Times New Roman"/>
                <w:sz w:val="24"/>
              </w:rPr>
              <w:t>多规合一</w:t>
            </w:r>
            <w:r>
              <w:rPr>
                <w:rFonts w:hint="default" w:ascii="Times New Roman" w:hAnsi="Times New Roman" w:eastAsia="Times New Roman" w:cs="Times New Roman"/>
                <w:sz w:val="24"/>
              </w:rPr>
              <w:t>”</w:t>
            </w:r>
            <w:r>
              <w:rPr>
                <w:rFonts w:hint="default" w:ascii="Times New Roman" w:hAnsi="Times New Roman" w:cs="Times New Roman"/>
                <w:spacing w:val="-4"/>
                <w:sz w:val="24"/>
              </w:rPr>
              <w:t>控制线检</w:t>
            </w:r>
            <w:r>
              <w:rPr>
                <w:rFonts w:hint="default" w:ascii="Times New Roman" w:hAnsi="Times New Roman" w:cs="Times New Roman"/>
                <w:spacing w:val="-6"/>
                <w:sz w:val="24"/>
              </w:rPr>
              <w:t>测结果符合性分析见表</w:t>
            </w:r>
            <w:r>
              <w:rPr>
                <w:rFonts w:hint="default" w:ascii="Times New Roman" w:hAnsi="Times New Roman" w:cs="Times New Roman"/>
                <w:spacing w:val="-6"/>
                <w:sz w:val="24"/>
                <w:lang w:val="en-US" w:eastAsia="zh-CN"/>
              </w:rPr>
              <w:t>1-1</w:t>
            </w:r>
            <w:r>
              <w:rPr>
                <w:rFonts w:hint="default" w:ascii="Times New Roman" w:hAnsi="Times New Roman" w:cs="Times New Roman"/>
                <w:sz w:val="24"/>
              </w:rPr>
              <w:t>，项目</w:t>
            </w:r>
            <w:r>
              <w:rPr>
                <w:rFonts w:hint="default" w:ascii="Times New Roman" w:hAnsi="Times New Roman" w:cs="Times New Roman"/>
                <w:sz w:val="24"/>
                <w:lang w:eastAsia="zh-CN"/>
              </w:rPr>
              <w:t>输电</w:t>
            </w:r>
            <w:r>
              <w:rPr>
                <w:rFonts w:hint="default" w:ascii="Times New Roman" w:hAnsi="Times New Roman" w:cs="Times New Roman"/>
                <w:sz w:val="24"/>
              </w:rPr>
              <w:t>线路</w:t>
            </w:r>
            <w:r>
              <w:rPr>
                <w:rFonts w:hint="default" w:ascii="Times New Roman" w:hAnsi="Times New Roman" w:eastAsia="Times New Roman" w:cs="Times New Roman"/>
                <w:sz w:val="24"/>
              </w:rPr>
              <w:t>“</w:t>
            </w:r>
            <w:r>
              <w:rPr>
                <w:rFonts w:hint="default" w:ascii="Times New Roman" w:hAnsi="Times New Roman" w:cs="Times New Roman"/>
                <w:sz w:val="24"/>
              </w:rPr>
              <w:t>多规合一</w:t>
            </w:r>
            <w:r>
              <w:rPr>
                <w:rFonts w:hint="default" w:ascii="Times New Roman" w:hAnsi="Times New Roman" w:eastAsia="Times New Roman" w:cs="Times New Roman"/>
                <w:sz w:val="24"/>
              </w:rPr>
              <w:t>”</w:t>
            </w:r>
            <w:r>
              <w:rPr>
                <w:rFonts w:hint="default" w:ascii="Times New Roman" w:hAnsi="Times New Roman" w:cs="Times New Roman"/>
                <w:spacing w:val="-6"/>
                <w:sz w:val="24"/>
              </w:rPr>
              <w:t>控制线检测报</w:t>
            </w:r>
            <w:r>
              <w:rPr>
                <w:rFonts w:hint="default" w:ascii="Times New Roman" w:hAnsi="Times New Roman" w:cs="Times New Roman"/>
                <w:color w:val="auto"/>
                <w:spacing w:val="-6"/>
                <w:sz w:val="24"/>
              </w:rPr>
              <w:t>告见附件</w:t>
            </w:r>
            <w:r>
              <w:rPr>
                <w:rFonts w:hint="default" w:ascii="Times New Roman" w:hAnsi="Times New Roman" w:cs="Times New Roman"/>
                <w:color w:val="auto"/>
                <w:spacing w:val="-6"/>
                <w:sz w:val="24"/>
                <w:lang w:val="en-US" w:eastAsia="zh-CN"/>
              </w:rPr>
              <w:t>4</w:t>
            </w:r>
            <w:r>
              <w:rPr>
                <w:rFonts w:hint="default" w:ascii="Times New Roman" w:hAnsi="Times New Roman" w:cs="Times New Roman"/>
                <w:color w:val="auto"/>
                <w:sz w:val="24"/>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rPr>
            </w:pPr>
            <w:r>
              <w:rPr>
                <w:rFonts w:hint="default" w:ascii="Times New Roman" w:hAnsi="Times New Roman" w:cs="Times New Roman" w:eastAsiaTheme="minorEastAsia"/>
                <w:b/>
                <w:sz w:val="21"/>
              </w:rPr>
              <w:t>表</w:t>
            </w:r>
            <w:r>
              <w:rPr>
                <w:rFonts w:hint="default" w:ascii="Times New Roman" w:hAnsi="Times New Roman" w:cs="Times New Roman" w:eastAsiaTheme="minorEastAsia"/>
                <w:b/>
                <w:spacing w:val="-55"/>
                <w:sz w:val="21"/>
              </w:rPr>
              <w:t xml:space="preserve"> </w:t>
            </w:r>
            <w:r>
              <w:rPr>
                <w:rFonts w:hint="default" w:ascii="Times New Roman" w:hAnsi="Times New Roman" w:cs="Times New Roman" w:eastAsiaTheme="minorEastAsia"/>
                <w:b/>
                <w:sz w:val="21"/>
              </w:rPr>
              <w:t>1-</w:t>
            </w:r>
            <w:r>
              <w:rPr>
                <w:rFonts w:hint="default" w:ascii="Times New Roman" w:hAnsi="Times New Roman" w:cs="Times New Roman" w:eastAsiaTheme="minorEastAsia"/>
                <w:b/>
                <w:sz w:val="21"/>
                <w:lang w:val="en-US" w:eastAsia="zh-CN"/>
              </w:rPr>
              <w:t>1</w:t>
            </w:r>
            <w:r>
              <w:rPr>
                <w:rFonts w:hint="default" w:ascii="Times New Roman" w:hAnsi="Times New Roman" w:cs="Times New Roman" w:eastAsiaTheme="minorEastAsia"/>
                <w:b/>
                <w:sz w:val="21"/>
              </w:rPr>
              <w:tab/>
            </w:r>
            <w:r>
              <w:rPr>
                <w:rFonts w:hint="default" w:ascii="Times New Roman" w:hAnsi="Times New Roman" w:cs="Times New Roman" w:eastAsiaTheme="minorEastAsia"/>
                <w:b/>
                <w:sz w:val="21"/>
              </w:rPr>
              <w:t>输电线路与榆林市“多规合一”控制线检测符合性分析</w:t>
            </w:r>
          </w:p>
          <w:tbl>
            <w:tblPr>
              <w:tblStyle w:val="17"/>
              <w:tblW w:w="4997"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01"/>
              <w:gridCol w:w="3374"/>
              <w:gridCol w:w="2484"/>
              <w:gridCol w:w="106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控制线名称</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检测结果及意见</w:t>
                  </w: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163"/>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与本项目符合性分析</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117" w:right="111"/>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土地利用总体规划</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建议与</w:t>
                  </w:r>
                  <w:r>
                    <w:rPr>
                      <w:rFonts w:hint="default" w:ascii="Times New Roman" w:hAnsi="Times New Roman" w:cs="Times New Roman"/>
                      <w:b w:val="0"/>
                      <w:bCs w:val="0"/>
                      <w:sz w:val="21"/>
                      <w:lang w:eastAsia="zh-CN"/>
                    </w:rPr>
                    <w:t>自然资源规划部门</w:t>
                  </w:r>
                  <w:r>
                    <w:rPr>
                      <w:rFonts w:hint="default" w:ascii="Times New Roman" w:hAnsi="Times New Roman" w:cs="Times New Roman"/>
                      <w:b w:val="0"/>
                      <w:bCs w:val="0"/>
                      <w:sz w:val="21"/>
                    </w:rPr>
                    <w:t>对接</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b w:val="0"/>
                      <w:bCs w:val="0"/>
                      <w:sz w:val="21"/>
                      <w:lang w:val="en-US"/>
                    </w:rPr>
                  </w:pPr>
                  <w:r>
                    <w:rPr>
                      <w:rFonts w:hint="eastAsia" w:cs="Times New Roman" w:eastAsiaTheme="minorEastAsia"/>
                      <w:sz w:val="21"/>
                      <w:szCs w:val="21"/>
                      <w:lang w:eastAsia="zh-CN"/>
                    </w:rPr>
                    <w:t>取得</w:t>
                  </w:r>
                  <w:r>
                    <w:rPr>
                      <w:rFonts w:hint="default" w:ascii="Times New Roman" w:hAnsi="Times New Roman" w:cs="Times New Roman" w:eastAsiaTheme="minorEastAsia"/>
                      <w:sz w:val="21"/>
                      <w:szCs w:val="21"/>
                      <w:lang w:eastAsia="zh-CN"/>
                    </w:rPr>
                    <w:t>神木市国土资源局</w:t>
                  </w:r>
                  <w:r>
                    <w:rPr>
                      <w:rFonts w:hint="eastAsia" w:cs="Times New Roman" w:eastAsiaTheme="minorEastAsia"/>
                      <w:sz w:val="21"/>
                      <w:szCs w:val="21"/>
                      <w:lang w:eastAsia="zh-CN"/>
                    </w:rPr>
                    <w:t>路径协议</w:t>
                  </w:r>
                  <w:r>
                    <w:rPr>
                      <w:rFonts w:hint="eastAsia" w:cs="Times New Roman" w:eastAsiaTheme="minorEastAsia"/>
                      <w:sz w:val="21"/>
                      <w:szCs w:val="21"/>
                      <w:lang w:val="en-US" w:eastAsia="zh-CN"/>
                    </w:rPr>
                    <w:t>：</w:t>
                  </w:r>
                  <w:r>
                    <w:rPr>
                      <w:rFonts w:hint="default" w:ascii="Times New Roman" w:hAnsi="Times New Roman" w:cs="Times New Roman" w:eastAsiaTheme="minorEastAsia"/>
                      <w:sz w:val="21"/>
                      <w:szCs w:val="21"/>
                      <w:lang w:eastAsia="zh-CN"/>
                    </w:rPr>
                    <w:t>同意线路走向，沿线不得影响已规划的园区、镇办建设，不得影响已设置矿权的企业生产经营</w:t>
                  </w:r>
                  <w:r>
                    <w:rPr>
                      <w:rFonts w:hint="eastAsia" w:cs="Times New Roman" w:eastAsiaTheme="minorEastAsia"/>
                      <w:sz w:val="21"/>
                      <w:szCs w:val="21"/>
                      <w:lang w:eastAsia="zh-CN"/>
                    </w:rPr>
                    <w:t>。见附件</w:t>
                  </w:r>
                  <w:r>
                    <w:rPr>
                      <w:rFonts w:hint="eastAsia" w:cs="Times New Roman" w:eastAsiaTheme="minorEastAsia"/>
                      <w:sz w:val="21"/>
                      <w:szCs w:val="21"/>
                      <w:lang w:val="en-US" w:eastAsia="zh-CN"/>
                    </w:rPr>
                    <w:t>5。</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城镇总体规划</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符合</w:t>
                  </w: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符合</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eastAsia="zh-CN"/>
                    </w:rPr>
                  </w:pPr>
                  <w:r>
                    <w:rPr>
                      <w:rFonts w:hint="default" w:ascii="Times New Roman" w:hAnsi="Times New Roman" w:cs="Times New Roman"/>
                      <w:b w:val="0"/>
                      <w:bCs w:val="0"/>
                      <w:sz w:val="21"/>
                      <w:lang w:eastAsia="zh-CN"/>
                    </w:rPr>
                    <w:t>产业园区总体规划</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eastAsia="zh-CN"/>
                    </w:rPr>
                  </w:pPr>
                  <w:r>
                    <w:rPr>
                      <w:rFonts w:hint="default" w:ascii="Times New Roman" w:hAnsi="Times New Roman" w:cs="Times New Roman"/>
                      <w:b w:val="0"/>
                      <w:bCs w:val="0"/>
                      <w:sz w:val="21"/>
                      <w:lang w:eastAsia="zh-CN"/>
                    </w:rPr>
                    <w:t>符合</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林地保护利用规划</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建议与</w:t>
                  </w:r>
                  <w:r>
                    <w:rPr>
                      <w:rFonts w:hint="default" w:ascii="Times New Roman" w:hAnsi="Times New Roman" w:cs="Times New Roman"/>
                      <w:b w:val="0"/>
                      <w:bCs w:val="0"/>
                      <w:sz w:val="21"/>
                      <w:lang w:eastAsia="zh-CN"/>
                    </w:rPr>
                    <w:t>林草</w:t>
                  </w:r>
                  <w:r>
                    <w:rPr>
                      <w:rFonts w:hint="default" w:ascii="Times New Roman" w:hAnsi="Times New Roman" w:cs="Times New Roman"/>
                      <w:b w:val="0"/>
                      <w:bCs w:val="0"/>
                      <w:sz w:val="21"/>
                    </w:rPr>
                    <w:t>部门对接</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b w:val="0"/>
                      <w:bCs w:val="0"/>
                      <w:sz w:val="21"/>
                      <w:lang w:eastAsia="zh-CN"/>
                    </w:rPr>
                  </w:pPr>
                  <w:r>
                    <w:rPr>
                      <w:rFonts w:hint="eastAsia" w:cs="Times New Roman" w:eastAsiaTheme="minorEastAsia"/>
                      <w:sz w:val="21"/>
                      <w:szCs w:val="21"/>
                      <w:lang w:eastAsia="zh-CN"/>
                    </w:rPr>
                    <w:t>取得</w:t>
                  </w:r>
                  <w:r>
                    <w:rPr>
                      <w:rFonts w:hint="default" w:ascii="Times New Roman" w:hAnsi="Times New Roman" w:cs="Times New Roman" w:eastAsiaTheme="minorEastAsia"/>
                      <w:sz w:val="21"/>
                      <w:szCs w:val="21"/>
                      <w:lang w:eastAsia="zh-CN"/>
                    </w:rPr>
                    <w:t>神木市林业局</w:t>
                  </w:r>
                  <w:r>
                    <w:rPr>
                      <w:rFonts w:hint="eastAsia" w:cs="Times New Roman" w:eastAsiaTheme="minorEastAsia"/>
                      <w:sz w:val="21"/>
                      <w:szCs w:val="21"/>
                      <w:lang w:eastAsia="zh-CN"/>
                    </w:rPr>
                    <w:t>路径协议</w:t>
                  </w:r>
                  <w:r>
                    <w:rPr>
                      <w:rFonts w:hint="eastAsia" w:cs="Times New Roman" w:eastAsiaTheme="minorEastAsia"/>
                      <w:sz w:val="21"/>
                      <w:szCs w:val="21"/>
                      <w:lang w:val="en-US" w:eastAsia="zh-CN"/>
                    </w:rPr>
                    <w:t>：</w:t>
                  </w:r>
                  <w:r>
                    <w:rPr>
                      <w:rFonts w:hint="default" w:ascii="Times New Roman" w:hAnsi="Times New Roman" w:cs="Times New Roman" w:eastAsiaTheme="minorEastAsia"/>
                      <w:sz w:val="21"/>
                      <w:szCs w:val="21"/>
                      <w:lang w:eastAsia="zh-CN"/>
                    </w:rPr>
                    <w:t>原则同意线路选址，线路架设开始办理使用林地审批手续。</w:t>
                  </w:r>
                  <w:r>
                    <w:rPr>
                      <w:rFonts w:hint="eastAsia" w:cs="Times New Roman" w:eastAsiaTheme="minorEastAsia"/>
                      <w:sz w:val="21"/>
                      <w:szCs w:val="21"/>
                      <w:lang w:eastAsia="zh-CN"/>
                    </w:rPr>
                    <w:t>使用林地手续正在办理。见附件</w:t>
                  </w:r>
                  <w:r>
                    <w:rPr>
                      <w:rFonts w:hint="eastAsia" w:cs="Times New Roman" w:eastAsiaTheme="minorEastAsia"/>
                      <w:sz w:val="21"/>
                      <w:szCs w:val="21"/>
                      <w:lang w:val="en-US" w:eastAsia="zh-CN"/>
                    </w:rPr>
                    <w:t>5。</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生态红线</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eastAsia="zh-CN"/>
                    </w:rPr>
                  </w:pPr>
                  <w:r>
                    <w:rPr>
                      <w:rFonts w:hint="default" w:ascii="Times New Roman" w:hAnsi="Times New Roman" w:cs="Times New Roman"/>
                      <w:b w:val="0"/>
                      <w:bCs w:val="0"/>
                      <w:sz w:val="21"/>
                      <w:lang w:eastAsia="zh-CN"/>
                    </w:rPr>
                    <w:t>符合</w:t>
                  </w: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eastAsia="zh-CN"/>
                    </w:rPr>
                  </w:pPr>
                  <w:r>
                    <w:rPr>
                      <w:rFonts w:hint="default" w:ascii="Times New Roman" w:hAnsi="Times New Roman" w:cs="Times New Roman"/>
                      <w:b w:val="0"/>
                      <w:bCs w:val="0"/>
                      <w:sz w:val="21"/>
                      <w:lang w:eastAsia="zh-CN"/>
                    </w:rPr>
                    <w:t>符合</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文物保护紫线（县级</w:t>
                  </w:r>
                </w:p>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以上保护单位）</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eastAsia="zh-CN"/>
                    </w:rPr>
                  </w:pPr>
                  <w:r>
                    <w:rPr>
                      <w:rFonts w:hint="default" w:ascii="Times New Roman" w:hAnsi="Times New Roman" w:cs="Times New Roman"/>
                      <w:b w:val="0"/>
                      <w:bCs w:val="0"/>
                      <w:sz w:val="21"/>
                      <w:lang w:eastAsia="zh-CN"/>
                    </w:rPr>
                    <w:t>符合</w:t>
                  </w: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eastAsia="zh-CN"/>
                    </w:rPr>
                  </w:pPr>
                  <w:r>
                    <w:rPr>
                      <w:rFonts w:hint="default" w:ascii="Times New Roman" w:hAnsi="Times New Roman" w:cs="Times New Roman"/>
                      <w:b w:val="0"/>
                      <w:bCs w:val="0"/>
                      <w:sz w:val="21"/>
                      <w:lang w:eastAsia="zh-CN"/>
                    </w:rPr>
                    <w:t>符合</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危险化学品企业外部安全防护距离控制线</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w:t>
                  </w: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河道规划治导线</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w:t>
                  </w: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基础设施廊道控制</w:t>
                  </w:r>
                </w:p>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线（电力类）</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eastAsia="zh-CN"/>
                    </w:rPr>
                  </w:pPr>
                  <w:r>
                    <w:rPr>
                      <w:rFonts w:hint="default" w:ascii="Times New Roman" w:hAnsi="Times New Roman" w:cs="Times New Roman"/>
                      <w:b w:val="0"/>
                      <w:bCs w:val="0"/>
                      <w:sz w:val="21"/>
                      <w:lang w:eastAsia="zh-CN"/>
                    </w:rPr>
                    <w:t>以实地踏勘结果为准</w:t>
                  </w: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实地踏勘，合理避让</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基础设施廊道控制</w:t>
                  </w:r>
                </w:p>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线（长输管线类）</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eastAsia="zh-CN"/>
                    </w:rPr>
                  </w:pPr>
                  <w:r>
                    <w:rPr>
                      <w:rFonts w:hint="default" w:ascii="Times New Roman" w:hAnsi="Times New Roman" w:cs="Times New Roman"/>
                      <w:b w:val="0"/>
                      <w:bCs w:val="0"/>
                      <w:sz w:val="21"/>
                      <w:lang w:eastAsia="zh-CN"/>
                    </w:rPr>
                    <w:t>符合</w:t>
                  </w: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符合</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64"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r>
                    <w:rPr>
                      <w:rFonts w:hint="default" w:ascii="Times New Roman" w:hAnsi="Times New Roman" w:cs="Times New Roman"/>
                      <w:b w:val="0"/>
                      <w:bCs w:val="0"/>
                      <w:sz w:val="21"/>
                    </w:rPr>
                    <w:t>基础设施廊道控制</w:t>
                  </w:r>
                </w:p>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线（交通类）</w:t>
                  </w:r>
                </w:p>
              </w:tc>
              <w:tc>
                <w:tcPr>
                  <w:tcW w:w="186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符合</w:t>
                  </w:r>
                </w:p>
              </w:tc>
              <w:tc>
                <w:tcPr>
                  <w:tcW w:w="137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lang w:val="en-US" w:eastAsia="zh-CN"/>
                    </w:rPr>
                  </w:pPr>
                  <w:r>
                    <w:rPr>
                      <w:rFonts w:hint="default" w:ascii="Times New Roman" w:hAnsi="Times New Roman" w:cs="Times New Roman"/>
                      <w:b w:val="0"/>
                      <w:bCs w:val="0"/>
                      <w:sz w:val="21"/>
                    </w:rPr>
                    <w:t>符合</w:t>
                  </w:r>
                </w:p>
              </w:tc>
              <w:tc>
                <w:tcPr>
                  <w:tcW w:w="58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320" w:lineRule="exact"/>
                    <w:ind w:left="59" w:right="48"/>
                    <w:jc w:val="center"/>
                    <w:textAlignment w:val="auto"/>
                    <w:rPr>
                      <w:rFonts w:hint="default" w:ascii="Times New Roman" w:hAnsi="Times New Roman" w:cs="Times New Roman"/>
                      <w:b w:val="0"/>
                      <w:bCs w:val="0"/>
                      <w:sz w:val="21"/>
                    </w:rPr>
                  </w:pPr>
                </w:p>
              </w:tc>
            </w:tr>
          </w:tbl>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eastAsia="Times New Roman" w:cs="Times New Roman"/>
                <w:sz w:val="24"/>
                <w:lang w:eastAsia="zh-CN"/>
              </w:rPr>
            </w:pPr>
            <w:r>
              <w:rPr>
                <w:rFonts w:hint="default" w:ascii="Times New Roman" w:hAnsi="Times New Roman" w:eastAsia="Times New Roman" w:cs="Times New Roman"/>
                <w:sz w:val="24"/>
                <w:lang w:eastAsia="zh-CN"/>
              </w:rPr>
              <w:t>由上表</w:t>
            </w:r>
            <w:r>
              <w:rPr>
                <w:rFonts w:hint="default" w:ascii="Times New Roman" w:hAnsi="Times New Roman" w:eastAsia="Times New Roman" w:cs="Times New Roman"/>
                <w:sz w:val="24"/>
                <w:lang w:val="en-US" w:eastAsia="zh-CN"/>
              </w:rPr>
              <w:t>1-1</w:t>
            </w:r>
            <w:r>
              <w:rPr>
                <w:rFonts w:hint="default" w:ascii="Times New Roman" w:hAnsi="Times New Roman" w:eastAsia="Times New Roman" w:cs="Times New Roman"/>
                <w:sz w:val="24"/>
                <w:lang w:eastAsia="zh-CN"/>
              </w:rPr>
              <w:t xml:space="preserve"> 可知，本项目输电线路符合榆林市“多规合一” 控制线的相关要求。</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eastAsia="Times New Roman" w:cs="Times New Roman"/>
                <w:sz w:val="24"/>
              </w:rPr>
            </w:pPr>
            <w:r>
              <w:rPr>
                <w:rFonts w:hint="default" w:ascii="Times New Roman" w:hAnsi="Times New Roman" w:eastAsia="Times New Roman" w:cs="Times New Roman"/>
                <w:sz w:val="24"/>
              </w:rPr>
              <w:t>（3）项目“三线一单”符合性分析</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eastAsia="Times New Roman" w:cs="Times New Roman"/>
                <w:sz w:val="24"/>
              </w:rPr>
            </w:pPr>
            <w:r>
              <w:rPr>
                <w:rFonts w:hint="default" w:ascii="Times New Roman" w:hAnsi="Times New Roman" w:eastAsia="Times New Roman" w:cs="Times New Roman"/>
                <w:sz w:val="24"/>
              </w:rPr>
              <w:t>项目建设“三线一单”符合性分析见表 1-</w:t>
            </w:r>
            <w:r>
              <w:rPr>
                <w:rFonts w:hint="default" w:ascii="Times New Roman" w:hAnsi="Times New Roman" w:eastAsia="宋体" w:cs="Times New Roman"/>
                <w:sz w:val="24"/>
                <w:lang w:val="en-US" w:eastAsia="zh-CN"/>
              </w:rPr>
              <w:t>2</w:t>
            </w:r>
            <w:r>
              <w:rPr>
                <w:rFonts w:hint="default" w:ascii="Times New Roman" w:hAnsi="Times New Roman" w:eastAsia="Times New Roman" w:cs="Times New Roman"/>
                <w:sz w:val="24"/>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rPr>
            </w:pPr>
            <w:r>
              <w:rPr>
                <w:rFonts w:hint="default" w:ascii="Times New Roman" w:hAnsi="Times New Roman" w:cs="Times New Roman" w:eastAsiaTheme="minorEastAsia"/>
                <w:b/>
                <w:sz w:val="21"/>
              </w:rPr>
              <w:t>表 1-</w:t>
            </w:r>
            <w:r>
              <w:rPr>
                <w:rFonts w:hint="default" w:ascii="Times New Roman" w:hAnsi="Times New Roman" w:cs="Times New Roman" w:eastAsiaTheme="minorEastAsia"/>
                <w:b/>
                <w:sz w:val="21"/>
                <w:lang w:val="en-US" w:eastAsia="zh-CN"/>
              </w:rPr>
              <w:t xml:space="preserve">2    </w:t>
            </w:r>
            <w:r>
              <w:rPr>
                <w:rFonts w:hint="default" w:ascii="Times New Roman" w:hAnsi="Times New Roman" w:cs="Times New Roman" w:eastAsiaTheme="minorEastAsia"/>
                <w:b/>
                <w:sz w:val="21"/>
              </w:rPr>
              <w:tab/>
            </w:r>
            <w:r>
              <w:rPr>
                <w:rFonts w:hint="default" w:ascii="Times New Roman" w:hAnsi="Times New Roman" w:cs="Times New Roman" w:eastAsiaTheme="minorEastAsia"/>
                <w:b/>
                <w:sz w:val="21"/>
              </w:rPr>
              <w:t>“三线一单”符合性分析</w:t>
            </w:r>
          </w:p>
          <w:tbl>
            <w:tblPr>
              <w:tblStyle w:val="18"/>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74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三线一单</w:t>
                  </w:r>
                </w:p>
              </w:tc>
              <w:tc>
                <w:tcPr>
                  <w:tcW w:w="4125"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生态保护红线</w:t>
                  </w:r>
                </w:p>
              </w:tc>
              <w:tc>
                <w:tcPr>
                  <w:tcW w:w="4125"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根据榆林市投资项目选址“一张图”控制线检测报告，本工程不涉及榆林市生态保护红线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环境质量底线</w:t>
                  </w:r>
                </w:p>
              </w:tc>
              <w:tc>
                <w:tcPr>
                  <w:tcW w:w="4125" w:type="pct"/>
                  <w:tcBorders>
                    <w:tl2br w:val="nil"/>
                    <w:tr2bl w:val="nil"/>
                  </w:tcBorders>
                </w:tcPr>
                <w:p>
                  <w:pPr>
                    <w:pStyle w:val="27"/>
                    <w:keepNext w:val="0"/>
                    <w:keepLines w:val="0"/>
                    <w:pageBreakBefore w:val="0"/>
                    <w:widowControl w:val="0"/>
                    <w:kinsoku/>
                    <w:wordWrap/>
                    <w:overflowPunct/>
                    <w:topLinePunct w:val="0"/>
                    <w:autoSpaceDE/>
                    <w:autoSpaceDN/>
                    <w:bidi w:val="0"/>
                    <w:adjustRightInd/>
                    <w:snapToGrid/>
                    <w:spacing w:before="11" w:line="320" w:lineRule="exact"/>
                    <w:ind w:right="-29"/>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bCs/>
                      <w:color w:val="auto"/>
                      <w:kern w:val="2"/>
                      <w:sz w:val="21"/>
                      <w:szCs w:val="21"/>
                      <w:lang w:val="en-US" w:eastAsia="zh-CN" w:bidi="ar-SA"/>
                    </w:rPr>
                    <w:t>根据现场监测结果，本项目工频电场强度、磁感应强度均满足《电磁环境控制限值》（GB8702-2014）中规定的标准限值要求；项目</w:t>
                  </w:r>
                  <w:r>
                    <w:rPr>
                      <w:rFonts w:hint="default" w:ascii="Times New Roman" w:hAnsi="Times New Roman" w:cs="Times New Roman"/>
                      <w:bCs/>
                      <w:color w:val="auto"/>
                      <w:kern w:val="2"/>
                      <w:sz w:val="21"/>
                      <w:szCs w:val="21"/>
                      <w:lang w:val="en-US" w:eastAsia="zh-CN" w:bidi="ar-SA"/>
                    </w:rPr>
                    <w:t>输电</w:t>
                  </w:r>
                  <w:r>
                    <w:rPr>
                      <w:rFonts w:hint="default" w:ascii="Times New Roman" w:hAnsi="Times New Roman" w:eastAsia="宋体" w:cs="Times New Roman"/>
                      <w:bCs/>
                      <w:color w:val="auto"/>
                      <w:kern w:val="2"/>
                      <w:sz w:val="21"/>
                      <w:szCs w:val="21"/>
                      <w:lang w:val="en-US" w:eastAsia="zh-CN" w:bidi="ar-SA"/>
                    </w:rPr>
                    <w:t>线路的噪声监测值满足《声环境质量标准》（GB3096-2008）</w:t>
                  </w:r>
                  <w:r>
                    <w:rPr>
                      <w:rFonts w:hint="eastAsia" w:ascii="Times New Roman" w:hAnsi="Times New Roman" w:cs="Times New Roman"/>
                      <w:bCs/>
                      <w:color w:val="auto"/>
                      <w:kern w:val="2"/>
                      <w:sz w:val="21"/>
                      <w:szCs w:val="21"/>
                      <w:lang w:val="en-US" w:eastAsia="zh-CN" w:bidi="ar-SA"/>
                    </w:rPr>
                    <w:t>1</w:t>
                  </w:r>
                  <w:r>
                    <w:rPr>
                      <w:rFonts w:hint="default" w:ascii="Times New Roman" w:hAnsi="Times New Roman" w:eastAsia="宋体" w:cs="Times New Roman"/>
                      <w:bCs/>
                      <w:color w:val="auto"/>
                      <w:kern w:val="2"/>
                      <w:sz w:val="21"/>
                      <w:szCs w:val="21"/>
                      <w:lang w:val="en-US" w:eastAsia="zh-CN" w:bidi="ar-SA"/>
                    </w:rPr>
                    <w:t xml:space="preserve"> 类标准要求；本项目实施后， 无废气、废水产生，运营期的噪声影响较小，本项目的实施不会超出区域环境质量底线。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资源利用上线</w:t>
                  </w:r>
                </w:p>
              </w:tc>
              <w:tc>
                <w:tcPr>
                  <w:tcW w:w="4125"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sz w:val="21"/>
                      <w:lang w:eastAsia="zh-CN"/>
                    </w:rPr>
                    <w:t>本项目</w:t>
                  </w:r>
                  <w:r>
                    <w:rPr>
                      <w:rFonts w:hint="default" w:ascii="Times New Roman" w:hAnsi="Times New Roman" w:cs="Times New Roman"/>
                      <w:sz w:val="21"/>
                    </w:rPr>
                    <w:t>为输变电建设工程，不触及资源利用上线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负面清单</w:t>
                  </w:r>
                </w:p>
              </w:tc>
              <w:tc>
                <w:tcPr>
                  <w:tcW w:w="4125" w:type="pct"/>
                  <w:tcBorders>
                    <w:tl2br w:val="nil"/>
                    <w:tr2bl w:val="nil"/>
                  </w:tcBorders>
                </w:tcPr>
                <w:p>
                  <w:pPr>
                    <w:pStyle w:val="27"/>
                    <w:keepNext w:val="0"/>
                    <w:keepLines w:val="0"/>
                    <w:pageBreakBefore w:val="0"/>
                    <w:widowControl w:val="0"/>
                    <w:kinsoku/>
                    <w:wordWrap/>
                    <w:overflowPunct/>
                    <w:topLinePunct w:val="0"/>
                    <w:autoSpaceDE/>
                    <w:autoSpaceDN/>
                    <w:bidi w:val="0"/>
                    <w:adjustRightInd/>
                    <w:snapToGrid/>
                    <w:spacing w:before="11" w:line="320" w:lineRule="exact"/>
                    <w:ind w:right="-29"/>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sz w:val="21"/>
                      <w:szCs w:val="21"/>
                    </w:rPr>
                    <w:t>项目位于神木市，不属于《陕西省国家重点生态功能区产业准入负面清单(试行)》（陕发改规划〔2018〕213号）中重点生态功能区，也不涉及《榆林市经济社会发展总体规划》中“榆林市空间开发负面清单”</w:t>
                  </w:r>
                  <w:r>
                    <w:rPr>
                      <w:rFonts w:hint="default" w:ascii="Times New Roman" w:hAnsi="Times New Roman" w:cs="Times New Roman"/>
                      <w:sz w:val="21"/>
                      <w:szCs w:val="21"/>
                      <w:lang w:eastAsia="zh-CN"/>
                    </w:rPr>
                    <w:t>。</w:t>
                  </w:r>
                  <w:r>
                    <w:rPr>
                      <w:rFonts w:hint="default" w:ascii="Times New Roman" w:hAnsi="Times New Roman" w:eastAsia="宋体" w:cs="Times New Roman"/>
                      <w:bCs/>
                      <w:color w:val="auto"/>
                      <w:kern w:val="2"/>
                      <w:sz w:val="21"/>
                      <w:szCs w:val="21"/>
                      <w:lang w:val="en-US" w:eastAsia="zh-CN" w:bidi="ar-SA"/>
                    </w:rPr>
                    <w:t>不属于环境准入负面清</w:t>
                  </w:r>
                  <w:r>
                    <w:rPr>
                      <w:rFonts w:hint="default" w:ascii="Times New Roman" w:hAnsi="Times New Roman" w:cs="Times New Roman"/>
                      <w:spacing w:val="-6"/>
                      <w:sz w:val="21"/>
                    </w:rPr>
                    <w:t>单</w:t>
                  </w:r>
                  <w:r>
                    <w:rPr>
                      <w:rFonts w:hint="default" w:ascii="Times New Roman" w:hAnsi="Times New Roman" w:cs="Times New Roman"/>
                      <w:spacing w:val="-6"/>
                      <w:sz w:val="21"/>
                      <w:lang w:eastAsia="zh-CN"/>
                    </w:rPr>
                    <w:t>。</w:t>
                  </w:r>
                </w:p>
              </w:tc>
            </w:tr>
          </w:tbl>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4</w:t>
            </w:r>
            <w:r>
              <w:rPr>
                <w:rFonts w:hint="default" w:ascii="Times New Roman" w:hAnsi="Times New Roman" w:cs="Times New Roman"/>
                <w:sz w:val="24"/>
                <w:lang w:eastAsia="zh-CN"/>
              </w:rPr>
              <w:t>）选址、选线合理性分析</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napToGrid w:val="0"/>
                <w:color w:val="0000FF"/>
              </w:rPr>
            </w:pPr>
            <w:r>
              <w:rPr>
                <w:rFonts w:hint="default" w:ascii="Times New Roman" w:hAnsi="Times New Roman" w:cs="Times New Roman"/>
                <w:sz w:val="24"/>
                <w:lang w:eastAsia="zh-CN"/>
              </w:rPr>
              <w:t>项目为输电线路建设项目，依据项目可研报告，拟建线路途经神木市</w:t>
            </w:r>
            <w:r>
              <w:rPr>
                <w:rFonts w:hint="default" w:ascii="Times New Roman" w:hAnsi="Times New Roman" w:cs="Times New Roman"/>
                <w:szCs w:val="21"/>
                <w:lang w:val="en-US" w:eastAsia="zh-CN"/>
              </w:rPr>
              <w:t>高家堡镇、锦界镇</w:t>
            </w:r>
            <w:r>
              <w:rPr>
                <w:rFonts w:hint="default" w:ascii="Times New Roman" w:hAnsi="Times New Roman" w:cs="Times New Roman"/>
                <w:sz w:val="24"/>
                <w:lang w:eastAsia="zh-CN"/>
              </w:rPr>
              <w:t>等</w:t>
            </w:r>
            <w:r>
              <w:rPr>
                <w:rFonts w:hint="default" w:ascii="Times New Roman" w:hAnsi="Times New Roman" w:cs="Times New Roman"/>
                <w:color w:val="auto"/>
                <w:sz w:val="24"/>
                <w:lang w:eastAsia="zh-CN"/>
              </w:rPr>
              <w:t>，</w:t>
            </w:r>
            <w:r>
              <w:rPr>
                <w:rFonts w:hint="default" w:ascii="Times New Roman" w:hAnsi="Times New Roman" w:cs="Times New Roman"/>
                <w:color w:val="auto"/>
                <w:kern w:val="24"/>
              </w:rPr>
              <w:t>输电线路长度为</w:t>
            </w:r>
            <w:r>
              <w:rPr>
                <w:rFonts w:hint="default" w:ascii="Times New Roman" w:hAnsi="Times New Roman" w:cs="Times New Roman"/>
                <w:color w:val="auto"/>
                <w:kern w:val="24"/>
                <w:lang w:val="en-US" w:eastAsia="zh-CN"/>
              </w:rPr>
              <w:t>27.5</w:t>
            </w:r>
            <w:r>
              <w:rPr>
                <w:rFonts w:hint="default" w:ascii="Times New Roman" w:hAnsi="Times New Roman" w:cs="Times New Roman"/>
                <w:color w:val="auto"/>
                <w:kern w:val="24"/>
              </w:rPr>
              <w:t>km</w:t>
            </w:r>
            <w:r>
              <w:rPr>
                <w:rFonts w:hint="default" w:ascii="Times New Roman" w:hAnsi="Times New Roman" w:cs="Times New Roman"/>
                <w:color w:val="auto"/>
                <w:kern w:val="24"/>
                <w:lang w:eastAsia="zh-CN"/>
              </w:rPr>
              <w:t>。</w:t>
            </w:r>
            <w:r>
              <w:rPr>
                <w:rFonts w:hint="default" w:ascii="Times New Roman" w:hAnsi="Times New Roman" w:cs="Times New Roman"/>
                <w:color w:val="auto"/>
                <w:kern w:val="24"/>
              </w:rPr>
              <w:t>经现场调查，边导线地面投影外两侧各</w:t>
            </w:r>
            <w:r>
              <w:rPr>
                <w:rFonts w:hint="default" w:ascii="Times New Roman" w:hAnsi="Times New Roman" w:cs="Times New Roman"/>
                <w:snapToGrid w:val="0"/>
                <w:color w:val="auto"/>
              </w:rPr>
              <w:t>30</w:t>
            </w:r>
            <w:r>
              <w:rPr>
                <w:rFonts w:hint="default" w:ascii="Times New Roman" w:hAnsi="Times New Roman" w:cs="Times New Roman"/>
                <w:snapToGrid w:val="0"/>
                <w:color w:val="auto"/>
                <w:lang w:val="en-US" w:eastAsia="zh-CN"/>
              </w:rPr>
              <w:t>0</w:t>
            </w:r>
            <w:r>
              <w:rPr>
                <w:rFonts w:hint="default" w:ascii="Times New Roman" w:hAnsi="Times New Roman" w:cs="Times New Roman"/>
                <w:snapToGrid w:val="0"/>
                <w:color w:val="auto"/>
              </w:rPr>
              <w:t>m范围内无居民点、自然保护区、风景名胜区、水源保护区等敏感目标；线路</w:t>
            </w:r>
            <w:r>
              <w:rPr>
                <w:rFonts w:hint="default" w:ascii="Times New Roman" w:hAnsi="Times New Roman" w:cs="Times New Roman"/>
                <w:color w:val="auto"/>
                <w:kern w:val="24"/>
              </w:rPr>
              <w:t>沿线为</w:t>
            </w:r>
            <w:r>
              <w:rPr>
                <w:rFonts w:hint="default" w:ascii="Times New Roman" w:hAnsi="Times New Roman" w:cs="Times New Roman"/>
                <w:color w:val="auto"/>
                <w:kern w:val="24"/>
                <w:lang w:eastAsia="zh-CN"/>
              </w:rPr>
              <w:t>草地、</w:t>
            </w:r>
            <w:r>
              <w:rPr>
                <w:rFonts w:hint="default" w:ascii="Times New Roman" w:hAnsi="Times New Roman" w:cs="Times New Roman"/>
                <w:color w:val="auto"/>
                <w:kern w:val="24"/>
              </w:rPr>
              <w:t>灌木林地</w:t>
            </w:r>
            <w:r>
              <w:rPr>
                <w:rFonts w:hint="default" w:ascii="Times New Roman" w:hAnsi="Times New Roman" w:cs="Times New Roman"/>
                <w:color w:val="auto"/>
                <w:kern w:val="24"/>
                <w:lang w:eastAsia="zh-CN"/>
              </w:rPr>
              <w:t>等</w:t>
            </w:r>
            <w:r>
              <w:rPr>
                <w:rFonts w:hint="default" w:ascii="Times New Roman" w:hAnsi="Times New Roman" w:cs="Times New Roman"/>
                <w:color w:val="auto"/>
                <w:kern w:val="24"/>
              </w:rPr>
              <w:t>，地势较为平坦，交通较为便利；</w:t>
            </w:r>
            <w:r>
              <w:rPr>
                <w:rFonts w:hint="default" w:ascii="Times New Roman" w:hAnsi="Times New Roman" w:cs="Times New Roman"/>
                <w:snapToGrid w:val="0"/>
                <w:color w:val="auto"/>
              </w:rPr>
              <w:t>线路避让了密集居民区、文教区及重要通讯设施等，</w:t>
            </w:r>
            <w:r>
              <w:rPr>
                <w:rFonts w:hint="default" w:ascii="Times New Roman" w:hAnsi="Times New Roman" w:cs="Times New Roman"/>
                <w:color w:val="auto"/>
                <w:kern w:val="24"/>
              </w:rPr>
              <w:t>选线符合榆林市生态红线</w:t>
            </w:r>
            <w:r>
              <w:rPr>
                <w:rFonts w:hint="default" w:ascii="Times New Roman" w:hAnsi="Times New Roman" w:cs="Times New Roman"/>
                <w:snapToGrid w:val="0"/>
                <w:color w:val="auto"/>
              </w:rPr>
              <w:t>。从环境保护角度看，输电线路选线基本可行</w:t>
            </w:r>
            <w:r>
              <w:rPr>
                <w:rFonts w:hint="default" w:ascii="Times New Roman" w:hAnsi="Times New Roman" w:cs="Times New Roman"/>
                <w:snapToGrid w:val="0"/>
                <w:color w:val="0000FF"/>
              </w:rPr>
              <w:t>。</w:t>
            </w:r>
          </w:p>
          <w:p>
            <w:pPr>
              <w:pStyle w:val="27"/>
              <w:keepNext w:val="0"/>
              <w:keepLines w:val="0"/>
              <w:pageBreakBefore w:val="0"/>
              <w:widowControl w:val="0"/>
              <w:numPr>
                <w:ilvl w:val="0"/>
                <w:numId w:val="0"/>
              </w:numPr>
              <w:tabs>
                <w:tab w:val="left" w:pos="1189"/>
              </w:tabs>
              <w:kinsoku/>
              <w:wordWrap/>
              <w:topLinePunct w:val="0"/>
              <w:bidi w:val="0"/>
              <w:spacing w:before="0" w:after="0" w:line="360" w:lineRule="auto"/>
              <w:ind w:left="586" w:leftChars="0" w:right="0" w:rightChars="0"/>
              <w:jc w:val="left"/>
              <w:rPr>
                <w:rFonts w:hint="default" w:ascii="Times New Roman" w:hAnsi="Times New Roman" w:eastAsia="宋体" w:cs="Times New Roman"/>
                <w:sz w:val="24"/>
              </w:rPr>
            </w:pPr>
            <w:r>
              <w:rPr>
                <w:rFonts w:hint="default" w:ascii="Times New Roman" w:hAnsi="Times New Roman" w:eastAsia="宋体" w:cs="Times New Roman"/>
                <w:sz w:val="24"/>
              </w:rPr>
              <w:t>目前线路路径协议已经全部办理完毕。相关协议及内容见表</w:t>
            </w:r>
            <w:r>
              <w:rPr>
                <w:rFonts w:hint="default" w:ascii="Times New Roman" w:hAnsi="Times New Roman" w:eastAsia="宋体" w:cs="Times New Roman"/>
                <w:sz w:val="24"/>
                <w:lang w:val="en-US" w:eastAsia="zh-CN"/>
              </w:rPr>
              <w:t>1-</w:t>
            </w:r>
            <w:r>
              <w:rPr>
                <w:rFonts w:hint="default" w:ascii="Times New Roman" w:hAnsi="Times New Roman" w:cs="Times New Roman"/>
                <w:sz w:val="24"/>
                <w:lang w:val="en-US" w:eastAsia="zh-CN"/>
              </w:rPr>
              <w:t>3</w:t>
            </w:r>
            <w:r>
              <w:rPr>
                <w:rFonts w:hint="default" w:ascii="Times New Roman" w:hAnsi="Times New Roman" w:eastAsia="宋体" w:cs="Times New Roman"/>
                <w:sz w:val="24"/>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lang w:eastAsia="zh-CN"/>
              </w:rPr>
            </w:pPr>
            <w:r>
              <w:rPr>
                <w:rFonts w:hint="default" w:ascii="Times New Roman" w:hAnsi="Times New Roman" w:cs="Times New Roman" w:eastAsiaTheme="minorEastAsia"/>
                <w:b/>
                <w:sz w:val="21"/>
              </w:rPr>
              <w:t>表 1-</w:t>
            </w:r>
            <w:r>
              <w:rPr>
                <w:rFonts w:hint="default" w:ascii="Times New Roman" w:hAnsi="Times New Roman" w:cs="Times New Roman" w:eastAsiaTheme="minorEastAsia"/>
                <w:b/>
                <w:sz w:val="21"/>
                <w:lang w:val="en-US" w:eastAsia="zh-CN"/>
              </w:rPr>
              <w:t>3</w:t>
            </w:r>
            <w:r>
              <w:rPr>
                <w:rFonts w:hint="default" w:ascii="Times New Roman" w:hAnsi="Times New Roman" w:cs="Times New Roman" w:eastAsiaTheme="minorEastAsia"/>
                <w:b/>
                <w:sz w:val="21"/>
              </w:rPr>
              <w:tab/>
            </w:r>
            <w:r>
              <w:rPr>
                <w:rFonts w:hint="default" w:ascii="Times New Roman" w:hAnsi="Times New Roman" w:cs="Times New Roman" w:eastAsiaTheme="minorEastAsia"/>
                <w:b/>
                <w:sz w:val="21"/>
                <w:lang w:val="en-US" w:eastAsia="zh-CN"/>
              </w:rPr>
              <w:t xml:space="preserve">     </w:t>
            </w:r>
            <w:r>
              <w:rPr>
                <w:rFonts w:hint="default" w:ascii="Times New Roman" w:hAnsi="Times New Roman" w:cs="Times New Roman" w:eastAsiaTheme="minorEastAsia"/>
                <w:b/>
                <w:sz w:val="21"/>
                <w:lang w:eastAsia="zh-CN"/>
              </w:rPr>
              <w:t>路径协议</w:t>
            </w:r>
          </w:p>
          <w:tbl>
            <w:tblPr>
              <w:tblStyle w:val="18"/>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2419"/>
              <w:gridCol w:w="1170"/>
              <w:gridCol w:w="4075"/>
              <w:gridCol w:w="6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lang w:eastAsia="zh-CN"/>
                    </w:rPr>
                    <w:t>序号</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lang w:eastAsia="zh-CN"/>
                    </w:rPr>
                    <w:t>协议单位</w:t>
                  </w:r>
                </w:p>
              </w:tc>
              <w:tc>
                <w:tcPr>
                  <w:tcW w:w="64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lang w:eastAsia="zh-CN"/>
                    </w:rPr>
                    <w:t>协议情况</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lang w:eastAsia="zh-CN"/>
                    </w:rPr>
                    <w:t>协议内容</w:t>
                  </w:r>
                </w:p>
              </w:tc>
              <w:tc>
                <w:tcPr>
                  <w:tcW w:w="36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神木市锦界工业园区管理委员会</w:t>
                  </w:r>
                </w:p>
              </w:tc>
              <w:tc>
                <w:tcPr>
                  <w:tcW w:w="64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取得</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同意开展前期相关工作，具体线路走向需按照园区总体规划另行规划实施。</w:t>
                  </w:r>
                </w:p>
              </w:tc>
              <w:tc>
                <w:tcPr>
                  <w:tcW w:w="363" w:type="pct"/>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见附件</w:t>
                  </w:r>
                  <w:r>
                    <w:rPr>
                      <w:rFonts w:hint="default" w:ascii="Times New Roman" w:hAnsi="Times New Roman" w:cs="Times New Roman" w:eastAsiaTheme="minorEastAsia"/>
                      <w:sz w:val="21"/>
                      <w:szCs w:val="21"/>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神木市文管办</w:t>
                  </w:r>
                </w:p>
              </w:tc>
              <w:tc>
                <w:tcPr>
                  <w:tcW w:w="64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取得</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原则同意线路走径，待具体确定后及时履</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行沿线文物考古调查及勘探工作，并以文</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件上报市文广局予以行政审批。</w:t>
                  </w:r>
                </w:p>
              </w:tc>
              <w:tc>
                <w:tcPr>
                  <w:tcW w:w="363"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神木市国土资源局</w:t>
                  </w:r>
                </w:p>
              </w:tc>
              <w:tc>
                <w:tcPr>
                  <w:tcW w:w="64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取得</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同意线路走向，沿线不得影响已规划的园</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区、镇办建设，不得影响已设置矿权的企</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业生产经营</w:t>
                  </w:r>
                </w:p>
              </w:tc>
              <w:tc>
                <w:tcPr>
                  <w:tcW w:w="363"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神木市住房和城乡建设局</w:t>
                  </w:r>
                </w:p>
              </w:tc>
              <w:tc>
                <w:tcPr>
                  <w:tcW w:w="648"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取得</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原则同意该线路路径走向，线路的选址应</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以选址报告为准</w:t>
                  </w:r>
                </w:p>
              </w:tc>
              <w:tc>
                <w:tcPr>
                  <w:tcW w:w="363"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神木市林业局</w:t>
                  </w:r>
                </w:p>
              </w:tc>
              <w:tc>
                <w:tcPr>
                  <w:tcW w:w="648"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取得</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原则同意线路选址，线路架设开始办理使</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用林地审批手续。</w:t>
                  </w:r>
                </w:p>
              </w:tc>
              <w:tc>
                <w:tcPr>
                  <w:tcW w:w="363"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神木市环保局</w:t>
                  </w:r>
                </w:p>
              </w:tc>
              <w:tc>
                <w:tcPr>
                  <w:tcW w:w="648"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取得</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原则同意该线路路径走向，以环评批复结</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论为准。</w:t>
                  </w:r>
                </w:p>
              </w:tc>
              <w:tc>
                <w:tcPr>
                  <w:tcW w:w="363"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榆林军分区战备建设处</w:t>
                  </w:r>
                </w:p>
              </w:tc>
              <w:tc>
                <w:tcPr>
                  <w:tcW w:w="648"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取得</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范围内无军事设施</w:t>
                  </w:r>
                </w:p>
              </w:tc>
              <w:tc>
                <w:tcPr>
                  <w:tcW w:w="363"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锦界镇人民政府</w:t>
                  </w:r>
                </w:p>
              </w:tc>
              <w:tc>
                <w:tcPr>
                  <w:tcW w:w="648"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取得</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同意</w:t>
                  </w:r>
                </w:p>
              </w:tc>
              <w:tc>
                <w:tcPr>
                  <w:tcW w:w="363"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9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w:t>
                  </w:r>
                </w:p>
              </w:tc>
              <w:tc>
                <w:tcPr>
                  <w:tcW w:w="13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神木市神木镇谢家堡办事处</w:t>
                  </w:r>
                </w:p>
              </w:tc>
              <w:tc>
                <w:tcPr>
                  <w:tcW w:w="648"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取得</w:t>
                  </w:r>
                </w:p>
              </w:tc>
              <w:tc>
                <w:tcPr>
                  <w:tcW w:w="225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原则同意，希再实地踏勘，尽量避开已有</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建筑及规划范围（村、镇）。</w:t>
                  </w:r>
                </w:p>
              </w:tc>
              <w:tc>
                <w:tcPr>
                  <w:tcW w:w="363"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sz w:val="21"/>
                      <w:szCs w:val="21"/>
                      <w:lang w:eastAsia="zh-CN"/>
                    </w:rPr>
                  </w:pPr>
                </w:p>
              </w:tc>
            </w:tr>
          </w:tbl>
          <w:p>
            <w:pPr>
              <w:pStyle w:val="27"/>
              <w:keepNext w:val="0"/>
              <w:keepLines w:val="0"/>
              <w:pageBreakBefore w:val="0"/>
              <w:widowControl w:val="0"/>
              <w:numPr>
                <w:ilvl w:val="0"/>
                <w:numId w:val="0"/>
              </w:numPr>
              <w:tabs>
                <w:tab w:val="left" w:pos="1189"/>
              </w:tabs>
              <w:kinsoku/>
              <w:wordWrap/>
              <w:topLinePunct w:val="0"/>
              <w:bidi w:val="0"/>
              <w:spacing w:before="0" w:after="0" w:line="360" w:lineRule="auto"/>
              <w:ind w:left="586" w:leftChars="0" w:right="0" w:rightChars="0"/>
              <w:jc w:val="left"/>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5</w:t>
            </w:r>
            <w:r>
              <w:rPr>
                <w:rFonts w:hint="default" w:ascii="Times New Roman" w:hAnsi="Times New Roman" w:cs="Times New Roman"/>
                <w:sz w:val="24"/>
                <w:lang w:eastAsia="zh-CN"/>
              </w:rPr>
              <w:t>）</w:t>
            </w:r>
            <w:r>
              <w:rPr>
                <w:rFonts w:hint="default" w:ascii="Times New Roman" w:hAnsi="Times New Roman" w:cs="Times New Roman"/>
                <w:sz w:val="24"/>
              </w:rPr>
              <w:t>规划的符合性</w:t>
            </w:r>
          </w:p>
          <w:p>
            <w:pPr>
              <w:pStyle w:val="27"/>
              <w:keepNext w:val="0"/>
              <w:keepLines w:val="0"/>
              <w:pageBreakBefore w:val="0"/>
              <w:widowControl w:val="0"/>
              <w:kinsoku/>
              <w:wordWrap/>
              <w:topLinePunct w:val="0"/>
              <w:bidi w:val="0"/>
              <w:spacing w:before="3" w:line="360" w:lineRule="auto"/>
              <w:ind w:left="107" w:right="75" w:firstLine="480"/>
              <w:jc w:val="both"/>
              <w:rPr>
                <w:rFonts w:hint="default" w:ascii="Times New Roman" w:hAnsi="Times New Roman" w:cs="Times New Roman"/>
                <w:sz w:val="24"/>
                <w:lang w:eastAsia="zh-CN"/>
              </w:rPr>
            </w:pPr>
            <w:r>
              <w:rPr>
                <w:rFonts w:hint="eastAsia" w:ascii="Times New Roman" w:hAnsi="Times New Roman" w:cs="Times New Roman"/>
                <w:sz w:val="24"/>
                <w:lang w:eastAsia="zh-CN"/>
              </w:rPr>
              <w:t>项目</w:t>
            </w:r>
            <w:r>
              <w:rPr>
                <w:rFonts w:hint="default" w:ascii="Times New Roman" w:hAnsi="Times New Roman" w:cs="Times New Roman"/>
                <w:sz w:val="24"/>
                <w:lang w:eastAsia="zh-CN"/>
              </w:rPr>
              <w:t>与《榆林市经济社会发展总体规划（2016～2030年）》、《神木县国民经济和社会发展第十三个五年规划纲要（2016～2020年）》的符合性分析见表1</w:t>
            </w:r>
            <w:r>
              <w:rPr>
                <w:rFonts w:hint="default" w:ascii="Times New Roman" w:hAnsi="Times New Roman" w:cs="Times New Roman"/>
                <w:sz w:val="24"/>
                <w:lang w:val="en-US" w:eastAsia="zh-CN"/>
              </w:rPr>
              <w:t>-4</w:t>
            </w:r>
            <w:r>
              <w:rPr>
                <w:rFonts w:hint="default" w:ascii="Times New Roman" w:hAnsi="Times New Roman" w:cs="Times New Roman"/>
                <w:sz w:val="24"/>
                <w:lang w:eastAsia="zh-CN"/>
              </w:rPr>
              <w:t>，</w:t>
            </w:r>
            <w:r>
              <w:rPr>
                <w:rFonts w:hint="eastAsia" w:ascii="Times New Roman" w:hAnsi="Times New Roman" w:cs="Times New Roman"/>
                <w:sz w:val="24"/>
                <w:lang w:eastAsia="zh-CN"/>
              </w:rPr>
              <w:t>项目</w:t>
            </w:r>
            <w:r>
              <w:rPr>
                <w:rFonts w:hint="default" w:ascii="Times New Roman" w:hAnsi="Times New Roman" w:cs="Times New Roman"/>
                <w:sz w:val="24"/>
                <w:lang w:eastAsia="zh-CN"/>
              </w:rPr>
              <w:t>符合相关规划要求。</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rPr>
            </w:pPr>
            <w:r>
              <w:rPr>
                <w:rFonts w:hint="default" w:ascii="Times New Roman" w:hAnsi="Times New Roman" w:cs="Times New Roman" w:eastAsiaTheme="minorEastAsia"/>
                <w:b/>
                <w:sz w:val="21"/>
              </w:rPr>
              <w:t>表1</w:t>
            </w:r>
            <w:r>
              <w:rPr>
                <w:rFonts w:hint="default" w:ascii="Times New Roman" w:hAnsi="Times New Roman" w:cs="Times New Roman" w:eastAsiaTheme="minorEastAsia"/>
                <w:b/>
                <w:sz w:val="21"/>
                <w:lang w:val="en-US" w:eastAsia="zh-CN"/>
              </w:rPr>
              <w:t>-4</w:t>
            </w:r>
            <w:r>
              <w:rPr>
                <w:rFonts w:hint="default" w:ascii="Times New Roman" w:hAnsi="Times New Roman" w:cs="Times New Roman" w:eastAsiaTheme="minorEastAsia"/>
                <w:b/>
                <w:sz w:val="21"/>
              </w:rPr>
              <w:t xml:space="preserve">  </w:t>
            </w:r>
            <w:r>
              <w:rPr>
                <w:rFonts w:hint="default" w:ascii="Times New Roman" w:hAnsi="Times New Roman" w:cs="Times New Roman" w:eastAsiaTheme="minorEastAsia"/>
                <w:b/>
                <w:sz w:val="21"/>
                <w:lang w:val="en-US" w:eastAsia="zh-CN"/>
              </w:rPr>
              <w:t xml:space="preserve"> </w:t>
            </w:r>
            <w:r>
              <w:rPr>
                <w:rFonts w:hint="default" w:ascii="Times New Roman" w:hAnsi="Times New Roman" w:cs="Times New Roman" w:eastAsiaTheme="minorEastAsia"/>
                <w:b/>
                <w:sz w:val="21"/>
              </w:rPr>
              <w:t xml:space="preserve"> </w:t>
            </w:r>
            <w:r>
              <w:rPr>
                <w:rFonts w:hint="eastAsia" w:ascii="Times New Roman" w:hAnsi="Times New Roman" w:cs="Times New Roman" w:eastAsiaTheme="minorEastAsia"/>
                <w:b/>
                <w:sz w:val="21"/>
                <w:lang w:eastAsia="zh-CN"/>
              </w:rPr>
              <w:t>项目</w:t>
            </w:r>
            <w:r>
              <w:rPr>
                <w:rFonts w:hint="default" w:ascii="Times New Roman" w:hAnsi="Times New Roman" w:cs="Times New Roman" w:eastAsiaTheme="minorEastAsia"/>
                <w:b/>
                <w:sz w:val="21"/>
              </w:rPr>
              <w:t>与相关规划的符合性分析</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4441"/>
              <w:gridCol w:w="1900"/>
              <w:gridCol w:w="6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相关规划</w:t>
                  </w:r>
                </w:p>
              </w:tc>
              <w:tc>
                <w:tcPr>
                  <w:tcW w:w="24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内容</w:t>
                  </w:r>
                </w:p>
              </w:tc>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lang w:eastAsia="zh-CN"/>
                    </w:rPr>
                    <w:t>本项目</w:t>
                  </w:r>
                  <w:r>
                    <w:rPr>
                      <w:rFonts w:hint="default" w:ascii="Times New Roman" w:hAnsi="Times New Roman" w:cs="Times New Roman" w:eastAsiaTheme="minorEastAsia"/>
                      <w:b w:val="0"/>
                      <w:bCs/>
                      <w:color w:val="auto"/>
                      <w:sz w:val="21"/>
                      <w:szCs w:val="21"/>
                    </w:rPr>
                    <w:t>情况</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榆林市经济社会发展总体规划（2016～2030年）</w:t>
                  </w:r>
                </w:p>
              </w:tc>
              <w:tc>
                <w:tcPr>
                  <w:tcW w:w="24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第十一章基础设施—第三节电网设施：加快建设电力外送通道，优化330千伏网架及变电站结构，完善110千伏及以下配网，提高电力外送能力及新能源上网需求。断开外省电源，加大省内资源调配能力。</w:t>
                  </w:r>
                </w:p>
              </w:tc>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本项目</w:t>
                  </w:r>
                  <w:r>
                    <w:rPr>
                      <w:rFonts w:hint="default" w:ascii="Times New Roman" w:hAnsi="Times New Roman" w:cs="Times New Roman" w:eastAsiaTheme="minorEastAsia"/>
                      <w:color w:val="auto"/>
                      <w:sz w:val="21"/>
                      <w:szCs w:val="21"/>
                    </w:rPr>
                    <w:t>属于110kV输变电工程，建成后可完善110kV配网。</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《神木县国民经济和社会发展第十三个五年规划纲要（2016～2020年）》</w:t>
                  </w:r>
                </w:p>
              </w:tc>
              <w:tc>
                <w:tcPr>
                  <w:tcW w:w="24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第七章提升基础设施保障能力—第二节智能电网：完善110千伏及以下配网，提高电力外送能力和满足新能源上网需求。工业园区、重点镇建成“手拉手”供电网络体系，供电稳定性大幅提高。</w:t>
                  </w:r>
                </w:p>
              </w:tc>
              <w:tc>
                <w:tcPr>
                  <w:tcW w:w="10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本项目</w:t>
                  </w:r>
                  <w:r>
                    <w:rPr>
                      <w:rFonts w:hint="default" w:ascii="Times New Roman" w:hAnsi="Times New Roman" w:cs="Times New Roman" w:eastAsiaTheme="minorEastAsia"/>
                      <w:color w:val="auto"/>
                      <w:sz w:val="21"/>
                      <w:szCs w:val="21"/>
                    </w:rPr>
                    <w:t>属于110kV输变电工程，建成后可提高区域供电稳定性。</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bl>
          <w:p>
            <w:pPr>
              <w:pStyle w:val="27"/>
              <w:keepNext w:val="0"/>
              <w:keepLines w:val="0"/>
              <w:pageBreakBefore w:val="0"/>
              <w:widowControl w:val="0"/>
              <w:numPr>
                <w:ilvl w:val="0"/>
                <w:numId w:val="0"/>
              </w:numPr>
              <w:tabs>
                <w:tab w:val="left" w:pos="1189"/>
              </w:tabs>
              <w:kinsoku/>
              <w:wordWrap/>
              <w:topLinePunct w:val="0"/>
              <w:bidi w:val="0"/>
              <w:spacing w:before="0" w:after="0" w:line="360" w:lineRule="auto"/>
              <w:ind w:right="0" w:rightChars="0" w:firstLine="480" w:firstLineChars="200"/>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（6）榆林市电网规划的符合性</w:t>
            </w:r>
          </w:p>
          <w:p>
            <w:pPr>
              <w:pStyle w:val="27"/>
              <w:keepNext w:val="0"/>
              <w:keepLines w:val="0"/>
              <w:pageBreakBefore w:val="0"/>
              <w:widowControl w:val="0"/>
              <w:kinsoku/>
              <w:wordWrap/>
              <w:topLinePunct w:val="0"/>
              <w:bidi w:val="0"/>
              <w:spacing w:before="3" w:line="360" w:lineRule="auto"/>
              <w:ind w:left="107" w:right="75" w:firstLine="480"/>
              <w:jc w:val="both"/>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根据电网规划，</w:t>
            </w:r>
            <w:r>
              <w:rPr>
                <w:rFonts w:hint="default" w:ascii="Times New Roman" w:hAnsi="Times New Roman" w:cs="Times New Roman"/>
                <w:color w:val="auto"/>
                <w:sz w:val="24"/>
                <w:lang w:val="en-US" w:eastAsia="zh-CN"/>
              </w:rPr>
              <w:t>2025</w:t>
            </w:r>
            <w:r>
              <w:rPr>
                <w:rFonts w:hint="eastAsia" w:ascii="Times New Roman" w:hAnsi="Times New Roman" w:cs="Times New Roman"/>
                <w:color w:val="auto"/>
                <w:sz w:val="24"/>
                <w:lang w:val="en-US" w:eastAsia="zh-CN"/>
              </w:rPr>
              <w:t>年前，榆林电网规划建设</w:t>
            </w:r>
            <w:r>
              <w:rPr>
                <w:rFonts w:hint="default" w:ascii="Times New Roman" w:hAnsi="Times New Roman" w:cs="Times New Roman"/>
                <w:color w:val="auto"/>
                <w:sz w:val="24"/>
                <w:lang w:val="en-US" w:eastAsia="zh-CN"/>
              </w:rPr>
              <w:t>330kV</w:t>
            </w:r>
            <w:r>
              <w:rPr>
                <w:rFonts w:hint="eastAsia" w:ascii="Times New Roman" w:hAnsi="Times New Roman" w:cs="Times New Roman"/>
                <w:color w:val="auto"/>
                <w:sz w:val="24"/>
                <w:lang w:val="en-US" w:eastAsia="zh-CN"/>
              </w:rPr>
              <w:t>变电站</w:t>
            </w:r>
            <w:r>
              <w:rPr>
                <w:rFonts w:hint="default" w:ascii="Times New Roman" w:hAnsi="Times New Roman" w:cs="Times New Roman"/>
                <w:color w:val="auto"/>
                <w:sz w:val="24"/>
                <w:lang w:val="en-US" w:eastAsia="zh-CN"/>
              </w:rPr>
              <w:t>11</w:t>
            </w:r>
            <w:r>
              <w:rPr>
                <w:rFonts w:hint="eastAsia" w:ascii="Times New Roman" w:hAnsi="Times New Roman" w:cs="Times New Roman"/>
                <w:color w:val="auto"/>
                <w:sz w:val="24"/>
                <w:lang w:val="en-US" w:eastAsia="zh-CN"/>
              </w:rPr>
              <w:t>座，锦界变、曹家滩变、佳县有色变、神木北变、榆林西变、横山变、盐场堡变、大昌汗变、榆神变，增容改造榆林变，新增变电容量</w:t>
            </w:r>
            <w:r>
              <w:rPr>
                <w:rFonts w:hint="default" w:ascii="Times New Roman" w:hAnsi="Times New Roman" w:cs="Times New Roman"/>
                <w:color w:val="auto"/>
                <w:sz w:val="24"/>
                <w:lang w:val="en-US" w:eastAsia="zh-CN"/>
              </w:rPr>
              <w:t>8700MVA</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2030</w:t>
            </w:r>
            <w:r>
              <w:rPr>
                <w:rFonts w:hint="eastAsia" w:ascii="Times New Roman" w:hAnsi="Times New Roman" w:cs="Times New Roman"/>
                <w:color w:val="auto"/>
                <w:sz w:val="24"/>
                <w:lang w:val="en-US" w:eastAsia="zh-CN"/>
              </w:rPr>
              <w:t xml:space="preserve">年前，榆林电网规划建设 </w:t>
            </w:r>
            <w:r>
              <w:rPr>
                <w:rFonts w:hint="default" w:ascii="Times New Roman" w:hAnsi="Times New Roman" w:cs="Times New Roman"/>
                <w:color w:val="auto"/>
                <w:sz w:val="24"/>
                <w:lang w:val="en-US" w:eastAsia="zh-CN"/>
              </w:rPr>
              <w:t xml:space="preserve">330kV </w:t>
            </w:r>
            <w:r>
              <w:rPr>
                <w:rFonts w:hint="eastAsia" w:ascii="Times New Roman" w:hAnsi="Times New Roman" w:cs="Times New Roman"/>
                <w:color w:val="auto"/>
                <w:sz w:val="24"/>
                <w:lang w:val="en-US" w:eastAsia="zh-CN"/>
              </w:rPr>
              <w:t>变电站</w:t>
            </w:r>
            <w:r>
              <w:rPr>
                <w:rFonts w:hint="default" w:ascii="Times New Roman" w:hAnsi="Times New Roman" w:cs="Times New Roman"/>
                <w:color w:val="auto"/>
                <w:sz w:val="24"/>
                <w:lang w:val="en-US" w:eastAsia="zh-CN"/>
              </w:rPr>
              <w:t>3</w:t>
            </w:r>
            <w:r>
              <w:rPr>
                <w:rFonts w:hint="eastAsia" w:ascii="Times New Roman" w:hAnsi="Times New Roman" w:cs="Times New Roman"/>
                <w:color w:val="auto"/>
                <w:sz w:val="24"/>
                <w:lang w:val="en-US" w:eastAsia="zh-CN"/>
              </w:rPr>
              <w:t>座：庙沟门变、清水南变、吴堡 变，新增变电容量</w:t>
            </w:r>
            <w:r>
              <w:rPr>
                <w:rFonts w:hint="default" w:ascii="Times New Roman" w:hAnsi="Times New Roman" w:cs="Times New Roman"/>
                <w:color w:val="auto"/>
                <w:sz w:val="24"/>
                <w:lang w:val="en-US" w:eastAsia="zh-CN"/>
              </w:rPr>
              <w:t>2160MVA</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2035</w:t>
            </w:r>
            <w:r>
              <w:rPr>
                <w:rFonts w:hint="eastAsia" w:ascii="Times New Roman" w:hAnsi="Times New Roman" w:cs="Times New Roman"/>
                <w:color w:val="auto"/>
                <w:sz w:val="24"/>
                <w:lang w:val="en-US" w:eastAsia="zh-CN"/>
              </w:rPr>
              <w:t>年前，榆林电网规划建设</w:t>
            </w:r>
            <w:r>
              <w:rPr>
                <w:rFonts w:hint="default" w:ascii="Times New Roman" w:hAnsi="Times New Roman" w:cs="Times New Roman"/>
                <w:color w:val="auto"/>
                <w:sz w:val="24"/>
                <w:lang w:val="en-US" w:eastAsia="zh-CN"/>
              </w:rPr>
              <w:t>330kV</w:t>
            </w:r>
            <w:r>
              <w:rPr>
                <w:rFonts w:hint="eastAsia" w:ascii="Times New Roman" w:hAnsi="Times New Roman" w:cs="Times New Roman"/>
                <w:color w:val="auto"/>
                <w:sz w:val="24"/>
                <w:lang w:val="en-US" w:eastAsia="zh-CN"/>
              </w:rPr>
              <w:t>变电站</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座：子州变、神木南变，新增变电容量</w:t>
            </w:r>
            <w:r>
              <w:rPr>
                <w:rFonts w:hint="default" w:ascii="Times New Roman" w:hAnsi="Times New Roman" w:cs="Times New Roman"/>
                <w:color w:val="auto"/>
                <w:sz w:val="24"/>
                <w:lang w:val="en-US" w:eastAsia="zh-CN"/>
              </w:rPr>
              <w:t>1440MVA</w:t>
            </w:r>
            <w:r>
              <w:rPr>
                <w:rFonts w:hint="eastAsia" w:ascii="Times New Roman" w:hAnsi="Times New Roman" w:cs="Times New Roman"/>
                <w:color w:val="auto"/>
                <w:sz w:val="24"/>
                <w:lang w:val="en-US" w:eastAsia="zh-CN"/>
              </w:rPr>
              <w:t>。国华神木墩梁风电场薛家畔、李家畔、槐树峁风电项目110KV送出线路满足该区域负荷发展需求，利于优化电网结构，符合区域电网规划，项目符合榆林市电网规划。</w:t>
            </w:r>
          </w:p>
          <w:p>
            <w:pPr>
              <w:pStyle w:val="27"/>
              <w:keepNext w:val="0"/>
              <w:keepLines w:val="0"/>
              <w:pageBreakBefore w:val="0"/>
              <w:widowControl w:val="0"/>
              <w:numPr>
                <w:ilvl w:val="0"/>
                <w:numId w:val="0"/>
              </w:numPr>
              <w:tabs>
                <w:tab w:val="left" w:pos="1189"/>
              </w:tabs>
              <w:kinsoku/>
              <w:wordWrap/>
              <w:topLinePunct w:val="0"/>
              <w:bidi w:val="0"/>
              <w:spacing w:before="0" w:after="0" w:line="360" w:lineRule="auto"/>
              <w:ind w:right="0" w:rightChars="0" w:firstLine="480" w:firstLineChars="200"/>
              <w:jc w:val="left"/>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（7）《输变电项目环境保护技术要求》（HJ1113-2020）符合性</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color w:val="auto"/>
                <w:sz w:val="21"/>
              </w:rPr>
            </w:pPr>
            <w:r>
              <w:rPr>
                <w:rFonts w:hint="default" w:ascii="Times New Roman" w:hAnsi="Times New Roman" w:cs="Times New Roman" w:eastAsiaTheme="minorEastAsia"/>
                <w:b/>
                <w:color w:val="auto"/>
                <w:sz w:val="21"/>
              </w:rPr>
              <w:t>表1</w:t>
            </w:r>
            <w:r>
              <w:rPr>
                <w:rFonts w:hint="default" w:ascii="Times New Roman" w:hAnsi="Times New Roman" w:cs="Times New Roman" w:eastAsiaTheme="minorEastAsia"/>
                <w:b/>
                <w:color w:val="auto"/>
                <w:sz w:val="21"/>
                <w:lang w:val="en-US" w:eastAsia="zh-CN"/>
              </w:rPr>
              <w:t>-</w:t>
            </w:r>
            <w:r>
              <w:rPr>
                <w:rFonts w:hint="eastAsia" w:ascii="Times New Roman" w:hAnsi="Times New Roman" w:cs="Times New Roman" w:eastAsiaTheme="minorEastAsia"/>
                <w:b/>
                <w:color w:val="auto"/>
                <w:sz w:val="21"/>
                <w:lang w:val="en-US" w:eastAsia="zh-CN"/>
              </w:rPr>
              <w:t>5</w:t>
            </w:r>
            <w:r>
              <w:rPr>
                <w:rFonts w:hint="default" w:ascii="Times New Roman" w:hAnsi="Times New Roman" w:cs="Times New Roman" w:eastAsiaTheme="minorEastAsia"/>
                <w:b/>
                <w:color w:val="auto"/>
                <w:sz w:val="21"/>
              </w:rPr>
              <w:t xml:space="preserve">  </w:t>
            </w:r>
            <w:r>
              <w:rPr>
                <w:rFonts w:hint="default" w:ascii="Times New Roman" w:hAnsi="Times New Roman" w:cs="Times New Roman" w:eastAsiaTheme="minorEastAsia"/>
                <w:b/>
                <w:color w:val="auto"/>
                <w:sz w:val="21"/>
                <w:lang w:val="en-US" w:eastAsia="zh-CN"/>
              </w:rPr>
              <w:t xml:space="preserve"> </w:t>
            </w:r>
            <w:r>
              <w:rPr>
                <w:rFonts w:hint="default" w:ascii="Times New Roman" w:hAnsi="Times New Roman" w:cs="Times New Roman" w:eastAsiaTheme="minorEastAsia"/>
                <w:b/>
                <w:color w:val="auto"/>
                <w:sz w:val="21"/>
              </w:rPr>
              <w:t xml:space="preserve"> </w:t>
            </w:r>
            <w:r>
              <w:rPr>
                <w:rFonts w:hint="eastAsia" w:ascii="Times New Roman" w:hAnsi="Times New Roman" w:cs="Times New Roman" w:eastAsiaTheme="minorEastAsia"/>
                <w:b/>
                <w:color w:val="auto"/>
                <w:sz w:val="21"/>
                <w:lang w:eastAsia="zh-CN"/>
              </w:rPr>
              <w:t>《输变电项目环境保护技术要求》（HJ1113-2020）符合性</w:t>
            </w:r>
            <w:r>
              <w:rPr>
                <w:rFonts w:hint="default" w:ascii="Times New Roman" w:hAnsi="Times New Roman" w:cs="Times New Roman" w:eastAsiaTheme="minorEastAsia"/>
                <w:b/>
                <w:color w:val="auto"/>
                <w:sz w:val="21"/>
              </w:rPr>
              <w:t>分析</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842"/>
              <w:gridCol w:w="4451"/>
              <w:gridCol w:w="1963"/>
              <w:gridCol w:w="6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rPr>
                    <w:t>相关</w:t>
                  </w:r>
                  <w:r>
                    <w:rPr>
                      <w:rFonts w:hint="eastAsia" w:cs="Times New Roman" w:eastAsiaTheme="minorEastAsia"/>
                      <w:b w:val="0"/>
                      <w:bCs/>
                      <w:color w:val="auto"/>
                      <w:sz w:val="21"/>
                      <w:szCs w:val="21"/>
                      <w:lang w:eastAsia="zh-CN"/>
                    </w:rPr>
                    <w:t>规定</w:t>
                  </w:r>
                </w:p>
              </w:tc>
              <w:tc>
                <w:tcPr>
                  <w:tcW w:w="293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内容</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lang w:eastAsia="zh-CN"/>
                    </w:rPr>
                    <w:t>本项目</w:t>
                  </w:r>
                  <w:r>
                    <w:rPr>
                      <w:rFonts w:hint="default" w:ascii="Times New Roman" w:hAnsi="Times New Roman" w:cs="Times New Roman" w:eastAsiaTheme="minorEastAsia"/>
                      <w:b w:val="0"/>
                      <w:bCs/>
                      <w:color w:val="auto"/>
                      <w:sz w:val="21"/>
                      <w:szCs w:val="21"/>
                    </w:rPr>
                    <w:t>情况</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选址选线</w:t>
                  </w:r>
                </w:p>
              </w:tc>
              <w:tc>
                <w:tcPr>
                  <w:tcW w:w="293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5.1工程选址选线应符合规划环境影响评价文件的要求。</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5.2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 并采取无害化方式通过。</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5.3变电工程在选址时应按终期规模综合考虑进出线走廊规划，避免进出线进入自然保护区、饮用水水源保护区等环境敏感区。</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5.4户外变电工程及规划架空进出线选址选线时，应关注以居住、医疗卫生、文化教育、科研、行政办公等为主要功能的区域，采取综合措施，减少电磁和声环境影响。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5.5同一走廊内的多回输电线路，宜采取同塔多回架设、并行架设等形式，减少新开辟走廊，优化线路走廊间距，降低环境影响。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5.7变电工程选址时，应综合考虑减少土地占用、植被砍伐和弃土弃渣等，以减少对生态环境的不利影响。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5.8输电线路宜避让集中林区，以减少林木砍伐，保护生态环境。</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5.9进入自然保护区的输电线路，应按照HJ 19的要求开展生态现状调查，避让保护对象的集中分布区。</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eastAsia="zh-CN"/>
                    </w:rPr>
                    <w:t>①依据榆林市“多规合一”控制线检测结果，本项目</w:t>
                  </w:r>
                  <w:r>
                    <w:rPr>
                      <w:rFonts w:hint="default" w:ascii="Times New Roman" w:hAnsi="Times New Roman" w:cs="Times New Roman" w:eastAsiaTheme="minorEastAsia"/>
                      <w:color w:val="auto"/>
                      <w:sz w:val="21"/>
                      <w:szCs w:val="21"/>
                    </w:rPr>
                    <w:t>选址选线符合生态保护红线管控要求</w:t>
                  </w:r>
                  <w:r>
                    <w:rPr>
                      <w:rFonts w:hint="eastAsia" w:cs="Times New Roman" w:eastAsiaTheme="minorEastAsia"/>
                      <w:color w:val="auto"/>
                      <w:sz w:val="21"/>
                      <w:szCs w:val="21"/>
                      <w:lang w:eastAsia="zh-CN"/>
                    </w:rPr>
                    <w:t>；②在选址选线过程中避让了</w:t>
                  </w:r>
                  <w:r>
                    <w:rPr>
                      <w:rFonts w:hint="default" w:ascii="Times New Roman" w:hAnsi="Times New Roman" w:cs="Times New Roman" w:eastAsiaTheme="minorEastAsia"/>
                      <w:color w:val="auto"/>
                      <w:sz w:val="21"/>
                      <w:szCs w:val="21"/>
                    </w:rPr>
                    <w:t>自然保护区、饮用水水源保护区等环境敏感区。</w:t>
                  </w:r>
                  <w:r>
                    <w:rPr>
                      <w:rFonts w:hint="eastAsia" w:cs="Times New Roman" w:eastAsiaTheme="minorEastAsia"/>
                      <w:color w:val="auto"/>
                      <w:sz w:val="21"/>
                      <w:szCs w:val="21"/>
                      <w:lang w:eastAsia="zh-CN"/>
                    </w:rPr>
                    <w:t>③本项目选址选线避开了</w:t>
                  </w:r>
                  <w:r>
                    <w:rPr>
                      <w:rFonts w:hint="default" w:ascii="Times New Roman" w:hAnsi="Times New Roman" w:cs="Times New Roman" w:eastAsiaTheme="minorEastAsia"/>
                      <w:color w:val="auto"/>
                      <w:sz w:val="21"/>
                      <w:szCs w:val="21"/>
                    </w:rPr>
                    <w:t>以居住、医疗卫生、文化教育、科研、行政办公等为主要功能的区域</w:t>
                  </w:r>
                  <w:r>
                    <w:rPr>
                      <w:rFonts w:hint="eastAsia" w:cs="Times New Roman" w:eastAsiaTheme="minorEastAsia"/>
                      <w:color w:val="auto"/>
                      <w:sz w:val="21"/>
                      <w:szCs w:val="21"/>
                      <w:lang w:eastAsia="zh-CN"/>
                    </w:rPr>
                    <w:t>，沿线无环境保护目标；④本项目为单回路架空线路，塔基选址尽量选择了荒草地，避让了林地、耕地等，减少了生态环境影响；</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60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设计</w:t>
                  </w:r>
                </w:p>
              </w:tc>
              <w:tc>
                <w:tcPr>
                  <w:tcW w:w="4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总体要求</w:t>
                  </w:r>
                </w:p>
              </w:tc>
              <w:tc>
                <w:tcPr>
                  <w:tcW w:w="24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6.1.1</w:t>
                  </w:r>
                  <w:r>
                    <w:rPr>
                      <w:rFonts w:hint="default" w:ascii="Times New Roman" w:hAnsi="Times New Roman" w:cs="Times New Roman" w:eastAsiaTheme="minorEastAsia"/>
                      <w:color w:val="auto"/>
                      <w:sz w:val="21"/>
                      <w:szCs w:val="21"/>
                    </w:rPr>
                    <w:t>输变电建设项目的初步设计、施工图设计文件中应包含相关的环境保护内容，编制环境保护篇章、开展环境保护专项设计，落实防治环境污染和生态破坏的措施、设施及相应资金。工程设计应对产生的工频电场、工频磁场、直流合成电场等电磁环境影响因子进行验算，  采取相应防护措施，确保电磁环境影响满足国家标准要求。</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①本项目初步设计中包含了环境保护专章，并从设计阶段避开了环境保护目标，塔基选址避开了明长城、秦长城遗址。</w:t>
                  </w:r>
                </w:p>
              </w:tc>
              <w:tc>
                <w:tcPr>
                  <w:tcW w:w="37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6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rPr>
                  </w:pPr>
                </w:p>
              </w:tc>
              <w:tc>
                <w:tcPr>
                  <w:tcW w:w="4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电磁环境保护</w:t>
                  </w:r>
                </w:p>
              </w:tc>
              <w:tc>
                <w:tcPr>
                  <w:tcW w:w="24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6.2.1</w:t>
                  </w:r>
                  <w:r>
                    <w:rPr>
                      <w:rFonts w:hint="default" w:ascii="Times New Roman" w:hAnsi="Times New Roman" w:cs="Times New Roman" w:eastAsiaTheme="minorEastAsia"/>
                      <w:color w:val="auto"/>
                      <w:sz w:val="21"/>
                      <w:szCs w:val="21"/>
                    </w:rPr>
                    <w:t>输电线路设计应因地制宜选择线路型式、架设高度、杆塔塔型、导线参数、相序布置等，  减少电磁环境影响。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6.2.3</w:t>
                  </w:r>
                  <w:r>
                    <w:rPr>
                      <w:rFonts w:hint="default" w:ascii="Times New Roman" w:hAnsi="Times New Roman" w:cs="Times New Roman" w:eastAsiaTheme="minorEastAsia"/>
                      <w:color w:val="auto"/>
                      <w:sz w:val="21"/>
                      <w:szCs w:val="21"/>
                    </w:rPr>
                    <w:t>架空输电线路经过电磁环境敏感目标时，应采取避让或增加导线对地高度等措施，减少电磁环境影响。</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①本项目从初步设计阶段选线、架设高度、</w:t>
                  </w:r>
                  <w:r>
                    <w:rPr>
                      <w:rFonts w:hint="default" w:ascii="Times New Roman" w:hAnsi="Times New Roman" w:cs="Times New Roman" w:eastAsiaTheme="minorEastAsia"/>
                      <w:color w:val="auto"/>
                      <w:sz w:val="21"/>
                      <w:szCs w:val="21"/>
                    </w:rPr>
                    <w:t>杆塔塔型、导线参数、相序布置等</w:t>
                  </w:r>
                  <w:r>
                    <w:rPr>
                      <w:rFonts w:hint="eastAsia" w:cs="Times New Roman" w:eastAsiaTheme="minorEastAsia"/>
                      <w:color w:val="auto"/>
                      <w:sz w:val="21"/>
                      <w:szCs w:val="21"/>
                      <w:lang w:eastAsia="zh-CN"/>
                    </w:rPr>
                    <w:t>方面充分考虑并使得电磁辐射影响减到最小。</w:t>
                  </w:r>
                </w:p>
              </w:tc>
              <w:tc>
                <w:tcPr>
                  <w:tcW w:w="3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color w:val="auto"/>
                    </w:rPr>
                  </w:pPr>
                </w:p>
              </w:tc>
              <w:tc>
                <w:tcPr>
                  <w:tcW w:w="4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auto"/>
                      <w:spacing w:val="3"/>
                      <w:w w:val="95"/>
                      <w:sz w:val="21"/>
                      <w:lang w:val="en-US" w:eastAsia="zh-CN"/>
                    </w:rPr>
                  </w:pPr>
                  <w:r>
                    <w:rPr>
                      <w:rFonts w:hint="eastAsia"/>
                      <w:color w:val="auto"/>
                      <w:spacing w:val="3"/>
                      <w:w w:val="95"/>
                      <w:sz w:val="21"/>
                      <w:lang w:val="en-US" w:eastAsia="zh-CN"/>
                    </w:rPr>
                    <w:t>生态环境保护</w:t>
                  </w:r>
                </w:p>
              </w:tc>
              <w:tc>
                <w:tcPr>
                  <w:tcW w:w="24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6.4.1输变电建设项目在设计过程中应按照避让、减缓、恢复的次序提出生态影响防护与恢复的措施。</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6.4.2输电线路应因地制宜合理选择塔基基础，在山丘区应采用全方位长短腿与不等高基础设计， 以减少土石方开挖。输电线路无法避让集中林区时，应采取控制导线高度设计，以减少林木砍伐，保护生态环境。</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6.4.3输变电建设项目临时占地，应因地制宜进行土地功能恢复设计。</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6.4.4进入自然保护区的输电线路，应根据生态现状调查结果，制定相应的保护方案。塔基定位应避让珍稀濒危物种、保护植物和保护动物的栖息地，根据保护对象的特性设计相应的生态环境保护措施、设施等。</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val="en-US" w:eastAsia="zh-CN"/>
                    </w:rPr>
                  </w:pP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①本项目环评生态保护措施从避让、减缓、恢复的次序提出生态影响防护与恢复的措施。</w:t>
                  </w:r>
                </w:p>
                <w:p>
                  <w:pPr>
                    <w:pStyle w:val="2"/>
                    <w:ind w:left="0" w:leftChars="0" w:firstLine="0" w:firstLineChars="0"/>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②本项目塔基选址从设计阶段充分考虑了地形地貌，减少了土石方开挖；</w:t>
                  </w:r>
                </w:p>
                <w:p>
                  <w:pPr>
                    <w:pStyle w:val="2"/>
                    <w:ind w:left="0" w:leftChars="0" w:firstLine="0" w:firstLineChars="0"/>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③本项目环评要求，临时道路、牵张场占地在施工完成后，在合适的季节进行植被恢复；</w:t>
                  </w:r>
                </w:p>
                <w:p>
                  <w:pPr>
                    <w:pStyle w:val="2"/>
                    <w:ind w:left="0" w:leftChars="0" w:firstLine="0" w:firstLineChars="0"/>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④本项目选址选线不进入自然保护区；</w:t>
                  </w:r>
                </w:p>
              </w:tc>
              <w:tc>
                <w:tcPr>
                  <w:tcW w:w="3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auto"/>
                      <w:spacing w:val="3"/>
                      <w:w w:val="95"/>
                      <w:sz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施工</w:t>
                  </w:r>
                </w:p>
              </w:tc>
              <w:tc>
                <w:tcPr>
                  <w:tcW w:w="293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7.1.1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7.3.1输变电建设项目施工期临时用地应永临结合，优先利用荒地、劣地。</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7.3.2输变电建设项目施工占用耕地、园地、林地和草地，应做好表土剥离、分类存放和回填利用。</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7.3.6施工临时道路应尽可能利用机耕路、林区小路等现有道路，新建道路应严格控制道路宽度，以减少临时工程对生态环境的影响。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7.3.7施工现场使用带油料的机械器具，应采取措施防止油料跑、冒、滴、漏，防止对土壤和水体造成污染。</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7.3.8施工结束后，应及时清理施工现场，因地制宜进行土地功能恢复。</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7.4.2施工期间禁止向水体排放、倾倒垃圾、弃土、弃渣，禁止排放未经处理的钻浆等废弃物。</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7.5.1施工过程中，应当加强对施工现场和物料运输的管理，在施工工地设置硬质围挡，保持道  路清洁，管控料堆和渣土堆放，防治扬尘污染。</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7.5.2施工过程中，对易起尘的临时堆土、运输过程中的土石方等应采用密闭式防尘布（网）进行苫盖，施工面集中且有条件的地方宜采取洒水降尘等有效措施，减少易造成大气污染的施工作业。</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7.5.3施工过程中，建设单位应当对裸露地面进行覆盖；暂时不能开工的建设用地超过三个月的，应当进行绿化、铺装或者遮盖。</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7.5.4施工现场禁止将包装物、可燃垃圾等固体废弃物就地焚烧。</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s="Times New Roman" w:eastAsiaTheme="minorEastAsia"/>
                      <w:color w:val="auto"/>
                      <w:sz w:val="21"/>
                      <w:szCs w:val="21"/>
                      <w:lang w:val="en-US" w:eastAsia="zh-CN"/>
                    </w:rPr>
                  </w:pPr>
                  <w:r>
                    <w:rPr>
                      <w:rFonts w:hint="default" w:cs="Times New Roman" w:eastAsiaTheme="minorEastAsia"/>
                      <w:color w:val="auto"/>
                      <w:sz w:val="21"/>
                      <w:szCs w:val="21"/>
                      <w:lang w:val="en-US" w:eastAsia="zh-CN"/>
                    </w:rPr>
                    <w:t>7.6.1施工过程中产生的土石方、建筑垃圾、生活垃圾应分类集中收集，并按国家和地方有关规定定期进行清运处置，施工完成后及时做好迹地清理工作。</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s="Times New Roman" w:eastAsiaTheme="minorEastAsia"/>
                      <w:color w:val="auto"/>
                      <w:sz w:val="21"/>
                      <w:szCs w:val="21"/>
                      <w:lang w:eastAsia="zh-CN"/>
                    </w:rPr>
                  </w:pPr>
                  <w:r>
                    <w:rPr>
                      <w:rFonts w:hint="default" w:cs="Times New Roman" w:eastAsiaTheme="minorEastAsia"/>
                      <w:color w:val="auto"/>
                      <w:sz w:val="21"/>
                      <w:szCs w:val="21"/>
                      <w:lang w:val="en-US" w:eastAsia="zh-CN"/>
                    </w:rPr>
                    <w:t>7.6.2在农田和经济作物区施工时，施工临时占地宜采取隔离保护措施，施工结束后应将混凝土余料和残渣及时清除，以免影响后期土地功能的恢复。</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eastAsia="zh-CN"/>
                    </w:rPr>
                    <w:t>①本项目设计文件、环评中提出了施工期噪声、生态、大气、固体废物等方面的环保措施，开工后施工单位严格按照要求施工，可降低环境影响。</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运行</w:t>
                  </w:r>
                </w:p>
              </w:tc>
              <w:tc>
                <w:tcPr>
                  <w:tcW w:w="293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s="Times New Roman" w:eastAsiaTheme="minorEastAsia"/>
                      <w:color w:val="auto"/>
                      <w:sz w:val="21"/>
                      <w:szCs w:val="21"/>
                      <w:lang w:eastAsia="zh-CN"/>
                    </w:rPr>
                  </w:pPr>
                  <w:r>
                    <w:rPr>
                      <w:rFonts w:hint="eastAsia" w:cs="Times New Roman" w:eastAsiaTheme="minorEastAsia"/>
                      <w:color w:val="auto"/>
                      <w:sz w:val="21"/>
                      <w:szCs w:val="21"/>
                      <w:lang w:val="en-US" w:eastAsia="zh-CN"/>
                    </w:rPr>
                    <w:t>8.1</w:t>
                  </w:r>
                  <w:r>
                    <w:rPr>
                      <w:rFonts w:hint="eastAsia" w:cs="Times New Roman" w:eastAsiaTheme="minorEastAsia"/>
                      <w:color w:val="auto"/>
                      <w:sz w:val="21"/>
                      <w:szCs w:val="21"/>
                      <w:lang w:eastAsia="zh-CN"/>
                    </w:rPr>
                    <w:t>运行期做好环境保护设施的维护和运行管理，加强巡查和检查，保障发挥环境保护作用。定期开展环境监测，确保电磁、噪声、废水排放符合 GB 8702、GB 12348、GB 8978 等国家标准要求， 并及时解决公众合理的环境保护诉求。</w:t>
                  </w:r>
                </w:p>
              </w:tc>
              <w:tc>
                <w:tcPr>
                  <w:tcW w:w="10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s="Times New Roman" w:eastAsiaTheme="minorEastAsia"/>
                      <w:color w:val="auto"/>
                      <w:sz w:val="21"/>
                      <w:szCs w:val="21"/>
                      <w:lang w:eastAsia="zh-CN"/>
                    </w:rPr>
                  </w:pPr>
                  <w:r>
                    <w:rPr>
                      <w:rFonts w:hint="eastAsia" w:cs="Times New Roman" w:eastAsiaTheme="minorEastAsia"/>
                      <w:color w:val="auto"/>
                      <w:sz w:val="21"/>
                      <w:szCs w:val="21"/>
                      <w:lang w:eastAsia="zh-CN"/>
                    </w:rPr>
                    <w:t>①本项目环评中提出了运营期管理、监测、维护等措；</w:t>
                  </w:r>
                </w:p>
              </w:tc>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符合</w:t>
                  </w:r>
                </w:p>
              </w:tc>
            </w:tr>
          </w:tbl>
          <w:p>
            <w:pPr>
              <w:pStyle w:val="27"/>
              <w:keepNext w:val="0"/>
              <w:keepLines w:val="0"/>
              <w:pageBreakBefore w:val="0"/>
              <w:widowControl w:val="0"/>
              <w:numPr>
                <w:ilvl w:val="0"/>
                <w:numId w:val="1"/>
              </w:numPr>
              <w:tabs>
                <w:tab w:val="left" w:pos="1189"/>
              </w:tabs>
              <w:kinsoku/>
              <w:wordWrap/>
              <w:topLinePunct w:val="0"/>
              <w:bidi w:val="0"/>
              <w:spacing w:before="0" w:after="0" w:line="360" w:lineRule="auto"/>
              <w:ind w:right="0" w:rightChars="0" w:firstLine="480" w:firstLineChars="200"/>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《榆林市人民政府关于印发铁腕治霾打赢蓝天保卫战三年行动方案（2018—2020年）（修订版）的通知》符合性</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color w:val="auto"/>
                <w:sz w:val="21"/>
              </w:rPr>
            </w:pPr>
            <w:r>
              <w:rPr>
                <w:rFonts w:hint="default" w:ascii="Times New Roman" w:hAnsi="Times New Roman" w:cs="Times New Roman" w:eastAsiaTheme="minorEastAsia"/>
                <w:b/>
                <w:color w:val="auto"/>
                <w:sz w:val="21"/>
              </w:rPr>
              <w:t>表1</w:t>
            </w:r>
            <w:r>
              <w:rPr>
                <w:rFonts w:hint="default" w:ascii="Times New Roman" w:hAnsi="Times New Roman" w:cs="Times New Roman" w:eastAsiaTheme="minorEastAsia"/>
                <w:b/>
                <w:color w:val="auto"/>
                <w:sz w:val="21"/>
                <w:lang w:val="en-US" w:eastAsia="zh-CN"/>
              </w:rPr>
              <w:t>-</w:t>
            </w:r>
            <w:r>
              <w:rPr>
                <w:rFonts w:hint="eastAsia" w:ascii="Times New Roman" w:hAnsi="Times New Roman" w:cs="Times New Roman" w:eastAsiaTheme="minorEastAsia"/>
                <w:b/>
                <w:color w:val="auto"/>
                <w:sz w:val="21"/>
                <w:lang w:val="en-US" w:eastAsia="zh-CN"/>
              </w:rPr>
              <w:t>6</w:t>
            </w:r>
            <w:r>
              <w:rPr>
                <w:rFonts w:hint="default" w:ascii="Times New Roman" w:hAnsi="Times New Roman" w:cs="Times New Roman" w:eastAsiaTheme="minorEastAsia"/>
                <w:b/>
                <w:color w:val="auto"/>
                <w:sz w:val="21"/>
              </w:rPr>
              <w:t xml:space="preserve">  </w:t>
            </w:r>
            <w:r>
              <w:rPr>
                <w:rFonts w:hint="eastAsia" w:ascii="Times New Roman" w:hAnsi="Times New Roman" w:cs="Times New Roman" w:eastAsiaTheme="minorEastAsia"/>
                <w:b/>
                <w:color w:val="auto"/>
                <w:sz w:val="21"/>
                <w:lang w:eastAsia="zh-CN"/>
              </w:rPr>
              <w:t>《</w:t>
            </w:r>
            <w:r>
              <w:rPr>
                <w:rFonts w:hint="eastAsia" w:ascii="Times New Roman" w:hAnsi="Times New Roman" w:cs="Times New Roman" w:eastAsiaTheme="minorEastAsia"/>
                <w:b/>
                <w:color w:val="auto"/>
                <w:sz w:val="21"/>
                <w:lang w:val="en-US" w:eastAsia="zh-CN"/>
              </w:rPr>
              <w:t>榆林市人民政府关于印发铁腕治霾打赢蓝天保卫战三年行动方案</w:t>
            </w:r>
            <w:r>
              <w:rPr>
                <w:rFonts w:hint="eastAsia" w:ascii="Times New Roman" w:hAnsi="Times New Roman" w:cs="Times New Roman" w:eastAsiaTheme="minorEastAsia"/>
                <w:b/>
                <w:color w:val="auto"/>
                <w:sz w:val="21"/>
                <w:lang w:eastAsia="zh-CN"/>
              </w:rPr>
              <w:t>》符合性</w:t>
            </w:r>
            <w:r>
              <w:rPr>
                <w:rFonts w:hint="default" w:ascii="Times New Roman" w:hAnsi="Times New Roman" w:cs="Times New Roman" w:eastAsiaTheme="minorEastAsia"/>
                <w:b/>
                <w:color w:val="auto"/>
                <w:sz w:val="21"/>
              </w:rPr>
              <w:t>分析</w:t>
            </w:r>
          </w:p>
          <w:tbl>
            <w:tblPr>
              <w:tblStyle w:val="17"/>
              <w:tblW w:w="89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4270"/>
              <w:gridCol w:w="2525"/>
              <w:gridCol w:w="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color w:val="auto"/>
                      <w:kern w:val="0"/>
                    </w:rPr>
                    <w:t>内容</w:t>
                  </w:r>
                </w:p>
              </w:tc>
              <w:tc>
                <w:tcPr>
                  <w:tcW w:w="427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相关要求</w:t>
                  </w:r>
                </w:p>
              </w:tc>
              <w:tc>
                <w:tcPr>
                  <w:tcW w:w="252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rPr>
                  </w:pPr>
                  <w:r>
                    <w:rPr>
                      <w:rFonts w:hint="default" w:ascii="Times New Roman" w:hAnsi="Times New Roman" w:cs="Times New Roman"/>
                      <w:color w:val="auto"/>
                      <w:kern w:val="0"/>
                    </w:rPr>
                    <w:t>本项目情况</w:t>
                  </w:r>
                </w:p>
              </w:tc>
              <w:tc>
                <w:tcPr>
                  <w:tcW w:w="85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rPr>
                  </w:pPr>
                  <w:r>
                    <w:rPr>
                      <w:rFonts w:hint="default" w:ascii="Times New Roman" w:hAnsi="Times New Roman" w:cs="Times New Roman"/>
                      <w:color w:val="auto"/>
                      <w:kern w:val="0"/>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6"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《陕西省铁腕治霾打赢蓝天保卫战三年行动方案（2018年~2020年）》（修订版）</w:t>
                  </w:r>
                </w:p>
              </w:tc>
              <w:tc>
                <w:tcPr>
                  <w:tcW w:w="427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严格施工扬尘监管。因地制宜稳步发展装配式建筑。将施工工地扬尘污染防治纳入文明施工管理范畴，建立扬尘控制责任制度，扬尘治理费用列入工程造价。重点区域建筑施工工地要做到工地周边围挡、物料堆放覆盖、土方开挖湿法作业、路面硬化、出入车辆清洗、渣土车辆密闭运输“六个百分之百”，安装在线监测和视频监控设备，并与当地有关主管部门联网。严格渣土运输车辆规范化管理，渣土运输车要密闭</w:t>
                  </w:r>
                  <w:r>
                    <w:rPr>
                      <w:rFonts w:hint="eastAsia" w:ascii="Times New Roman" w:hAnsi="Times New Roman" w:cs="Times New Roman"/>
                      <w:color w:val="auto"/>
                      <w:sz w:val="21"/>
                      <w:szCs w:val="21"/>
                      <w:lang w:eastAsia="zh-CN"/>
                    </w:rPr>
                    <w:t>。</w:t>
                  </w:r>
                </w:p>
              </w:tc>
              <w:tc>
                <w:tcPr>
                  <w:tcW w:w="252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项目严格落实本评价提出的各项防治措施，严格落实</w:t>
                  </w:r>
                  <w:r>
                    <w:rPr>
                      <w:rFonts w:hint="default" w:ascii="Times New Roman" w:hAnsi="Times New Roman" w:cs="Times New Roman"/>
                      <w:color w:val="auto"/>
                      <w:sz w:val="21"/>
                      <w:szCs w:val="21"/>
                    </w:rPr>
                    <w:t>施工扬尘监管</w:t>
                  </w:r>
                  <w:r>
                    <w:rPr>
                      <w:rFonts w:hint="default" w:ascii="Times New Roman" w:hAnsi="Times New Roman" w:cs="Times New Roman"/>
                      <w:color w:val="auto"/>
                      <w:sz w:val="21"/>
                      <w:szCs w:val="21"/>
                      <w:lang w:val="en-US" w:eastAsia="zh-CN"/>
                    </w:rPr>
                    <w:t>，不会对周边环境产生较大影响，亦不会影响周边居民的日常生活</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6"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《榆林市铁腕治霾打赢蓝天保卫战三年行动方案</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2018-2020年）（修订版）》</w:t>
                  </w:r>
                </w:p>
              </w:tc>
              <w:tc>
                <w:tcPr>
                  <w:tcW w:w="427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加快火电企业治理改造。加快建设风电、光伏等非化石能源发电工作。落实省级专项方案，大力淘汰关停环保、能耗、安全不达标的30万千瓦以下燃煤机组。对关停机组的装机容量、煤炭消费量和污染物排放量指标开展交易或置换。（市发改委牵头，市环保局、市住建局等参与）</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严格施工扬尘监管。2018年底前，建立施工工地管理清单。因地制宜稳步发展装配式建筑。将施工工地扬尘污染防治纳入文明施工管理范畴，建立扬尘控制责任制度，扬尘治理费用列入工程造价。重点区域建筑施工工地要做到工地周边围挡、物料堆放覆盖、土方开挖湿法作业、路面硬化、出入车辆清洗、渣土车辆密闭运输“六个百分之百”，安装在线监测和视频监控设备，并与当地有关主管部门联网。将扬尘管理工作不到位的不良信息纳入建筑市场信用管理体系，情节严重的，列入建筑市场主体“黑名单”。（市建规局牵头，市住建局参与）</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严格渣土运输车辆规范化管理，渣土运输车要密闭。（市综合执法局负责）</w:t>
                  </w:r>
                </w:p>
              </w:tc>
              <w:tc>
                <w:tcPr>
                  <w:tcW w:w="252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本项目属于</w:t>
                  </w:r>
                  <w:r>
                    <w:rPr>
                      <w:rFonts w:hint="eastAsia" w:ascii="Times New Roman" w:hAnsi="Times New Roman" w:cs="Times New Roman"/>
                      <w:color w:val="auto"/>
                      <w:sz w:val="21"/>
                      <w:szCs w:val="21"/>
                      <w:lang w:val="en-US" w:eastAsia="zh-CN"/>
                    </w:rPr>
                    <w:t>锋利发电配套建设工程</w:t>
                  </w:r>
                  <w:r>
                    <w:rPr>
                      <w:rFonts w:hint="default" w:ascii="Times New Roman" w:hAnsi="Times New Roman" w:cs="Times New Roman"/>
                      <w:color w:val="auto"/>
                      <w:sz w:val="21"/>
                      <w:szCs w:val="21"/>
                      <w:lang w:val="en-US" w:eastAsia="zh-CN"/>
                    </w:rPr>
                    <w:t>，项目严格落实本评价提出的各项防治措施，严格落实</w:t>
                  </w:r>
                  <w:r>
                    <w:rPr>
                      <w:rFonts w:hint="default" w:ascii="Times New Roman" w:hAnsi="Times New Roman" w:cs="Times New Roman"/>
                      <w:color w:val="auto"/>
                      <w:sz w:val="21"/>
                      <w:szCs w:val="21"/>
                    </w:rPr>
                    <w:t>施工扬尘监管</w:t>
                  </w:r>
                  <w:r>
                    <w:rPr>
                      <w:rFonts w:hint="default" w:ascii="Times New Roman" w:hAnsi="Times New Roman" w:cs="Times New Roman"/>
                      <w:color w:val="auto"/>
                      <w:sz w:val="21"/>
                      <w:szCs w:val="21"/>
                      <w:lang w:val="en-US" w:eastAsia="zh-CN"/>
                    </w:rPr>
                    <w:t>，不会对周边环境产生较大影响</w:t>
                  </w:r>
                  <w:r>
                    <w:rPr>
                      <w:rFonts w:hint="eastAsia" w:ascii="Times New Roman" w:hAnsi="Times New Roman" w:cs="Times New Roman"/>
                      <w:color w:val="auto"/>
                      <w:sz w:val="21"/>
                      <w:szCs w:val="21"/>
                      <w:lang w:val="en-US" w:eastAsia="zh-CN"/>
                    </w:rPr>
                    <w:t>。</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36"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陕西省蓝天保卫战2020年工作方案</w:t>
                  </w:r>
                </w:p>
              </w:tc>
              <w:tc>
                <w:tcPr>
                  <w:tcW w:w="4270"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城市建筑施工扬尘监管。建立施工工地动态管理清单，构建过程全覆盖、管理全方位、责任全链条的建筑施工扬尘防治体系。城市施工工地要严格落实工地周边围挡、物料堆放覆盖、土方开挖湿法作业、路面硬化、出入车辆清洗、渣土车辆密闭运输“六个百分之百”。5000平方米以上土石方建筑工地全部安装在线监测和视频监控设施，并与当地有关主管部门联网。将扬尘管理工作不到位的不良信息纳入建筑市场信用管理体系，情节严重的，列入建筑市场主体“黑名单”。渣土车完成密闭化改装改造，达到运输过程无扬尘、无遗漏、无抛洒要求，未达到改造升级要求的渣土车辆不得从事渣土运输活动。</w:t>
                  </w:r>
                </w:p>
              </w:tc>
              <w:tc>
                <w:tcPr>
                  <w:tcW w:w="252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项目严格落实本评价提出的各项防治措施，严格落实</w:t>
                  </w:r>
                  <w:r>
                    <w:rPr>
                      <w:rFonts w:hint="default" w:ascii="Times New Roman" w:hAnsi="Times New Roman" w:cs="Times New Roman"/>
                      <w:color w:val="auto"/>
                      <w:sz w:val="21"/>
                      <w:szCs w:val="21"/>
                    </w:rPr>
                    <w:t>施工扬尘监管</w:t>
                  </w:r>
                  <w:r>
                    <w:rPr>
                      <w:rFonts w:hint="default" w:ascii="Times New Roman" w:hAnsi="Times New Roman" w:cs="Times New Roman"/>
                      <w:color w:val="auto"/>
                      <w:sz w:val="21"/>
                      <w:szCs w:val="21"/>
                      <w:lang w:val="en-US" w:eastAsia="zh-CN"/>
                    </w:rPr>
                    <w:t>，不会对周边环境产生较大影响</w:t>
                  </w:r>
                  <w:r>
                    <w:rPr>
                      <w:rFonts w:hint="eastAsia" w:ascii="Times New Roman" w:hAnsi="Times New Roman" w:cs="Times New Roman"/>
                      <w:color w:val="auto"/>
                      <w:sz w:val="21"/>
                      <w:szCs w:val="21"/>
                      <w:lang w:val="en-US" w:eastAsia="zh-CN"/>
                    </w:rPr>
                    <w:t>。</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color w:val="auto"/>
                      <w:sz w:val="21"/>
                      <w:szCs w:val="21"/>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bl>
          <w:p>
            <w:pPr>
              <w:pStyle w:val="27"/>
              <w:keepNext w:val="0"/>
              <w:keepLines w:val="0"/>
              <w:pageBreakBefore w:val="0"/>
              <w:widowControl w:val="0"/>
              <w:numPr>
                <w:ilvl w:val="0"/>
                <w:numId w:val="0"/>
              </w:numPr>
              <w:kinsoku/>
              <w:wordWrap/>
              <w:topLinePunct w:val="0"/>
              <w:bidi w:val="0"/>
              <w:spacing w:before="1"/>
              <w:jc w:val="left"/>
              <w:rPr>
                <w:rFonts w:hint="default" w:ascii="Times New Roman" w:hAnsi="Times New Roman" w:cs="Times New Roman"/>
                <w:b/>
                <w:sz w:val="24"/>
              </w:rPr>
            </w:pPr>
            <w:r>
              <w:rPr>
                <w:rFonts w:hint="eastAsia" w:ascii="Times New Roman" w:hAnsi="Times New Roman" w:cs="Times New Roman"/>
                <w:b/>
                <w:sz w:val="24"/>
                <w:lang w:val="en-US" w:eastAsia="zh-CN"/>
              </w:rPr>
              <w:t xml:space="preserve">1.3 </w:t>
            </w:r>
            <w:r>
              <w:rPr>
                <w:rFonts w:hint="default" w:ascii="Times New Roman" w:hAnsi="Times New Roman" w:cs="Times New Roman"/>
                <w:b/>
                <w:sz w:val="24"/>
              </w:rPr>
              <w:t>编制依据</w:t>
            </w:r>
          </w:p>
          <w:p>
            <w:pPr>
              <w:pStyle w:val="27"/>
              <w:keepNext w:val="0"/>
              <w:keepLines w:val="0"/>
              <w:pageBreakBefore w:val="0"/>
              <w:widowControl w:val="0"/>
              <w:kinsoku/>
              <w:wordWrap/>
              <w:topLinePunct w:val="0"/>
              <w:bidi w:val="0"/>
              <w:spacing w:before="3" w:line="364" w:lineRule="auto"/>
              <w:ind w:right="75"/>
              <w:jc w:val="both"/>
              <w:rPr>
                <w:rFonts w:hint="default" w:ascii="Times New Roman" w:hAnsi="Times New Roman" w:cs="Times New Roman"/>
                <w:b/>
                <w:bCs w:val="0"/>
                <w:sz w:val="24"/>
                <w:lang w:eastAsia="zh-CN"/>
              </w:rPr>
            </w:pPr>
            <w:r>
              <w:rPr>
                <w:rFonts w:hint="eastAsia" w:ascii="Times New Roman" w:hAnsi="Times New Roman" w:cs="Times New Roman"/>
                <w:b/>
                <w:bCs w:val="0"/>
                <w:sz w:val="24"/>
                <w:lang w:val="en-US" w:eastAsia="zh-CN"/>
              </w:rPr>
              <w:t>1.3.1</w:t>
            </w:r>
            <w:r>
              <w:rPr>
                <w:rFonts w:hint="default" w:ascii="Times New Roman" w:hAnsi="Times New Roman" w:cs="Times New Roman"/>
                <w:b/>
                <w:bCs w:val="0"/>
                <w:sz w:val="24"/>
                <w:lang w:eastAsia="zh-CN"/>
              </w:rPr>
              <w:t>法律法规、部门规章</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⑴《中华人民共和国环境保护法》（2015年1月1日施行）；</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⑵《中华人民共和国电力法》（2018年12月29日修订）；</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⑶《中华人民共和国大气污染防治法》（2018年10月26日修订并实施）；</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⑷《中华人民共和国水污染防治法》（2018年6月1日）；</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⑸《中华人民共和国环境噪声污染防治法》（2018年12月29日实施)；</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⑹</w:t>
            </w:r>
            <w:r>
              <w:rPr>
                <w:rFonts w:hint="eastAsia" w:ascii="Times New Roman" w:hAnsi="Times New Roman" w:cs="Times New Roman"/>
                <w:sz w:val="24"/>
                <w:lang w:eastAsia="zh-CN"/>
              </w:rPr>
              <w:t>《中华人民共和国固体废物污染环境防治法》）（</w:t>
            </w:r>
            <w:r>
              <w:rPr>
                <w:rFonts w:hint="eastAsia" w:ascii="Times New Roman" w:hAnsi="Times New Roman" w:cs="Times New Roman"/>
                <w:sz w:val="24"/>
                <w:lang w:val="en-US" w:eastAsia="zh-CN"/>
              </w:rPr>
              <w:t>2020年4月29日修订</w:t>
            </w:r>
            <w:r>
              <w:rPr>
                <w:rFonts w:hint="eastAsia" w:ascii="Times New Roman" w:hAnsi="Times New Roman" w:cs="Times New Roman"/>
                <w:sz w:val="24"/>
                <w:lang w:eastAsia="zh-CN"/>
              </w:rPr>
              <w:t>）</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⑺《中华人民共和国水土保持法》（2011年3月1日施行）；</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⑻《中华人民共和国环境影响评价法》（2018年12月29日修正）；</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⑼《建设项目环境影响评价分类管理名录》（原环境保护部令第 44 号及生态环境部部令第1号）；</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⑽《建设项目环境保护管理条例》（2017年10月1日施行）；</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⑾《电力设施保护条例实施细则》（1999年3月18日施行）；</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⑿《国家危险废物名录》（2016年8月1日施行）；</w:t>
            </w:r>
          </w:p>
          <w:p>
            <w:pPr>
              <w:pStyle w:val="27"/>
              <w:keepNext w:val="0"/>
              <w:keepLines w:val="0"/>
              <w:pageBreakBefore w:val="0"/>
              <w:widowControl w:val="0"/>
              <w:kinsoku/>
              <w:wordWrap/>
              <w:topLinePunct w:val="0"/>
              <w:bidi w:val="0"/>
              <w:spacing w:before="3" w:line="364" w:lineRule="auto"/>
              <w:ind w:left="107" w:right="75" w:firstLine="480"/>
              <w:jc w:val="both"/>
              <w:rPr>
                <w:rFonts w:hint="eastAsia" w:ascii="Times New Roman" w:hAnsi="Times New Roman" w:cs="Times New Roman"/>
                <w:sz w:val="24"/>
                <w:lang w:val="en-US" w:eastAsia="zh-CN"/>
              </w:rPr>
            </w:pPr>
            <w:r>
              <w:rPr>
                <w:rFonts w:hint="default" w:ascii="Times New Roman" w:hAnsi="Times New Roman" w:cs="Times New Roman"/>
                <w:sz w:val="24"/>
                <w:lang w:eastAsia="zh-CN"/>
              </w:rPr>
              <w:t>⒀《产业结构调整指导目录（2019年本）》（2019 年10月30日）</w:t>
            </w:r>
            <w:r>
              <w:rPr>
                <w:rFonts w:hint="eastAsia" w:ascii="Times New Roman" w:hAnsi="Times New Roman" w:cs="Times New Roman"/>
                <w:sz w:val="24"/>
                <w:lang w:val="en-US" w:eastAsia="zh-CN"/>
              </w:rPr>
              <w:t>;</w:t>
            </w:r>
          </w:p>
          <w:p>
            <w:pPr>
              <w:pStyle w:val="27"/>
              <w:keepNext w:val="0"/>
              <w:keepLines w:val="0"/>
              <w:pageBreakBefore w:val="0"/>
              <w:widowControl w:val="0"/>
              <w:kinsoku/>
              <w:wordWrap/>
              <w:topLinePunct w:val="0"/>
              <w:bidi w:val="0"/>
              <w:spacing w:before="3" w:line="364" w:lineRule="auto"/>
              <w:ind w:right="75"/>
              <w:jc w:val="both"/>
              <w:rPr>
                <w:rFonts w:hint="default" w:ascii="Times New Roman" w:hAnsi="Times New Roman" w:cs="Times New Roman"/>
                <w:b/>
                <w:bCs w:val="0"/>
                <w:sz w:val="24"/>
                <w:lang w:eastAsia="zh-CN"/>
              </w:rPr>
            </w:pPr>
            <w:r>
              <w:rPr>
                <w:rFonts w:hint="eastAsia" w:ascii="Times New Roman" w:hAnsi="Times New Roman" w:cs="Times New Roman"/>
                <w:b/>
                <w:bCs w:val="0"/>
                <w:sz w:val="24"/>
                <w:lang w:val="en-US" w:eastAsia="zh-CN"/>
              </w:rPr>
              <w:t>1.</w:t>
            </w:r>
            <w:r>
              <w:rPr>
                <w:rFonts w:hint="default" w:ascii="Times New Roman" w:hAnsi="Times New Roman" w:cs="Times New Roman"/>
                <w:b/>
                <w:bCs w:val="0"/>
                <w:sz w:val="24"/>
                <w:lang w:eastAsia="zh-CN"/>
              </w:rPr>
              <w:t>3.2技术规程、评价标准和导则</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⑴《环境影响评价技术导则—总纲》（HJ2.1—2016）；</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⑵《环境影响评价技术导则—地表水环境》(HJ/T2.3-2018)；</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⑶《环境影响评价技术导则—大气环境》（HJ2.2—2018）；</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⑷《环境影响评价技术导则—声环境》（HJ2.4—2009）；</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⑸《环境影响评价技术导则－生态影响》（HJ19—2011）；</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⑹《环境影响评价技术导则－输变电工程》（HJ24—2014）；</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⑺《交流输变电工程电磁环境监测方法（试行）</w:t>
            </w:r>
            <w:bookmarkStart w:id="43" w:name="_GoBack"/>
            <w:bookmarkEnd w:id="43"/>
            <w:r>
              <w:rPr>
                <w:rFonts w:hint="default" w:ascii="Times New Roman" w:hAnsi="Times New Roman" w:cs="Times New Roman"/>
                <w:sz w:val="24"/>
                <w:lang w:eastAsia="zh-CN"/>
              </w:rPr>
              <w:t>》（HJ681-2013）；</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⑻《地表水环境质量标准》（GB3838－2002）；</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⑼《环境空气质量标准》（GB3095－2012）；</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⑽《声环境质量标准》（GB3096—2008）；</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⑾《电磁环境控制限值》（GB8702-2014）；</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⑿《工业企业厂界环境噪声排放标准》（GB12348—2008）；</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⒀《建筑施工场界环境噪声排放标准》（GB12523—2011）</w:t>
            </w:r>
            <w:r>
              <w:rPr>
                <w:rFonts w:hint="eastAsia" w:ascii="Times New Roman" w:hAnsi="Times New Roman" w:cs="Times New Roman"/>
                <w:sz w:val="24"/>
                <w:lang w:eastAsia="zh-CN"/>
              </w:rPr>
              <w:t>；</w:t>
            </w:r>
          </w:p>
          <w:p>
            <w:pPr>
              <w:pStyle w:val="27"/>
              <w:keepNext w:val="0"/>
              <w:keepLines w:val="0"/>
              <w:pageBreakBefore w:val="0"/>
              <w:widowControl w:val="0"/>
              <w:kinsoku/>
              <w:wordWrap/>
              <w:topLinePunct w:val="0"/>
              <w:bidi w:val="0"/>
              <w:spacing w:before="3" w:line="364" w:lineRule="auto"/>
              <w:ind w:left="107" w:right="75" w:firstLine="480"/>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⒁</w:t>
            </w:r>
            <w:r>
              <w:rPr>
                <w:rFonts w:hint="eastAsia" w:ascii="Times New Roman" w:hAnsi="Times New Roman" w:cs="Times New Roman"/>
                <w:sz w:val="24"/>
                <w:lang w:val="en-US" w:eastAsia="zh-CN"/>
              </w:rPr>
              <w:t>《输变电项目环境保护技术要求》（HJ1113-2020）</w:t>
            </w:r>
            <w:r>
              <w:rPr>
                <w:rFonts w:hint="default" w:ascii="Times New Roman" w:hAnsi="Times New Roman" w:cs="Times New Roman"/>
                <w:sz w:val="24"/>
                <w:lang w:eastAsia="zh-CN"/>
              </w:rPr>
              <w:t>。</w:t>
            </w:r>
          </w:p>
          <w:p>
            <w:pPr>
              <w:pStyle w:val="27"/>
              <w:keepNext w:val="0"/>
              <w:keepLines w:val="0"/>
              <w:pageBreakBefore w:val="0"/>
              <w:widowControl w:val="0"/>
              <w:kinsoku/>
              <w:wordWrap/>
              <w:topLinePunct w:val="0"/>
              <w:bidi w:val="0"/>
              <w:spacing w:before="3" w:line="364" w:lineRule="auto"/>
              <w:ind w:right="75"/>
              <w:jc w:val="both"/>
              <w:rPr>
                <w:rFonts w:hint="default" w:ascii="Times New Roman" w:hAnsi="Times New Roman" w:cs="Times New Roman"/>
                <w:b/>
                <w:bCs w:val="0"/>
                <w:sz w:val="24"/>
                <w:lang w:eastAsia="zh-CN"/>
              </w:rPr>
            </w:pPr>
            <w:r>
              <w:rPr>
                <w:rFonts w:hint="eastAsia" w:ascii="Times New Roman" w:hAnsi="Times New Roman" w:cs="Times New Roman"/>
                <w:b/>
                <w:bCs w:val="0"/>
                <w:sz w:val="24"/>
                <w:lang w:val="en-US" w:eastAsia="zh-CN"/>
              </w:rPr>
              <w:t>1.</w:t>
            </w:r>
            <w:r>
              <w:rPr>
                <w:rFonts w:hint="default" w:ascii="Times New Roman" w:hAnsi="Times New Roman" w:cs="Times New Roman"/>
                <w:b/>
                <w:bCs w:val="0"/>
                <w:sz w:val="24"/>
                <w:lang w:eastAsia="zh-CN"/>
              </w:rPr>
              <w:t>3.3委托书及</w:t>
            </w:r>
            <w:r>
              <w:rPr>
                <w:rFonts w:hint="eastAsia" w:ascii="Times New Roman" w:hAnsi="Times New Roman" w:cs="Times New Roman"/>
                <w:b/>
                <w:bCs w:val="0"/>
                <w:sz w:val="24"/>
                <w:lang w:eastAsia="zh-CN"/>
              </w:rPr>
              <w:t>项目</w:t>
            </w:r>
            <w:r>
              <w:rPr>
                <w:rFonts w:hint="default" w:ascii="Times New Roman" w:hAnsi="Times New Roman" w:cs="Times New Roman"/>
                <w:b/>
                <w:bCs w:val="0"/>
                <w:sz w:val="24"/>
                <w:lang w:eastAsia="zh-CN"/>
              </w:rPr>
              <w:t>资料</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⑴《国华神木墩梁风电场薛家畔、李家畔、槐树峁风电项目110KV送出线路环境影响评价委托书》；</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⑵《神木国华李家畔、薛家畔风电场送出工程可行性研究报告</w:t>
            </w:r>
            <w:r>
              <w:rPr>
                <w:rFonts w:hint="default" w:ascii="Times New Roman" w:hAnsi="Times New Roman" w:cs="Times New Roman"/>
                <w:sz w:val="24"/>
                <w:lang w:val="en-US" w:eastAsia="zh-CN"/>
              </w:rPr>
              <w:t>v1.7</w:t>
            </w:r>
            <w:r>
              <w:rPr>
                <w:rFonts w:hint="default" w:ascii="Times New Roman" w:hAnsi="Times New Roman" w:cs="Times New Roman"/>
                <w:sz w:val="24"/>
                <w:lang w:eastAsia="zh-CN"/>
              </w:rPr>
              <w:t>》（收口版）；</w:t>
            </w:r>
          </w:p>
          <w:p>
            <w:pPr>
              <w:pStyle w:val="27"/>
              <w:keepNext w:val="0"/>
              <w:keepLines w:val="0"/>
              <w:pageBreakBefore w:val="0"/>
              <w:widowControl w:val="0"/>
              <w:kinsoku/>
              <w:wordWrap/>
              <w:topLinePunct w:val="0"/>
              <w:bidi w:val="0"/>
              <w:spacing w:before="3" w:line="364" w:lineRule="auto"/>
              <w:ind w:right="75"/>
              <w:jc w:val="both"/>
              <w:rPr>
                <w:rFonts w:hint="default" w:ascii="Times New Roman" w:hAnsi="Times New Roman" w:cs="Times New Roman"/>
                <w:b/>
                <w:bCs w:val="0"/>
                <w:sz w:val="24"/>
                <w:lang w:val="en-US" w:eastAsia="zh-CN"/>
              </w:rPr>
            </w:pPr>
            <w:r>
              <w:rPr>
                <w:rFonts w:hint="eastAsia" w:ascii="Times New Roman" w:hAnsi="Times New Roman" w:cs="Times New Roman"/>
                <w:b/>
                <w:bCs w:val="0"/>
                <w:sz w:val="24"/>
                <w:lang w:val="en-US" w:eastAsia="zh-CN"/>
              </w:rPr>
              <w:t>1.3.4</w:t>
            </w:r>
            <w:r>
              <w:rPr>
                <w:rFonts w:hint="default" w:ascii="Times New Roman" w:hAnsi="Times New Roman" w:cs="Times New Roman"/>
                <w:b/>
                <w:bCs w:val="0"/>
                <w:sz w:val="24"/>
                <w:lang w:val="en-US" w:eastAsia="zh-CN"/>
              </w:rPr>
              <w:t>其它</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⑴《关于国华（神木）四期风电场（薛家畔）项目环境影响报告表的批复》（榆政环发[2013]302 号），榆林市环境保护局；</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pacing w:val="-4"/>
                <w:sz w:val="24"/>
                <w:lang w:eastAsia="zh-CN"/>
              </w:rPr>
            </w:pPr>
            <w:r>
              <w:rPr>
                <w:rFonts w:hint="default" w:ascii="Times New Roman" w:hAnsi="Times New Roman" w:cs="Times New Roman"/>
                <w:sz w:val="24"/>
                <w:lang w:eastAsia="zh-CN"/>
              </w:rPr>
              <w:t>⑵</w:t>
            </w:r>
            <w:r>
              <w:rPr>
                <w:rFonts w:hint="default" w:ascii="Times New Roman" w:hAnsi="Times New Roman" w:cs="Times New Roman"/>
                <w:color w:val="auto"/>
                <w:spacing w:val="-4"/>
                <w:sz w:val="24"/>
              </w:rPr>
              <w:t>《关于</w:t>
            </w:r>
            <w:r>
              <w:rPr>
                <w:rFonts w:hint="default" w:ascii="Times New Roman" w:hAnsi="Times New Roman" w:cs="Times New Roman"/>
                <w:color w:val="auto"/>
                <w:spacing w:val="-4"/>
                <w:sz w:val="24"/>
                <w:lang w:eastAsia="zh-CN"/>
              </w:rPr>
              <w:t>国华神木李家畔风电场</w:t>
            </w:r>
            <w:r>
              <w:rPr>
                <w:rFonts w:hint="default" w:ascii="Times New Roman" w:hAnsi="Times New Roman" w:cs="Times New Roman"/>
                <w:color w:val="auto"/>
                <w:spacing w:val="-4"/>
                <w:sz w:val="24"/>
                <w:lang w:val="en-US" w:eastAsia="zh-CN"/>
              </w:rPr>
              <w:t>50兆瓦工程</w:t>
            </w:r>
            <w:r>
              <w:rPr>
                <w:rFonts w:hint="default" w:ascii="Times New Roman" w:hAnsi="Times New Roman" w:cs="Times New Roman"/>
                <w:color w:val="auto"/>
                <w:spacing w:val="-2"/>
                <w:sz w:val="24"/>
              </w:rPr>
              <w:t>环境影</w:t>
            </w:r>
            <w:r>
              <w:rPr>
                <w:rFonts w:hint="default" w:ascii="Times New Roman" w:hAnsi="Times New Roman" w:cs="Times New Roman"/>
                <w:color w:val="auto"/>
                <w:spacing w:val="-15"/>
                <w:sz w:val="24"/>
              </w:rPr>
              <w:t>响报告表的批复》</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陕环批复</w:t>
            </w:r>
            <w:r>
              <w:rPr>
                <w:rFonts w:hint="default" w:ascii="Times New Roman" w:hAnsi="Times New Roman" w:eastAsia="Times New Roman" w:cs="Times New Roman"/>
                <w:color w:val="auto"/>
                <w:spacing w:val="1"/>
                <w:sz w:val="24"/>
              </w:rPr>
              <w:t>[</w:t>
            </w:r>
            <w:r>
              <w:rPr>
                <w:rFonts w:hint="default" w:ascii="Times New Roman" w:hAnsi="Times New Roman" w:eastAsia="Times New Roman" w:cs="Times New Roman"/>
                <w:color w:val="auto"/>
                <w:sz w:val="24"/>
              </w:rPr>
              <w:t>201</w:t>
            </w:r>
            <w:r>
              <w:rPr>
                <w:rFonts w:hint="default" w:ascii="Times New Roman" w:hAnsi="Times New Roman" w:cs="Times New Roman"/>
                <w:color w:val="auto"/>
                <w:sz w:val="24"/>
                <w:lang w:val="en-US" w:eastAsia="zh-CN"/>
              </w:rPr>
              <w:t>5</w:t>
            </w:r>
            <w:r>
              <w:rPr>
                <w:rFonts w:hint="default" w:ascii="Times New Roman" w:hAnsi="Times New Roman" w:eastAsia="Times New Roman" w:cs="Times New Roman"/>
                <w:color w:val="auto"/>
                <w:spacing w:val="-1"/>
                <w:sz w:val="24"/>
              </w:rPr>
              <w:t>]</w:t>
            </w:r>
            <w:r>
              <w:rPr>
                <w:rFonts w:hint="default" w:ascii="Times New Roman" w:hAnsi="Times New Roman" w:cs="Times New Roman"/>
                <w:color w:val="auto"/>
                <w:sz w:val="24"/>
                <w:lang w:val="en-US" w:eastAsia="zh-CN"/>
              </w:rPr>
              <w:t>684</w:t>
            </w:r>
            <w:r>
              <w:rPr>
                <w:rFonts w:hint="default" w:ascii="Times New Roman" w:hAnsi="Times New Roman" w:cs="Times New Roman"/>
                <w:color w:val="auto"/>
                <w:sz w:val="24"/>
              </w:rPr>
              <w:t>号</w:t>
            </w:r>
            <w:r>
              <w:rPr>
                <w:rFonts w:hint="default" w:ascii="Times New Roman" w:hAnsi="Times New Roman" w:cs="Times New Roman"/>
                <w:color w:val="auto"/>
                <w:sz w:val="24"/>
                <w:lang w:eastAsia="zh-CN"/>
              </w:rPr>
              <w:t>），</w:t>
            </w:r>
            <w:r>
              <w:rPr>
                <w:rFonts w:hint="default" w:ascii="Times New Roman" w:hAnsi="Times New Roman" w:cs="Times New Roman"/>
                <w:color w:val="auto"/>
                <w:spacing w:val="-4"/>
                <w:sz w:val="24"/>
                <w:lang w:eastAsia="zh-CN"/>
              </w:rPr>
              <w:t>陕西省环境保护厅；</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pacing w:val="-4"/>
                <w:sz w:val="24"/>
                <w:lang w:val="en-US" w:eastAsia="zh-CN"/>
              </w:rPr>
            </w:pPr>
            <w:r>
              <w:rPr>
                <w:rFonts w:hint="default" w:ascii="Times New Roman" w:hAnsi="Times New Roman" w:cs="Times New Roman"/>
                <w:sz w:val="24"/>
                <w:lang w:eastAsia="zh-CN"/>
              </w:rPr>
              <w:t>⑶《关于国华神木槐树峁风电场100MW工程环境影响报告表的批复》（陕环批复[2016]582号），陕西省环境保护厅。</w:t>
            </w:r>
          </w:p>
          <w:p>
            <w:pPr>
              <w:pStyle w:val="27"/>
              <w:keepNext w:val="0"/>
              <w:keepLines w:val="0"/>
              <w:pageBreakBefore w:val="0"/>
              <w:widowControl w:val="0"/>
              <w:kinsoku/>
              <w:wordWrap/>
              <w:topLinePunct w:val="0"/>
              <w:bidi w:val="0"/>
              <w:spacing w:before="1"/>
              <w:jc w:val="left"/>
              <w:rPr>
                <w:rFonts w:hint="default" w:ascii="Times New Roman" w:hAnsi="Times New Roman" w:eastAsia="Times New Roman" w:cs="Times New Roman"/>
                <w:b/>
                <w:sz w:val="24"/>
              </w:rPr>
            </w:pPr>
            <w:r>
              <w:rPr>
                <w:rFonts w:hint="eastAsia" w:ascii="Times New Roman" w:hAnsi="Times New Roman" w:eastAsia="Times New Roman" w:cs="Times New Roman"/>
                <w:b/>
                <w:sz w:val="24"/>
                <w:lang w:val="en-US" w:eastAsia="zh-CN"/>
              </w:rPr>
              <w:t>1.4</w:t>
            </w:r>
            <w:r>
              <w:rPr>
                <w:rFonts w:hint="default" w:ascii="Times New Roman" w:hAnsi="Times New Roman" w:eastAsia="Times New Roman" w:cs="Times New Roman"/>
                <w:b/>
                <w:sz w:val="24"/>
              </w:rPr>
              <w:t>工程内容与规模</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1</w:t>
            </w:r>
            <w:r>
              <w:rPr>
                <w:rFonts w:hint="default" w:ascii="Times New Roman" w:hAnsi="Times New Roman" w:cs="Times New Roman"/>
                <w:sz w:val="24"/>
                <w:lang w:eastAsia="zh-CN"/>
              </w:rPr>
              <w:t>）项目名称：国华神木墩梁风电场薛家畔、李家畔、槐树峁风电项目110KV送出线路</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）建设单位：国华（神木）新能源有限公司</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3</w:t>
            </w:r>
            <w:r>
              <w:rPr>
                <w:rFonts w:hint="default" w:ascii="Times New Roman" w:hAnsi="Times New Roman" w:cs="Times New Roman"/>
                <w:sz w:val="24"/>
                <w:lang w:eastAsia="zh-CN"/>
              </w:rPr>
              <w:t>）建设地点：陕西省榆林市神木市</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4</w:t>
            </w:r>
            <w:r>
              <w:rPr>
                <w:rFonts w:hint="default" w:ascii="Times New Roman" w:hAnsi="Times New Roman" w:cs="Times New Roman"/>
                <w:sz w:val="24"/>
                <w:lang w:eastAsia="zh-CN"/>
              </w:rPr>
              <w:t>）建设性质：新建</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en-US"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5</w:t>
            </w:r>
            <w:r>
              <w:rPr>
                <w:rFonts w:hint="default" w:ascii="Times New Roman" w:hAnsi="Times New Roman" w:cs="Times New Roman"/>
                <w:sz w:val="24"/>
                <w:lang w:eastAsia="zh-CN"/>
              </w:rPr>
              <w:t>）</w:t>
            </w:r>
            <w:r>
              <w:rPr>
                <w:rFonts w:hint="default" w:ascii="Times New Roman" w:hAnsi="Times New Roman" w:cs="Times New Roman"/>
                <w:color w:val="auto"/>
                <w:sz w:val="24"/>
                <w:lang w:eastAsia="zh-CN"/>
              </w:rPr>
              <w:t>建设规模：本项目为李家畔、薛家畔风电场送出</w:t>
            </w:r>
            <w:r>
              <w:rPr>
                <w:rFonts w:hint="eastAsia" w:ascii="Times New Roman" w:hAnsi="Times New Roman" w:cs="Times New Roman"/>
                <w:color w:val="auto"/>
                <w:sz w:val="24"/>
                <w:lang w:eastAsia="zh-CN"/>
              </w:rPr>
              <w:t>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线路起于老爷庙拟建李家畔110kV升压站，</w:t>
            </w:r>
            <w:r>
              <w:rPr>
                <w:rFonts w:hint="eastAsia" w:ascii="Times New Roman" w:hAnsi="Times New Roman" w:cs="Times New Roman"/>
                <w:color w:val="auto"/>
                <w:sz w:val="24"/>
                <w:lang w:val="en-US" w:eastAsia="zh-CN"/>
              </w:rPr>
              <w:t>线路前期</w:t>
            </w:r>
            <w:r>
              <w:rPr>
                <w:rFonts w:hint="default" w:ascii="Times New Roman" w:hAnsi="Times New Roman" w:cs="Times New Roman"/>
                <w:color w:val="auto"/>
                <w:sz w:val="24"/>
                <w:lang w:val="en-US" w:eastAsia="zh-CN"/>
              </w:rPr>
              <w:t>接入国电投110kV升压站</w:t>
            </w:r>
            <w:r>
              <w:rPr>
                <w:rFonts w:hint="eastAsia" w:ascii="Times New Roman" w:hAnsi="Times New Roman" w:cs="Times New Roman"/>
                <w:color w:val="auto"/>
                <w:sz w:val="24"/>
                <w:lang w:val="en-US" w:eastAsia="zh-CN"/>
              </w:rPr>
              <w:t>，待</w:t>
            </w:r>
            <w:r>
              <w:rPr>
                <w:rFonts w:hint="default" w:ascii="Times New Roman" w:hAnsi="Times New Roman" w:cs="Times New Roman"/>
                <w:color w:val="auto"/>
                <w:sz w:val="24"/>
                <w:lang w:val="en-US" w:eastAsia="zh-CN"/>
              </w:rPr>
              <w:t>锦界330kV变电站</w:t>
            </w:r>
            <w:r>
              <w:rPr>
                <w:rFonts w:hint="eastAsia" w:ascii="Times New Roman" w:hAnsi="Times New Roman" w:cs="Times New Roman"/>
                <w:color w:val="auto"/>
                <w:sz w:val="24"/>
                <w:lang w:val="en-US" w:eastAsia="zh-CN"/>
              </w:rPr>
              <w:t>建成后</w:t>
            </w:r>
            <w:r>
              <w:rPr>
                <w:rFonts w:hint="default" w:ascii="Times New Roman" w:hAnsi="Times New Roman" w:cs="Times New Roman"/>
                <w:color w:val="auto"/>
                <w:sz w:val="24"/>
                <w:lang w:val="en-US" w:eastAsia="zh-CN"/>
              </w:rPr>
              <w:t>接入锦界330kV变电站。</w:t>
            </w:r>
            <w:r>
              <w:rPr>
                <w:rFonts w:hint="eastAsia" w:ascii="Times New Roman" w:hAnsi="Times New Roman" w:cs="Times New Roman"/>
                <w:color w:val="auto"/>
                <w:sz w:val="24"/>
                <w:lang w:val="en-US" w:eastAsia="zh-CN"/>
              </w:rPr>
              <w:t>李家畔</w:t>
            </w:r>
            <w:r>
              <w:rPr>
                <w:rFonts w:hint="default" w:ascii="Times New Roman" w:hAnsi="Times New Roman" w:cs="Times New Roman"/>
                <w:color w:val="auto"/>
                <w:sz w:val="24"/>
                <w:lang w:val="en-US" w:eastAsia="zh-CN"/>
              </w:rPr>
              <w:t>110kV</w:t>
            </w:r>
            <w:r>
              <w:rPr>
                <w:rFonts w:hint="eastAsia" w:ascii="Times New Roman" w:hAnsi="Times New Roman" w:cs="Times New Roman"/>
                <w:color w:val="auto"/>
                <w:sz w:val="24"/>
                <w:lang w:val="en-US" w:eastAsia="zh-CN"/>
              </w:rPr>
              <w:t>升压站至国电投</w:t>
            </w:r>
            <w:r>
              <w:rPr>
                <w:rFonts w:hint="default" w:ascii="Times New Roman" w:hAnsi="Times New Roman" w:cs="Times New Roman"/>
                <w:color w:val="auto"/>
                <w:sz w:val="24"/>
                <w:lang w:val="en-US" w:eastAsia="zh-CN"/>
              </w:rPr>
              <w:t>110kV</w:t>
            </w:r>
            <w:r>
              <w:rPr>
                <w:rFonts w:hint="eastAsia" w:ascii="Times New Roman" w:hAnsi="Times New Roman" w:cs="Times New Roman"/>
                <w:color w:val="auto"/>
                <w:sz w:val="24"/>
                <w:lang w:val="en-US" w:eastAsia="zh-CN"/>
              </w:rPr>
              <w:t>升压站线路</w:t>
            </w:r>
            <w:r>
              <w:rPr>
                <w:rFonts w:hint="default" w:ascii="Times New Roman" w:hAnsi="Times New Roman" w:cs="Times New Roman"/>
                <w:color w:val="auto"/>
                <w:sz w:val="24"/>
                <w:lang w:val="en-US" w:eastAsia="zh-CN"/>
              </w:rPr>
              <w:t>路径长约19.6km，</w:t>
            </w:r>
            <w:r>
              <w:rPr>
                <w:rFonts w:hint="eastAsia" w:ascii="Times New Roman" w:hAnsi="Times New Roman" w:cs="Times New Roman"/>
                <w:color w:val="auto"/>
                <w:sz w:val="24"/>
                <w:lang w:val="en-US" w:eastAsia="zh-CN"/>
              </w:rPr>
              <w:t>国电投</w:t>
            </w:r>
            <w:r>
              <w:rPr>
                <w:rFonts w:hint="default" w:ascii="Times New Roman" w:hAnsi="Times New Roman" w:cs="Times New Roman"/>
                <w:color w:val="auto"/>
                <w:sz w:val="24"/>
                <w:lang w:val="en-US" w:eastAsia="zh-CN"/>
              </w:rPr>
              <w:t>110kV</w:t>
            </w:r>
            <w:r>
              <w:rPr>
                <w:rFonts w:hint="eastAsia" w:ascii="Times New Roman" w:hAnsi="Times New Roman" w:cs="Times New Roman"/>
                <w:color w:val="auto"/>
                <w:sz w:val="24"/>
                <w:lang w:val="en-US" w:eastAsia="zh-CN"/>
              </w:rPr>
              <w:t>升压站至</w:t>
            </w:r>
            <w:r>
              <w:rPr>
                <w:rFonts w:hint="default" w:ascii="Times New Roman" w:hAnsi="Times New Roman" w:cs="Times New Roman"/>
                <w:color w:val="auto"/>
                <w:sz w:val="24"/>
                <w:lang w:val="en-US" w:eastAsia="zh-CN"/>
              </w:rPr>
              <w:t>锦界330kV变电站线路路径长约7.9km。路径总长约27.5km。</w:t>
            </w:r>
            <w:r>
              <w:rPr>
                <w:rFonts w:hint="default" w:ascii="Times New Roman" w:hAnsi="Times New Roman" w:cs="Times New Roman"/>
                <w:color w:val="auto"/>
                <w:sz w:val="24"/>
                <w:lang w:eastAsia="zh-CN"/>
              </w:rPr>
              <w:t>本项目线路采用单回架空出线，导线采用2×LGJ-300/40钢芯铝绞线。本项目线路沿线海拔为：1120</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1300m。</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zh-CN" w:eastAsia="zh-CN"/>
              </w:rPr>
            </w:pPr>
            <w:r>
              <w:rPr>
                <w:rFonts w:hint="eastAsia" w:ascii="Times New Roman" w:hAnsi="Times New Roman" w:cs="Times New Roman"/>
                <w:color w:val="auto"/>
                <w:sz w:val="24"/>
                <w:lang w:eastAsia="zh-CN"/>
              </w:rPr>
              <w:t>项目</w:t>
            </w:r>
            <w:r>
              <w:rPr>
                <w:rFonts w:hint="default" w:ascii="Times New Roman" w:hAnsi="Times New Roman" w:cs="Times New Roman"/>
                <w:color w:val="auto"/>
                <w:sz w:val="24"/>
                <w:lang w:val="zh-CN" w:eastAsia="zh-CN"/>
              </w:rPr>
              <w:t>基本组成见表</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lang w:val="zh-CN" w:eastAsia="zh-CN"/>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rPr>
            </w:pPr>
            <w:r>
              <w:rPr>
                <w:rFonts w:hint="default" w:ascii="Times New Roman" w:hAnsi="Times New Roman" w:cs="Times New Roman" w:eastAsiaTheme="minorEastAsia"/>
                <w:b/>
                <w:sz w:val="21"/>
              </w:rPr>
              <w:t>表</w:t>
            </w:r>
            <w:r>
              <w:rPr>
                <w:rFonts w:hint="default" w:ascii="Times New Roman" w:hAnsi="Times New Roman" w:cs="Times New Roman" w:eastAsiaTheme="minorEastAsia"/>
                <w:b/>
                <w:sz w:val="21"/>
                <w:lang w:val="en-US" w:eastAsia="zh-CN"/>
              </w:rPr>
              <w:t>1-</w:t>
            </w:r>
            <w:r>
              <w:rPr>
                <w:rFonts w:hint="eastAsia" w:ascii="Times New Roman" w:hAnsi="Times New Roman" w:cs="Times New Roman" w:eastAsiaTheme="minorEastAsia"/>
                <w:b/>
                <w:sz w:val="21"/>
                <w:lang w:val="en-US" w:eastAsia="zh-CN"/>
              </w:rPr>
              <w:t>7</w:t>
            </w:r>
            <w:r>
              <w:rPr>
                <w:rFonts w:hint="default" w:ascii="Times New Roman" w:hAnsi="Times New Roman" w:cs="Times New Roman" w:eastAsiaTheme="minorEastAsia"/>
                <w:b/>
                <w:sz w:val="21"/>
              </w:rPr>
              <w:t xml:space="preserve">    </w:t>
            </w:r>
            <w:r>
              <w:rPr>
                <w:rFonts w:hint="eastAsia" w:ascii="Times New Roman" w:hAnsi="Times New Roman" w:cs="Times New Roman" w:eastAsiaTheme="minorEastAsia"/>
                <w:b/>
                <w:sz w:val="21"/>
                <w:lang w:eastAsia="zh-CN"/>
              </w:rPr>
              <w:t>项目</w:t>
            </w:r>
            <w:r>
              <w:rPr>
                <w:rFonts w:hint="default" w:ascii="Times New Roman" w:hAnsi="Times New Roman" w:cs="Times New Roman" w:eastAsiaTheme="minorEastAsia"/>
                <w:b/>
                <w:sz w:val="21"/>
              </w:rPr>
              <w:t>基本组成汇总表</w:t>
            </w:r>
          </w:p>
          <w:tbl>
            <w:tblPr>
              <w:tblStyle w:val="17"/>
              <w:tblW w:w="4997"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62"/>
              <w:gridCol w:w="931"/>
              <w:gridCol w:w="712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项目名称</w:t>
                  </w:r>
                </w:p>
              </w:tc>
              <w:tc>
                <w:tcPr>
                  <w:tcW w:w="3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b/>
                      <w:bCs w:val="0"/>
                      <w:color w:val="auto"/>
                      <w:sz w:val="21"/>
                      <w:szCs w:val="21"/>
                    </w:rPr>
                  </w:pPr>
                  <w:r>
                    <w:rPr>
                      <w:rFonts w:hint="default" w:ascii="Times New Roman" w:hAnsi="Times New Roman" w:cs="Times New Roman"/>
                      <w:b w:val="0"/>
                      <w:bCs/>
                      <w:color w:val="auto"/>
                      <w:sz w:val="21"/>
                      <w:szCs w:val="21"/>
                    </w:rPr>
                    <w:t>国华神木墩梁风电场薛家畔、李家畔、槐树峁风电项目110KV送出线路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主体工程</w:t>
                  </w:r>
                </w:p>
              </w:tc>
              <w:tc>
                <w:tcPr>
                  <w:tcW w:w="3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本项目</w:t>
                  </w:r>
                  <w:r>
                    <w:rPr>
                      <w:rFonts w:hint="default" w:ascii="Times New Roman" w:hAnsi="Times New Roman" w:cs="Times New Roman"/>
                      <w:color w:val="auto"/>
                      <w:sz w:val="21"/>
                      <w:szCs w:val="21"/>
                    </w:rPr>
                    <w:t>输电线路全长</w:t>
                  </w:r>
                  <w:r>
                    <w:rPr>
                      <w:rFonts w:hint="default" w:ascii="Times New Roman" w:hAnsi="Times New Roman" w:cs="Times New Roman"/>
                      <w:color w:val="auto"/>
                      <w:sz w:val="21"/>
                      <w:szCs w:val="21"/>
                      <w:lang w:val="en-US" w:eastAsia="zh-CN"/>
                    </w:rPr>
                    <w:t>27.5</w:t>
                  </w:r>
                  <w:r>
                    <w:rPr>
                      <w:rFonts w:hint="default" w:ascii="Times New Roman" w:hAnsi="Times New Roman" w:cs="Times New Roman"/>
                      <w:color w:val="auto"/>
                      <w:sz w:val="21"/>
                      <w:szCs w:val="21"/>
                    </w:rPr>
                    <w:t>km，采用单回路架设，导线采用2×LGJ-300/40钢芯铝绞线。拟采用直线塔、</w:t>
                  </w:r>
                  <w:r>
                    <w:rPr>
                      <w:rFonts w:hint="default" w:ascii="Times New Roman" w:hAnsi="Times New Roman" w:cs="Times New Roman"/>
                      <w:color w:val="auto"/>
                      <w:sz w:val="21"/>
                      <w:szCs w:val="21"/>
                      <w:lang w:eastAsia="zh-CN"/>
                    </w:rPr>
                    <w:t>转角</w:t>
                  </w:r>
                  <w:r>
                    <w:rPr>
                      <w:rFonts w:hint="default" w:ascii="Times New Roman" w:hAnsi="Times New Roman" w:cs="Times New Roman"/>
                      <w:color w:val="auto"/>
                      <w:sz w:val="21"/>
                      <w:szCs w:val="21"/>
                    </w:rPr>
                    <w:t>塔模块共</w:t>
                  </w: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rPr>
                    <w:t>个塔型，共</w:t>
                  </w:r>
                  <w:r>
                    <w:rPr>
                      <w:rFonts w:hint="default" w:ascii="Times New Roman" w:hAnsi="Times New Roman" w:cs="Times New Roman"/>
                      <w:color w:val="auto"/>
                      <w:sz w:val="21"/>
                      <w:szCs w:val="21"/>
                      <w:lang w:eastAsia="zh-CN"/>
                    </w:rPr>
                    <w:t>建</w:t>
                  </w:r>
                  <w:r>
                    <w:rPr>
                      <w:rFonts w:hint="default" w:ascii="Times New Roman" w:hAnsi="Times New Roman" w:cs="Times New Roman"/>
                      <w:color w:val="auto"/>
                      <w:sz w:val="21"/>
                      <w:szCs w:val="21"/>
                    </w:rPr>
                    <w:t>铁塔</w:t>
                  </w:r>
                  <w:r>
                    <w:rPr>
                      <w:rFonts w:hint="default" w:ascii="Times New Roman" w:hAnsi="Times New Roman" w:cs="Times New Roman"/>
                      <w:color w:val="auto"/>
                      <w:sz w:val="21"/>
                      <w:szCs w:val="21"/>
                      <w:lang w:val="en-US" w:eastAsia="zh-CN"/>
                    </w:rPr>
                    <w:t>55</w:t>
                  </w:r>
                  <w:r>
                    <w:rPr>
                      <w:rFonts w:hint="default" w:ascii="Times New Roman" w:hAnsi="Times New Roman" w:cs="Times New Roman"/>
                      <w:color w:val="auto"/>
                      <w:sz w:val="21"/>
                      <w:szCs w:val="21"/>
                    </w:rPr>
                    <w:t>基</w:t>
                  </w:r>
                  <w:r>
                    <w:rPr>
                      <w:rFonts w:hint="default" w:ascii="Times New Roman" w:hAnsi="Times New Roman" w:cs="Times New Roman"/>
                      <w:color w:val="auto"/>
                      <w:sz w:val="21"/>
                      <w:szCs w:val="21"/>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辅助工程</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防雷</w:t>
                  </w:r>
                </w:p>
              </w:tc>
              <w:tc>
                <w:tcPr>
                  <w:tcW w:w="3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采用氧化锌避雷器作为限制雷电及操作过电压措施</w:t>
                  </w:r>
                  <w:r>
                    <w:rPr>
                      <w:rFonts w:hint="default" w:ascii="Times New Roman" w:hAnsi="Times New Roman" w:cs="Times New Roman"/>
                      <w:color w:val="auto"/>
                      <w:sz w:val="21"/>
                      <w:szCs w:val="21"/>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道路工程</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施工道路</w:t>
                  </w:r>
                </w:p>
              </w:tc>
              <w:tc>
                <w:tcPr>
                  <w:tcW w:w="3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利用当地现有道路基础上，新修临时施工道路长度为6.4km，施工临时道路平均宽度3m。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3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公用工程</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供水</w:t>
                  </w:r>
                </w:p>
              </w:tc>
              <w:tc>
                <w:tcPr>
                  <w:tcW w:w="3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eastAsia="zh-CN"/>
                    </w:rPr>
                    <w:t>施工期生活营地依托当地居民住宅及配套的供水设施；</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排水</w:t>
                  </w:r>
                </w:p>
              </w:tc>
              <w:tc>
                <w:tcPr>
                  <w:tcW w:w="3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施工废水用于洒水降尘；生活废水依托当地居民水处理设施处理；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3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环保工程</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噪声</w:t>
                  </w:r>
                </w:p>
              </w:tc>
              <w:tc>
                <w:tcPr>
                  <w:tcW w:w="3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采用低噪声设备</w:t>
                  </w:r>
                  <w:r>
                    <w:rPr>
                      <w:rFonts w:hint="default" w:ascii="Times New Roman" w:hAnsi="Times New Roman" w:cs="Times New Roman"/>
                      <w:color w:val="auto"/>
                      <w:sz w:val="21"/>
                      <w:szCs w:val="21"/>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固体废物</w:t>
                  </w:r>
                </w:p>
              </w:tc>
              <w:tc>
                <w:tcPr>
                  <w:tcW w:w="3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施工期产生的建筑垃圾统一收集，送往当地工业垃圾填埋场；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5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生态</w:t>
                  </w:r>
                </w:p>
              </w:tc>
              <w:tc>
                <w:tcPr>
                  <w:tcW w:w="3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输电线路合理设置施工场地、牵张场，尽量利用现有道路作为施工便道，减少临时占地，施工结束后对临时占地及时恢复；</w:t>
                  </w:r>
                </w:p>
              </w:tc>
            </w:tr>
          </w:tbl>
          <w:p>
            <w:pPr>
              <w:keepNext w:val="0"/>
              <w:keepLines w:val="0"/>
              <w:pageBreakBefore w:val="0"/>
              <w:widowControl w:val="0"/>
              <w:kinsoku/>
              <w:wordWrap/>
              <w:topLinePunct w:val="0"/>
              <w:bidi w:val="0"/>
              <w:ind w:firstLine="480" w:firstLineChars="200"/>
              <w:jc w:val="both"/>
              <w:rPr>
                <w:rFonts w:hint="default" w:ascii="Times New Roman" w:hAnsi="Times New Roman" w:cs="Times New Roman"/>
                <w:b/>
                <w:color w:val="auto"/>
                <w:kern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lang w:eastAsia="zh-CN"/>
              </w:rPr>
              <w:t>）主要</w:t>
            </w:r>
            <w:r>
              <w:rPr>
                <w:rFonts w:hint="eastAsia" w:cs="Times New Roman"/>
                <w:color w:val="auto"/>
                <w:sz w:val="24"/>
                <w:lang w:eastAsia="zh-CN"/>
              </w:rPr>
              <w:t>设备</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w:t>
            </w:r>
            <w:r>
              <w:rPr>
                <w:rFonts w:hint="eastAsia" w:cs="Times New Roman"/>
                <w:color w:val="auto"/>
                <w:sz w:val="24"/>
                <w:lang w:eastAsia="zh-CN"/>
              </w:rPr>
              <w:t>主要设备</w:t>
            </w:r>
            <w:r>
              <w:rPr>
                <w:rFonts w:hint="default" w:ascii="Times New Roman" w:hAnsi="Times New Roman" w:cs="Times New Roman"/>
                <w:color w:val="auto"/>
                <w:sz w:val="24"/>
                <w:lang w:eastAsia="zh-CN"/>
              </w:rPr>
              <w:t>见表</w:t>
            </w:r>
            <w:r>
              <w:rPr>
                <w:rFonts w:hint="eastAsia" w:cs="Times New Roman"/>
                <w:color w:val="auto"/>
                <w:sz w:val="24"/>
                <w:lang w:val="en-US" w:eastAsia="zh-CN"/>
              </w:rPr>
              <w:t>1-8</w:t>
            </w:r>
            <w:r>
              <w:rPr>
                <w:rFonts w:hint="default" w:ascii="Times New Roman" w:hAnsi="Times New Roman" w:cs="Times New Roman"/>
                <w:color w:val="auto"/>
                <w:sz w:val="24"/>
                <w:lang w:eastAsia="zh-CN"/>
              </w:rPr>
              <w:t xml:space="preserve"> 所示。</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color w:val="auto"/>
                <w:sz w:val="21"/>
              </w:rPr>
            </w:pPr>
            <w:r>
              <w:rPr>
                <w:rFonts w:hint="default" w:ascii="Times New Roman" w:hAnsi="Times New Roman" w:cs="Times New Roman" w:eastAsiaTheme="minorEastAsia"/>
                <w:b/>
                <w:color w:val="auto"/>
                <w:sz w:val="21"/>
              </w:rPr>
              <w:t>表</w:t>
            </w:r>
            <w:r>
              <w:rPr>
                <w:rFonts w:hint="default" w:ascii="Times New Roman" w:hAnsi="Times New Roman" w:cs="Times New Roman" w:eastAsiaTheme="minorEastAsia"/>
                <w:b/>
                <w:color w:val="auto"/>
                <w:sz w:val="21"/>
                <w:lang w:val="en-US" w:eastAsia="zh-CN"/>
              </w:rPr>
              <w:t>1-</w:t>
            </w:r>
            <w:r>
              <w:rPr>
                <w:rFonts w:hint="eastAsia" w:ascii="Times New Roman" w:hAnsi="Times New Roman" w:cs="Times New Roman" w:eastAsiaTheme="minorEastAsia"/>
                <w:b/>
                <w:color w:val="auto"/>
                <w:sz w:val="21"/>
                <w:lang w:val="en-US" w:eastAsia="zh-CN"/>
              </w:rPr>
              <w:t>8</w:t>
            </w:r>
            <w:r>
              <w:rPr>
                <w:rFonts w:hint="default" w:ascii="Times New Roman" w:hAnsi="Times New Roman" w:cs="Times New Roman" w:eastAsiaTheme="minorEastAsia"/>
                <w:b/>
                <w:color w:val="auto"/>
                <w:sz w:val="21"/>
              </w:rPr>
              <w:t xml:space="preserve">    </w:t>
            </w:r>
            <w:r>
              <w:rPr>
                <w:rFonts w:hint="eastAsia" w:ascii="Times New Roman" w:hAnsi="Times New Roman" w:cs="Times New Roman" w:eastAsiaTheme="minorEastAsia"/>
                <w:b/>
                <w:color w:val="auto"/>
                <w:sz w:val="21"/>
                <w:lang w:eastAsia="zh-CN"/>
              </w:rPr>
              <w:t>项目设备</w:t>
            </w:r>
            <w:r>
              <w:rPr>
                <w:rFonts w:hint="default" w:ascii="Times New Roman" w:hAnsi="Times New Roman" w:cs="Times New Roman" w:eastAsiaTheme="minorEastAsia"/>
                <w:b/>
                <w:color w:val="auto"/>
                <w:sz w:val="21"/>
              </w:rPr>
              <w:t>汇总表</w:t>
            </w:r>
          </w:p>
          <w:tbl>
            <w:tblPr>
              <w:tblStyle w:val="18"/>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699"/>
              <w:gridCol w:w="1967"/>
              <w:gridCol w:w="916"/>
              <w:gridCol w:w="1466"/>
              <w:gridCol w:w="19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序号</w:t>
                  </w:r>
                </w:p>
              </w:tc>
              <w:tc>
                <w:tcPr>
                  <w:tcW w:w="9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名称</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型号</w:t>
                  </w:r>
                </w:p>
              </w:tc>
              <w:tc>
                <w:tcPr>
                  <w:tcW w:w="5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单位</w:t>
                  </w:r>
                </w:p>
              </w:tc>
              <w:tc>
                <w:tcPr>
                  <w:tcW w:w="8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数量</w:t>
                  </w:r>
                </w:p>
              </w:tc>
              <w:tc>
                <w:tcPr>
                  <w:tcW w:w="10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w:t>
                  </w:r>
                </w:p>
              </w:tc>
              <w:tc>
                <w:tcPr>
                  <w:tcW w:w="94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OPGW 光缆</w:t>
                  </w:r>
                </w:p>
              </w:tc>
              <w:tc>
                <w:tcPr>
                  <w:tcW w:w="108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OPGW-48B1-120</w:t>
                  </w:r>
                </w:p>
              </w:tc>
              <w:tc>
                <w:tcPr>
                  <w:tcW w:w="50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km</w:t>
                  </w:r>
                </w:p>
              </w:tc>
              <w:tc>
                <w:tcPr>
                  <w:tcW w:w="81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27.5</w:t>
                  </w:r>
                </w:p>
              </w:tc>
              <w:tc>
                <w:tcPr>
                  <w:tcW w:w="106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94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耐张金具</w:t>
                  </w:r>
                </w:p>
              </w:tc>
              <w:tc>
                <w:tcPr>
                  <w:tcW w:w="108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p>
              </w:tc>
              <w:tc>
                <w:tcPr>
                  <w:tcW w:w="50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套</w:t>
                  </w:r>
                </w:p>
              </w:tc>
              <w:tc>
                <w:tcPr>
                  <w:tcW w:w="81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55</w:t>
                  </w:r>
                </w:p>
              </w:tc>
              <w:tc>
                <w:tcPr>
                  <w:tcW w:w="106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w:t>
                  </w:r>
                </w:p>
              </w:tc>
              <w:tc>
                <w:tcPr>
                  <w:tcW w:w="94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悬垂金具</w:t>
                  </w:r>
                </w:p>
              </w:tc>
              <w:tc>
                <w:tcPr>
                  <w:tcW w:w="108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p>
              </w:tc>
              <w:tc>
                <w:tcPr>
                  <w:tcW w:w="50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eastAsia="zh-CN"/>
                    </w:rPr>
                    <w:t>套</w:t>
                  </w:r>
                </w:p>
              </w:tc>
              <w:tc>
                <w:tcPr>
                  <w:tcW w:w="81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55</w:t>
                  </w:r>
                </w:p>
              </w:tc>
              <w:tc>
                <w:tcPr>
                  <w:tcW w:w="106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w:t>
                  </w:r>
                </w:p>
              </w:tc>
              <w:tc>
                <w:tcPr>
                  <w:tcW w:w="94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引下金具</w:t>
                  </w:r>
                </w:p>
              </w:tc>
              <w:tc>
                <w:tcPr>
                  <w:tcW w:w="108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p>
              </w:tc>
              <w:tc>
                <w:tcPr>
                  <w:tcW w:w="50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付</w:t>
                  </w:r>
                </w:p>
              </w:tc>
              <w:tc>
                <w:tcPr>
                  <w:tcW w:w="81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160</w:t>
                  </w:r>
                </w:p>
              </w:tc>
              <w:tc>
                <w:tcPr>
                  <w:tcW w:w="106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w:t>
                  </w:r>
                </w:p>
              </w:tc>
              <w:tc>
                <w:tcPr>
                  <w:tcW w:w="94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防振金具</w:t>
                  </w:r>
                </w:p>
              </w:tc>
              <w:tc>
                <w:tcPr>
                  <w:tcW w:w="108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p>
              </w:tc>
              <w:tc>
                <w:tcPr>
                  <w:tcW w:w="50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付</w:t>
                  </w:r>
                </w:p>
              </w:tc>
              <w:tc>
                <w:tcPr>
                  <w:tcW w:w="81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257</w:t>
                  </w:r>
                </w:p>
              </w:tc>
              <w:tc>
                <w:tcPr>
                  <w:tcW w:w="106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6</w:t>
                  </w:r>
                </w:p>
              </w:tc>
              <w:tc>
                <w:tcPr>
                  <w:tcW w:w="94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接续盒</w:t>
                  </w:r>
                </w:p>
              </w:tc>
              <w:tc>
                <w:tcPr>
                  <w:tcW w:w="108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p>
              </w:tc>
              <w:tc>
                <w:tcPr>
                  <w:tcW w:w="50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个</w:t>
                  </w:r>
                </w:p>
              </w:tc>
              <w:tc>
                <w:tcPr>
                  <w:tcW w:w="81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6</w:t>
                  </w:r>
                </w:p>
              </w:tc>
              <w:tc>
                <w:tcPr>
                  <w:tcW w:w="106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7</w:t>
                  </w:r>
                </w:p>
              </w:tc>
              <w:tc>
                <w:tcPr>
                  <w:tcW w:w="941"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余缆架</w:t>
                  </w:r>
                </w:p>
              </w:tc>
              <w:tc>
                <w:tcPr>
                  <w:tcW w:w="108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p>
              </w:tc>
              <w:tc>
                <w:tcPr>
                  <w:tcW w:w="50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eastAsia="zh-CN"/>
                    </w:rPr>
                    <w:t>个</w:t>
                  </w:r>
                </w:p>
              </w:tc>
              <w:tc>
                <w:tcPr>
                  <w:tcW w:w="81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6</w:t>
                  </w:r>
                </w:p>
              </w:tc>
              <w:tc>
                <w:tcPr>
                  <w:tcW w:w="106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外购</w:t>
                  </w:r>
                </w:p>
              </w:tc>
            </w:tr>
          </w:tbl>
          <w:p>
            <w:pPr>
              <w:keepNext w:val="0"/>
              <w:keepLines w:val="0"/>
              <w:pageBreakBefore w:val="0"/>
              <w:widowControl w:val="0"/>
              <w:kinsoku/>
              <w:wordWrap/>
              <w:topLinePunct w:val="0"/>
              <w:bidi w:val="0"/>
              <w:ind w:firstLine="480" w:firstLineChars="200"/>
              <w:jc w:val="both"/>
              <w:rPr>
                <w:rFonts w:hint="default" w:ascii="Times New Roman" w:hAnsi="Times New Roman" w:cs="Times New Roman"/>
                <w:b/>
                <w:color w:val="auto"/>
                <w:kern w:val="24"/>
              </w:rPr>
            </w:pP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原辅料</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w:t>
            </w:r>
            <w:r>
              <w:rPr>
                <w:rFonts w:hint="eastAsia" w:cs="Times New Roman"/>
                <w:color w:val="auto"/>
                <w:sz w:val="24"/>
                <w:lang w:eastAsia="zh-CN"/>
              </w:rPr>
              <w:t>主要原辅料</w:t>
            </w:r>
            <w:r>
              <w:rPr>
                <w:rFonts w:hint="default" w:ascii="Times New Roman" w:hAnsi="Times New Roman" w:cs="Times New Roman"/>
                <w:color w:val="auto"/>
                <w:sz w:val="24"/>
                <w:lang w:eastAsia="zh-CN"/>
              </w:rPr>
              <w:t>表</w:t>
            </w:r>
            <w:r>
              <w:rPr>
                <w:rFonts w:hint="eastAsia" w:cs="Times New Roman"/>
                <w:color w:val="auto"/>
                <w:sz w:val="24"/>
                <w:lang w:val="en-US" w:eastAsia="zh-CN"/>
              </w:rPr>
              <w:t>1-9-表1-11</w:t>
            </w:r>
            <w:r>
              <w:rPr>
                <w:rFonts w:hint="default" w:ascii="Times New Roman" w:hAnsi="Times New Roman" w:cs="Times New Roman"/>
                <w:color w:val="auto"/>
                <w:sz w:val="24"/>
                <w:lang w:eastAsia="zh-CN"/>
              </w:rPr>
              <w:t>所示。</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color w:val="auto"/>
                <w:sz w:val="21"/>
              </w:rPr>
            </w:pPr>
            <w:r>
              <w:rPr>
                <w:rFonts w:hint="default" w:ascii="Times New Roman" w:hAnsi="Times New Roman" w:cs="Times New Roman" w:eastAsiaTheme="minorEastAsia"/>
                <w:b/>
                <w:color w:val="auto"/>
                <w:sz w:val="21"/>
              </w:rPr>
              <w:t>表</w:t>
            </w:r>
            <w:r>
              <w:rPr>
                <w:rFonts w:hint="default" w:ascii="Times New Roman" w:hAnsi="Times New Roman" w:cs="Times New Roman" w:eastAsiaTheme="minorEastAsia"/>
                <w:b/>
                <w:color w:val="auto"/>
                <w:sz w:val="21"/>
                <w:lang w:val="en-US" w:eastAsia="zh-CN"/>
              </w:rPr>
              <w:t>1-</w:t>
            </w:r>
            <w:r>
              <w:rPr>
                <w:rFonts w:hint="eastAsia" w:ascii="Times New Roman" w:hAnsi="Times New Roman" w:cs="Times New Roman" w:eastAsiaTheme="minorEastAsia"/>
                <w:b/>
                <w:color w:val="auto"/>
                <w:sz w:val="21"/>
                <w:lang w:val="en-US" w:eastAsia="zh-CN"/>
              </w:rPr>
              <w:t>9</w:t>
            </w:r>
            <w:r>
              <w:rPr>
                <w:rFonts w:hint="default" w:ascii="Times New Roman" w:hAnsi="Times New Roman" w:cs="Times New Roman" w:eastAsiaTheme="minorEastAsia"/>
                <w:b/>
                <w:color w:val="auto"/>
                <w:sz w:val="21"/>
              </w:rPr>
              <w:t xml:space="preserve">    </w:t>
            </w:r>
            <w:r>
              <w:rPr>
                <w:rFonts w:hint="eastAsia" w:ascii="Times New Roman" w:hAnsi="Times New Roman" w:cs="Times New Roman" w:eastAsiaTheme="minorEastAsia"/>
                <w:b/>
                <w:color w:val="auto"/>
                <w:sz w:val="21"/>
                <w:lang w:eastAsia="zh-CN"/>
              </w:rPr>
              <w:t>导线材料</w:t>
            </w:r>
            <w:r>
              <w:rPr>
                <w:rFonts w:hint="default" w:ascii="Times New Roman" w:hAnsi="Times New Roman" w:cs="Times New Roman" w:eastAsiaTheme="minorEastAsia"/>
                <w:b/>
                <w:color w:val="auto"/>
                <w:sz w:val="21"/>
              </w:rPr>
              <w:t>汇总表</w:t>
            </w:r>
          </w:p>
          <w:tbl>
            <w:tblPr>
              <w:tblStyle w:val="17"/>
              <w:tblW w:w="4997"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772"/>
              <w:gridCol w:w="1267"/>
              <w:gridCol w:w="1450"/>
              <w:gridCol w:w="1401"/>
              <w:gridCol w:w="1000"/>
              <w:gridCol w:w="3132"/>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5" w:hRule="atLeast"/>
                <w:jc w:val="center"/>
              </w:trPr>
              <w:tc>
                <w:tcPr>
                  <w:tcW w:w="428"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名称</w:t>
                  </w:r>
                </w:p>
              </w:tc>
              <w:tc>
                <w:tcPr>
                  <w:tcW w:w="70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型号</w:t>
                  </w:r>
                </w:p>
              </w:tc>
              <w:tc>
                <w:tcPr>
                  <w:tcW w:w="803"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计算重量t/km</w:t>
                  </w:r>
                </w:p>
              </w:tc>
              <w:tc>
                <w:tcPr>
                  <w:tcW w:w="77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线路长度km</w:t>
                  </w:r>
                </w:p>
              </w:tc>
              <w:tc>
                <w:tcPr>
                  <w:tcW w:w="554"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重量 t</w:t>
                  </w:r>
                </w:p>
              </w:tc>
              <w:tc>
                <w:tcPr>
                  <w:tcW w:w="1735"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备注</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428"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导线</w:t>
                  </w:r>
                </w:p>
              </w:tc>
              <w:tc>
                <w:tcPr>
                  <w:tcW w:w="70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LGJ-300/40</w:t>
                  </w:r>
                </w:p>
              </w:tc>
              <w:tc>
                <w:tcPr>
                  <w:tcW w:w="803"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1.131</w:t>
                  </w:r>
                </w:p>
              </w:tc>
              <w:tc>
                <w:tcPr>
                  <w:tcW w:w="77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27.5</w:t>
                  </w:r>
                </w:p>
              </w:tc>
              <w:tc>
                <w:tcPr>
                  <w:tcW w:w="554"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193.2</w:t>
                  </w:r>
                </w:p>
              </w:tc>
              <w:tc>
                <w:tcPr>
                  <w:tcW w:w="1735"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钢芯铝绞线用量已含3.5%的损耗</w:t>
                  </w:r>
                </w:p>
              </w:tc>
            </w:tr>
          </w:tbl>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color w:val="auto"/>
                <w:sz w:val="21"/>
              </w:rPr>
            </w:pPr>
            <w:r>
              <w:rPr>
                <w:rFonts w:hint="default" w:ascii="Times New Roman" w:hAnsi="Times New Roman" w:cs="Times New Roman" w:eastAsiaTheme="minorEastAsia"/>
                <w:b/>
                <w:color w:val="auto"/>
                <w:sz w:val="21"/>
              </w:rPr>
              <w:t>表</w:t>
            </w:r>
            <w:r>
              <w:rPr>
                <w:rFonts w:hint="default" w:ascii="Times New Roman" w:hAnsi="Times New Roman" w:cs="Times New Roman" w:eastAsiaTheme="minorEastAsia"/>
                <w:b/>
                <w:color w:val="auto"/>
                <w:sz w:val="21"/>
                <w:lang w:val="en-US" w:eastAsia="zh-CN"/>
              </w:rPr>
              <w:t>1-</w:t>
            </w:r>
            <w:r>
              <w:rPr>
                <w:rFonts w:hint="eastAsia" w:ascii="Times New Roman" w:hAnsi="Times New Roman" w:cs="Times New Roman" w:eastAsiaTheme="minorEastAsia"/>
                <w:b/>
                <w:color w:val="auto"/>
                <w:sz w:val="21"/>
                <w:lang w:val="en-US" w:eastAsia="zh-CN"/>
              </w:rPr>
              <w:t>10</w:t>
            </w:r>
            <w:r>
              <w:rPr>
                <w:rFonts w:hint="default" w:ascii="Times New Roman" w:hAnsi="Times New Roman" w:cs="Times New Roman" w:eastAsiaTheme="minorEastAsia"/>
                <w:b/>
                <w:color w:val="auto"/>
                <w:sz w:val="21"/>
              </w:rPr>
              <w:t xml:space="preserve">  防振锤、间隔棒、重锤片</w:t>
            </w:r>
            <w:r>
              <w:rPr>
                <w:rFonts w:hint="eastAsia" w:ascii="Times New Roman" w:hAnsi="Times New Roman" w:cs="Times New Roman" w:eastAsiaTheme="minorEastAsia"/>
                <w:b/>
                <w:color w:val="auto"/>
                <w:sz w:val="21"/>
                <w:lang w:eastAsia="zh-CN"/>
              </w:rPr>
              <w:t>材料</w:t>
            </w:r>
            <w:r>
              <w:rPr>
                <w:rFonts w:hint="default" w:ascii="Times New Roman" w:hAnsi="Times New Roman" w:cs="Times New Roman" w:eastAsiaTheme="minorEastAsia"/>
                <w:b/>
                <w:color w:val="auto"/>
                <w:sz w:val="21"/>
              </w:rPr>
              <w:t>汇总表</w:t>
            </w:r>
          </w:p>
          <w:tbl>
            <w:tblPr>
              <w:tblStyle w:val="17"/>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47"/>
              <w:gridCol w:w="1692"/>
              <w:gridCol w:w="2376"/>
              <w:gridCol w:w="1520"/>
              <w:gridCol w:w="238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序号</w:t>
                  </w:r>
                </w:p>
              </w:tc>
              <w:tc>
                <w:tcPr>
                  <w:tcW w:w="93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名称</w:t>
                  </w:r>
                </w:p>
              </w:tc>
              <w:tc>
                <w:tcPr>
                  <w:tcW w:w="131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型号</w:t>
                  </w:r>
                </w:p>
              </w:tc>
              <w:tc>
                <w:tcPr>
                  <w:tcW w:w="84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实际量</w:t>
                  </w:r>
                </w:p>
              </w:tc>
              <w:tc>
                <w:tcPr>
                  <w:tcW w:w="132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w:t>
                  </w:r>
                </w:p>
              </w:tc>
              <w:tc>
                <w:tcPr>
                  <w:tcW w:w="937" w:type="pct"/>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防振锤</w:t>
                  </w:r>
                </w:p>
              </w:tc>
              <w:tc>
                <w:tcPr>
                  <w:tcW w:w="131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FRYJ-3/5</w:t>
                  </w:r>
                </w:p>
              </w:tc>
              <w:tc>
                <w:tcPr>
                  <w:tcW w:w="84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1225</w:t>
                  </w:r>
                </w:p>
              </w:tc>
              <w:tc>
                <w:tcPr>
                  <w:tcW w:w="132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用于导线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w:t>
                  </w:r>
                </w:p>
              </w:tc>
              <w:tc>
                <w:tcPr>
                  <w:tcW w:w="93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p>
              </w:tc>
              <w:tc>
                <w:tcPr>
                  <w:tcW w:w="131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FRYJ-3/G</w:t>
                  </w:r>
                </w:p>
              </w:tc>
              <w:tc>
                <w:tcPr>
                  <w:tcW w:w="84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205</w:t>
                  </w:r>
                </w:p>
              </w:tc>
              <w:tc>
                <w:tcPr>
                  <w:tcW w:w="132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用于地线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8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3</w:t>
                  </w:r>
                </w:p>
              </w:tc>
              <w:tc>
                <w:tcPr>
                  <w:tcW w:w="937" w:type="pct"/>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间隔棒</w:t>
                  </w:r>
                </w:p>
              </w:tc>
              <w:tc>
                <w:tcPr>
                  <w:tcW w:w="131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FJZ-240/24</w:t>
                  </w:r>
                </w:p>
              </w:tc>
              <w:tc>
                <w:tcPr>
                  <w:tcW w:w="84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1389</w:t>
                  </w:r>
                </w:p>
              </w:tc>
              <w:tc>
                <w:tcPr>
                  <w:tcW w:w="132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导线间隔棒</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4</w:t>
                  </w:r>
                </w:p>
              </w:tc>
              <w:tc>
                <w:tcPr>
                  <w:tcW w:w="93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p>
              </w:tc>
              <w:tc>
                <w:tcPr>
                  <w:tcW w:w="131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FJQ-405</w:t>
                  </w:r>
                </w:p>
              </w:tc>
              <w:tc>
                <w:tcPr>
                  <w:tcW w:w="84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188</w:t>
                  </w:r>
                </w:p>
              </w:tc>
              <w:tc>
                <w:tcPr>
                  <w:tcW w:w="132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跳线间隔棒</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8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5</w:t>
                  </w:r>
                </w:p>
              </w:tc>
              <w:tc>
                <w:tcPr>
                  <w:tcW w:w="93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重锤片</w:t>
                  </w:r>
                </w:p>
              </w:tc>
              <w:tc>
                <w:tcPr>
                  <w:tcW w:w="131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FZC-15Y</w:t>
                  </w:r>
                </w:p>
              </w:tc>
              <w:tc>
                <w:tcPr>
                  <w:tcW w:w="84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282</w:t>
                  </w:r>
                </w:p>
              </w:tc>
              <w:tc>
                <w:tcPr>
                  <w:tcW w:w="132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用于跳线串</w:t>
                  </w:r>
                </w:p>
              </w:tc>
            </w:tr>
          </w:tbl>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color w:val="auto"/>
                <w:sz w:val="21"/>
              </w:rPr>
            </w:pPr>
            <w:r>
              <w:rPr>
                <w:rFonts w:hint="default" w:ascii="Times New Roman" w:hAnsi="Times New Roman" w:cs="Times New Roman" w:eastAsiaTheme="minorEastAsia"/>
                <w:b/>
                <w:color w:val="auto"/>
                <w:sz w:val="21"/>
              </w:rPr>
              <w:t>表</w:t>
            </w:r>
            <w:r>
              <w:rPr>
                <w:rFonts w:hint="default" w:ascii="Times New Roman" w:hAnsi="Times New Roman" w:cs="Times New Roman" w:eastAsiaTheme="minorEastAsia"/>
                <w:b/>
                <w:color w:val="auto"/>
                <w:sz w:val="21"/>
                <w:lang w:val="en-US" w:eastAsia="zh-CN"/>
              </w:rPr>
              <w:t>1-</w:t>
            </w:r>
            <w:r>
              <w:rPr>
                <w:rFonts w:hint="eastAsia" w:ascii="Times New Roman" w:hAnsi="Times New Roman" w:cs="Times New Roman" w:eastAsiaTheme="minorEastAsia"/>
                <w:b/>
                <w:color w:val="auto"/>
                <w:sz w:val="21"/>
                <w:lang w:val="en-US" w:eastAsia="zh-CN"/>
              </w:rPr>
              <w:t>11</w:t>
            </w:r>
            <w:r>
              <w:rPr>
                <w:rFonts w:hint="default" w:ascii="Times New Roman" w:hAnsi="Times New Roman" w:cs="Times New Roman" w:eastAsiaTheme="minorEastAsia"/>
                <w:b/>
                <w:color w:val="auto"/>
                <w:sz w:val="21"/>
              </w:rPr>
              <w:t xml:space="preserve"> </w:t>
            </w:r>
            <w:r>
              <w:rPr>
                <w:rFonts w:hint="eastAsia" w:ascii="Times New Roman" w:hAnsi="Times New Roman" w:cs="Times New Roman" w:eastAsiaTheme="minorEastAsia"/>
                <w:b/>
                <w:color w:val="auto"/>
                <w:sz w:val="21"/>
                <w:lang w:val="en-US" w:eastAsia="zh-CN"/>
              </w:rPr>
              <w:t xml:space="preserve">    </w:t>
            </w:r>
            <w:r>
              <w:rPr>
                <w:rFonts w:hint="default" w:ascii="Times New Roman" w:hAnsi="Times New Roman" w:cs="Times New Roman" w:eastAsiaTheme="minorEastAsia"/>
                <w:b/>
                <w:color w:val="auto"/>
                <w:sz w:val="21"/>
              </w:rPr>
              <w:t>绝缘子</w:t>
            </w:r>
            <w:r>
              <w:rPr>
                <w:rFonts w:hint="eastAsia" w:ascii="Times New Roman" w:hAnsi="Times New Roman" w:cs="Times New Roman" w:eastAsiaTheme="minorEastAsia"/>
                <w:b/>
                <w:color w:val="auto"/>
                <w:sz w:val="21"/>
                <w:lang w:eastAsia="zh-CN"/>
              </w:rPr>
              <w:t>材料</w:t>
            </w:r>
            <w:r>
              <w:rPr>
                <w:rFonts w:hint="default" w:ascii="Times New Roman" w:hAnsi="Times New Roman" w:cs="Times New Roman" w:eastAsiaTheme="minorEastAsia"/>
                <w:b/>
                <w:color w:val="auto"/>
                <w:sz w:val="21"/>
              </w:rPr>
              <w:t>汇总表</w:t>
            </w:r>
          </w:p>
          <w:tbl>
            <w:tblPr>
              <w:tblStyle w:val="17"/>
              <w:tblW w:w="4998"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529"/>
              <w:gridCol w:w="2306"/>
              <w:gridCol w:w="1672"/>
              <w:gridCol w:w="1338"/>
              <w:gridCol w:w="2178"/>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1" w:hRule="atLeast"/>
                <w:jc w:val="center"/>
              </w:trPr>
              <w:tc>
                <w:tcPr>
                  <w:tcW w:w="84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名称</w:t>
                  </w:r>
                </w:p>
              </w:tc>
              <w:tc>
                <w:tcPr>
                  <w:tcW w:w="127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型号</w:t>
                  </w:r>
                </w:p>
              </w:tc>
              <w:tc>
                <w:tcPr>
                  <w:tcW w:w="9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数量串</w:t>
                  </w:r>
                </w:p>
              </w:tc>
              <w:tc>
                <w:tcPr>
                  <w:tcW w:w="741"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片数</w:t>
                  </w:r>
                </w:p>
              </w:tc>
              <w:tc>
                <w:tcPr>
                  <w:tcW w:w="120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备注</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99" w:hRule="atLeast"/>
                <w:jc w:val="center"/>
              </w:trPr>
              <w:tc>
                <w:tcPr>
                  <w:tcW w:w="84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复合绝缘子</w:t>
                  </w:r>
                </w:p>
              </w:tc>
              <w:tc>
                <w:tcPr>
                  <w:tcW w:w="127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1×FXBW-110/120</w:t>
                  </w:r>
                </w:p>
              </w:tc>
              <w:tc>
                <w:tcPr>
                  <w:tcW w:w="9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156</w:t>
                  </w:r>
                </w:p>
              </w:tc>
              <w:tc>
                <w:tcPr>
                  <w:tcW w:w="741"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p>
              </w:tc>
              <w:tc>
                <w:tcPr>
                  <w:tcW w:w="120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悬垂单串</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4" w:hRule="atLeast"/>
                <w:jc w:val="center"/>
              </w:trPr>
              <w:tc>
                <w:tcPr>
                  <w:tcW w:w="84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复合绝缘子</w:t>
                  </w:r>
                </w:p>
              </w:tc>
              <w:tc>
                <w:tcPr>
                  <w:tcW w:w="127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2×FXBW-110/120</w:t>
                  </w:r>
                </w:p>
              </w:tc>
              <w:tc>
                <w:tcPr>
                  <w:tcW w:w="9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12</w:t>
                  </w:r>
                </w:p>
              </w:tc>
              <w:tc>
                <w:tcPr>
                  <w:tcW w:w="741"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p>
              </w:tc>
              <w:tc>
                <w:tcPr>
                  <w:tcW w:w="120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悬垂双串</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0" w:hRule="atLeast"/>
                <w:jc w:val="center"/>
              </w:trPr>
              <w:tc>
                <w:tcPr>
                  <w:tcW w:w="84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复合绝缘子</w:t>
                  </w:r>
                </w:p>
              </w:tc>
              <w:tc>
                <w:tcPr>
                  <w:tcW w:w="127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1×FXBW-110/120</w:t>
                  </w:r>
                </w:p>
              </w:tc>
              <w:tc>
                <w:tcPr>
                  <w:tcW w:w="9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92</w:t>
                  </w:r>
                </w:p>
              </w:tc>
              <w:tc>
                <w:tcPr>
                  <w:tcW w:w="741"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p>
              </w:tc>
              <w:tc>
                <w:tcPr>
                  <w:tcW w:w="120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跳线串</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55" w:hRule="atLeast"/>
                <w:jc w:val="center"/>
              </w:trPr>
              <w:tc>
                <w:tcPr>
                  <w:tcW w:w="84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玻璃绝缘子</w:t>
                  </w:r>
                </w:p>
              </w:tc>
              <w:tc>
                <w:tcPr>
                  <w:tcW w:w="127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both"/>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2×9片U120BP/146-1</w:t>
                  </w:r>
                </w:p>
              </w:tc>
              <w:tc>
                <w:tcPr>
                  <w:tcW w:w="9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186</w:t>
                  </w:r>
                </w:p>
              </w:tc>
              <w:tc>
                <w:tcPr>
                  <w:tcW w:w="741"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3348</w:t>
                  </w:r>
                </w:p>
              </w:tc>
              <w:tc>
                <w:tcPr>
                  <w:tcW w:w="120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耐张串</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07" w:hRule="atLeast"/>
                <w:jc w:val="center"/>
              </w:trPr>
              <w:tc>
                <w:tcPr>
                  <w:tcW w:w="84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瓷绝缘子</w:t>
                  </w:r>
                </w:p>
              </w:tc>
              <w:tc>
                <w:tcPr>
                  <w:tcW w:w="127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both"/>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1×9片U70BP/146D</w:t>
                  </w:r>
                </w:p>
              </w:tc>
              <w:tc>
                <w:tcPr>
                  <w:tcW w:w="92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12</w:t>
                  </w:r>
                </w:p>
              </w:tc>
              <w:tc>
                <w:tcPr>
                  <w:tcW w:w="741"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108</w:t>
                  </w:r>
                </w:p>
              </w:tc>
              <w:tc>
                <w:tcPr>
                  <w:tcW w:w="120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before="0" w:after="0" w:line="320" w:lineRule="exact"/>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耐张串</w:t>
                  </w:r>
                </w:p>
              </w:tc>
            </w:tr>
          </w:tbl>
          <w:p>
            <w:pPr>
              <w:keepNext w:val="0"/>
              <w:keepLines w:val="0"/>
              <w:pageBreakBefore w:val="0"/>
              <w:widowControl w:val="0"/>
              <w:kinsoku/>
              <w:wordWrap/>
              <w:topLinePunct w:val="0"/>
              <w:bidi w:val="0"/>
              <w:ind w:firstLine="480" w:firstLineChars="200"/>
              <w:jc w:val="both"/>
              <w:rPr>
                <w:rFonts w:hint="default" w:ascii="Times New Roman" w:hAnsi="Times New Roman" w:cs="Times New Roman"/>
                <w:b/>
                <w:color w:val="0000FF"/>
                <w:kern w:val="24"/>
              </w:rPr>
            </w:pPr>
            <w:r>
              <w:rPr>
                <w:rFonts w:hint="default" w:ascii="Times New Roman" w:hAnsi="Times New Roman" w:cs="Times New Roman"/>
                <w:sz w:val="24"/>
                <w:lang w:eastAsia="zh-CN"/>
              </w:rPr>
              <w:t>（</w:t>
            </w:r>
            <w:r>
              <w:rPr>
                <w:rFonts w:hint="eastAsia" w:cs="Times New Roman"/>
                <w:sz w:val="24"/>
                <w:lang w:val="en-US" w:eastAsia="zh-CN"/>
              </w:rPr>
              <w:t>8</w:t>
            </w:r>
            <w:r>
              <w:rPr>
                <w:rFonts w:hint="default" w:ascii="Times New Roman" w:hAnsi="Times New Roman" w:cs="Times New Roman"/>
                <w:sz w:val="24"/>
                <w:lang w:eastAsia="zh-CN"/>
              </w:rPr>
              <w:t>）地理位置</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①输电线路规模</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新建国华神木墩梁风电场薛家畔、李家畔、槐树峁风电项目110KV送出线路，线路总长</w:t>
            </w:r>
            <w:r>
              <w:rPr>
                <w:rFonts w:hint="default" w:ascii="Times New Roman" w:hAnsi="Times New Roman" w:cs="Times New Roman"/>
                <w:color w:val="auto"/>
                <w:sz w:val="24"/>
                <w:lang w:val="en-US" w:eastAsia="zh-CN"/>
              </w:rPr>
              <w:t>27.5</w:t>
            </w:r>
            <w:r>
              <w:rPr>
                <w:rFonts w:hint="default" w:ascii="Times New Roman" w:hAnsi="Times New Roman" w:cs="Times New Roman"/>
                <w:color w:val="auto"/>
                <w:sz w:val="24"/>
                <w:lang w:eastAsia="zh-CN"/>
              </w:rPr>
              <w:t>km，采用单回路架设。</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②输电线路路径</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本项目输电线路位于榆林市神木市，</w:t>
            </w:r>
            <w:r>
              <w:rPr>
                <w:rFonts w:hint="default" w:ascii="Times New Roman" w:hAnsi="Times New Roman" w:cs="Times New Roman"/>
                <w:color w:val="auto"/>
                <w:sz w:val="24"/>
                <w:lang w:val="en-US" w:eastAsia="zh-CN"/>
              </w:rPr>
              <w:t>线路起于老爷庙拟建李家畔110kV升压站，</w:t>
            </w:r>
            <w:r>
              <w:rPr>
                <w:rFonts w:hint="eastAsia" w:ascii="Times New Roman" w:hAnsi="Times New Roman" w:cs="Times New Roman"/>
                <w:color w:val="auto"/>
                <w:sz w:val="24"/>
                <w:lang w:val="en-US" w:eastAsia="zh-CN"/>
              </w:rPr>
              <w:t>线路前期</w:t>
            </w:r>
            <w:r>
              <w:rPr>
                <w:rFonts w:hint="default" w:ascii="Times New Roman" w:hAnsi="Times New Roman" w:cs="Times New Roman"/>
                <w:color w:val="auto"/>
                <w:sz w:val="24"/>
                <w:lang w:val="en-US" w:eastAsia="zh-CN"/>
              </w:rPr>
              <w:t>接入国电投110kV升压站</w:t>
            </w:r>
            <w:r>
              <w:rPr>
                <w:rFonts w:hint="eastAsia" w:ascii="Times New Roman" w:hAnsi="Times New Roman" w:cs="Times New Roman"/>
                <w:color w:val="auto"/>
                <w:sz w:val="24"/>
                <w:lang w:val="en-US" w:eastAsia="zh-CN"/>
              </w:rPr>
              <w:t>，待</w:t>
            </w:r>
            <w:r>
              <w:rPr>
                <w:rFonts w:hint="default" w:ascii="Times New Roman" w:hAnsi="Times New Roman" w:cs="Times New Roman"/>
                <w:color w:val="auto"/>
                <w:sz w:val="24"/>
                <w:lang w:val="en-US" w:eastAsia="zh-CN"/>
              </w:rPr>
              <w:t>锦界330kV变电站</w:t>
            </w:r>
            <w:r>
              <w:rPr>
                <w:rFonts w:hint="eastAsia" w:ascii="Times New Roman" w:hAnsi="Times New Roman" w:cs="Times New Roman"/>
                <w:color w:val="auto"/>
                <w:sz w:val="24"/>
                <w:lang w:val="en-US" w:eastAsia="zh-CN"/>
              </w:rPr>
              <w:t>建成后</w:t>
            </w:r>
            <w:r>
              <w:rPr>
                <w:rFonts w:hint="default" w:ascii="Times New Roman" w:hAnsi="Times New Roman" w:cs="Times New Roman"/>
                <w:color w:val="auto"/>
                <w:sz w:val="24"/>
                <w:lang w:val="en-US" w:eastAsia="zh-CN"/>
              </w:rPr>
              <w:t>接入锦界330kV变电站。</w:t>
            </w:r>
            <w:r>
              <w:rPr>
                <w:rFonts w:hint="eastAsia" w:ascii="Times New Roman" w:hAnsi="Times New Roman" w:cs="Times New Roman"/>
                <w:color w:val="auto"/>
                <w:sz w:val="24"/>
                <w:lang w:val="en-US" w:eastAsia="zh-CN"/>
              </w:rPr>
              <w:t>李家畔</w:t>
            </w:r>
            <w:r>
              <w:rPr>
                <w:rFonts w:hint="default" w:ascii="Times New Roman" w:hAnsi="Times New Roman" w:cs="Times New Roman"/>
                <w:color w:val="auto"/>
                <w:sz w:val="24"/>
                <w:lang w:val="en-US" w:eastAsia="zh-CN"/>
              </w:rPr>
              <w:t>110kV</w:t>
            </w:r>
            <w:r>
              <w:rPr>
                <w:rFonts w:hint="eastAsia" w:ascii="Times New Roman" w:hAnsi="Times New Roman" w:cs="Times New Roman"/>
                <w:color w:val="auto"/>
                <w:sz w:val="24"/>
                <w:lang w:val="en-US" w:eastAsia="zh-CN"/>
              </w:rPr>
              <w:t>升压站至国电投</w:t>
            </w:r>
            <w:r>
              <w:rPr>
                <w:rFonts w:hint="default" w:ascii="Times New Roman" w:hAnsi="Times New Roman" w:cs="Times New Roman"/>
                <w:color w:val="auto"/>
                <w:sz w:val="24"/>
                <w:lang w:val="en-US" w:eastAsia="zh-CN"/>
              </w:rPr>
              <w:t>110kV</w:t>
            </w:r>
            <w:r>
              <w:rPr>
                <w:rFonts w:hint="eastAsia" w:ascii="Times New Roman" w:hAnsi="Times New Roman" w:cs="Times New Roman"/>
                <w:color w:val="auto"/>
                <w:sz w:val="24"/>
                <w:lang w:val="en-US" w:eastAsia="zh-CN"/>
              </w:rPr>
              <w:t>升压站线路</w:t>
            </w:r>
            <w:r>
              <w:rPr>
                <w:rFonts w:hint="default" w:ascii="Times New Roman" w:hAnsi="Times New Roman" w:cs="Times New Roman"/>
                <w:color w:val="auto"/>
                <w:sz w:val="24"/>
                <w:lang w:val="en-US" w:eastAsia="zh-CN"/>
              </w:rPr>
              <w:t>路径长约19.6km，</w:t>
            </w:r>
            <w:r>
              <w:rPr>
                <w:rFonts w:hint="eastAsia" w:ascii="Times New Roman" w:hAnsi="Times New Roman" w:cs="Times New Roman"/>
                <w:color w:val="auto"/>
                <w:sz w:val="24"/>
                <w:lang w:val="en-US" w:eastAsia="zh-CN"/>
              </w:rPr>
              <w:t>国电投</w:t>
            </w:r>
            <w:r>
              <w:rPr>
                <w:rFonts w:hint="default" w:ascii="Times New Roman" w:hAnsi="Times New Roman" w:cs="Times New Roman"/>
                <w:color w:val="auto"/>
                <w:sz w:val="24"/>
                <w:lang w:val="en-US" w:eastAsia="zh-CN"/>
              </w:rPr>
              <w:t>110kV</w:t>
            </w:r>
            <w:r>
              <w:rPr>
                <w:rFonts w:hint="eastAsia" w:ascii="Times New Roman" w:hAnsi="Times New Roman" w:cs="Times New Roman"/>
                <w:color w:val="auto"/>
                <w:sz w:val="24"/>
                <w:lang w:val="en-US" w:eastAsia="zh-CN"/>
              </w:rPr>
              <w:t>升压站至</w:t>
            </w:r>
            <w:r>
              <w:rPr>
                <w:rFonts w:hint="default" w:ascii="Times New Roman" w:hAnsi="Times New Roman" w:cs="Times New Roman"/>
                <w:color w:val="auto"/>
                <w:sz w:val="24"/>
                <w:lang w:val="en-US" w:eastAsia="zh-CN"/>
              </w:rPr>
              <w:t>锦界330kV变电站线路路径长约7.9km。路径总长约27.5km。</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③锦界330kV变电站</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 xml:space="preserve">锦界330kV变电站当中庙站址二位于陕西省榆林市神木县锦界镇瑶渠村西南的当中庙，站址东北距离瑶渠村约1.1km。站址东北方向离神木县城约27km，西南方向距离榆林市约68km。 </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锦界330kV变电站110kV出线间隔位于变电站南侧，从东往西第五个出线间隔为李家畔110kV升压站出线间隔。</w:t>
            </w:r>
            <w:r>
              <w:rPr>
                <w:rFonts w:hint="default" w:ascii="Times New Roman" w:hAnsi="Times New Roman" w:cs="Times New Roman"/>
                <w:color w:val="auto"/>
                <w:sz w:val="24"/>
                <w:lang w:val="zh-CN" w:eastAsia="zh-CN"/>
              </w:rPr>
              <w:t>本项目</w:t>
            </w:r>
            <w:r>
              <w:rPr>
                <w:rFonts w:hint="eastAsia" w:ascii="Times New Roman" w:hAnsi="Times New Roman" w:cs="Times New Roman"/>
                <w:color w:val="auto"/>
                <w:sz w:val="24"/>
                <w:lang w:val="zh-CN" w:eastAsia="zh-CN"/>
              </w:rPr>
              <w:t>前期</w:t>
            </w:r>
            <w:r>
              <w:rPr>
                <w:rFonts w:hint="default" w:ascii="Times New Roman" w:hAnsi="Times New Roman" w:cs="Times New Roman"/>
                <w:color w:val="auto"/>
                <w:sz w:val="24"/>
                <w:lang w:val="zh-CN" w:eastAsia="zh-CN"/>
              </w:rPr>
              <w:t>接入国电投110kV升压站，</w:t>
            </w:r>
            <w:r>
              <w:rPr>
                <w:rFonts w:hint="eastAsia" w:ascii="Times New Roman" w:hAnsi="Times New Roman" w:cs="Times New Roman"/>
                <w:color w:val="auto"/>
                <w:sz w:val="24"/>
                <w:lang w:val="zh-CN" w:eastAsia="zh-CN"/>
              </w:rPr>
              <w:t>后期</w:t>
            </w:r>
            <w:r>
              <w:rPr>
                <w:rFonts w:hint="default" w:ascii="Times New Roman" w:hAnsi="Times New Roman" w:cs="Times New Roman"/>
                <w:color w:val="auto"/>
                <w:sz w:val="24"/>
                <w:lang w:val="zh-CN" w:eastAsia="zh-CN"/>
              </w:rPr>
              <w:t>接入330kV锦界变电站。出线间隔示意图见图</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w:t>
            </w:r>
          </w:p>
          <w:p>
            <w:pPr>
              <w:pStyle w:val="27"/>
              <w:keepNext w:val="0"/>
              <w:keepLines w:val="0"/>
              <w:pageBreakBefore w:val="0"/>
              <w:widowControl w:val="0"/>
              <w:kinsoku/>
              <w:wordWrap/>
              <w:topLinePunct w:val="0"/>
              <w:bidi w:val="0"/>
              <w:spacing w:before="3" w:line="364" w:lineRule="auto"/>
              <w:ind w:left="107" w:leftChars="0" w:right="75" w:hanging="107" w:firstLineChars="0"/>
              <w:jc w:val="center"/>
              <w:rPr>
                <w:rFonts w:hint="default" w:ascii="Times New Roman" w:hAnsi="Times New Roman" w:cs="Times New Roman"/>
                <w:color w:val="auto"/>
                <w:sz w:val="24"/>
                <w:lang w:val="en-US" w:eastAsia="zh-CN"/>
              </w:rPr>
            </w:pPr>
            <w:r>
              <w:rPr>
                <w:rFonts w:hint="default" w:ascii="Times New Roman" w:hAnsi="Times New Roman" w:cs="Times New Roman"/>
              </w:rPr>
              <w:drawing>
                <wp:inline distT="0" distB="0" distL="114300" distR="114300">
                  <wp:extent cx="5509260" cy="1250950"/>
                  <wp:effectExtent l="0" t="0" r="152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509260" cy="1250950"/>
                          </a:xfrm>
                          <a:prstGeom prst="rect">
                            <a:avLst/>
                          </a:prstGeom>
                          <a:noFill/>
                          <a:ln>
                            <a:noFill/>
                          </a:ln>
                        </pic:spPr>
                      </pic:pic>
                    </a:graphicData>
                  </a:graphic>
                </wp:inline>
              </w:drawing>
            </w:r>
          </w:p>
          <w:p>
            <w:pPr>
              <w:keepNext w:val="0"/>
              <w:keepLines w:val="0"/>
              <w:pageBreakBefore w:val="0"/>
              <w:widowControl w:val="0"/>
              <w:kinsoku/>
              <w:wordWrap/>
              <w:topLinePunct w:val="0"/>
              <w:bidi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图</w:t>
            </w:r>
            <w:r>
              <w:rPr>
                <w:rFonts w:hint="eastAsia" w:cs="Times New Roman"/>
                <w:b/>
                <w:color w:val="auto"/>
                <w:sz w:val="21"/>
                <w:szCs w:val="21"/>
                <w:lang w:val="en-US" w:eastAsia="zh-CN"/>
              </w:rPr>
              <w:t>2</w:t>
            </w:r>
            <w:r>
              <w:rPr>
                <w:rFonts w:hint="default" w:ascii="Times New Roman" w:hAnsi="Times New Roman" w:cs="Times New Roman"/>
                <w:b/>
                <w:color w:val="auto"/>
                <w:sz w:val="21"/>
                <w:szCs w:val="21"/>
                <w:lang w:val="en-US" w:eastAsia="zh-CN"/>
              </w:rPr>
              <w:t xml:space="preserve">     锦界330kV变电站110kV出线间隔示意图 </w:t>
            </w:r>
          </w:p>
          <w:p>
            <w:pPr>
              <w:pStyle w:val="27"/>
              <w:keepNext w:val="0"/>
              <w:keepLines w:val="0"/>
              <w:pageBreakBefore w:val="0"/>
              <w:widowControl w:val="0"/>
              <w:kinsoku/>
              <w:wordWrap/>
              <w:topLinePunct w:val="0"/>
              <w:bidi w:val="0"/>
              <w:spacing w:before="3" w:line="364" w:lineRule="auto"/>
              <w:ind w:left="107" w:right="75" w:firstLine="480"/>
              <w:jc w:val="center"/>
              <w:rPr>
                <w:rFonts w:hint="default" w:ascii="Times New Roman" w:hAnsi="Times New Roman" w:cs="Times New Roman"/>
                <w:color w:val="auto"/>
                <w:sz w:val="24"/>
                <w:lang w:val="zh-CN" w:eastAsia="zh-CN"/>
              </w:rPr>
            </w:pPr>
            <w:r>
              <w:rPr>
                <w:rFonts w:hint="default" w:ascii="Times New Roman" w:hAnsi="Times New Roman" w:cs="Times New Roman"/>
              </w:rPr>
              <w:drawing>
                <wp:inline distT="0" distB="0" distL="114300" distR="114300">
                  <wp:extent cx="3018790" cy="1134745"/>
                  <wp:effectExtent l="0" t="0" r="1016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018790" cy="1134745"/>
                          </a:xfrm>
                          <a:prstGeom prst="rect">
                            <a:avLst/>
                          </a:prstGeom>
                          <a:noFill/>
                          <a:ln>
                            <a:noFill/>
                          </a:ln>
                        </pic:spPr>
                      </pic:pic>
                    </a:graphicData>
                  </a:graphic>
                </wp:inline>
              </w:drawing>
            </w:r>
          </w:p>
          <w:p>
            <w:pPr>
              <w:keepNext w:val="0"/>
              <w:keepLines w:val="0"/>
              <w:pageBreakBefore w:val="0"/>
              <w:widowControl w:val="0"/>
              <w:kinsoku/>
              <w:wordWrap/>
              <w:topLinePunct w:val="0"/>
              <w:bidi w:val="0"/>
              <w:spacing w:line="240" w:lineRule="auto"/>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图</w:t>
            </w:r>
            <w:r>
              <w:rPr>
                <w:rFonts w:hint="eastAsia" w:cs="Times New Roman"/>
                <w:b/>
                <w:color w:val="auto"/>
                <w:sz w:val="21"/>
                <w:szCs w:val="21"/>
                <w:lang w:val="en-US" w:eastAsia="zh-CN"/>
              </w:rPr>
              <w:t>3</w:t>
            </w:r>
            <w:r>
              <w:rPr>
                <w:rFonts w:hint="default" w:ascii="Times New Roman" w:hAnsi="Times New Roman" w:cs="Times New Roman"/>
                <w:b/>
                <w:color w:val="auto"/>
                <w:sz w:val="21"/>
                <w:szCs w:val="21"/>
                <w:lang w:val="en-US" w:eastAsia="zh-CN"/>
              </w:rPr>
              <w:t xml:space="preserve">       调整后的国电投 110kV 升压站出线间隔示意图</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④国电投110kV升压</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拟建国电投110kV升压站位于神木市锦界东侧约6km。110千伏出线三回，向西北向出线，从南往北依次为华电高家堡二期、330kV锦界变、华电李家畔。出线间隔示意图见图</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lang w:val="en-US" w:eastAsia="zh-CN"/>
              </w:rPr>
              <w:t>。</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⑤李家畔110kV升压站</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正在建设中的李家畔110kV升压站位于神木老爷庙，距离锦界镇约22km，距离神木市约17km。李家畔110kV升压站位于老爷庙村关帝庙西约200m的黄土坡上，</w:t>
            </w:r>
            <w:r>
              <w:rPr>
                <w:rFonts w:hint="default" w:ascii="Times New Roman" w:hAnsi="Times New Roman" w:cs="Times New Roman"/>
                <w:color w:val="auto"/>
                <w:sz w:val="24"/>
                <w:lang w:val="en-US" w:eastAsia="zh-CN"/>
              </w:rPr>
              <w:t>李家畔110kV升压站分别汇集李家畔风电场、薛家畔风电场、槐树峁风电场的35kV集电线路。接线示意见图</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lang w:val="en-US" w:eastAsia="zh-CN"/>
              </w:rPr>
              <w:t>。</w:t>
            </w:r>
          </w:p>
          <w:p>
            <w:pPr>
              <w:pStyle w:val="27"/>
              <w:keepNext w:val="0"/>
              <w:keepLines w:val="0"/>
              <w:pageBreakBefore w:val="0"/>
              <w:widowControl w:val="0"/>
              <w:kinsoku/>
              <w:wordWrap/>
              <w:topLinePunct w:val="0"/>
              <w:bidi w:val="0"/>
              <w:spacing w:before="3" w:line="364" w:lineRule="auto"/>
              <w:ind w:left="107" w:leftChars="0" w:right="75" w:hanging="107" w:firstLineChars="0"/>
              <w:jc w:val="both"/>
              <w:rPr>
                <w:rFonts w:hint="default" w:ascii="Times New Roman" w:hAnsi="Times New Roman" w:cs="Times New Roman"/>
                <w:color w:val="auto"/>
                <w:sz w:val="24"/>
                <w:lang w:val="zh-CN" w:eastAsia="zh-CN"/>
              </w:rPr>
            </w:pPr>
            <w:r>
              <w:rPr>
                <w:rFonts w:hint="default" w:ascii="Times New Roman" w:hAnsi="Times New Roman" w:cs="Times New Roman"/>
              </w:rPr>
              <w:drawing>
                <wp:inline distT="0" distB="0" distL="114300" distR="114300">
                  <wp:extent cx="5272405" cy="2593975"/>
                  <wp:effectExtent l="0" t="0" r="4445"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72405" cy="2593975"/>
                          </a:xfrm>
                          <a:prstGeom prst="rect">
                            <a:avLst/>
                          </a:prstGeom>
                          <a:noFill/>
                          <a:ln>
                            <a:noFill/>
                          </a:ln>
                        </pic:spPr>
                      </pic:pic>
                    </a:graphicData>
                  </a:graphic>
                </wp:inline>
              </w:drawing>
            </w:r>
          </w:p>
          <w:p>
            <w:pPr>
              <w:keepNext w:val="0"/>
              <w:keepLines w:val="0"/>
              <w:pageBreakBefore w:val="0"/>
              <w:widowControl w:val="0"/>
              <w:kinsoku/>
              <w:wordWrap/>
              <w:topLinePunct w:val="0"/>
              <w:bidi w:val="0"/>
              <w:spacing w:line="240" w:lineRule="auto"/>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图</w:t>
            </w:r>
            <w:r>
              <w:rPr>
                <w:rFonts w:hint="eastAsia" w:cs="Times New Roman"/>
                <w:b/>
                <w:color w:val="auto"/>
                <w:sz w:val="21"/>
                <w:szCs w:val="21"/>
                <w:lang w:val="en-US" w:eastAsia="zh-CN"/>
              </w:rPr>
              <w:t>4</w:t>
            </w:r>
            <w:r>
              <w:rPr>
                <w:rFonts w:hint="default" w:ascii="Times New Roman" w:hAnsi="Times New Roman" w:cs="Times New Roman"/>
                <w:b/>
                <w:color w:val="auto"/>
                <w:sz w:val="21"/>
                <w:szCs w:val="21"/>
                <w:lang w:val="en-US" w:eastAsia="zh-CN"/>
              </w:rPr>
              <w:t xml:space="preserve">      李家畔110kV升压站接线示意</w:t>
            </w:r>
          </w:p>
          <w:tbl>
            <w:tblPr>
              <w:tblStyle w:val="1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76"/>
              <w:gridCol w:w="41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6" w:hRule="atLeast"/>
              </w:trPr>
              <w:tc>
                <w:tcPr>
                  <w:tcW w:w="4153" w:type="dxa"/>
                </w:tcPr>
                <w:p>
                  <w:pPr>
                    <w:pStyle w:val="16"/>
                    <w:keepNext w:val="0"/>
                    <w:keepLines w:val="0"/>
                    <w:pageBreakBefore w:val="0"/>
                    <w:widowControl w:val="0"/>
                    <w:kinsoku/>
                    <w:wordWrap/>
                    <w:topLinePunct w:val="0"/>
                    <w:bidi w:val="0"/>
                    <w:ind w:left="0" w:leftChars="0" w:firstLine="0" w:firstLineChars="0"/>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drawing>
                      <wp:inline distT="0" distB="0" distL="114300" distR="114300">
                        <wp:extent cx="2496185" cy="1871980"/>
                        <wp:effectExtent l="0" t="0" r="18415" b="13970"/>
                        <wp:docPr id="3" name="图片 3" descr="bc6d4a20c275dfe972ab5eee872d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c6d4a20c275dfe972ab5eee872d501"/>
                                <pic:cNvPicPr>
                                  <a:picLocks noChangeAspect="1"/>
                                </pic:cNvPicPr>
                              </pic:nvPicPr>
                              <pic:blipFill>
                                <a:blip r:embed="rId15"/>
                                <a:stretch>
                                  <a:fillRect/>
                                </a:stretch>
                              </pic:blipFill>
                              <pic:spPr>
                                <a:xfrm>
                                  <a:off x="0" y="0"/>
                                  <a:ext cx="2496185" cy="1871980"/>
                                </a:xfrm>
                                <a:prstGeom prst="rect">
                                  <a:avLst/>
                                </a:prstGeom>
                              </pic:spPr>
                            </pic:pic>
                          </a:graphicData>
                        </a:graphic>
                      </wp:inline>
                    </w:drawing>
                  </w:r>
                </w:p>
              </w:tc>
              <w:tc>
                <w:tcPr>
                  <w:tcW w:w="4153" w:type="dxa"/>
                </w:tcPr>
                <w:p>
                  <w:pPr>
                    <w:pStyle w:val="16"/>
                    <w:keepNext w:val="0"/>
                    <w:keepLines w:val="0"/>
                    <w:pageBreakBefore w:val="0"/>
                    <w:widowControl w:val="0"/>
                    <w:kinsoku/>
                    <w:wordWrap/>
                    <w:topLinePunct w:val="0"/>
                    <w:bidi w:val="0"/>
                    <w:ind w:left="0" w:leftChars="0" w:firstLine="0" w:firstLineChars="0"/>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drawing>
                      <wp:inline distT="0" distB="0" distL="114300" distR="114300">
                        <wp:extent cx="2317750" cy="1838325"/>
                        <wp:effectExtent l="0" t="0" r="6350" b="9525"/>
                        <wp:docPr id="4" name="图片 4" descr="C:/Users/ADMINI~1/AppData/Local/Temp/picturescale_20200826103611/output_20200826103629.jpgoutput_2020082610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picturescale_20200826103611/output_20200826103629.jpgoutput_20200826103629"/>
                                <pic:cNvPicPr>
                                  <a:picLocks noChangeAspect="1"/>
                                </pic:cNvPicPr>
                              </pic:nvPicPr>
                              <pic:blipFill>
                                <a:blip r:embed="rId16"/>
                                <a:srcRect l="16440" t="14427" r="16188"/>
                                <a:stretch>
                                  <a:fillRect/>
                                </a:stretch>
                              </pic:blipFill>
                              <pic:spPr>
                                <a:xfrm>
                                  <a:off x="0" y="0"/>
                                  <a:ext cx="2317750" cy="18383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tcPr>
                <w:p>
                  <w:pPr>
                    <w:pStyle w:val="16"/>
                    <w:keepNext w:val="0"/>
                    <w:keepLines w:val="0"/>
                    <w:pageBreakBefore w:val="0"/>
                    <w:widowControl w:val="0"/>
                    <w:kinsoku/>
                    <w:wordWrap/>
                    <w:topLinePunct w:val="0"/>
                    <w:bidi w:val="0"/>
                    <w:spacing w:line="240" w:lineRule="auto"/>
                    <w:jc w:val="center"/>
                    <w:rPr>
                      <w:rFonts w:hint="default" w:ascii="Times New Roman" w:hAnsi="Times New Roman" w:cs="Times New Roman"/>
                      <w:b w:val="0"/>
                      <w:bCs/>
                      <w:sz w:val="21"/>
                      <w:szCs w:val="21"/>
                      <w:vertAlign w:val="baseline"/>
                    </w:rPr>
                  </w:pPr>
                  <w:r>
                    <w:rPr>
                      <w:rFonts w:hint="default" w:ascii="Times New Roman" w:hAnsi="Times New Roman" w:cs="Times New Roman"/>
                      <w:b w:val="0"/>
                      <w:bCs/>
                      <w:color w:val="auto"/>
                      <w:sz w:val="21"/>
                      <w:szCs w:val="21"/>
                      <w:lang w:val="zh-CN" w:eastAsia="zh-CN"/>
                    </w:rPr>
                    <w:t>国电投110kV升压站现状</w:t>
                  </w:r>
                </w:p>
              </w:tc>
              <w:tc>
                <w:tcPr>
                  <w:tcW w:w="4153" w:type="dxa"/>
                </w:tcPr>
                <w:p>
                  <w:pPr>
                    <w:pStyle w:val="16"/>
                    <w:keepNext w:val="0"/>
                    <w:keepLines w:val="0"/>
                    <w:pageBreakBefore w:val="0"/>
                    <w:widowControl w:val="0"/>
                    <w:kinsoku/>
                    <w:wordWrap/>
                    <w:topLinePunct w:val="0"/>
                    <w:bidi w:val="0"/>
                    <w:spacing w:line="240" w:lineRule="auto"/>
                    <w:jc w:val="center"/>
                    <w:rPr>
                      <w:rFonts w:hint="default" w:ascii="Times New Roman" w:hAnsi="Times New Roman" w:cs="Times New Roman"/>
                      <w:b w:val="0"/>
                      <w:bCs/>
                      <w:sz w:val="21"/>
                      <w:szCs w:val="21"/>
                      <w:vertAlign w:val="baseline"/>
                    </w:rPr>
                  </w:pPr>
                  <w:r>
                    <w:rPr>
                      <w:rFonts w:hint="default" w:ascii="Times New Roman" w:hAnsi="Times New Roman" w:cs="Times New Roman"/>
                      <w:b w:val="0"/>
                      <w:bCs/>
                      <w:color w:val="auto"/>
                      <w:sz w:val="21"/>
                      <w:szCs w:val="21"/>
                      <w:lang w:val="en-US" w:eastAsia="zh-CN"/>
                    </w:rPr>
                    <w:t>李家畔110kV升压站现状</w:t>
                  </w:r>
                </w:p>
              </w:tc>
            </w:tr>
          </w:tbl>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⑥导线型号</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本项目输电线路全长27.5km，采用单回路架设，导线采用2×LGJ-300/40钢芯铝绞线。</w:t>
            </w:r>
          </w:p>
          <w:p>
            <w:pPr>
              <w:pStyle w:val="3"/>
              <w:keepNext w:val="0"/>
              <w:keepLines w:val="0"/>
              <w:pageBreakBefore w:val="0"/>
              <w:widowControl w:val="0"/>
              <w:kinsoku/>
              <w:wordWrap/>
              <w:topLinePunct w:val="0"/>
              <w:bidi w:val="0"/>
              <w:spacing w:before="2"/>
              <w:ind w:left="711"/>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val="en-US" w:eastAsia="zh-CN"/>
              </w:rPr>
              <w:t>9</w:t>
            </w:r>
            <w:r>
              <w:rPr>
                <w:rFonts w:hint="default" w:ascii="Times New Roman" w:hAnsi="Times New Roman" w:cs="Times New Roman"/>
              </w:rPr>
              <w:t>）线路跨越情况</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本项目输电线路主要跨越10kV、</w:t>
            </w:r>
            <w:r>
              <w:rPr>
                <w:rFonts w:hint="default" w:ascii="Times New Roman" w:hAnsi="Times New Roman" w:cs="Times New Roman"/>
                <w:color w:val="auto"/>
                <w:sz w:val="24"/>
                <w:lang w:val="en-US" w:eastAsia="zh-CN"/>
              </w:rPr>
              <w:t>35kv</w:t>
            </w:r>
            <w:r>
              <w:rPr>
                <w:rFonts w:hint="default" w:ascii="Times New Roman" w:hAnsi="Times New Roman" w:cs="Times New Roman"/>
                <w:color w:val="auto"/>
                <w:sz w:val="24"/>
                <w:lang w:val="zh-CN" w:eastAsia="zh-CN"/>
              </w:rPr>
              <w:t>线路和土路，线路交叉跨越情况见表</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lang w:val="zh-CN" w:eastAsia="zh-CN"/>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lang w:val="en-US" w:eastAsia="zh-CN"/>
              </w:rPr>
            </w:pPr>
            <w:r>
              <w:rPr>
                <w:rFonts w:hint="default" w:ascii="Times New Roman" w:hAnsi="Times New Roman" w:cs="Times New Roman" w:eastAsiaTheme="minorEastAsia"/>
                <w:b/>
                <w:sz w:val="21"/>
                <w:lang w:eastAsia="zh-CN"/>
              </w:rPr>
              <w:t>表</w:t>
            </w:r>
            <w:r>
              <w:rPr>
                <w:rFonts w:hint="default" w:ascii="Times New Roman" w:hAnsi="Times New Roman" w:cs="Times New Roman" w:eastAsiaTheme="minorEastAsia"/>
                <w:b/>
                <w:sz w:val="21"/>
                <w:lang w:val="en-US" w:eastAsia="zh-CN"/>
              </w:rPr>
              <w:t>1-</w:t>
            </w:r>
            <w:r>
              <w:rPr>
                <w:rFonts w:hint="eastAsia" w:ascii="Times New Roman" w:hAnsi="Times New Roman" w:cs="Times New Roman" w:eastAsiaTheme="minorEastAsia"/>
                <w:b/>
                <w:sz w:val="21"/>
                <w:lang w:val="en-US" w:eastAsia="zh-CN"/>
              </w:rPr>
              <w:t>12</w:t>
            </w:r>
            <w:r>
              <w:rPr>
                <w:rFonts w:hint="default" w:ascii="Times New Roman" w:hAnsi="Times New Roman" w:cs="Times New Roman" w:eastAsiaTheme="minorEastAsia"/>
                <w:b/>
                <w:sz w:val="21"/>
                <w:lang w:val="en-US" w:eastAsia="zh-CN"/>
              </w:rPr>
              <w:t xml:space="preserve">    线路跨越情况一览表 </w:t>
            </w:r>
          </w:p>
          <w:tbl>
            <w:tblPr>
              <w:tblStyle w:val="17"/>
              <w:tblW w:w="4995"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35"/>
              <w:gridCol w:w="3623"/>
              <w:gridCol w:w="1996"/>
              <w:gridCol w:w="1467"/>
              <w:gridCol w:w="1297"/>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序号</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跨越名称</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lang w:eastAsia="zh-CN"/>
                    </w:rPr>
                    <w:t>跨（次）</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lang w:eastAsia="zh-CN"/>
                    </w:rPr>
                    <w:t>钻（次）</w:t>
                  </w: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sz w:val="21"/>
                      <w:szCs w:val="21"/>
                      <w:lang w:eastAsia="zh-CN"/>
                    </w:rPr>
                  </w:pPr>
                  <w:r>
                    <w:rPr>
                      <w:rFonts w:hint="default" w:ascii="Times New Roman" w:hAnsi="Times New Roman" w:cs="Times New Roman" w:eastAsiaTheme="minorEastAsia"/>
                      <w:b w:val="0"/>
                      <w:bCs/>
                      <w:sz w:val="21"/>
                      <w:szCs w:val="21"/>
                      <w:lang w:eastAsia="zh-CN"/>
                    </w:rPr>
                    <w:t>备注</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10kV 电力线</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35kV 电力线</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110kV 电力线</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4</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220kv</w:t>
                  </w:r>
                  <w:r>
                    <w:rPr>
                      <w:rFonts w:hint="default" w:ascii="Times New Roman" w:hAnsi="Times New Roman" w:cs="Times New Roman" w:eastAsiaTheme="minorEastAsia"/>
                      <w:sz w:val="21"/>
                      <w:szCs w:val="21"/>
                    </w:rPr>
                    <w:t>电力线</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5</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 xml:space="preserve">380kv </w:t>
                  </w:r>
                  <w:r>
                    <w:rPr>
                      <w:rFonts w:hint="default" w:ascii="Times New Roman" w:hAnsi="Times New Roman" w:cs="Times New Roman" w:eastAsiaTheme="minorEastAsia"/>
                      <w:sz w:val="21"/>
                      <w:szCs w:val="21"/>
                    </w:rPr>
                    <w:t>电力线</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6</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500kv I、II 线</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500kv Ⅲ线</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土路</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18</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架空光缆</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10</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地埋天然气管线</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11</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公路（榆西路）</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12</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河流</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13</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秦长城</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352"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14</w:t>
                  </w:r>
                </w:p>
              </w:tc>
              <w:tc>
                <w:tcPr>
                  <w:tcW w:w="200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明长城</w:t>
                  </w:r>
                </w:p>
              </w:tc>
              <w:tc>
                <w:tcPr>
                  <w:tcW w:w="1106"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81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c>
                <w:tcPr>
                  <w:tcW w:w="71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rPr>
                  </w:pPr>
                </w:p>
              </w:tc>
            </w:tr>
          </w:tbl>
          <w:p>
            <w:pPr>
              <w:pStyle w:val="27"/>
              <w:keepNext w:val="0"/>
              <w:keepLines w:val="0"/>
              <w:pageBreakBefore w:val="0"/>
              <w:widowControl w:val="0"/>
              <w:kinsoku/>
              <w:wordWrap/>
              <w:topLinePunct w:val="0"/>
              <w:bidi w:val="0"/>
              <w:spacing w:before="102"/>
              <w:ind w:left="587"/>
              <w:jc w:val="left"/>
              <w:rPr>
                <w:rFonts w:hint="default" w:ascii="Times New Roman" w:hAnsi="Times New Roman" w:cs="Times New Roman"/>
                <w:color w:val="auto"/>
                <w:sz w:val="24"/>
              </w:rPr>
            </w:pPr>
            <w:r>
              <w:rPr>
                <w:rFonts w:hint="default" w:ascii="Times New Roman" w:hAnsi="Times New Roman" w:cs="Times New Roman"/>
                <w:sz w:val="24"/>
              </w:rPr>
              <w:t>（</w:t>
            </w:r>
            <w:r>
              <w:rPr>
                <w:rFonts w:hint="eastAsia" w:ascii="Times New Roman" w:hAnsi="Times New Roman" w:cs="Times New Roman"/>
                <w:sz w:val="24"/>
                <w:lang w:val="en-US" w:eastAsia="zh-CN"/>
              </w:rPr>
              <w:t>10</w:t>
            </w:r>
            <w:r>
              <w:rPr>
                <w:rFonts w:hint="default" w:ascii="Times New Roman" w:hAnsi="Times New Roman" w:cs="Times New Roman"/>
                <w:sz w:val="24"/>
              </w:rPr>
              <w:t>）导线对地和交叉跨越</w:t>
            </w:r>
            <w:r>
              <w:rPr>
                <w:rFonts w:hint="default" w:ascii="Times New Roman" w:hAnsi="Times New Roman" w:cs="Times New Roman"/>
                <w:color w:val="auto"/>
                <w:sz w:val="24"/>
              </w:rPr>
              <w:t>距离</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本项目对地距离和对交叉跨越距离以满足《110kV~750kV架空输电线路设计规范》（GB50545-2010）相关要求为标准，并结合现场实际情况，具体详见表</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13</w:t>
            </w:r>
            <w:r>
              <w:rPr>
                <w:rFonts w:hint="default" w:ascii="Times New Roman" w:hAnsi="Times New Roman" w:cs="Times New Roman"/>
                <w:color w:val="auto"/>
                <w:sz w:val="24"/>
                <w:lang w:val="zh-CN" w:eastAsia="zh-CN"/>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lang w:val="en-US" w:eastAsia="zh-CN"/>
              </w:rPr>
            </w:pPr>
            <w:r>
              <w:rPr>
                <w:rFonts w:hint="default" w:ascii="Times New Roman" w:hAnsi="Times New Roman" w:cs="Times New Roman" w:eastAsiaTheme="minorEastAsia"/>
                <w:b/>
                <w:sz w:val="21"/>
                <w:lang w:eastAsia="zh-CN"/>
              </w:rPr>
              <w:t>表</w:t>
            </w:r>
            <w:r>
              <w:rPr>
                <w:rFonts w:hint="default" w:ascii="Times New Roman" w:hAnsi="Times New Roman" w:cs="Times New Roman" w:eastAsiaTheme="minorEastAsia"/>
                <w:b/>
                <w:sz w:val="21"/>
                <w:lang w:val="en-US" w:eastAsia="zh-CN"/>
              </w:rPr>
              <w:t>1-</w:t>
            </w:r>
            <w:r>
              <w:rPr>
                <w:rFonts w:hint="eastAsia" w:ascii="Times New Roman" w:hAnsi="Times New Roman" w:cs="Times New Roman" w:eastAsiaTheme="minorEastAsia"/>
                <w:b/>
                <w:sz w:val="21"/>
                <w:lang w:val="en-US" w:eastAsia="zh-CN"/>
              </w:rPr>
              <w:t>13</w:t>
            </w:r>
            <w:r>
              <w:rPr>
                <w:rFonts w:hint="default" w:ascii="Times New Roman" w:hAnsi="Times New Roman" w:cs="Times New Roman" w:eastAsiaTheme="minorEastAsia"/>
                <w:b/>
                <w:sz w:val="21"/>
                <w:lang w:val="en-US" w:eastAsia="zh-CN"/>
              </w:rPr>
              <w:t xml:space="preserve">   </w:t>
            </w:r>
            <w:r>
              <w:rPr>
                <w:rFonts w:hint="default" w:ascii="Times New Roman" w:hAnsi="Times New Roman" w:cs="Times New Roman" w:eastAsiaTheme="minorEastAsia"/>
                <w:b/>
                <w:sz w:val="21"/>
                <w:lang w:eastAsia="zh-CN"/>
              </w:rPr>
              <w:tab/>
            </w:r>
            <w:r>
              <w:rPr>
                <w:rFonts w:hint="default" w:ascii="Times New Roman" w:hAnsi="Times New Roman" w:cs="Times New Roman" w:eastAsiaTheme="minorEastAsia"/>
                <w:b/>
                <w:sz w:val="21"/>
                <w:lang w:eastAsia="zh-CN"/>
              </w:rPr>
              <w:t>导线对地和交叉跨越距离</w:t>
            </w:r>
            <w:r>
              <w:rPr>
                <w:rFonts w:hint="default" w:ascii="Times New Roman" w:hAnsi="Times New Roman" w:cs="Times New Roman" w:eastAsiaTheme="minorEastAsia"/>
                <w:b/>
                <w:sz w:val="21"/>
                <w:lang w:val="en-US" w:eastAsia="zh-CN"/>
              </w:rPr>
              <w:t xml:space="preserve"> </w:t>
            </w:r>
          </w:p>
          <w:tbl>
            <w:tblPr>
              <w:tblStyle w:val="18"/>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963"/>
              <w:gridCol w:w="1692"/>
              <w:gridCol w:w="2198"/>
              <w:gridCol w:w="33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序号</w:t>
                  </w:r>
                </w:p>
              </w:tc>
              <w:tc>
                <w:tcPr>
                  <w:tcW w:w="1470" w:type="pct"/>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对地和交叉跨越</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最小垂直距离（m）</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470" w:type="pct"/>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zh-CN" w:eastAsia="zh-CN"/>
                    </w:rPr>
                  </w:pPr>
                  <w:r>
                    <w:rPr>
                      <w:rFonts w:hint="default" w:ascii="Times New Roman" w:hAnsi="Times New Roman" w:cs="Times New Roman" w:eastAsiaTheme="minorEastAsia"/>
                      <w:sz w:val="21"/>
                      <w:szCs w:val="21"/>
                      <w:lang w:eastAsia="zh-CN"/>
                    </w:rPr>
                    <w:t>居民区</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470" w:type="pct"/>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zh-CN" w:eastAsia="zh-CN"/>
                    </w:rPr>
                  </w:pPr>
                  <w:r>
                    <w:rPr>
                      <w:rFonts w:hint="default" w:ascii="Times New Roman" w:hAnsi="Times New Roman" w:cs="Times New Roman" w:eastAsiaTheme="minorEastAsia"/>
                      <w:sz w:val="21"/>
                      <w:szCs w:val="21"/>
                      <w:lang w:eastAsia="zh-CN"/>
                    </w:rPr>
                    <w:t>非居民区</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470" w:type="pct"/>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zh-CN" w:eastAsia="zh-CN"/>
                    </w:rPr>
                  </w:pPr>
                  <w:r>
                    <w:rPr>
                      <w:rFonts w:hint="default" w:ascii="Times New Roman" w:hAnsi="Times New Roman" w:cs="Times New Roman" w:eastAsiaTheme="minorEastAsia"/>
                      <w:sz w:val="21"/>
                      <w:szCs w:val="21"/>
                      <w:lang w:eastAsia="zh-CN"/>
                    </w:rPr>
                    <w:t>交通困难地区</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78" w:type="pct"/>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533" w:type="pct"/>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建筑物</w:t>
                  </w:r>
                </w:p>
              </w:tc>
              <w:tc>
                <w:tcPr>
                  <w:tcW w:w="93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zh-CN" w:eastAsia="zh-CN"/>
                    </w:rPr>
                  </w:pPr>
                  <w:r>
                    <w:rPr>
                      <w:rFonts w:hint="default" w:ascii="Times New Roman" w:hAnsi="Times New Roman" w:cs="Times New Roman" w:eastAsiaTheme="minorEastAsia"/>
                      <w:sz w:val="21"/>
                      <w:szCs w:val="21"/>
                      <w:lang w:eastAsia="zh-CN"/>
                    </w:rPr>
                    <w:t>垂直距离</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78"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p>
              </w:tc>
              <w:tc>
                <w:tcPr>
                  <w:tcW w:w="533"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p>
              </w:tc>
              <w:tc>
                <w:tcPr>
                  <w:tcW w:w="93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zh-CN" w:eastAsia="zh-CN"/>
                    </w:rPr>
                  </w:pPr>
                  <w:r>
                    <w:rPr>
                      <w:rFonts w:hint="default" w:ascii="Times New Roman" w:hAnsi="Times New Roman" w:cs="Times New Roman" w:eastAsiaTheme="minorEastAsia"/>
                      <w:sz w:val="21"/>
                      <w:szCs w:val="21"/>
                      <w:lang w:eastAsia="zh-CN"/>
                    </w:rPr>
                    <w:t>边导线风偏后与建筑物净距</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sz w:val="21"/>
                    </w:rPr>
                    <w:t>最大风偏情况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470" w:type="pct"/>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导线与树木</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最大风偏情况，净空距离：3.5m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470" w:type="pct"/>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zh-CN" w:eastAsia="zh-CN"/>
                    </w:rPr>
                  </w:pPr>
                  <w:r>
                    <w:rPr>
                      <w:rFonts w:hint="default" w:ascii="Times New Roman" w:hAnsi="Times New Roman" w:cs="Times New Roman" w:eastAsiaTheme="minorEastAsia"/>
                      <w:sz w:val="21"/>
                      <w:szCs w:val="21"/>
                      <w:lang w:eastAsia="zh-CN"/>
                    </w:rPr>
                    <w:t>高速公路、等级公路</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470" w:type="pct"/>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zh-CN" w:eastAsia="zh-CN"/>
                    </w:rPr>
                  </w:pPr>
                  <w:r>
                    <w:rPr>
                      <w:rFonts w:hint="default" w:ascii="Times New Roman" w:hAnsi="Times New Roman" w:cs="Times New Roman" w:eastAsiaTheme="minorEastAsia"/>
                      <w:sz w:val="21"/>
                      <w:szCs w:val="21"/>
                      <w:lang w:eastAsia="zh-CN"/>
                    </w:rPr>
                    <w:t>通信线路</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水平距离：4.0m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w:t>
                  </w:r>
                </w:p>
              </w:tc>
              <w:tc>
                <w:tcPr>
                  <w:tcW w:w="1470" w:type="pct"/>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zh-CN" w:eastAsia="zh-CN"/>
                    </w:rPr>
                  </w:pPr>
                  <w:r>
                    <w:rPr>
                      <w:rFonts w:hint="default" w:ascii="Times New Roman" w:hAnsi="Times New Roman" w:cs="Times New Roman" w:eastAsiaTheme="minorEastAsia"/>
                      <w:sz w:val="21"/>
                      <w:szCs w:val="21"/>
                      <w:lang w:eastAsia="zh-CN"/>
                    </w:rPr>
                    <w:t>电力线路</w:t>
                  </w:r>
                </w:p>
              </w:tc>
              <w:tc>
                <w:tcPr>
                  <w:tcW w:w="1217"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833"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110kV 及以下线路</w:t>
                  </w:r>
                </w:p>
              </w:tc>
            </w:tr>
          </w:tbl>
          <w:p>
            <w:pPr>
              <w:pStyle w:val="3"/>
              <w:keepNext w:val="0"/>
              <w:keepLines w:val="0"/>
              <w:pageBreakBefore w:val="0"/>
              <w:widowControl w:val="0"/>
              <w:kinsoku/>
              <w:wordWrap/>
              <w:topLinePunct w:val="0"/>
              <w:bidi w:val="0"/>
              <w:spacing w:before="2"/>
              <w:ind w:firstLine="480" w:firstLineChars="200"/>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val="en-US" w:eastAsia="zh-CN"/>
              </w:rPr>
              <w:t>11</w:t>
            </w:r>
            <w:r>
              <w:rPr>
                <w:rFonts w:hint="default" w:ascii="Times New Roman" w:hAnsi="Times New Roman" w:cs="Times New Roman"/>
              </w:rPr>
              <w:t>）</w:t>
            </w:r>
            <w:r>
              <w:rPr>
                <w:rFonts w:hint="default" w:ascii="Times New Roman" w:hAnsi="Times New Roman" w:cs="Times New Roman"/>
                <w:lang w:eastAsia="zh-CN"/>
              </w:rPr>
              <w:t>杆塔</w:t>
            </w:r>
            <w:r>
              <w:rPr>
                <w:rFonts w:hint="default" w:ascii="Times New Roman" w:hAnsi="Times New Roman" w:cs="Times New Roman"/>
              </w:rPr>
              <w:t>情况</w:t>
            </w:r>
          </w:p>
          <w:p>
            <w:pPr>
              <w:keepNext w:val="0"/>
              <w:keepLines w:val="0"/>
              <w:pageBreakBefore w:val="0"/>
              <w:widowControl w:val="0"/>
              <w:kinsoku/>
              <w:wordWrap/>
              <w:topLinePunct w:val="0"/>
              <w:autoSpaceDE w:val="0"/>
              <w:autoSpaceDN w:val="0"/>
              <w:bidi w:val="0"/>
              <w:adjustRightInd w:val="0"/>
              <w:ind w:firstLine="480" w:firstLineChars="200"/>
              <w:jc w:val="both"/>
              <w:rPr>
                <w:rFonts w:hint="default" w:ascii="Times New Roman" w:hAnsi="Times New Roman" w:cs="Times New Roman"/>
                <w:snapToGrid w:val="0"/>
                <w:color w:val="auto"/>
              </w:rPr>
            </w:pPr>
            <w:r>
              <w:rPr>
                <w:rFonts w:hint="default" w:ascii="Times New Roman" w:hAnsi="Times New Roman" w:cs="Times New Roman"/>
                <w:snapToGrid w:val="0"/>
                <w:color w:val="auto"/>
                <w:lang w:eastAsia="zh-CN"/>
              </w:rPr>
              <w:t>本项目</w:t>
            </w:r>
            <w:r>
              <w:rPr>
                <w:rFonts w:hint="default" w:ascii="Times New Roman" w:hAnsi="Times New Roman" w:cs="Times New Roman"/>
                <w:snapToGrid w:val="0"/>
                <w:color w:val="auto"/>
              </w:rPr>
              <w:t>拟采用直线塔、</w:t>
            </w:r>
            <w:r>
              <w:rPr>
                <w:rFonts w:hint="default" w:ascii="Times New Roman" w:hAnsi="Times New Roman" w:cs="Times New Roman"/>
                <w:snapToGrid w:val="0"/>
                <w:color w:val="auto"/>
                <w:lang w:eastAsia="zh-CN"/>
              </w:rPr>
              <w:t>转角</w:t>
            </w:r>
            <w:r>
              <w:rPr>
                <w:rFonts w:hint="default" w:ascii="Times New Roman" w:hAnsi="Times New Roman" w:cs="Times New Roman"/>
                <w:snapToGrid w:val="0"/>
                <w:color w:val="auto"/>
              </w:rPr>
              <w:t>塔模块共</w:t>
            </w:r>
            <w:r>
              <w:rPr>
                <w:rFonts w:hint="default" w:ascii="Times New Roman" w:hAnsi="Times New Roman" w:cs="Times New Roman"/>
                <w:snapToGrid w:val="0"/>
                <w:color w:val="auto"/>
                <w:lang w:val="en-US" w:eastAsia="zh-CN"/>
              </w:rPr>
              <w:t>30</w:t>
            </w:r>
            <w:r>
              <w:rPr>
                <w:rFonts w:hint="default" w:ascii="Times New Roman" w:hAnsi="Times New Roman" w:cs="Times New Roman"/>
                <w:snapToGrid w:val="0"/>
                <w:color w:val="auto"/>
              </w:rPr>
              <w:t>个塔型</w:t>
            </w:r>
            <w:r>
              <w:rPr>
                <w:rFonts w:hint="default" w:ascii="Times New Roman" w:hAnsi="Times New Roman" w:cs="Times New Roman"/>
                <w:snapToGrid w:val="0"/>
                <w:color w:val="auto"/>
                <w:lang w:eastAsia="zh-CN"/>
              </w:rPr>
              <w:t>，</w:t>
            </w:r>
            <w:r>
              <w:rPr>
                <w:rFonts w:hint="default" w:ascii="Times New Roman" w:hAnsi="Times New Roman" w:cs="Times New Roman"/>
                <w:snapToGrid w:val="0"/>
                <w:color w:val="auto"/>
              </w:rPr>
              <w:t>全线采用</w:t>
            </w:r>
            <w:r>
              <w:rPr>
                <w:rFonts w:hint="default" w:ascii="Times New Roman" w:hAnsi="Times New Roman" w:cs="Times New Roman"/>
                <w:snapToGrid w:val="0"/>
                <w:color w:val="auto"/>
                <w:lang w:eastAsia="zh-CN"/>
              </w:rPr>
              <w:t>单回</w:t>
            </w:r>
            <w:r>
              <w:rPr>
                <w:rFonts w:hint="default" w:ascii="Times New Roman" w:hAnsi="Times New Roman" w:cs="Times New Roman"/>
                <w:snapToGrid w:val="0"/>
                <w:color w:val="auto"/>
              </w:rPr>
              <w:t>铁塔，共用</w:t>
            </w:r>
            <w:r>
              <w:rPr>
                <w:rFonts w:hint="default" w:ascii="Times New Roman" w:hAnsi="Times New Roman" w:cs="Times New Roman"/>
                <w:snapToGrid w:val="0"/>
                <w:color w:val="auto"/>
                <w:lang w:val="en-US" w:eastAsia="zh-CN"/>
              </w:rPr>
              <w:t>55</w:t>
            </w:r>
            <w:r>
              <w:rPr>
                <w:rFonts w:hint="default" w:ascii="Times New Roman" w:hAnsi="Times New Roman" w:cs="Times New Roman"/>
                <w:snapToGrid w:val="0"/>
                <w:color w:val="auto"/>
              </w:rPr>
              <w:t>基铁塔，其中直线塔</w:t>
            </w:r>
            <w:r>
              <w:rPr>
                <w:rFonts w:hint="default" w:ascii="Times New Roman" w:hAnsi="Times New Roman" w:cs="Times New Roman"/>
                <w:snapToGrid w:val="0"/>
                <w:color w:val="auto"/>
                <w:lang w:val="en-US" w:eastAsia="zh-CN"/>
              </w:rPr>
              <w:t>25</w:t>
            </w:r>
            <w:r>
              <w:rPr>
                <w:rFonts w:hint="default" w:ascii="Times New Roman" w:hAnsi="Times New Roman" w:cs="Times New Roman"/>
                <w:snapToGrid w:val="0"/>
                <w:color w:val="auto"/>
              </w:rPr>
              <w:t>基，转角塔</w:t>
            </w:r>
            <w:r>
              <w:rPr>
                <w:rFonts w:hint="default" w:ascii="Times New Roman" w:hAnsi="Times New Roman" w:cs="Times New Roman"/>
                <w:snapToGrid w:val="0"/>
                <w:color w:val="auto"/>
                <w:lang w:val="en-US" w:eastAsia="zh-CN"/>
              </w:rPr>
              <w:t>30</w:t>
            </w:r>
            <w:r>
              <w:rPr>
                <w:rFonts w:hint="default" w:ascii="Times New Roman" w:hAnsi="Times New Roman" w:cs="Times New Roman"/>
                <w:snapToGrid w:val="0"/>
                <w:color w:val="auto"/>
              </w:rPr>
              <w:t>基</w:t>
            </w:r>
            <w:r>
              <w:rPr>
                <w:rFonts w:hint="default" w:ascii="Times New Roman" w:hAnsi="Times New Roman" w:cs="Times New Roman"/>
                <w:snapToGrid w:val="0"/>
                <w:color w:val="auto"/>
                <w:lang w:eastAsia="zh-CN"/>
              </w:rPr>
              <w:t>。本项目全线</w:t>
            </w:r>
            <w:r>
              <w:rPr>
                <w:rFonts w:hint="default" w:ascii="Times New Roman" w:hAnsi="Times New Roman" w:cs="Times New Roman"/>
                <w:snapToGrid w:val="0"/>
                <w:color w:val="auto"/>
              </w:rPr>
              <w:t>杆塔明细见表</w:t>
            </w:r>
            <w:r>
              <w:rPr>
                <w:rFonts w:hint="default" w:ascii="Times New Roman" w:hAnsi="Times New Roman" w:cs="Times New Roman"/>
                <w:snapToGrid w:val="0"/>
                <w:color w:val="auto"/>
                <w:lang w:val="en-US" w:eastAsia="zh-CN"/>
              </w:rPr>
              <w:t>1-</w:t>
            </w:r>
            <w:r>
              <w:rPr>
                <w:rFonts w:hint="eastAsia" w:cs="Times New Roman"/>
                <w:snapToGrid w:val="0"/>
                <w:color w:val="auto"/>
                <w:lang w:val="en-US" w:eastAsia="zh-CN"/>
              </w:rPr>
              <w:t>14</w:t>
            </w:r>
            <w:r>
              <w:rPr>
                <w:rFonts w:hint="default" w:ascii="Times New Roman" w:hAnsi="Times New Roman" w:cs="Times New Roman"/>
                <w:snapToGrid w:val="0"/>
                <w:color w:val="auto"/>
                <w:lang w:val="en-US" w:eastAsia="zh-CN"/>
              </w:rPr>
              <w:t>，选型统计表</w:t>
            </w:r>
            <w:r>
              <w:rPr>
                <w:rFonts w:hint="default" w:ascii="Times New Roman" w:hAnsi="Times New Roman" w:cs="Times New Roman"/>
                <w:snapToGrid w:val="0"/>
                <w:color w:val="auto"/>
                <w:lang w:eastAsia="zh-CN"/>
              </w:rPr>
              <w:t>见表</w:t>
            </w:r>
            <w:r>
              <w:rPr>
                <w:rFonts w:hint="default" w:ascii="Times New Roman" w:hAnsi="Times New Roman" w:cs="Times New Roman"/>
                <w:snapToGrid w:val="0"/>
                <w:color w:val="auto"/>
                <w:lang w:val="en-US" w:eastAsia="zh-CN"/>
              </w:rPr>
              <w:t>1-</w:t>
            </w:r>
            <w:r>
              <w:rPr>
                <w:rFonts w:hint="eastAsia" w:cs="Times New Roman"/>
                <w:snapToGrid w:val="0"/>
                <w:color w:val="auto"/>
                <w:lang w:val="en-US" w:eastAsia="zh-CN"/>
              </w:rPr>
              <w:t>15</w:t>
            </w:r>
            <w:r>
              <w:rPr>
                <w:rFonts w:hint="default" w:ascii="Times New Roman" w:hAnsi="Times New Roman" w:cs="Times New Roman"/>
                <w:snapToGrid w:val="0"/>
                <w:color w:val="auto"/>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lang w:eastAsia="zh-CN"/>
              </w:rPr>
            </w:pPr>
            <w:r>
              <w:rPr>
                <w:rFonts w:hint="default" w:ascii="Times New Roman" w:hAnsi="Times New Roman" w:cs="Times New Roman" w:eastAsiaTheme="minorEastAsia"/>
                <w:b/>
                <w:sz w:val="21"/>
                <w:lang w:eastAsia="zh-CN"/>
              </w:rPr>
              <w:t>表</w:t>
            </w:r>
            <w:r>
              <w:rPr>
                <w:rFonts w:hint="default" w:ascii="Times New Roman" w:hAnsi="Times New Roman" w:cs="Times New Roman" w:eastAsiaTheme="minorEastAsia"/>
                <w:b/>
                <w:sz w:val="21"/>
                <w:lang w:val="en-US" w:eastAsia="zh-CN"/>
              </w:rPr>
              <w:t>1-</w:t>
            </w:r>
            <w:r>
              <w:rPr>
                <w:rFonts w:hint="eastAsia" w:ascii="Times New Roman" w:hAnsi="Times New Roman" w:cs="Times New Roman" w:eastAsiaTheme="minorEastAsia"/>
                <w:b/>
                <w:sz w:val="21"/>
                <w:lang w:val="en-US" w:eastAsia="zh-CN"/>
              </w:rPr>
              <w:t>15</w:t>
            </w:r>
            <w:r>
              <w:rPr>
                <w:rFonts w:hint="default" w:ascii="Times New Roman" w:hAnsi="Times New Roman" w:cs="Times New Roman" w:eastAsiaTheme="minorEastAsia"/>
                <w:b/>
                <w:sz w:val="21"/>
                <w:lang w:eastAsia="zh-CN"/>
              </w:rPr>
              <w:t xml:space="preserve">    全线杆塔使用情况一览表</w:t>
            </w:r>
          </w:p>
          <w:tbl>
            <w:tblPr>
              <w:tblStyle w:val="17"/>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774"/>
              <w:gridCol w:w="783"/>
              <w:gridCol w:w="624"/>
              <w:gridCol w:w="1015"/>
              <w:gridCol w:w="1427"/>
              <w:gridCol w:w="618"/>
              <w:gridCol w:w="672"/>
              <w:gridCol w:w="692"/>
              <w:gridCol w:w="1004"/>
              <w:gridCol w:w="14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杆 号</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桩 号</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累距</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桩位高程</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杆塔代号</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杆 号</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桩 号</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累距</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桩位高程</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lang w:val="en-US" w:eastAsia="zh-CN" w:bidi="ar"/>
                    </w:rPr>
                    <w:t>杆塔代号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MX</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JMX</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0</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1194.1</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MG</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XJ28</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Z28</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W899</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1236.8</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1C3-ZM3-30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JI</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30</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1194.6</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1C3-DJ-21</w:t>
                  </w:r>
                </w:p>
              </w:tc>
              <w:tc>
                <w:tcPr>
                  <w:tcW w:w="342" w:type="pct"/>
                  <w:tcBorders>
                    <w:tl2br w:val="nil"/>
                    <w:tr2bl w:val="nil"/>
                  </w:tcBorders>
                  <w:shd w:val="clear" w:color="auto" w:fill="FFFFFF"/>
                  <w:vAlign w:val="bottom"/>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XJ29</w:t>
                  </w:r>
                </w:p>
              </w:tc>
              <w:tc>
                <w:tcPr>
                  <w:tcW w:w="372" w:type="pct"/>
                  <w:tcBorders>
                    <w:tl2br w:val="nil"/>
                    <w:tr2bl w:val="nil"/>
                  </w:tcBorders>
                  <w:shd w:val="clear" w:color="auto" w:fill="FFFFFF"/>
                  <w:vAlign w:val="bottom"/>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JA30</w:t>
                  </w:r>
                </w:p>
              </w:tc>
              <w:tc>
                <w:tcPr>
                  <w:tcW w:w="383" w:type="pct"/>
                  <w:tcBorders>
                    <w:tl2br w:val="nil"/>
                    <w:tr2bl w:val="nil"/>
                  </w:tcBorders>
                  <w:shd w:val="clear" w:color="auto" w:fill="FFFFFF"/>
                  <w:vAlign w:val="bottom"/>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11247</w:t>
                  </w:r>
                </w:p>
              </w:tc>
              <w:tc>
                <w:tcPr>
                  <w:tcW w:w="556" w:type="pct"/>
                  <w:tcBorders>
                    <w:tl2br w:val="nil"/>
                    <w:tr2bl w:val="nil"/>
                  </w:tcBorders>
                  <w:shd w:val="clear" w:color="auto" w:fill="FFFFFF"/>
                  <w:vAlign w:val="bottom"/>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1219.1</w:t>
                  </w:r>
                </w:p>
              </w:tc>
              <w:tc>
                <w:tcPr>
                  <w:tcW w:w="780" w:type="pct"/>
                  <w:tcBorders>
                    <w:tl2br w:val="nil"/>
                    <w:tr2bl w:val="nil"/>
                  </w:tcBorders>
                  <w:shd w:val="clear" w:color="auto" w:fill="FFFFFF"/>
                  <w:vAlign w:val="bottom"/>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1C3-J2-15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ZA2</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416</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1149.2</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1C3-ZM3-36</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XJ30</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JB31</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11409</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1212.2</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1C3-J2-15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Z4</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850</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1154.3</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1C3-ZM3-27</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XJ31</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JB32</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11643</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1215.3</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1C3-J1-15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J5</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1253</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1167.3</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1C3-J2-15</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XJ32</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ZE33</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11842</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1221.1</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XJ5</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Z6</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1512</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1197.3</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1C3-ZM1-24</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XJ33</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JE34</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12231</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1228.7</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1C3-J2-18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XJ6</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J7</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1851</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1244</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1C3-J1-18</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XJ34</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JE35</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12508</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1243.2</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2A2-JC3-30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XJ7</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Z7+1</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2097</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1268.6</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1C3-ZM1-18</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XJ35</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JE36</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12943</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1255.9</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2A2-JC1-30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XJ8</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J8</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2300</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1258.4</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1C3-J2-18</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XJ36</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ZE37</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13312</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1252.5</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1C3-ZM2-30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XJ9</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ZA9</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2807</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1244.9</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1C3-ZM3-33</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XJ37</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JE38</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13611</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1268.6</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1C3-J1-18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XJ10</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JA11</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3301</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1247.2</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1C3-J1-18</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XJ38</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ZE39</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13843</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1256.9</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XJ11</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Zll+1</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3883</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1240.8</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1C3-ZMK-48</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XJ39</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JE40</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14069</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1246.8</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1C3-J2-18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XJ12</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JA12</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4100</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1274.1</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2A2-JC2-30</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XJ40</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ZE41</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14384</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1230.3</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1C3-ZM1-21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XJ13</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ZA13</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4782</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1260.9</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2A2-ZMC4-48</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XJ41</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JE42</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14555</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1218.1</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1C3-J2-18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XJ14</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JAM</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5292</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1238.8</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1C3-J2-21</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XJ42</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ZE43</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14%3</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1235.8</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1C3-ZM3-30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XJ15</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JA15</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5657</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1240.3</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1C3-ZM2-27</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XJ43</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JE45</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15289</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1250.9</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1C3-J3-24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XJ16</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Z16</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6003</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1224.3</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1C3-J1-21</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XJ44</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ZE46</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15740</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1230.5</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1C3-ZMK-48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XJ17</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J17</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6359</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1197</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1C3-J2-21</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XJ45</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ZE47</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15956</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1234.2</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1C3-ZM2-30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XJ18</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ZA18</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6847</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1187.4</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1C3-ZM2-30</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XJ46</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ZE48</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16353</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1225.3</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1C3-ZM2-27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XJ18+1</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ZC18+1</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7139</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1199.3</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1C3-ZM1-24</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XJ47</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ZE49</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16605</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1225.8</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1C3-ZM2-27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XJ19</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JC19</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7440</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1209.3</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1C3-J4-21</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XJ48</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JE50</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17045</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1203.3</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XJ20</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ZC20</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7817</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1235.5</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1C3-ZM3-30</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XJ49</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ZE51</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17225</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1199.9</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2A2-ZMC4-51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XJ21</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JC21</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8353</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1209.1</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1C3-J1-24</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XJ50</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JE52</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17818</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1161.4</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2A2-JC1-30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XJ22</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ZC22</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8717</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1195.1</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1C3-ZM2-30</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XJ51</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JE53</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18136</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1176.7</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1C3-J3-24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XJ23</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J23</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9026</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1187.4</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1C3-J1-18</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XJ52</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JGE54</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18453</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1162.5</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1C3-J3-21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XJ24</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ZA24</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9201</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1198.8</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1C3-ZM2-24</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XJ53</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JGE55</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18654</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1170.9</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2A5-JC3-36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XJ25</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Z25</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9745</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1163.8</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1C3-ZM3-33</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XJ54</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JXX58</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18778</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1172.4</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1F4-SDJ-15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XJ26</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JA26</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10146</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1193.8</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1C3-J3-15</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XJ55</w:t>
                  </w: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J59</w:t>
                  </w: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18809</w:t>
                  </w: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1177.9</w:t>
                  </w: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MG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 w:type="dxa"/>
                  <w:bottom w:w="0" w:type="dxa"/>
                  <w:right w:w="10" w:type="dxa"/>
                </w:tblCellMar>
              </w:tblPrEx>
              <w:trPr>
                <w:jc w:val="center"/>
              </w:trPr>
              <w:tc>
                <w:tcPr>
                  <w:tcW w:w="429"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XJ27</w:t>
                  </w:r>
                </w:p>
              </w:tc>
              <w:tc>
                <w:tcPr>
                  <w:tcW w:w="434"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J27</w:t>
                  </w:r>
                </w:p>
              </w:tc>
              <w:tc>
                <w:tcPr>
                  <w:tcW w:w="34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10494</w:t>
                  </w:r>
                </w:p>
              </w:tc>
              <w:tc>
                <w:tcPr>
                  <w:tcW w:w="56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1198.6</w:t>
                  </w:r>
                </w:p>
              </w:tc>
              <w:tc>
                <w:tcPr>
                  <w:tcW w:w="79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r>
                    <w:rPr>
                      <w:rFonts w:hint="default" w:ascii="Times New Roman" w:hAnsi="Times New Roman" w:eastAsia="宋体" w:cs="Times New Roman"/>
                      <w:b w:val="0"/>
                      <w:bCs/>
                      <w:kern w:val="24"/>
                      <w:sz w:val="21"/>
                      <w:szCs w:val="21"/>
                      <w:lang w:val="en-US" w:eastAsia="zh-CN" w:bidi="ar"/>
                    </w:rPr>
                    <w:t>1C3-J3-24</w:t>
                  </w:r>
                </w:p>
              </w:tc>
              <w:tc>
                <w:tcPr>
                  <w:tcW w:w="34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p>
              </w:tc>
              <w:tc>
                <w:tcPr>
                  <w:tcW w:w="372"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p>
              </w:tc>
              <w:tc>
                <w:tcPr>
                  <w:tcW w:w="383"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p>
              </w:tc>
              <w:tc>
                <w:tcPr>
                  <w:tcW w:w="556"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p>
              </w:tc>
              <w:tc>
                <w:tcPr>
                  <w:tcW w:w="780" w:type="pct"/>
                  <w:tcBorders>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kern w:val="24"/>
                      <w:sz w:val="21"/>
                      <w:szCs w:val="21"/>
                    </w:rPr>
                  </w:pPr>
                </w:p>
              </w:tc>
            </w:tr>
          </w:tbl>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lang w:eastAsia="zh-CN"/>
              </w:rPr>
            </w:pPr>
            <w:r>
              <w:rPr>
                <w:rFonts w:hint="default" w:ascii="Times New Roman" w:hAnsi="Times New Roman" w:cs="Times New Roman" w:eastAsiaTheme="minorEastAsia"/>
                <w:b/>
                <w:sz w:val="21"/>
                <w:lang w:eastAsia="zh-CN"/>
              </w:rPr>
              <w:t>表</w:t>
            </w:r>
            <w:r>
              <w:rPr>
                <w:rFonts w:hint="default" w:ascii="Times New Roman" w:hAnsi="Times New Roman" w:cs="Times New Roman" w:eastAsiaTheme="minorEastAsia"/>
                <w:b/>
                <w:sz w:val="21"/>
                <w:lang w:val="en-US" w:eastAsia="zh-CN"/>
              </w:rPr>
              <w:t>1-</w:t>
            </w:r>
            <w:r>
              <w:rPr>
                <w:rFonts w:hint="eastAsia" w:ascii="Times New Roman" w:hAnsi="Times New Roman" w:cs="Times New Roman" w:eastAsiaTheme="minorEastAsia"/>
                <w:b/>
                <w:sz w:val="21"/>
                <w:lang w:val="en-US" w:eastAsia="zh-CN"/>
              </w:rPr>
              <w:t>16</w:t>
            </w:r>
            <w:r>
              <w:rPr>
                <w:rFonts w:hint="default" w:ascii="Times New Roman" w:hAnsi="Times New Roman" w:cs="Times New Roman" w:eastAsiaTheme="minorEastAsia"/>
                <w:b/>
                <w:sz w:val="21"/>
                <w:lang w:eastAsia="zh-CN"/>
              </w:rPr>
              <w:t xml:space="preserve">    </w:t>
            </w:r>
            <w:r>
              <w:rPr>
                <w:rFonts w:hint="eastAsia" w:ascii="Times New Roman" w:hAnsi="Times New Roman" w:cs="Times New Roman" w:eastAsiaTheme="minorEastAsia"/>
                <w:b/>
                <w:sz w:val="21"/>
                <w:lang w:eastAsia="zh-CN"/>
              </w:rPr>
              <w:t>项目</w:t>
            </w:r>
            <w:r>
              <w:rPr>
                <w:rFonts w:hint="default" w:ascii="Times New Roman" w:hAnsi="Times New Roman" w:cs="Times New Roman" w:eastAsiaTheme="minorEastAsia"/>
                <w:b/>
                <w:sz w:val="21"/>
                <w:lang w:eastAsia="zh-CN"/>
              </w:rPr>
              <w:t>杆塔选型统计表</w:t>
            </w:r>
          </w:p>
          <w:tbl>
            <w:tblPr>
              <w:tblStyle w:val="17"/>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570"/>
              <w:gridCol w:w="1504"/>
              <w:gridCol w:w="1493"/>
              <w:gridCol w:w="1880"/>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rPr>
                  </w:pPr>
                  <w:r>
                    <w:rPr>
                      <w:rFonts w:hint="default" w:ascii="Times New Roman" w:hAnsi="Times New Roman" w:cs="Times New Roman"/>
                      <w:b w:val="0"/>
                      <w:bCs/>
                      <w:color w:val="auto"/>
                      <w:kern w:val="24"/>
                      <w:sz w:val="21"/>
                      <w:szCs w:val="21"/>
                    </w:rPr>
                    <w:t>序号</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lang w:eastAsia="zh-CN"/>
                    </w:rPr>
                  </w:pPr>
                  <w:r>
                    <w:rPr>
                      <w:rFonts w:hint="default" w:ascii="Times New Roman" w:hAnsi="Times New Roman" w:cs="Times New Roman"/>
                      <w:b w:val="0"/>
                      <w:bCs/>
                      <w:color w:val="auto"/>
                      <w:sz w:val="21"/>
                      <w:lang w:eastAsia="zh-CN"/>
                    </w:rPr>
                    <w:t>杆塔代号</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rPr>
                  </w:pPr>
                  <w:r>
                    <w:rPr>
                      <w:rFonts w:hint="default" w:ascii="Times New Roman" w:hAnsi="Times New Roman" w:cs="Times New Roman"/>
                      <w:b w:val="0"/>
                      <w:bCs/>
                      <w:color w:val="auto"/>
                      <w:kern w:val="24"/>
                      <w:sz w:val="21"/>
                      <w:szCs w:val="21"/>
                    </w:rPr>
                    <w:t>杆塔数量（基）</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sz w:val="21"/>
                      <w:lang w:eastAsia="zh-CN"/>
                    </w:rPr>
                  </w:pPr>
                  <w:r>
                    <w:rPr>
                      <w:rFonts w:hint="default" w:ascii="Times New Roman" w:hAnsi="Times New Roman" w:cs="Times New Roman"/>
                      <w:b w:val="0"/>
                      <w:bCs/>
                      <w:color w:val="auto"/>
                      <w:sz w:val="21"/>
                      <w:lang w:eastAsia="zh-CN"/>
                    </w:rPr>
                    <w:t>序号</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rPr>
                  </w:pPr>
                  <w:r>
                    <w:rPr>
                      <w:rFonts w:hint="default" w:ascii="Times New Roman" w:hAnsi="Times New Roman" w:cs="Times New Roman"/>
                      <w:b w:val="0"/>
                      <w:bCs/>
                      <w:color w:val="auto"/>
                      <w:sz w:val="21"/>
                      <w:lang w:eastAsia="zh-CN"/>
                    </w:rPr>
                    <w:t>杆塔代号</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rPr>
                  </w:pPr>
                  <w:r>
                    <w:rPr>
                      <w:rFonts w:hint="default" w:ascii="Times New Roman" w:hAnsi="Times New Roman" w:cs="Times New Roman"/>
                      <w:b w:val="0"/>
                      <w:bCs/>
                      <w:color w:val="auto"/>
                      <w:kern w:val="24"/>
                      <w:sz w:val="21"/>
                      <w:szCs w:val="21"/>
                    </w:rPr>
                    <w:t>杆塔数量（基）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rPr>
                    <w:t>1</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1C3-ZM1-18</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16</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1C3-ZM2-24</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rPr>
                    <w:t>2</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rPr>
                  </w:pPr>
                  <w:r>
                    <w:rPr>
                      <w:rFonts w:hint="default" w:ascii="Times New Roman" w:hAnsi="Times New Roman" w:cs="Times New Roman"/>
                      <w:b w:val="0"/>
                      <w:bCs/>
                      <w:color w:val="auto"/>
                      <w:kern w:val="24"/>
                      <w:sz w:val="21"/>
                      <w:szCs w:val="21"/>
                      <w:highlight w:val="none"/>
                      <w:lang w:val="en-US" w:eastAsia="zh-CN"/>
                    </w:rPr>
                    <w:t>1C3-ZM3-27</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17</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1C3-ZM3-36</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rPr>
                    <w:t>3</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2A2-ZMC4-51</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18</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1C3-J1-21</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rPr>
                    <w:t>4</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lang w:val="en-US" w:eastAsia="zh-CN"/>
                    </w:rPr>
                    <w:t>1C3-J2-18</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lang w:val="en-US" w:eastAsia="zh-CN"/>
                    </w:rPr>
                    <w:t>4</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19</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1C3-J3-21</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rPr>
                    <w:t>5</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lang w:val="en-US" w:eastAsia="zh-CN"/>
                    </w:rPr>
                    <w:t>1C3-DJ-18</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20</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2A2-JC2-30</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rPr>
                    <w:t>6</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rPr>
                  </w:pPr>
                  <w:r>
                    <w:rPr>
                      <w:rFonts w:hint="default" w:ascii="Times New Roman" w:hAnsi="Times New Roman" w:cs="Times New Roman"/>
                      <w:b w:val="0"/>
                      <w:bCs/>
                      <w:color w:val="auto"/>
                      <w:kern w:val="24"/>
                      <w:sz w:val="21"/>
                      <w:szCs w:val="21"/>
                      <w:highlight w:val="none"/>
                      <w:lang w:val="en-US" w:eastAsia="zh-CN"/>
                    </w:rPr>
                    <w:t>1C3-ZM1-21</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21</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1C3-ZM2-27</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rPr>
                    <w:t>7</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rPr>
                  </w:pPr>
                  <w:r>
                    <w:rPr>
                      <w:rFonts w:hint="default" w:ascii="Times New Roman" w:hAnsi="Times New Roman" w:cs="Times New Roman"/>
                      <w:b w:val="0"/>
                      <w:bCs/>
                      <w:color w:val="auto"/>
                      <w:kern w:val="24"/>
                      <w:sz w:val="21"/>
                      <w:szCs w:val="21"/>
                      <w:highlight w:val="none"/>
                      <w:lang w:val="en-US" w:eastAsia="zh-CN"/>
                    </w:rPr>
                    <w:t>1C3-ZM3-30</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2</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22</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1C3-ZMK-48</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rPr>
                    <w:t>8</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rPr>
                  </w:pPr>
                  <w:r>
                    <w:rPr>
                      <w:rFonts w:hint="default" w:ascii="Times New Roman" w:hAnsi="Times New Roman" w:cs="Times New Roman"/>
                      <w:b w:val="0"/>
                      <w:bCs/>
                      <w:color w:val="auto"/>
                      <w:kern w:val="24"/>
                      <w:sz w:val="21"/>
                      <w:szCs w:val="21"/>
                      <w:highlight w:val="none"/>
                      <w:lang w:val="en-US" w:eastAsia="zh-CN"/>
                    </w:rPr>
                    <w:t>1C1-J1-15</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23</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1C3-J1-24</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9</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1C3-J2-21</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2</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24</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1C3-JC3-24</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10</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1C3-DJ-21</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25</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2A2-JC3-30</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11</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1C3-ZM1-24</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4</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26</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1C3-ZM2-30</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12</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1C3-ZM3-33</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3</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27</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2A2-ZMC4-48</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13</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1C3-J1-18</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4</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28</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1C3-J2-15</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14</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1C3-J3-15</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29</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1C3-J4-21</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15</w:t>
                  </w:r>
                </w:p>
              </w:tc>
              <w:tc>
                <w:tcPr>
                  <w:tcW w:w="8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2A2-JC1-30</w:t>
                  </w:r>
                </w:p>
              </w:tc>
              <w:tc>
                <w:tcPr>
                  <w:tcW w:w="83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2</w:t>
                  </w:r>
                </w:p>
              </w:tc>
              <w:tc>
                <w:tcPr>
                  <w:tcW w:w="83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30</w:t>
                  </w:r>
                </w:p>
              </w:tc>
              <w:tc>
                <w:tcPr>
                  <w:tcW w:w="10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2A5-JC3-36</w:t>
                  </w:r>
                </w:p>
              </w:tc>
              <w:tc>
                <w:tcPr>
                  <w:tcW w:w="1051" w:type="pct"/>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color w:val="auto"/>
                      <w:kern w:val="24"/>
                      <w:sz w:val="21"/>
                      <w:szCs w:val="21"/>
                      <w:highlight w:val="none"/>
                      <w:lang w:val="en-US" w:eastAsia="zh-CN" w:bidi="ar-SA"/>
                    </w:rPr>
                  </w:pPr>
                  <w:r>
                    <w:rPr>
                      <w:rFonts w:hint="default" w:ascii="Times New Roman" w:hAnsi="Times New Roman" w:cs="Times New Roman"/>
                      <w:b w:val="0"/>
                      <w:bCs/>
                      <w:color w:val="auto"/>
                      <w:kern w:val="24"/>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tcBorders>
                    <w:lef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lang w:val="en-US" w:eastAsia="zh-CN"/>
                    </w:rPr>
                  </w:pPr>
                  <w:r>
                    <w:rPr>
                      <w:rFonts w:hint="default" w:ascii="Times New Roman" w:hAnsi="Times New Roman" w:cs="Times New Roman"/>
                      <w:b w:val="0"/>
                      <w:bCs/>
                      <w:color w:val="auto"/>
                      <w:kern w:val="24"/>
                      <w:sz w:val="21"/>
                      <w:szCs w:val="21"/>
                      <w:lang w:val="en-US" w:eastAsia="zh-CN"/>
                    </w:rPr>
                    <w:t>合计</w:t>
                  </w:r>
                </w:p>
              </w:tc>
              <w:tc>
                <w:tcPr>
                  <w:tcW w:w="4637" w:type="pct"/>
                  <w:gridSpan w:val="5"/>
                  <w:tcBorders>
                    <w:right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val="0"/>
                      <w:bCs/>
                      <w:color w:val="auto"/>
                      <w:kern w:val="24"/>
                      <w:sz w:val="21"/>
                      <w:szCs w:val="21"/>
                      <w:lang w:val="en-US" w:eastAsia="zh-CN"/>
                    </w:rPr>
                  </w:pPr>
                  <w:r>
                    <w:rPr>
                      <w:rFonts w:hint="default" w:ascii="Times New Roman" w:hAnsi="Times New Roman" w:cs="Times New Roman"/>
                      <w:b w:val="0"/>
                      <w:bCs/>
                      <w:color w:val="auto"/>
                      <w:kern w:val="24"/>
                      <w:sz w:val="21"/>
                      <w:szCs w:val="21"/>
                      <w:lang w:val="en-US" w:eastAsia="zh-CN"/>
                    </w:rPr>
                    <w:t>55</w:t>
                  </w:r>
                </w:p>
              </w:tc>
            </w:tr>
          </w:tbl>
          <w:p>
            <w:pPr>
              <w:pStyle w:val="27"/>
              <w:keepNext w:val="0"/>
              <w:keepLines w:val="0"/>
              <w:pageBreakBefore w:val="0"/>
              <w:widowControl w:val="0"/>
              <w:numPr>
                <w:ilvl w:val="0"/>
                <w:numId w:val="0"/>
              </w:numPr>
              <w:tabs>
                <w:tab w:val="left" w:pos="1299"/>
              </w:tabs>
              <w:kinsoku/>
              <w:wordWrap/>
              <w:topLinePunct w:val="0"/>
              <w:bidi w:val="0"/>
              <w:spacing w:before="192" w:after="0" w:line="360" w:lineRule="auto"/>
              <w:ind w:left="587" w:leftChars="0" w:right="0" w:rightChars="0"/>
              <w:jc w:val="left"/>
              <w:rPr>
                <w:rFonts w:hint="default" w:ascii="Times New Roman" w:hAnsi="Times New Roman" w:cs="Times New Roman"/>
                <w:sz w:val="24"/>
                <w:highlight w:val="none"/>
              </w:rPr>
            </w:pP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12</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lang w:eastAsia="zh-CN"/>
              </w:rPr>
              <w:t>矿产资源压覆</w:t>
            </w:r>
          </w:p>
          <w:p>
            <w:pPr>
              <w:keepNext w:val="0"/>
              <w:keepLines w:val="0"/>
              <w:pageBreakBefore w:val="0"/>
              <w:widowControl w:val="0"/>
              <w:kinsoku/>
              <w:wordWrap/>
              <w:topLinePunct w:val="0"/>
              <w:autoSpaceDE w:val="0"/>
              <w:autoSpaceDN w:val="0"/>
              <w:bidi w:val="0"/>
              <w:adjustRightInd w:val="0"/>
              <w:ind w:firstLine="480" w:firstLineChars="200"/>
              <w:jc w:val="both"/>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根据“榆林市投资项目选址‘一张图’控制线检测报告”及在政府部门调查了解，线路位于限制建设用地区，线路沿线涉及的矿产资源主要为煤炭资源。线路不涉及具有采矿权的矿区，仅穿越两个具有探矿权的勘查区，分别为：陕北侏罗纪煤田榆神矿区马王庙勘查区和陕西省陕北侏罗纪榆神矿区木瓜山-万家沟勘查区。</w:t>
            </w:r>
          </w:p>
          <w:p>
            <w:pPr>
              <w:keepNext w:val="0"/>
              <w:keepLines w:val="0"/>
              <w:pageBreakBefore w:val="0"/>
              <w:widowControl w:val="0"/>
              <w:kinsoku/>
              <w:wordWrap/>
              <w:topLinePunct w:val="0"/>
              <w:autoSpaceDE w:val="0"/>
              <w:autoSpaceDN w:val="0"/>
              <w:bidi w:val="0"/>
              <w:adjustRightInd w:val="0"/>
              <w:ind w:firstLine="480" w:firstLineChars="200"/>
              <w:jc w:val="both"/>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①陕北侏罗纪煤田榆神矿区马王庙勘查区</w:t>
            </w:r>
          </w:p>
          <w:p>
            <w:pPr>
              <w:keepNext w:val="0"/>
              <w:keepLines w:val="0"/>
              <w:pageBreakBefore w:val="0"/>
              <w:widowControl w:val="0"/>
              <w:kinsoku/>
              <w:wordWrap/>
              <w:topLinePunct w:val="0"/>
              <w:autoSpaceDE w:val="0"/>
              <w:autoSpaceDN w:val="0"/>
              <w:bidi w:val="0"/>
              <w:adjustRightInd w:val="0"/>
              <w:ind w:firstLine="480" w:firstLineChars="200"/>
              <w:jc w:val="both"/>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该勘查区矿权已经注销，且该勘查区之前为探矿区，未形成采空区，线路可不考虑其影响。</w:t>
            </w:r>
          </w:p>
          <w:p>
            <w:pPr>
              <w:keepNext w:val="0"/>
              <w:keepLines w:val="0"/>
              <w:pageBreakBefore w:val="0"/>
              <w:widowControl w:val="0"/>
              <w:kinsoku/>
              <w:wordWrap/>
              <w:topLinePunct w:val="0"/>
              <w:autoSpaceDE w:val="0"/>
              <w:autoSpaceDN w:val="0"/>
              <w:bidi w:val="0"/>
              <w:adjustRightInd w:val="0"/>
              <w:ind w:firstLine="480" w:firstLineChars="200"/>
              <w:jc w:val="both"/>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②陕西省陕北侏罗纪榆神矿区木瓜山-万家沟勘查区</w:t>
            </w:r>
          </w:p>
          <w:p>
            <w:pPr>
              <w:keepNext w:val="0"/>
              <w:keepLines w:val="0"/>
              <w:pageBreakBefore w:val="0"/>
              <w:widowControl w:val="0"/>
              <w:kinsoku/>
              <w:wordWrap/>
              <w:topLinePunct w:val="0"/>
              <w:autoSpaceDE w:val="0"/>
              <w:autoSpaceDN w:val="0"/>
              <w:bidi w:val="0"/>
              <w:adjustRightInd w:val="0"/>
              <w:ind w:firstLine="480" w:firstLineChars="200"/>
              <w:jc w:val="both"/>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线路李家畔110kV 升压站～国电投110kV 升压站段由东向西穿越陕西省陕北侏罗纪榆神矿区木瓜山-万家沟勘查区，线路进入勘查区的长度约为15.5km，根据搜集资料，该勘查区分布有5-2和5-3两层煤。目前该勘查区仅具备探矿权，没有形成采空区，目前对线路稳定性没有影响。</w:t>
            </w:r>
          </w:p>
          <w:p>
            <w:pPr>
              <w:keepNext w:val="0"/>
              <w:keepLines w:val="0"/>
              <w:pageBreakBefore w:val="0"/>
              <w:widowControl w:val="0"/>
              <w:kinsoku/>
              <w:wordWrap/>
              <w:topLinePunct w:val="0"/>
              <w:autoSpaceDE w:val="0"/>
              <w:autoSpaceDN w:val="0"/>
              <w:bidi w:val="0"/>
              <w:adjustRightInd w:val="0"/>
              <w:spacing w:line="360" w:lineRule="auto"/>
              <w:ind w:firstLine="480" w:firstLineChars="200"/>
              <w:jc w:val="both"/>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若该勘查区后期转为采矿权，根据附近区域煤矿开采经验，一般采用综合机械化开采，将形成未来采空区，受开采方式、顶板岩性特征等因素影响，地面将产生不同程度的不均匀沉降或塌陷。为避免后期煤炭开采引起的铁塔倾斜及倒塔等事故发生，建议设计采用抗变形的基础形式或结构措施，后期需与相关开采煤矿协商预留煤柱，同时，建议后期运行中对矿区内的塔位采取变形监测措施，一旦发现塔基基础有变形或者沉降，应及时采取相关措施。</w:t>
            </w:r>
          </w:p>
          <w:p>
            <w:pPr>
              <w:keepNext w:val="0"/>
              <w:keepLines w:val="0"/>
              <w:pageBreakBefore w:val="0"/>
              <w:widowControl w:val="0"/>
              <w:kinsoku/>
              <w:wordWrap/>
              <w:overflowPunct/>
              <w:topLinePunct w:val="0"/>
              <w:autoSpaceDE w:val="0"/>
              <w:autoSpaceDN w:val="0"/>
              <w:bidi w:val="0"/>
              <w:adjustRightInd w:val="0"/>
              <w:snapToGrid/>
              <w:spacing w:line="360" w:lineRule="auto"/>
              <w:ind w:left="0" w:firstLine="480" w:firstLineChars="200"/>
              <w:jc w:val="both"/>
              <w:textAlignment w:val="auto"/>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考虑到煤炭资源对线路有较大影响，建议开展本</w:t>
            </w:r>
            <w:r>
              <w:rPr>
                <w:rFonts w:hint="eastAsia" w:cs="Times New Roman"/>
                <w:snapToGrid w:val="0"/>
                <w:color w:val="auto"/>
                <w:lang w:eastAsia="zh-CN"/>
              </w:rPr>
              <w:t>项目</w:t>
            </w:r>
            <w:r>
              <w:rPr>
                <w:rFonts w:hint="default" w:ascii="Times New Roman" w:hAnsi="Times New Roman" w:cs="Times New Roman"/>
                <w:snapToGrid w:val="0"/>
                <w:color w:val="auto"/>
                <w:lang w:eastAsia="zh-CN"/>
              </w:rPr>
              <w:t>矿产压覆及稳定性评价工作，最终矿产资源压覆及开采对本</w:t>
            </w:r>
            <w:r>
              <w:rPr>
                <w:rFonts w:hint="eastAsia" w:cs="Times New Roman"/>
                <w:snapToGrid w:val="0"/>
                <w:color w:val="auto"/>
                <w:lang w:eastAsia="zh-CN"/>
              </w:rPr>
              <w:t>项目</w:t>
            </w:r>
            <w:r>
              <w:rPr>
                <w:rFonts w:hint="default" w:ascii="Times New Roman" w:hAnsi="Times New Roman" w:cs="Times New Roman"/>
                <w:snapToGrid w:val="0"/>
                <w:color w:val="auto"/>
                <w:lang w:eastAsia="zh-CN"/>
              </w:rPr>
              <w:t>的影响以矿产压覆和稳定性专项评估报告的结论为准。</w:t>
            </w:r>
          </w:p>
          <w:p>
            <w:pPr>
              <w:pStyle w:val="27"/>
              <w:keepNext w:val="0"/>
              <w:keepLines w:val="0"/>
              <w:pageBreakBefore w:val="0"/>
              <w:widowControl w:val="0"/>
              <w:numPr>
                <w:ilvl w:val="0"/>
                <w:numId w:val="0"/>
              </w:numPr>
              <w:tabs>
                <w:tab w:val="left" w:pos="1299"/>
              </w:tabs>
              <w:kinsoku/>
              <w:wordWrap/>
              <w:overflowPunct/>
              <w:topLinePunct w:val="0"/>
              <w:bidi w:val="0"/>
              <w:snapToGrid/>
              <w:spacing w:after="0" w:line="360" w:lineRule="auto"/>
              <w:ind w:left="587" w:leftChars="0" w:right="0" w:rightChars="0"/>
              <w:jc w:val="left"/>
              <w:textAlignment w:val="auto"/>
              <w:rPr>
                <w:rFonts w:hint="default" w:ascii="Times New Roman" w:hAnsi="Times New Roman" w:cs="Times New Roman"/>
                <w:sz w:val="24"/>
                <w:highlight w:val="none"/>
                <w:lang w:eastAsia="zh-CN"/>
              </w:rPr>
            </w:pP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13</w:t>
            </w: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lang w:eastAsia="zh-CN"/>
              </w:rPr>
              <w:t>塔基基础</w:t>
            </w:r>
          </w:p>
          <w:p>
            <w:pPr>
              <w:pStyle w:val="2"/>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在压矿区域均采用复合大板基础，即采用钢筋混凝土板式基础、基础底面设置防护大板和地脚螺栓加长方法进行预防。</w:t>
            </w:r>
          </w:p>
          <w:p>
            <w:pPr>
              <w:pStyle w:val="27"/>
              <w:keepNext w:val="0"/>
              <w:keepLines w:val="0"/>
              <w:pageBreakBefore w:val="0"/>
              <w:widowControl w:val="0"/>
              <w:kinsoku/>
              <w:wordWrap/>
              <w:topLinePunct w:val="0"/>
              <w:bidi w:val="0"/>
              <w:spacing w:before="3" w:line="360" w:lineRule="auto"/>
              <w:ind w:left="107" w:right="75" w:firstLine="480"/>
              <w:jc w:val="both"/>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 xml:space="preserve"> 非压矿段选用板式直柱基础、掏挖基础、挖孔基础、机械挖孔基础。基础混凝土采用C25，保护帽和垫层C15；基础钢材采用 HRB400级和 HPB300级；地脚螺栓采用35#钢，复合大板基础地脚螺栓加长150mm，其余基础型式地脚螺栓长度不用加长。 </w:t>
            </w:r>
          </w:p>
          <w:p>
            <w:pPr>
              <w:pStyle w:val="2"/>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基础型式及材料量详见图</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、图</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w:t>
            </w:r>
          </w:p>
          <w:p>
            <w:pPr>
              <w:pStyle w:val="3"/>
              <w:keepNext w:val="0"/>
              <w:keepLines w:val="0"/>
              <w:pageBreakBefore w:val="0"/>
              <w:widowControl w:val="0"/>
              <w:kinsoku/>
              <w:wordWrap/>
              <w:topLinePunct w:val="0"/>
              <w:bidi w:val="0"/>
              <w:jc w:val="center"/>
              <w:rPr>
                <w:rFonts w:hint="default" w:ascii="Times New Roman" w:hAnsi="Times New Roman" w:cs="Times New Roman"/>
                <w:sz w:val="20"/>
              </w:rPr>
            </w:pPr>
            <w:r>
              <w:rPr>
                <w:rFonts w:hint="default" w:ascii="Times New Roman" w:hAnsi="Times New Roman" w:cs="Times New Roman"/>
              </w:rPr>
              <w:drawing>
                <wp:inline distT="0" distB="0" distL="114300" distR="114300">
                  <wp:extent cx="2734310" cy="1894840"/>
                  <wp:effectExtent l="0" t="0" r="889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2734310" cy="1894840"/>
                          </a:xfrm>
                          <a:prstGeom prst="rect">
                            <a:avLst/>
                          </a:prstGeom>
                          <a:noFill/>
                          <a:ln>
                            <a:noFill/>
                          </a:ln>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1213485" cy="1916430"/>
                  <wp:effectExtent l="0" t="0" r="5715"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1213485" cy="1916430"/>
                          </a:xfrm>
                          <a:prstGeom prst="rect">
                            <a:avLst/>
                          </a:prstGeom>
                          <a:noFill/>
                          <a:ln>
                            <a:noFill/>
                          </a:ln>
                        </pic:spPr>
                      </pic:pic>
                    </a:graphicData>
                  </a:graphic>
                </wp:inline>
              </w:drawing>
            </w:r>
          </w:p>
          <w:p>
            <w:pPr>
              <w:keepNext w:val="0"/>
              <w:keepLines w:val="0"/>
              <w:pageBreakBefore w:val="0"/>
              <w:widowControl w:val="0"/>
              <w:kinsoku/>
              <w:wordWrap/>
              <w:topLinePunct w:val="0"/>
              <w:bidi w:val="0"/>
              <w:spacing w:line="240" w:lineRule="auto"/>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图</w:t>
            </w:r>
            <w:r>
              <w:rPr>
                <w:rFonts w:hint="eastAsia" w:cs="Times New Roman"/>
                <w:b/>
                <w:color w:val="auto"/>
                <w:sz w:val="21"/>
                <w:szCs w:val="21"/>
                <w:lang w:val="en-US" w:eastAsia="zh-CN"/>
              </w:rPr>
              <w:t>5</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lang w:val="en-US" w:eastAsia="zh-CN"/>
              </w:rPr>
              <w:tab/>
            </w:r>
            <w:r>
              <w:rPr>
                <w:rFonts w:hint="default" w:ascii="Times New Roman" w:hAnsi="Times New Roman" w:cs="Times New Roman"/>
                <w:b/>
                <w:color w:val="auto"/>
                <w:sz w:val="21"/>
                <w:szCs w:val="21"/>
                <w:lang w:val="en-US" w:eastAsia="zh-CN"/>
              </w:rPr>
              <w:t>直柱基础、掏挖基础、挖孔基础基础示意图</w:t>
            </w:r>
          </w:p>
          <w:p>
            <w:pPr>
              <w:pStyle w:val="27"/>
              <w:keepNext w:val="0"/>
              <w:keepLines w:val="0"/>
              <w:pageBreakBefore w:val="0"/>
              <w:widowControl w:val="0"/>
              <w:kinsoku/>
              <w:wordWrap/>
              <w:topLinePunct w:val="0"/>
              <w:bidi w:val="0"/>
              <w:spacing w:before="3" w:line="360" w:lineRule="auto"/>
              <w:ind w:left="107" w:right="75" w:firstLine="480"/>
              <w:jc w:val="both"/>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 xml:space="preserve"> </w:t>
            </w:r>
          </w:p>
          <w:p>
            <w:pPr>
              <w:pStyle w:val="27"/>
              <w:keepNext w:val="0"/>
              <w:keepLines w:val="0"/>
              <w:pageBreakBefore w:val="0"/>
              <w:widowControl w:val="0"/>
              <w:kinsoku/>
              <w:wordWrap/>
              <w:topLinePunct w:val="0"/>
              <w:bidi w:val="0"/>
              <w:spacing w:before="3" w:line="364" w:lineRule="auto"/>
              <w:ind w:left="107" w:right="75" w:firstLine="480"/>
              <w:jc w:val="center"/>
              <w:rPr>
                <w:rFonts w:hint="default" w:ascii="Times New Roman" w:hAnsi="Times New Roman" w:cs="Times New Roman"/>
                <w:color w:val="auto"/>
                <w:sz w:val="24"/>
                <w:highlight w:val="yellow"/>
                <w:lang w:val="en-US" w:eastAsia="zh-CN"/>
              </w:rPr>
            </w:pPr>
            <w:r>
              <w:rPr>
                <w:rFonts w:hint="default" w:ascii="Times New Roman" w:hAnsi="Times New Roman" w:cs="Times New Roman"/>
              </w:rPr>
              <w:drawing>
                <wp:inline distT="0" distB="0" distL="114300" distR="114300">
                  <wp:extent cx="4411980" cy="2375535"/>
                  <wp:effectExtent l="0" t="0" r="7620"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4411980" cy="2375535"/>
                          </a:xfrm>
                          <a:prstGeom prst="rect">
                            <a:avLst/>
                          </a:prstGeom>
                          <a:noFill/>
                          <a:ln>
                            <a:noFill/>
                          </a:ln>
                        </pic:spPr>
                      </pic:pic>
                    </a:graphicData>
                  </a:graphic>
                </wp:inline>
              </w:drawing>
            </w:r>
          </w:p>
          <w:p>
            <w:pPr>
              <w:keepNext w:val="0"/>
              <w:keepLines w:val="0"/>
              <w:pageBreakBefore w:val="0"/>
              <w:widowControl w:val="0"/>
              <w:kinsoku/>
              <w:wordWrap/>
              <w:topLinePunct w:val="0"/>
              <w:bidi w:val="0"/>
              <w:spacing w:line="240" w:lineRule="auto"/>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图</w:t>
            </w:r>
            <w:r>
              <w:rPr>
                <w:rFonts w:hint="eastAsia" w:cs="Times New Roman"/>
                <w:b/>
                <w:color w:val="auto"/>
                <w:sz w:val="21"/>
                <w:szCs w:val="21"/>
                <w:lang w:val="en-US" w:eastAsia="zh-CN"/>
              </w:rPr>
              <w:t>6</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lang w:val="en-US" w:eastAsia="zh-CN"/>
              </w:rPr>
              <w:tab/>
            </w:r>
            <w:r>
              <w:rPr>
                <w:rFonts w:hint="default" w:ascii="Times New Roman" w:hAnsi="Times New Roman" w:cs="Times New Roman"/>
                <w:b/>
                <w:color w:val="auto"/>
                <w:sz w:val="21"/>
                <w:szCs w:val="21"/>
                <w:lang w:val="en-US" w:eastAsia="zh-CN"/>
              </w:rPr>
              <w:t>复合大板基础示意图</w:t>
            </w:r>
          </w:p>
          <w:p>
            <w:pPr>
              <w:pStyle w:val="25"/>
              <w:keepNext w:val="0"/>
              <w:keepLines w:val="0"/>
              <w:pageBreakBefore w:val="0"/>
              <w:widowControl w:val="0"/>
              <w:kinsoku/>
              <w:wordWrap/>
              <w:topLinePunct w:val="0"/>
              <w:bidi w:val="0"/>
              <w:spacing w:line="360" w:lineRule="auto"/>
              <w:rPr>
                <w:rFonts w:hint="default" w:ascii="Times New Roman" w:hAnsi="Times New Roman" w:cs="Times New Roman"/>
                <w:color w:val="auto"/>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eastAsia="宋体" w:cs="Times New Roman"/>
                <w:sz w:val="24"/>
              </w:rPr>
              <w:t>交通情况</w:t>
            </w:r>
          </w:p>
          <w:p>
            <w:pPr>
              <w:pStyle w:val="9"/>
              <w:keepNext w:val="0"/>
              <w:keepLines w:val="0"/>
              <w:pageBreakBefore w:val="0"/>
              <w:widowControl w:val="0"/>
              <w:kinsoku/>
              <w:wordWrap/>
              <w:topLinePunct w:val="0"/>
              <w:bidi w:val="0"/>
              <w:spacing w:line="360" w:lineRule="auto"/>
              <w:ind w:firstLine="480" w:firstLineChars="200"/>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本</w:t>
            </w:r>
            <w:r>
              <w:rPr>
                <w:rFonts w:hint="eastAsia" w:cs="Times New Roman"/>
                <w:snapToGrid w:val="0"/>
                <w:color w:val="auto"/>
                <w:lang w:eastAsia="zh-CN"/>
              </w:rPr>
              <w:t>项目</w:t>
            </w:r>
            <w:r>
              <w:rPr>
                <w:rFonts w:hint="default" w:ascii="Times New Roman" w:hAnsi="Times New Roman" w:cs="Times New Roman"/>
                <w:snapToGrid w:val="0"/>
                <w:color w:val="auto"/>
                <w:lang w:eastAsia="zh-CN"/>
              </w:rPr>
              <w:t>线路有公路榆西路，沿线有较多大车路、土路，全线交通条件良好，施工运行维护较方便。</w:t>
            </w:r>
          </w:p>
          <w:p>
            <w:pPr>
              <w:pStyle w:val="25"/>
              <w:keepNext w:val="0"/>
              <w:keepLines w:val="0"/>
              <w:pageBreakBefore w:val="0"/>
              <w:widowControl w:val="0"/>
              <w:kinsoku/>
              <w:wordWrap/>
              <w:topLinePunct w:val="0"/>
              <w:bidi w:val="0"/>
              <w:spacing w:line="360" w:lineRule="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cs="Times New Roman"/>
                <w:sz w:val="24"/>
                <w:lang w:eastAsia="zh-CN"/>
              </w:rPr>
              <w:t>房屋拆迁</w:t>
            </w:r>
          </w:p>
          <w:p>
            <w:pPr>
              <w:pStyle w:val="24"/>
              <w:widowControl/>
              <w:spacing w:line="360" w:lineRule="auto"/>
              <w:ind w:firstLine="480" w:firstLineChars="200"/>
              <w:jc w:val="left"/>
              <w:rPr>
                <w:rFonts w:hint="default" w:ascii="Times New Roman" w:hAnsi="Times New Roman" w:cs="Times New Roman" w:eastAsiaTheme="minorEastAsia"/>
                <w:bCs/>
                <w:color w:val="auto"/>
                <w:kern w:val="2"/>
              </w:rPr>
            </w:pPr>
            <w:r>
              <w:rPr>
                <w:rFonts w:hint="default" w:ascii="Times New Roman" w:hAnsi="Times New Roman" w:cs="Times New Roman" w:eastAsiaTheme="minorEastAsia"/>
                <w:bCs/>
                <w:color w:val="auto"/>
                <w:kern w:val="2"/>
              </w:rPr>
              <w:t>项目输电线路不涉及环保拆迁和工程拆迁情况。</w:t>
            </w:r>
          </w:p>
          <w:p>
            <w:pPr>
              <w:pStyle w:val="25"/>
              <w:keepNext w:val="0"/>
              <w:keepLines w:val="0"/>
              <w:pageBreakBefore w:val="0"/>
              <w:widowControl w:val="0"/>
              <w:kinsoku/>
              <w:wordWrap/>
              <w:topLinePunct w:val="0"/>
              <w:bidi w:val="0"/>
              <w:spacing w:line="360" w:lineRule="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sz w:val="24"/>
                <w:lang w:eastAsia="zh-CN"/>
              </w:rPr>
              <w:t>树木砍伐</w:t>
            </w:r>
          </w:p>
          <w:p>
            <w:pPr>
              <w:pStyle w:val="9"/>
              <w:keepNext w:val="0"/>
              <w:keepLines w:val="0"/>
              <w:pageBreakBefore w:val="0"/>
              <w:widowControl w:val="0"/>
              <w:kinsoku/>
              <w:wordWrap/>
              <w:topLinePunct w:val="0"/>
              <w:bidi w:val="0"/>
              <w:spacing w:line="360" w:lineRule="auto"/>
              <w:ind w:firstLine="480" w:firstLineChars="200"/>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由于陕北地区近年来植被保护好，本</w:t>
            </w:r>
            <w:r>
              <w:rPr>
                <w:rFonts w:hint="eastAsia" w:cs="Times New Roman"/>
                <w:snapToGrid w:val="0"/>
                <w:color w:val="auto"/>
                <w:lang w:eastAsia="zh-CN"/>
              </w:rPr>
              <w:t>项目</w:t>
            </w:r>
            <w:r>
              <w:rPr>
                <w:rFonts w:hint="default" w:ascii="Times New Roman" w:hAnsi="Times New Roman" w:cs="Times New Roman"/>
                <w:snapToGrid w:val="0"/>
                <w:color w:val="auto"/>
                <w:lang w:eastAsia="zh-CN"/>
              </w:rPr>
              <w:t>线路附近存在杨树，全线需砍伐塔位和档中</w:t>
            </w:r>
            <w:r>
              <w:rPr>
                <w:rFonts w:hint="default" w:ascii="Times New Roman" w:hAnsi="Times New Roman" w:cs="Times New Roman"/>
                <w:snapToGrid w:val="0"/>
                <w:color w:val="auto"/>
                <w:lang w:val="en-US" w:eastAsia="zh-CN"/>
              </w:rPr>
              <w:t>1</w:t>
            </w:r>
            <w:r>
              <w:rPr>
                <w:rFonts w:hint="eastAsia" w:ascii="Times New Roman" w:hAnsi="Times New Roman" w:cs="Times New Roman"/>
                <w:snapToGrid w:val="0"/>
                <w:color w:val="auto"/>
                <w:lang w:val="en-US" w:eastAsia="zh-CN"/>
              </w:rPr>
              <w:t>5</w:t>
            </w:r>
            <w:r>
              <w:rPr>
                <w:rFonts w:hint="default" w:ascii="Times New Roman" w:hAnsi="Times New Roman" w:cs="Times New Roman"/>
                <w:snapToGrid w:val="0"/>
                <w:color w:val="auto"/>
                <w:lang w:val="en-US" w:eastAsia="zh-CN"/>
              </w:rPr>
              <w:t>00</w:t>
            </w:r>
            <w:r>
              <w:rPr>
                <w:rFonts w:hint="default" w:ascii="Times New Roman" w:hAnsi="Times New Roman" w:cs="Times New Roman"/>
                <w:snapToGrid w:val="0"/>
                <w:color w:val="auto"/>
                <w:lang w:eastAsia="zh-CN"/>
              </w:rPr>
              <w:t>棵。</w:t>
            </w:r>
          </w:p>
          <w:p>
            <w:pPr>
              <w:pStyle w:val="25"/>
              <w:keepNext w:val="0"/>
              <w:keepLines w:val="0"/>
              <w:pageBreakBefore w:val="0"/>
              <w:widowControl w:val="0"/>
              <w:kinsoku/>
              <w:wordWrap/>
              <w:topLinePunct w:val="0"/>
              <w:bidi w:val="0"/>
              <w:spacing w:line="360" w:lineRule="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7</w:t>
            </w:r>
            <w:r>
              <w:rPr>
                <w:rFonts w:hint="default" w:ascii="Times New Roman" w:hAnsi="Times New Roman" w:cs="Times New Roman"/>
                <w:color w:val="auto"/>
                <w:lang w:eastAsia="zh-CN"/>
              </w:rPr>
              <w:t>）</w:t>
            </w:r>
            <w:r>
              <w:rPr>
                <w:rFonts w:hint="default" w:ascii="Times New Roman" w:hAnsi="Times New Roman" w:cs="Times New Roman"/>
                <w:sz w:val="24"/>
                <w:lang w:eastAsia="zh-CN"/>
              </w:rPr>
              <w:t>防鸟刺</w:t>
            </w:r>
          </w:p>
          <w:p>
            <w:pPr>
              <w:pStyle w:val="9"/>
              <w:keepNext w:val="0"/>
              <w:keepLines w:val="0"/>
              <w:pageBreakBefore w:val="0"/>
              <w:widowControl w:val="0"/>
              <w:kinsoku/>
              <w:wordWrap/>
              <w:topLinePunct w:val="0"/>
              <w:bidi w:val="0"/>
              <w:spacing w:line="360" w:lineRule="auto"/>
              <w:ind w:firstLine="480" w:firstLineChars="200"/>
              <w:rPr>
                <w:rFonts w:hint="default" w:ascii="Times New Roman" w:hAnsi="Times New Roman" w:cs="Times New Roman"/>
                <w:snapToGrid w:val="0"/>
                <w:color w:val="auto"/>
                <w:lang w:eastAsia="zh-CN"/>
              </w:rPr>
            </w:pPr>
            <w:r>
              <w:rPr>
                <w:rFonts w:hint="default" w:ascii="Times New Roman" w:hAnsi="Times New Roman" w:cs="Times New Roman"/>
                <w:snapToGrid w:val="0"/>
                <w:color w:val="auto"/>
                <w:lang w:eastAsia="zh-CN"/>
              </w:rPr>
              <w:t>本工程直线塔边相和中相横担分别加装2 只防鸟刺，地线横担加装两只防鸟刺；耐张塔每相引流线上方横担加装2 只防鸟刺（含中相跳线上方地线横担）。</w:t>
            </w:r>
          </w:p>
          <w:p>
            <w:pPr>
              <w:pStyle w:val="25"/>
              <w:keepNext w:val="0"/>
              <w:keepLines w:val="0"/>
              <w:pageBreakBefore w:val="0"/>
              <w:widowControl w:val="0"/>
              <w:kinsoku/>
              <w:wordWrap/>
              <w:topLinePunct w:val="0"/>
              <w:bidi w:val="0"/>
              <w:spacing w:line="360" w:lineRule="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8</w:t>
            </w:r>
            <w:r>
              <w:rPr>
                <w:rFonts w:hint="default" w:ascii="Times New Roman" w:hAnsi="Times New Roman" w:cs="Times New Roman"/>
                <w:color w:val="auto"/>
                <w:lang w:eastAsia="zh-CN"/>
              </w:rPr>
              <w:t>）</w:t>
            </w:r>
            <w:r>
              <w:rPr>
                <w:rFonts w:hint="default" w:ascii="Times New Roman" w:hAnsi="Times New Roman" w:cs="Times New Roman"/>
                <w:color w:val="auto"/>
              </w:rPr>
              <w:t>工程占地</w:t>
            </w:r>
          </w:p>
          <w:p>
            <w:pPr>
              <w:keepNext w:val="0"/>
              <w:keepLines w:val="0"/>
              <w:pageBreakBefore w:val="0"/>
              <w:widowControl w:val="0"/>
              <w:kinsoku/>
              <w:wordWrap/>
              <w:topLinePunct w:val="0"/>
              <w:autoSpaceDE w:val="0"/>
              <w:autoSpaceDN w:val="0"/>
              <w:bidi w:val="0"/>
              <w:adjustRightInd w:val="0"/>
              <w:spacing w:line="360" w:lineRule="auto"/>
              <w:ind w:firstLine="480" w:firstLineChars="200"/>
              <w:jc w:val="both"/>
              <w:rPr>
                <w:rFonts w:hint="default" w:ascii="Times New Roman" w:hAnsi="Times New Roman" w:cs="Times New Roman"/>
                <w:snapToGrid w:val="0"/>
                <w:color w:val="auto"/>
              </w:rPr>
            </w:pPr>
            <w:r>
              <w:rPr>
                <w:rFonts w:hint="default" w:ascii="Times New Roman" w:hAnsi="Times New Roman" w:cs="Times New Roman"/>
                <w:snapToGrid w:val="0"/>
                <w:color w:val="auto"/>
                <w:lang w:eastAsia="zh-CN"/>
              </w:rPr>
              <w:t>①</w:t>
            </w:r>
            <w:r>
              <w:rPr>
                <w:rFonts w:hint="default" w:ascii="Times New Roman" w:hAnsi="Times New Roman" w:cs="Times New Roman"/>
                <w:snapToGrid w:val="0"/>
                <w:color w:val="auto"/>
              </w:rPr>
              <w:t>拟建薛家畔、李家畔、槐树峁风电项目110KV送出线路共设</w:t>
            </w:r>
            <w:r>
              <w:rPr>
                <w:rFonts w:hint="default" w:ascii="Times New Roman" w:hAnsi="Times New Roman" w:cs="Times New Roman"/>
                <w:snapToGrid w:val="0"/>
                <w:color w:val="auto"/>
                <w:lang w:val="en-US" w:eastAsia="zh-CN"/>
              </w:rPr>
              <w:t>55</w:t>
            </w:r>
            <w:r>
              <w:rPr>
                <w:rFonts w:hint="default" w:ascii="Times New Roman" w:hAnsi="Times New Roman" w:cs="Times New Roman"/>
                <w:snapToGrid w:val="0"/>
                <w:color w:val="auto"/>
              </w:rPr>
              <w:t>基塔，</w:t>
            </w:r>
            <w:r>
              <w:rPr>
                <w:rFonts w:hint="default" w:ascii="Times New Roman" w:hAnsi="Times New Roman" w:cs="Times New Roman"/>
                <w:snapToGrid w:val="0"/>
                <w:color w:val="auto"/>
                <w:lang w:eastAsia="zh-CN"/>
              </w:rPr>
              <w:t>其中直线塔</w:t>
            </w:r>
            <w:r>
              <w:rPr>
                <w:rFonts w:hint="default" w:ascii="Times New Roman" w:hAnsi="Times New Roman" w:cs="Times New Roman"/>
                <w:snapToGrid w:val="0"/>
                <w:color w:val="auto"/>
                <w:lang w:val="en-US" w:eastAsia="zh-CN"/>
              </w:rPr>
              <w:t>25基，转角塔30基。</w:t>
            </w:r>
            <w:r>
              <w:rPr>
                <w:rFonts w:hint="default" w:ascii="Times New Roman" w:hAnsi="Times New Roman" w:cs="Times New Roman"/>
                <w:snapToGrid w:val="0"/>
                <w:color w:val="auto"/>
              </w:rPr>
              <w:t>单塔</w:t>
            </w:r>
            <w:r>
              <w:rPr>
                <w:rFonts w:hint="default" w:ascii="Times New Roman" w:hAnsi="Times New Roman" w:cs="Times New Roman"/>
                <w:snapToGrid w:val="0"/>
                <w:color w:val="auto"/>
                <w:lang w:eastAsia="zh-CN"/>
              </w:rPr>
              <w:t>基</w:t>
            </w:r>
            <w:r>
              <w:rPr>
                <w:rFonts w:hint="default" w:ascii="Times New Roman" w:hAnsi="Times New Roman" w:cs="Times New Roman"/>
                <w:snapToGrid w:val="0"/>
                <w:color w:val="auto"/>
              </w:rPr>
              <w:t>占地面积约1</w:t>
            </w:r>
            <w:r>
              <w:rPr>
                <w:rFonts w:hint="default" w:ascii="Times New Roman" w:hAnsi="Times New Roman" w:cs="Times New Roman"/>
                <w:snapToGrid w:val="0"/>
                <w:color w:val="auto"/>
                <w:lang w:val="en-US" w:eastAsia="zh-CN"/>
              </w:rPr>
              <w:t>8</w:t>
            </w:r>
            <w:r>
              <w:rPr>
                <w:rFonts w:hint="default" w:ascii="Times New Roman" w:hAnsi="Times New Roman" w:cs="Times New Roman"/>
                <w:snapToGrid w:val="0"/>
                <w:color w:val="auto"/>
              </w:rPr>
              <w:t>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，则项目输电线路塔基永久占地为</w:t>
            </w:r>
            <w:r>
              <w:rPr>
                <w:rFonts w:hint="default" w:ascii="Times New Roman" w:hAnsi="Times New Roman" w:cs="Times New Roman"/>
                <w:snapToGrid w:val="0"/>
                <w:color w:val="auto"/>
                <w:lang w:val="en-US" w:eastAsia="zh-CN"/>
              </w:rPr>
              <w:t>0.099h</w:t>
            </w:r>
            <w:r>
              <w:rPr>
                <w:rFonts w:hint="default" w:ascii="Times New Roman" w:hAnsi="Times New Roman" w:cs="Times New Roman"/>
                <w:snapToGrid w:val="0"/>
                <w:color w:val="auto"/>
              </w:rPr>
              <w:t>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napToGrid w:val="0"/>
                <w:color w:val="auto"/>
              </w:rPr>
            </w:pPr>
            <w:r>
              <w:rPr>
                <w:rFonts w:hint="default" w:ascii="Times New Roman" w:hAnsi="Times New Roman" w:cs="Times New Roman"/>
                <w:snapToGrid w:val="0"/>
                <w:color w:val="auto"/>
                <w:lang w:eastAsia="zh-CN"/>
              </w:rPr>
              <w:t>②输电线路临时占地</w:t>
            </w:r>
          </w:p>
          <w:p>
            <w:pPr>
              <w:pStyle w:val="26"/>
              <w:keepNext w:val="0"/>
              <w:keepLines w:val="0"/>
              <w:pageBreakBefore w:val="0"/>
              <w:widowControl w:val="0"/>
              <w:numPr>
                <w:ilvl w:val="0"/>
                <w:numId w:val="2"/>
              </w:numPr>
              <w:tabs>
                <w:tab w:val="left" w:pos="1073"/>
              </w:tabs>
              <w:kinsoku/>
              <w:wordWrap/>
              <w:overflowPunct/>
              <w:topLinePunct w:val="0"/>
              <w:autoSpaceDE/>
              <w:autoSpaceDN/>
              <w:bidi w:val="0"/>
              <w:adjustRightInd/>
              <w:snapToGrid/>
              <w:spacing w:before="0" w:after="0" w:line="360" w:lineRule="auto"/>
              <w:ind w:left="1072" w:right="0" w:hanging="362"/>
              <w:jc w:val="left"/>
              <w:textAlignment w:val="auto"/>
              <w:rPr>
                <w:rFonts w:hint="default" w:ascii="Times New Roman" w:hAnsi="Times New Roman" w:cs="Times New Roman"/>
                <w:sz w:val="24"/>
              </w:rPr>
            </w:pPr>
            <w:r>
              <w:rPr>
                <w:rFonts w:hint="default" w:ascii="Times New Roman" w:hAnsi="Times New Roman" w:cs="Times New Roman"/>
                <w:sz w:val="24"/>
              </w:rPr>
              <w:t>塔基临时占地</w:t>
            </w:r>
          </w:p>
          <w:p>
            <w:pPr>
              <w:pStyle w:val="9"/>
              <w:keepNext w:val="0"/>
              <w:keepLines w:val="0"/>
              <w:pageBreakBefore w:val="0"/>
              <w:widowControl w:val="0"/>
              <w:kinsoku/>
              <w:wordWrap/>
              <w:topLinePunct w:val="0"/>
              <w:bidi w:val="0"/>
              <w:spacing w:line="360" w:lineRule="auto"/>
              <w:ind w:firstLine="480" w:firstLineChars="200"/>
              <w:rPr>
                <w:rFonts w:hint="default" w:ascii="Times New Roman" w:hAnsi="Times New Roman" w:cs="Times New Roman"/>
                <w:snapToGrid w:val="0"/>
                <w:color w:val="auto"/>
              </w:rPr>
            </w:pPr>
            <w:r>
              <w:rPr>
                <w:rFonts w:hint="default" w:ascii="Times New Roman" w:hAnsi="Times New Roman" w:cs="Times New Roman"/>
                <w:snapToGrid w:val="0"/>
                <w:color w:val="auto"/>
                <w:lang w:eastAsia="zh-CN"/>
              </w:rPr>
              <w:t>本项目</w:t>
            </w:r>
            <w:r>
              <w:rPr>
                <w:rFonts w:hint="default" w:ascii="Times New Roman" w:hAnsi="Times New Roman" w:cs="Times New Roman"/>
                <w:snapToGrid w:val="0"/>
                <w:color w:val="auto"/>
              </w:rPr>
              <w:t>输电线路新建单回路铁塔</w:t>
            </w:r>
            <w:r>
              <w:rPr>
                <w:rFonts w:hint="default" w:ascii="Times New Roman" w:hAnsi="Times New Roman" w:cs="Times New Roman"/>
                <w:snapToGrid w:val="0"/>
                <w:color w:val="auto"/>
                <w:lang w:val="en-US" w:eastAsia="zh-CN"/>
              </w:rPr>
              <w:t>55</w:t>
            </w:r>
            <w:r>
              <w:rPr>
                <w:rFonts w:hint="default" w:ascii="Times New Roman" w:hAnsi="Times New Roman" w:cs="Times New Roman"/>
                <w:snapToGrid w:val="0"/>
                <w:color w:val="auto"/>
              </w:rPr>
              <w:t>基，其中直线塔2</w:t>
            </w:r>
            <w:r>
              <w:rPr>
                <w:rFonts w:hint="default" w:ascii="Times New Roman" w:hAnsi="Times New Roman" w:cs="Times New Roman"/>
                <w:snapToGrid w:val="0"/>
                <w:color w:val="auto"/>
                <w:lang w:val="en-US" w:eastAsia="zh-CN"/>
              </w:rPr>
              <w:t>5</w:t>
            </w:r>
            <w:r>
              <w:rPr>
                <w:rFonts w:hint="default" w:ascii="Times New Roman" w:hAnsi="Times New Roman" w:cs="Times New Roman"/>
                <w:snapToGrid w:val="0"/>
                <w:color w:val="auto"/>
              </w:rPr>
              <w:t>基，</w:t>
            </w:r>
            <w:r>
              <w:rPr>
                <w:rFonts w:hint="default" w:ascii="Times New Roman" w:hAnsi="Times New Roman" w:cs="Times New Roman"/>
                <w:snapToGrid w:val="0"/>
                <w:color w:val="auto"/>
                <w:lang w:eastAsia="zh-CN"/>
              </w:rPr>
              <w:t>转角塔</w:t>
            </w:r>
            <w:r>
              <w:rPr>
                <w:rFonts w:hint="default" w:ascii="Times New Roman" w:hAnsi="Times New Roman" w:cs="Times New Roman"/>
                <w:snapToGrid w:val="0"/>
                <w:color w:val="auto"/>
                <w:lang w:val="en-US" w:eastAsia="zh-CN"/>
              </w:rPr>
              <w:t>30</w:t>
            </w:r>
            <w:r>
              <w:rPr>
                <w:rFonts w:hint="default" w:ascii="Times New Roman" w:hAnsi="Times New Roman" w:cs="Times New Roman"/>
                <w:snapToGrid w:val="0"/>
                <w:color w:val="auto"/>
              </w:rPr>
              <w:t>基， 临时占地主要用于基础开挖占地、临时堆土占地、施工临时堆料占地及立塔过程中的锚坑其中直线塔塔基施工临时占地按</w:t>
            </w:r>
            <w:r>
              <w:rPr>
                <w:rFonts w:hint="default" w:ascii="Times New Roman" w:hAnsi="Times New Roman" w:cs="Times New Roman"/>
                <w:snapToGrid w:val="0"/>
                <w:color w:val="auto"/>
                <w:lang w:val="en-US" w:eastAsia="zh-CN"/>
              </w:rPr>
              <w:t>80</w:t>
            </w:r>
            <w:r>
              <w:rPr>
                <w:rFonts w:hint="default" w:ascii="Times New Roman" w:hAnsi="Times New Roman" w:cs="Times New Roman"/>
                <w:snapToGrid w:val="0"/>
                <w:color w:val="auto"/>
              </w:rPr>
              <w:t>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/个，</w:t>
            </w:r>
            <w:r>
              <w:rPr>
                <w:rFonts w:hint="default" w:ascii="Times New Roman" w:hAnsi="Times New Roman" w:cs="Times New Roman"/>
                <w:snapToGrid w:val="0"/>
                <w:color w:val="auto"/>
                <w:lang w:eastAsia="zh-CN"/>
              </w:rPr>
              <w:t>转角塔</w:t>
            </w:r>
            <w:r>
              <w:rPr>
                <w:rFonts w:hint="default" w:ascii="Times New Roman" w:hAnsi="Times New Roman" w:cs="Times New Roman"/>
                <w:snapToGrid w:val="0"/>
                <w:color w:val="auto"/>
              </w:rPr>
              <w:t>基施工临时占地按1</w:t>
            </w:r>
            <w:r>
              <w:rPr>
                <w:rFonts w:hint="default" w:ascii="Times New Roman" w:hAnsi="Times New Roman" w:cs="Times New Roman"/>
                <w:snapToGrid w:val="0"/>
                <w:color w:val="auto"/>
                <w:lang w:val="en-US" w:eastAsia="zh-CN"/>
              </w:rPr>
              <w:t>00</w:t>
            </w:r>
            <w:r>
              <w:rPr>
                <w:rFonts w:hint="default" w:ascii="Times New Roman" w:hAnsi="Times New Roman" w:cs="Times New Roman"/>
                <w:snapToGrid w:val="0"/>
                <w:color w:val="auto"/>
              </w:rPr>
              <w:t>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/个计，塔基施工临时占地共计0.</w:t>
            </w:r>
            <w:r>
              <w:rPr>
                <w:rFonts w:hint="default" w:ascii="Times New Roman" w:hAnsi="Times New Roman" w:cs="Times New Roman"/>
                <w:snapToGrid w:val="0"/>
                <w:color w:val="auto"/>
                <w:lang w:val="en-US" w:eastAsia="zh-CN"/>
              </w:rPr>
              <w:t>5</w:t>
            </w:r>
            <w:r>
              <w:rPr>
                <w:rFonts w:hint="default" w:ascii="Times New Roman" w:hAnsi="Times New Roman" w:cs="Times New Roman"/>
                <w:snapToGrid w:val="0"/>
                <w:color w:val="auto"/>
              </w:rPr>
              <w:t>hm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w:t>
            </w:r>
          </w:p>
          <w:p>
            <w:pPr>
              <w:pStyle w:val="26"/>
              <w:keepNext w:val="0"/>
              <w:keepLines w:val="0"/>
              <w:pageBreakBefore w:val="0"/>
              <w:widowControl w:val="0"/>
              <w:numPr>
                <w:ilvl w:val="0"/>
                <w:numId w:val="2"/>
              </w:numPr>
              <w:tabs>
                <w:tab w:val="left" w:pos="1073"/>
              </w:tabs>
              <w:kinsoku/>
              <w:wordWrap/>
              <w:topLinePunct w:val="0"/>
              <w:bidi w:val="0"/>
              <w:spacing w:before="2" w:after="0" w:line="360" w:lineRule="auto"/>
              <w:ind w:left="1072" w:right="0" w:hanging="362"/>
              <w:jc w:val="left"/>
              <w:rPr>
                <w:rFonts w:hint="default" w:ascii="Times New Roman" w:hAnsi="Times New Roman" w:cs="Times New Roman"/>
                <w:sz w:val="24"/>
              </w:rPr>
            </w:pPr>
            <w:r>
              <w:rPr>
                <w:rFonts w:hint="default" w:ascii="Times New Roman" w:hAnsi="Times New Roman" w:cs="Times New Roman"/>
                <w:sz w:val="24"/>
              </w:rPr>
              <w:t>牵张场</w:t>
            </w:r>
          </w:p>
          <w:p>
            <w:pPr>
              <w:pStyle w:val="9"/>
              <w:keepNext w:val="0"/>
              <w:keepLines w:val="0"/>
              <w:pageBreakBefore w:val="0"/>
              <w:widowControl w:val="0"/>
              <w:kinsoku/>
              <w:wordWrap/>
              <w:topLinePunct w:val="0"/>
              <w:bidi w:val="0"/>
              <w:spacing w:line="360" w:lineRule="auto"/>
              <w:ind w:firstLine="480" w:firstLineChars="200"/>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为满足施工放线需要，输电线路沿线需设置牵张场，牵张场应满足牵引机、张力机能直接运达到位，地形应平坦，能满足布置牵张设备、布置导线及施工操作等要求。经现场实地踏勘，本项目根据沿线实际情况各施工标段内每隔5km～10km设置一处牵张场地，每处占地面积约为800m</w:t>
            </w:r>
            <w:r>
              <w:rPr>
                <w:rFonts w:hint="default" w:ascii="Times New Roman" w:hAnsi="Times New Roman" w:cs="Times New Roman"/>
                <w:snapToGrid w:val="0"/>
                <w:color w:val="auto"/>
                <w:vertAlign w:val="superscript"/>
                <w:lang w:val="en-US" w:eastAsia="zh-CN"/>
              </w:rPr>
              <w:t>2</w:t>
            </w:r>
            <w:r>
              <w:rPr>
                <w:rFonts w:hint="default" w:ascii="Times New Roman" w:hAnsi="Times New Roman" w:cs="Times New Roman"/>
                <w:snapToGrid w:val="0"/>
                <w:color w:val="auto"/>
                <w:lang w:val="en-US" w:eastAsia="zh-CN"/>
              </w:rPr>
              <w:t>，线路沿线共设置牵张场2 处，牵张场总计占地面积0.16hm</w:t>
            </w:r>
            <w:r>
              <w:rPr>
                <w:rFonts w:hint="default" w:ascii="Times New Roman" w:hAnsi="Times New Roman" w:cs="Times New Roman"/>
                <w:snapToGrid w:val="0"/>
                <w:color w:val="auto"/>
                <w:vertAlign w:val="superscript"/>
                <w:lang w:val="en-US" w:eastAsia="zh-CN"/>
              </w:rPr>
              <w:t>2</w:t>
            </w:r>
            <w:r>
              <w:rPr>
                <w:rFonts w:hint="default" w:ascii="Times New Roman" w:hAnsi="Times New Roman" w:cs="Times New Roman"/>
                <w:snapToGrid w:val="0"/>
                <w:color w:val="auto"/>
                <w:lang w:val="en-US" w:eastAsia="zh-CN"/>
              </w:rPr>
              <w:t>，占地类型主要为荒地。</w:t>
            </w:r>
          </w:p>
          <w:p>
            <w:pPr>
              <w:pStyle w:val="26"/>
              <w:keepNext w:val="0"/>
              <w:keepLines w:val="0"/>
              <w:pageBreakBefore w:val="0"/>
              <w:widowControl w:val="0"/>
              <w:numPr>
                <w:ilvl w:val="0"/>
                <w:numId w:val="2"/>
              </w:numPr>
              <w:tabs>
                <w:tab w:val="left" w:pos="1073"/>
              </w:tabs>
              <w:kinsoku/>
              <w:wordWrap/>
              <w:topLinePunct w:val="0"/>
              <w:bidi w:val="0"/>
              <w:spacing w:before="3" w:after="0" w:line="360" w:lineRule="auto"/>
              <w:ind w:left="1072" w:right="0" w:hanging="362"/>
              <w:jc w:val="left"/>
              <w:rPr>
                <w:rFonts w:hint="default" w:ascii="Times New Roman" w:hAnsi="Times New Roman" w:cs="Times New Roman"/>
                <w:sz w:val="24"/>
              </w:rPr>
            </w:pPr>
            <w:r>
              <w:rPr>
                <w:rFonts w:hint="default" w:ascii="Times New Roman" w:hAnsi="Times New Roman" w:cs="Times New Roman"/>
                <w:sz w:val="24"/>
              </w:rPr>
              <w:t>施工便道</w:t>
            </w:r>
          </w:p>
          <w:p>
            <w:pPr>
              <w:pStyle w:val="9"/>
              <w:keepNext w:val="0"/>
              <w:keepLines w:val="0"/>
              <w:pageBreakBefore w:val="0"/>
              <w:widowControl w:val="0"/>
              <w:kinsoku/>
              <w:wordWrap/>
              <w:topLinePunct w:val="0"/>
              <w:bidi w:val="0"/>
              <w:spacing w:line="360" w:lineRule="auto"/>
              <w:ind w:firstLine="480" w:firstLineChars="200"/>
              <w:rPr>
                <w:rFonts w:hint="default" w:ascii="Times New Roman" w:hAnsi="Times New Roman" w:cs="Times New Roman"/>
                <w:snapToGrid w:val="0"/>
                <w:color w:val="auto"/>
              </w:rPr>
            </w:pPr>
            <w:r>
              <w:rPr>
                <w:rFonts w:hint="default" w:ascii="Times New Roman" w:hAnsi="Times New Roman" w:cs="Times New Roman"/>
                <w:snapToGrid w:val="0"/>
                <w:color w:val="auto"/>
              </w:rPr>
              <w:t>输电线路施工道路主要利用已有公路、乡间小路和生产便道，部分线路沿线需要新修施工便道。为了将施工材料运至塔基处，需新修一定长度的临时施工道路，根据主体工程可研设计资料并结合现场踏勘，确定</w:t>
            </w:r>
            <w:r>
              <w:rPr>
                <w:rFonts w:hint="default" w:ascii="Times New Roman" w:hAnsi="Times New Roman" w:cs="Times New Roman"/>
                <w:snapToGrid w:val="0"/>
                <w:color w:val="auto"/>
                <w:lang w:eastAsia="zh-CN"/>
              </w:rPr>
              <w:t>本项目</w:t>
            </w:r>
            <w:r>
              <w:rPr>
                <w:rFonts w:hint="default" w:ascii="Times New Roman" w:hAnsi="Times New Roman" w:cs="Times New Roman"/>
                <w:snapToGrid w:val="0"/>
                <w:color w:val="auto"/>
              </w:rPr>
              <w:t>需新修临时施工道路长度为</w:t>
            </w:r>
            <w:r>
              <w:rPr>
                <w:rFonts w:hint="default" w:ascii="Times New Roman" w:hAnsi="Times New Roman" w:cs="Times New Roman"/>
                <w:snapToGrid w:val="0"/>
                <w:color w:val="auto"/>
                <w:lang w:val="en-US" w:eastAsia="zh-CN"/>
              </w:rPr>
              <w:t>6.4</w:t>
            </w:r>
            <w:r>
              <w:rPr>
                <w:rFonts w:hint="default" w:ascii="Times New Roman" w:hAnsi="Times New Roman" w:cs="Times New Roman"/>
                <w:snapToGrid w:val="0"/>
                <w:color w:val="auto"/>
              </w:rPr>
              <w:t>km，施工临时道路平均宽度3m，施工便道临时占地面积为</w:t>
            </w:r>
            <w:r>
              <w:rPr>
                <w:rFonts w:hint="default" w:ascii="Times New Roman" w:hAnsi="Times New Roman" w:cs="Times New Roman"/>
                <w:snapToGrid w:val="0"/>
                <w:color w:val="auto"/>
                <w:lang w:val="en-US" w:eastAsia="zh-CN"/>
              </w:rPr>
              <w:t>1.92</w:t>
            </w:r>
            <w:r>
              <w:rPr>
                <w:rFonts w:hint="default" w:ascii="Times New Roman" w:hAnsi="Times New Roman" w:cs="Times New Roman"/>
                <w:snapToGrid w:val="0"/>
                <w:color w:val="auto"/>
              </w:rPr>
              <w:t>hm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w:t>
            </w:r>
          </w:p>
          <w:p>
            <w:pPr>
              <w:pStyle w:val="9"/>
              <w:keepNext w:val="0"/>
              <w:keepLines w:val="0"/>
              <w:pageBreakBefore w:val="0"/>
              <w:widowControl w:val="0"/>
              <w:kinsoku/>
              <w:wordWrap/>
              <w:topLinePunct w:val="0"/>
              <w:bidi w:val="0"/>
              <w:spacing w:line="360" w:lineRule="auto"/>
              <w:ind w:firstLine="480" w:firstLineChars="200"/>
              <w:rPr>
                <w:rFonts w:hint="default" w:ascii="Times New Roman" w:hAnsi="Times New Roman" w:cs="Times New Roman"/>
                <w:snapToGrid w:val="0"/>
                <w:color w:val="auto"/>
              </w:rPr>
            </w:pPr>
            <w:r>
              <w:rPr>
                <w:rFonts w:hint="default" w:ascii="Times New Roman" w:hAnsi="Times New Roman" w:cs="Times New Roman"/>
                <w:snapToGrid w:val="0"/>
                <w:color w:val="auto"/>
              </w:rPr>
              <w:t>本项目占地面积</w:t>
            </w:r>
            <w:r>
              <w:rPr>
                <w:rFonts w:hint="default" w:ascii="Times New Roman" w:hAnsi="Times New Roman" w:cs="Times New Roman"/>
                <w:snapToGrid w:val="0"/>
                <w:color w:val="auto"/>
                <w:lang w:val="en-US" w:eastAsia="zh-CN"/>
              </w:rPr>
              <w:t>2.679</w:t>
            </w:r>
            <w:r>
              <w:rPr>
                <w:rFonts w:hint="default" w:ascii="Times New Roman" w:hAnsi="Times New Roman" w:cs="Times New Roman"/>
                <w:snapToGrid w:val="0"/>
                <w:color w:val="auto"/>
              </w:rPr>
              <w:t>hm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 xml:space="preserve">，其中永久占地 </w:t>
            </w:r>
            <w:r>
              <w:rPr>
                <w:rFonts w:hint="default" w:ascii="Times New Roman" w:hAnsi="Times New Roman" w:cs="Times New Roman"/>
                <w:snapToGrid w:val="0"/>
                <w:color w:val="auto"/>
                <w:lang w:val="en-US" w:eastAsia="zh-CN"/>
              </w:rPr>
              <w:t>0.099</w:t>
            </w:r>
            <w:r>
              <w:rPr>
                <w:rFonts w:hint="default" w:ascii="Times New Roman" w:hAnsi="Times New Roman" w:cs="Times New Roman"/>
                <w:snapToGrid w:val="0"/>
                <w:color w:val="auto"/>
              </w:rPr>
              <w:t>hm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 xml:space="preserve">，临时占地 </w:t>
            </w:r>
            <w:r>
              <w:rPr>
                <w:rFonts w:hint="default" w:ascii="Times New Roman" w:hAnsi="Times New Roman" w:cs="Times New Roman"/>
                <w:snapToGrid w:val="0"/>
                <w:color w:val="auto"/>
                <w:lang w:val="en-US" w:eastAsia="zh-CN"/>
              </w:rPr>
              <w:t>2.58</w:t>
            </w:r>
            <w:r>
              <w:rPr>
                <w:rFonts w:hint="eastAsia" w:cs="Times New Roman"/>
                <w:snapToGrid w:val="0"/>
                <w:color w:val="auto"/>
                <w:lang w:val="en-US" w:eastAsia="zh-CN"/>
              </w:rPr>
              <w:t>h</w:t>
            </w:r>
            <w:r>
              <w:rPr>
                <w:rFonts w:hint="default" w:ascii="Times New Roman" w:hAnsi="Times New Roman" w:cs="Times New Roman"/>
                <w:snapToGrid w:val="0"/>
                <w:color w:val="auto"/>
              </w:rPr>
              <w:t>m</w:t>
            </w:r>
            <w:r>
              <w:rPr>
                <w:rFonts w:hint="default" w:ascii="Times New Roman" w:hAnsi="Times New Roman" w:cs="Times New Roman"/>
                <w:snapToGrid w:val="0"/>
                <w:color w:val="auto"/>
                <w:vertAlign w:val="superscript"/>
              </w:rPr>
              <w:t>2</w:t>
            </w:r>
            <w:r>
              <w:rPr>
                <w:rFonts w:hint="default" w:ascii="Times New Roman" w:hAnsi="Times New Roman" w:cs="Times New Roman"/>
                <w:snapToGrid w:val="0"/>
                <w:color w:val="auto"/>
              </w:rPr>
              <w:t>。占地类型为灌木林地</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荒</w:t>
            </w:r>
            <w:r>
              <w:rPr>
                <w:rFonts w:hint="eastAsia" w:cs="Times New Roman"/>
                <w:snapToGrid w:val="0"/>
                <w:color w:val="auto"/>
                <w:lang w:eastAsia="zh-CN"/>
              </w:rPr>
              <w:t>草地</w:t>
            </w:r>
            <w:r>
              <w:rPr>
                <w:rFonts w:hint="default" w:ascii="Times New Roman" w:hAnsi="Times New Roman" w:cs="Times New Roman"/>
                <w:snapToGrid w:val="0"/>
                <w:color w:val="auto"/>
              </w:rPr>
              <w:t>，本项目组成、占地面积等情况详见表1-</w:t>
            </w:r>
            <w:r>
              <w:rPr>
                <w:rFonts w:hint="default" w:ascii="Times New Roman" w:hAnsi="Times New Roman" w:cs="Times New Roman"/>
                <w:snapToGrid w:val="0"/>
                <w:color w:val="auto"/>
                <w:lang w:val="en-US" w:eastAsia="zh-CN"/>
              </w:rPr>
              <w:t>1</w:t>
            </w:r>
            <w:r>
              <w:rPr>
                <w:rFonts w:hint="eastAsia" w:cs="Times New Roman"/>
                <w:snapToGrid w:val="0"/>
                <w:color w:val="auto"/>
                <w:lang w:val="en-US" w:eastAsia="zh-CN"/>
              </w:rPr>
              <w:t>7</w:t>
            </w:r>
            <w:r>
              <w:rPr>
                <w:rFonts w:hint="default" w:ascii="Times New Roman" w:hAnsi="Times New Roman" w:cs="Times New Roman"/>
                <w:snapToGrid w:val="0"/>
                <w:color w:val="auto"/>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default" w:ascii="Times New Roman" w:hAnsi="Times New Roman" w:eastAsia="宋体" w:cs="Times New Roman"/>
                <w:b/>
                <w:color w:val="auto"/>
                <w:sz w:val="21"/>
                <w:lang w:val="en-US" w:eastAsia="zh-CN"/>
              </w:rPr>
            </w:pPr>
            <w:r>
              <w:rPr>
                <w:rFonts w:hint="default" w:ascii="Times New Roman" w:hAnsi="Times New Roman" w:cs="Times New Roman"/>
                <w:b/>
                <w:color w:val="auto"/>
                <w:sz w:val="21"/>
              </w:rPr>
              <w:t>表 1-</w:t>
            </w:r>
            <w:r>
              <w:rPr>
                <w:rFonts w:hint="default" w:ascii="Times New Roman" w:hAnsi="Times New Roman" w:cs="Times New Roman"/>
                <w:b/>
                <w:color w:val="auto"/>
                <w:sz w:val="21"/>
                <w:lang w:val="en-US" w:eastAsia="zh-CN"/>
              </w:rPr>
              <w:t>1</w:t>
            </w:r>
            <w:r>
              <w:rPr>
                <w:rFonts w:hint="eastAsia" w:ascii="Times New Roman" w:hAnsi="Times New Roman" w:cs="Times New Roman"/>
                <w:b/>
                <w:color w:val="auto"/>
                <w:sz w:val="21"/>
                <w:lang w:val="en-US" w:eastAsia="zh-CN"/>
              </w:rPr>
              <w:t xml:space="preserve">7              </w:t>
            </w:r>
            <w:r>
              <w:rPr>
                <w:rFonts w:hint="default" w:ascii="Times New Roman" w:hAnsi="Times New Roman" w:cs="Times New Roman"/>
                <w:b/>
                <w:color w:val="auto"/>
                <w:sz w:val="21"/>
              </w:rPr>
              <w:t>项目工程占地一览表</w:t>
            </w:r>
            <w:r>
              <w:rPr>
                <w:rFonts w:hint="default" w:ascii="Times New Roman" w:hAnsi="Times New Roman" w:cs="Times New Roman"/>
                <w:b/>
                <w:color w:val="auto"/>
                <w:sz w:val="21"/>
                <w:lang w:val="en-US" w:eastAsia="zh-CN"/>
              </w:rPr>
              <w:t xml:space="preserve">                        单位</w:t>
            </w:r>
            <w:r>
              <w:rPr>
                <w:rFonts w:hint="default" w:ascii="Times New Roman" w:hAnsi="Times New Roman" w:cs="Times New Roman"/>
                <w:snapToGrid w:val="0"/>
                <w:color w:val="auto"/>
              </w:rPr>
              <w:t>hm</w:t>
            </w:r>
            <w:r>
              <w:rPr>
                <w:rFonts w:hint="default" w:ascii="Times New Roman" w:hAnsi="Times New Roman" w:cs="Times New Roman"/>
                <w:snapToGrid w:val="0"/>
                <w:color w:val="auto"/>
                <w:vertAlign w:val="superscript"/>
              </w:rPr>
              <w:t>2</w:t>
            </w:r>
          </w:p>
          <w:tbl>
            <w:tblPr>
              <w:tblStyle w:val="17"/>
              <w:tblW w:w="4997"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40"/>
              <w:gridCol w:w="751"/>
              <w:gridCol w:w="751"/>
              <w:gridCol w:w="754"/>
              <w:gridCol w:w="751"/>
              <w:gridCol w:w="751"/>
              <w:gridCol w:w="754"/>
              <w:gridCol w:w="227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42" w:type="pct"/>
                  <w:vMerge w:val="restar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项目</w:t>
                  </w:r>
                </w:p>
              </w:tc>
              <w:tc>
                <w:tcPr>
                  <w:tcW w:w="3757" w:type="pct"/>
                  <w:gridSpan w:val="7"/>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占地性质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0" w:hRule="atLeast"/>
              </w:trPr>
              <w:tc>
                <w:tcPr>
                  <w:tcW w:w="1242" w:type="pct"/>
                  <w:vMerge w:val="continue"/>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1250" w:type="pct"/>
                  <w:gridSpan w:val="3"/>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永久占地</w:t>
                  </w:r>
                </w:p>
              </w:tc>
              <w:tc>
                <w:tcPr>
                  <w:tcW w:w="1250" w:type="pct"/>
                  <w:gridSpan w:val="3"/>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临时占地</w:t>
                  </w:r>
                </w:p>
              </w:tc>
              <w:tc>
                <w:tcPr>
                  <w:tcW w:w="1256" w:type="pct"/>
                  <w:vMerge w:val="restar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小计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0" w:hRule="atLeast"/>
              </w:trPr>
              <w:tc>
                <w:tcPr>
                  <w:tcW w:w="1242" w:type="pct"/>
                  <w:vMerge w:val="continue"/>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color w:val="auto"/>
                    </w:rPr>
                  </w:pPr>
                </w:p>
              </w:tc>
              <w:tc>
                <w:tcPr>
                  <w:tcW w:w="416" w:type="pct"/>
                  <w:tcBorders>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灌草地</w:t>
                  </w:r>
                </w:p>
              </w:tc>
              <w:tc>
                <w:tcPr>
                  <w:tcW w:w="416" w:type="pct"/>
                  <w:tcBorders>
                    <w:left w:val="single" w:color="000000" w:sz="8" w:space="0"/>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林地</w:t>
                  </w:r>
                </w:p>
              </w:tc>
              <w:tc>
                <w:tcPr>
                  <w:tcW w:w="417" w:type="pct"/>
                  <w:tcBorders>
                    <w:lef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荒地</w:t>
                  </w:r>
                </w:p>
              </w:tc>
              <w:tc>
                <w:tcPr>
                  <w:tcW w:w="416" w:type="pct"/>
                  <w:tcBorders>
                    <w:right w:val="single" w:color="000000" w:sz="8" w:space="0"/>
                    <w:tl2br w:val="nil"/>
                    <w:tr2bl w:val="nil"/>
                  </w:tcBorders>
                  <w:vAlign w:val="top"/>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kern w:val="24"/>
                      <w:sz w:val="21"/>
                      <w:szCs w:val="21"/>
                      <w:highlight w:val="none"/>
                      <w:lang w:val="en-US" w:eastAsia="zh-CN" w:bidi="ar-SA"/>
                    </w:rPr>
                  </w:pPr>
                  <w:r>
                    <w:rPr>
                      <w:rFonts w:hint="eastAsia" w:cs="Times New Roman"/>
                      <w:b w:val="0"/>
                      <w:bCs/>
                      <w:color w:val="auto"/>
                      <w:kern w:val="24"/>
                      <w:sz w:val="21"/>
                      <w:szCs w:val="21"/>
                      <w:highlight w:val="none"/>
                      <w:lang w:val="en-US" w:eastAsia="zh-CN"/>
                    </w:rPr>
                    <w:t>灌草地</w:t>
                  </w:r>
                </w:p>
              </w:tc>
              <w:tc>
                <w:tcPr>
                  <w:tcW w:w="416" w:type="pct"/>
                  <w:tcBorders>
                    <w:left w:val="single" w:color="000000" w:sz="8" w:space="0"/>
                    <w:right w:val="single" w:color="000000" w:sz="8" w:space="0"/>
                    <w:tl2br w:val="nil"/>
                    <w:tr2bl w:val="nil"/>
                  </w:tcBorders>
                  <w:vAlign w:val="top"/>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kern w:val="24"/>
                      <w:sz w:val="21"/>
                      <w:szCs w:val="21"/>
                      <w:highlight w:val="none"/>
                      <w:lang w:val="en-US" w:eastAsia="zh-CN" w:bidi="ar-SA"/>
                    </w:rPr>
                  </w:pPr>
                  <w:r>
                    <w:rPr>
                      <w:rFonts w:hint="eastAsia" w:cs="Times New Roman"/>
                      <w:b w:val="0"/>
                      <w:bCs/>
                      <w:color w:val="auto"/>
                      <w:kern w:val="24"/>
                      <w:sz w:val="21"/>
                      <w:szCs w:val="21"/>
                      <w:highlight w:val="none"/>
                      <w:lang w:val="en-US" w:eastAsia="zh-CN"/>
                    </w:rPr>
                    <w:t>林地</w:t>
                  </w:r>
                </w:p>
              </w:tc>
              <w:tc>
                <w:tcPr>
                  <w:tcW w:w="417" w:type="pct"/>
                  <w:tcBorders>
                    <w:left w:val="single" w:color="000000" w:sz="8" w:space="0"/>
                    <w:tl2br w:val="nil"/>
                    <w:tr2bl w:val="nil"/>
                  </w:tcBorders>
                  <w:vAlign w:val="top"/>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eastAsia="宋体" w:cs="Times New Roman"/>
                      <w:b w:val="0"/>
                      <w:bCs/>
                      <w:color w:val="auto"/>
                      <w:kern w:val="24"/>
                      <w:sz w:val="21"/>
                      <w:szCs w:val="21"/>
                      <w:highlight w:val="none"/>
                      <w:lang w:val="en-US" w:eastAsia="zh-CN" w:bidi="ar-SA"/>
                    </w:rPr>
                  </w:pPr>
                  <w:r>
                    <w:rPr>
                      <w:rFonts w:hint="eastAsia" w:cs="Times New Roman"/>
                      <w:b w:val="0"/>
                      <w:bCs/>
                      <w:color w:val="auto"/>
                      <w:kern w:val="24"/>
                      <w:sz w:val="21"/>
                      <w:szCs w:val="21"/>
                      <w:highlight w:val="none"/>
                      <w:lang w:val="en-US" w:eastAsia="zh-CN"/>
                    </w:rPr>
                    <w:t>荒地</w:t>
                  </w:r>
                </w:p>
              </w:tc>
              <w:tc>
                <w:tcPr>
                  <w:tcW w:w="1256" w:type="pct"/>
                  <w:vMerge w:val="continue"/>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42"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输电线路塔基</w:t>
                  </w:r>
                </w:p>
              </w:tc>
              <w:tc>
                <w:tcPr>
                  <w:tcW w:w="416" w:type="pct"/>
                  <w:tcBorders>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0.032</w:t>
                  </w:r>
                </w:p>
              </w:tc>
              <w:tc>
                <w:tcPr>
                  <w:tcW w:w="416" w:type="pct"/>
                  <w:tcBorders>
                    <w:left w:val="single" w:color="000000" w:sz="8" w:space="0"/>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0.009</w:t>
                  </w:r>
                </w:p>
              </w:tc>
              <w:tc>
                <w:tcPr>
                  <w:tcW w:w="417" w:type="pct"/>
                  <w:tcBorders>
                    <w:lef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0.023</w:t>
                  </w:r>
                </w:p>
              </w:tc>
              <w:tc>
                <w:tcPr>
                  <w:tcW w:w="416" w:type="pct"/>
                  <w:tcBorders>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0.335</w:t>
                  </w:r>
                </w:p>
              </w:tc>
              <w:tc>
                <w:tcPr>
                  <w:tcW w:w="416" w:type="pct"/>
                  <w:tcBorders>
                    <w:left w:val="single" w:color="000000" w:sz="8" w:space="0"/>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7" w:type="pct"/>
                  <w:tcBorders>
                    <w:lef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r>
                    <w:rPr>
                      <w:rFonts w:hint="eastAsia" w:ascii="Times New Roman" w:hAnsi="Times New Roman" w:cs="Times New Roman"/>
                      <w:b w:val="0"/>
                      <w:bCs/>
                      <w:color w:val="auto"/>
                      <w:kern w:val="24"/>
                      <w:sz w:val="21"/>
                      <w:szCs w:val="21"/>
                      <w:highlight w:val="none"/>
                      <w:lang w:val="en-US" w:eastAsia="zh-CN"/>
                    </w:rPr>
                    <w:t>2</w:t>
                  </w:r>
                </w:p>
              </w:tc>
              <w:tc>
                <w:tcPr>
                  <w:tcW w:w="125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0.599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42"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牵张场</w:t>
                  </w:r>
                </w:p>
              </w:tc>
              <w:tc>
                <w:tcPr>
                  <w:tcW w:w="416" w:type="pct"/>
                  <w:tcBorders>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6" w:type="pct"/>
                  <w:tcBorders>
                    <w:left w:val="single" w:color="000000" w:sz="8" w:space="0"/>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7" w:type="pct"/>
                  <w:tcBorders>
                    <w:lef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6" w:type="pct"/>
                  <w:tcBorders>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r>
                    <w:rPr>
                      <w:rFonts w:hint="eastAsia" w:cs="Times New Roman"/>
                      <w:b w:val="0"/>
                      <w:bCs/>
                      <w:color w:val="auto"/>
                      <w:kern w:val="24"/>
                      <w:sz w:val="21"/>
                      <w:szCs w:val="21"/>
                      <w:highlight w:val="none"/>
                      <w:lang w:val="en-US" w:eastAsia="zh-CN"/>
                    </w:rPr>
                    <w:t>09</w:t>
                  </w:r>
                </w:p>
              </w:tc>
              <w:tc>
                <w:tcPr>
                  <w:tcW w:w="416" w:type="pct"/>
                  <w:tcBorders>
                    <w:left w:val="single" w:color="000000" w:sz="8" w:space="0"/>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7" w:type="pct"/>
                  <w:tcBorders>
                    <w:lef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0.07</w:t>
                  </w:r>
                </w:p>
              </w:tc>
              <w:tc>
                <w:tcPr>
                  <w:tcW w:w="125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0.16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42"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施工便道</w:t>
                  </w:r>
                </w:p>
              </w:tc>
              <w:tc>
                <w:tcPr>
                  <w:tcW w:w="416" w:type="pct"/>
                  <w:tcBorders>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6" w:type="pct"/>
                  <w:tcBorders>
                    <w:left w:val="single" w:color="000000" w:sz="8" w:space="0"/>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7" w:type="pct"/>
                  <w:tcBorders>
                    <w:lef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6" w:type="pct"/>
                  <w:tcBorders>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w:t>
                  </w:r>
                  <w:r>
                    <w:rPr>
                      <w:rFonts w:hint="eastAsia" w:cs="Times New Roman"/>
                      <w:b w:val="0"/>
                      <w:bCs/>
                      <w:color w:val="auto"/>
                      <w:kern w:val="24"/>
                      <w:sz w:val="21"/>
                      <w:szCs w:val="21"/>
                      <w:highlight w:val="none"/>
                      <w:lang w:val="en-US" w:eastAsia="zh-CN"/>
                    </w:rPr>
                    <w:t>65</w:t>
                  </w:r>
                </w:p>
              </w:tc>
              <w:tc>
                <w:tcPr>
                  <w:tcW w:w="416" w:type="pct"/>
                  <w:tcBorders>
                    <w:left w:val="single" w:color="000000" w:sz="8" w:space="0"/>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7" w:type="pct"/>
                  <w:tcBorders>
                    <w:lef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0.27</w:t>
                  </w:r>
                </w:p>
              </w:tc>
              <w:tc>
                <w:tcPr>
                  <w:tcW w:w="125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1.92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42"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小计</w:t>
                  </w:r>
                </w:p>
              </w:tc>
              <w:tc>
                <w:tcPr>
                  <w:tcW w:w="416" w:type="pct"/>
                  <w:tcBorders>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w:t>
                  </w:r>
                  <w:r>
                    <w:rPr>
                      <w:rFonts w:hint="eastAsia" w:cs="Times New Roman"/>
                      <w:b w:val="0"/>
                      <w:bCs/>
                      <w:color w:val="auto"/>
                      <w:kern w:val="24"/>
                      <w:sz w:val="21"/>
                      <w:szCs w:val="21"/>
                      <w:highlight w:val="none"/>
                      <w:lang w:val="en-US" w:eastAsia="zh-CN"/>
                    </w:rPr>
                    <w:t>32</w:t>
                  </w:r>
                </w:p>
              </w:tc>
              <w:tc>
                <w:tcPr>
                  <w:tcW w:w="416" w:type="pct"/>
                  <w:tcBorders>
                    <w:left w:val="single" w:color="000000" w:sz="8" w:space="0"/>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0.009</w:t>
                  </w:r>
                </w:p>
              </w:tc>
              <w:tc>
                <w:tcPr>
                  <w:tcW w:w="417" w:type="pct"/>
                  <w:tcBorders>
                    <w:lef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0.023</w:t>
                  </w:r>
                </w:p>
              </w:tc>
              <w:tc>
                <w:tcPr>
                  <w:tcW w:w="416" w:type="pct"/>
                  <w:tcBorders>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2.075</w:t>
                  </w:r>
                </w:p>
              </w:tc>
              <w:tc>
                <w:tcPr>
                  <w:tcW w:w="416" w:type="pct"/>
                  <w:tcBorders>
                    <w:left w:val="single" w:color="000000" w:sz="8" w:space="0"/>
                    <w:righ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w:t>
                  </w:r>
                </w:p>
              </w:tc>
              <w:tc>
                <w:tcPr>
                  <w:tcW w:w="417" w:type="pct"/>
                  <w:tcBorders>
                    <w:left w:val="single" w:color="000000" w:sz="8" w:space="0"/>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eastAsia" w:cs="Times New Roman"/>
                      <w:b w:val="0"/>
                      <w:bCs/>
                      <w:color w:val="auto"/>
                      <w:kern w:val="24"/>
                      <w:sz w:val="21"/>
                      <w:szCs w:val="21"/>
                      <w:highlight w:val="none"/>
                      <w:lang w:val="en-US" w:eastAsia="zh-CN"/>
                    </w:rPr>
                    <w:t>0.54</w:t>
                  </w:r>
                </w:p>
              </w:tc>
              <w:tc>
                <w:tcPr>
                  <w:tcW w:w="125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2.679</w:t>
                  </w:r>
                </w:p>
              </w:tc>
            </w:tr>
          </w:tbl>
          <w:p>
            <w:pPr>
              <w:keepNext w:val="0"/>
              <w:keepLines w:val="0"/>
              <w:pageBreakBefore w:val="0"/>
              <w:widowControl w:val="0"/>
              <w:kinsoku/>
              <w:wordWrap/>
              <w:topLinePunct w:val="0"/>
              <w:autoSpaceDE w:val="0"/>
              <w:autoSpaceDN w:val="0"/>
              <w:bidi w:val="0"/>
              <w:adjustRightInd w:val="0"/>
              <w:spacing w:line="360" w:lineRule="auto"/>
              <w:ind w:firstLine="480" w:firstLineChars="200"/>
              <w:rPr>
                <w:rFonts w:hint="default" w:ascii="Times New Roman" w:hAnsi="Times New Roman" w:cs="Times New Roman"/>
                <w:snapToGrid w:val="0"/>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eastAsia" w:cs="Times New Roman"/>
                <w:color w:val="auto"/>
                <w:lang w:val="en-US" w:eastAsia="zh-CN"/>
              </w:rPr>
              <w:t>9</w:t>
            </w:r>
            <w:r>
              <w:rPr>
                <w:rFonts w:hint="default" w:ascii="Times New Roman" w:hAnsi="Times New Roman" w:cs="Times New Roman"/>
                <w:color w:val="auto"/>
                <w:lang w:eastAsia="zh-CN"/>
              </w:rPr>
              <w:t>）</w:t>
            </w:r>
            <w:r>
              <w:rPr>
                <w:rFonts w:hint="default" w:ascii="Times New Roman" w:hAnsi="Times New Roman" w:cs="Times New Roman"/>
                <w:snapToGrid w:val="0"/>
                <w:color w:val="auto"/>
              </w:rPr>
              <w:t>工程土石方平衡</w:t>
            </w:r>
          </w:p>
          <w:p>
            <w:pPr>
              <w:keepNext w:val="0"/>
              <w:keepLines w:val="0"/>
              <w:pageBreakBefore w:val="0"/>
              <w:widowControl w:val="0"/>
              <w:kinsoku/>
              <w:wordWrap/>
              <w:topLinePunct w:val="0"/>
              <w:autoSpaceDE w:val="0"/>
              <w:autoSpaceDN w:val="0"/>
              <w:bidi w:val="0"/>
              <w:adjustRightInd w:val="0"/>
              <w:spacing w:line="360" w:lineRule="auto"/>
              <w:ind w:firstLine="480" w:firstLineChars="200"/>
              <w:jc w:val="both"/>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本项目土石方动迁总量为</w:t>
            </w:r>
            <w:r>
              <w:rPr>
                <w:rFonts w:hint="default" w:ascii="Times New Roman" w:hAnsi="Times New Roman" w:cs="Times New Roman"/>
                <w:snapToGrid w:val="0"/>
                <w:color w:val="auto"/>
                <w:highlight w:val="none"/>
                <w:lang w:val="en-US" w:eastAsia="zh-CN"/>
              </w:rPr>
              <w:t>0.</w:t>
            </w:r>
            <w:r>
              <w:rPr>
                <w:rFonts w:hint="eastAsia" w:cs="Times New Roman"/>
                <w:snapToGrid w:val="0"/>
                <w:color w:val="auto"/>
                <w:highlight w:val="none"/>
                <w:lang w:val="en-US" w:eastAsia="zh-CN"/>
              </w:rPr>
              <w:t>44</w:t>
            </w:r>
            <w:r>
              <w:rPr>
                <w:rFonts w:hint="default" w:ascii="Times New Roman" w:hAnsi="Times New Roman" w:cs="Times New Roman"/>
                <w:snapToGrid w:val="0"/>
                <w:color w:val="auto"/>
                <w:highlight w:val="none"/>
              </w:rPr>
              <w:t>万m</w:t>
            </w:r>
            <w:r>
              <w:rPr>
                <w:rFonts w:hint="default" w:ascii="Times New Roman" w:hAnsi="Times New Roman" w:cs="Times New Roman"/>
                <w:snapToGrid w:val="0"/>
                <w:color w:val="auto"/>
                <w:highlight w:val="none"/>
                <w:vertAlign w:val="superscript"/>
              </w:rPr>
              <w:t>3</w:t>
            </w:r>
            <w:r>
              <w:rPr>
                <w:rFonts w:hint="default" w:ascii="Times New Roman" w:hAnsi="Times New Roman" w:cs="Times New Roman"/>
                <w:snapToGrid w:val="0"/>
                <w:color w:val="auto"/>
                <w:highlight w:val="none"/>
              </w:rPr>
              <w:t>，其中挖方量0.</w:t>
            </w:r>
            <w:r>
              <w:rPr>
                <w:rFonts w:hint="default" w:ascii="Times New Roman" w:hAnsi="Times New Roman" w:cs="Times New Roman"/>
                <w:snapToGrid w:val="0"/>
                <w:color w:val="auto"/>
                <w:highlight w:val="none"/>
                <w:lang w:val="en-US" w:eastAsia="zh-CN"/>
              </w:rPr>
              <w:t>22</w:t>
            </w:r>
            <w:r>
              <w:rPr>
                <w:rFonts w:hint="default" w:ascii="Times New Roman" w:hAnsi="Times New Roman" w:cs="Times New Roman"/>
                <w:snapToGrid w:val="0"/>
                <w:color w:val="auto"/>
                <w:highlight w:val="none"/>
              </w:rPr>
              <w:t>万m</w:t>
            </w:r>
            <w:r>
              <w:rPr>
                <w:rFonts w:hint="default" w:ascii="Times New Roman" w:hAnsi="Times New Roman" w:cs="Times New Roman"/>
                <w:snapToGrid w:val="0"/>
                <w:color w:val="auto"/>
                <w:highlight w:val="none"/>
                <w:vertAlign w:val="superscript"/>
              </w:rPr>
              <w:t>3</w:t>
            </w:r>
            <w:r>
              <w:rPr>
                <w:rFonts w:hint="default" w:ascii="Times New Roman" w:hAnsi="Times New Roman" w:cs="Times New Roman"/>
                <w:snapToGrid w:val="0"/>
                <w:color w:val="auto"/>
                <w:highlight w:val="none"/>
              </w:rPr>
              <w:t>（剥离表土0.</w:t>
            </w:r>
            <w:r>
              <w:rPr>
                <w:rFonts w:hint="default" w:ascii="Times New Roman" w:hAnsi="Times New Roman" w:cs="Times New Roman"/>
                <w:snapToGrid w:val="0"/>
                <w:color w:val="auto"/>
                <w:highlight w:val="none"/>
                <w:lang w:val="en-US" w:eastAsia="zh-CN"/>
              </w:rPr>
              <w:t>02</w:t>
            </w:r>
            <w:r>
              <w:rPr>
                <w:rFonts w:hint="default" w:ascii="Times New Roman" w:hAnsi="Times New Roman" w:cs="Times New Roman"/>
                <w:snapToGrid w:val="0"/>
                <w:color w:val="auto"/>
                <w:highlight w:val="none"/>
              </w:rPr>
              <w:t>万m</w:t>
            </w:r>
            <w:r>
              <w:rPr>
                <w:rFonts w:hint="default" w:ascii="Times New Roman" w:hAnsi="Times New Roman" w:cs="Times New Roman"/>
                <w:snapToGrid w:val="0"/>
                <w:color w:val="auto"/>
                <w:highlight w:val="none"/>
                <w:vertAlign w:val="superscript"/>
              </w:rPr>
              <w:t>3</w:t>
            </w:r>
            <w:r>
              <w:rPr>
                <w:rFonts w:hint="default" w:ascii="Times New Roman" w:hAnsi="Times New Roman" w:cs="Times New Roman"/>
                <w:snapToGrid w:val="0"/>
                <w:color w:val="auto"/>
                <w:highlight w:val="none"/>
              </w:rPr>
              <w:t>），填方量</w:t>
            </w:r>
            <w:r>
              <w:rPr>
                <w:rFonts w:hint="default" w:ascii="Times New Roman" w:hAnsi="Times New Roman" w:cs="Times New Roman"/>
                <w:snapToGrid w:val="0"/>
                <w:color w:val="auto"/>
                <w:highlight w:val="none"/>
                <w:lang w:val="en-US" w:eastAsia="zh-CN"/>
              </w:rPr>
              <w:t>0.22</w:t>
            </w:r>
            <w:r>
              <w:rPr>
                <w:rFonts w:hint="default" w:ascii="Times New Roman" w:hAnsi="Times New Roman" w:cs="Times New Roman"/>
                <w:snapToGrid w:val="0"/>
                <w:color w:val="auto"/>
                <w:highlight w:val="none"/>
              </w:rPr>
              <w:t>万m</w:t>
            </w:r>
            <w:r>
              <w:rPr>
                <w:rFonts w:hint="default" w:ascii="Times New Roman" w:hAnsi="Times New Roman" w:cs="Times New Roman"/>
                <w:snapToGrid w:val="0"/>
                <w:color w:val="auto"/>
                <w:highlight w:val="none"/>
                <w:vertAlign w:val="superscript"/>
              </w:rPr>
              <w:t>3</w:t>
            </w:r>
            <w:r>
              <w:rPr>
                <w:rFonts w:hint="default" w:ascii="Times New Roman" w:hAnsi="Times New Roman" w:cs="Times New Roman"/>
                <w:snapToGrid w:val="0"/>
                <w:color w:val="auto"/>
                <w:highlight w:val="none"/>
              </w:rPr>
              <w:t>（回填表土0.</w:t>
            </w:r>
            <w:r>
              <w:rPr>
                <w:rFonts w:hint="default" w:ascii="Times New Roman" w:hAnsi="Times New Roman" w:cs="Times New Roman"/>
                <w:snapToGrid w:val="0"/>
                <w:color w:val="auto"/>
                <w:highlight w:val="none"/>
                <w:lang w:val="en-US" w:eastAsia="zh-CN"/>
              </w:rPr>
              <w:t>02</w:t>
            </w:r>
            <w:r>
              <w:rPr>
                <w:rFonts w:hint="default" w:ascii="Times New Roman" w:hAnsi="Times New Roman" w:cs="Times New Roman"/>
                <w:snapToGrid w:val="0"/>
                <w:color w:val="auto"/>
                <w:highlight w:val="none"/>
              </w:rPr>
              <w:t>万m</w:t>
            </w:r>
            <w:r>
              <w:rPr>
                <w:rFonts w:hint="default" w:ascii="Times New Roman" w:hAnsi="Times New Roman" w:cs="Times New Roman"/>
                <w:snapToGrid w:val="0"/>
                <w:color w:val="auto"/>
                <w:highlight w:val="none"/>
                <w:vertAlign w:val="superscript"/>
              </w:rPr>
              <w:t>3</w:t>
            </w:r>
            <w:r>
              <w:rPr>
                <w:rFonts w:hint="default" w:ascii="Times New Roman" w:hAnsi="Times New Roman" w:cs="Times New Roman"/>
                <w:snapToGrid w:val="0"/>
                <w:color w:val="auto"/>
                <w:highlight w:val="none"/>
              </w:rPr>
              <w:t>），无借方量和弃方量，项目土石方表见表1-</w:t>
            </w:r>
            <w:r>
              <w:rPr>
                <w:rFonts w:hint="default" w:ascii="Times New Roman" w:hAnsi="Times New Roman" w:cs="Times New Roman"/>
                <w:snapToGrid w:val="0"/>
                <w:color w:val="auto"/>
                <w:highlight w:val="none"/>
                <w:lang w:val="en-US" w:eastAsia="zh-CN"/>
              </w:rPr>
              <w:t>1</w:t>
            </w:r>
            <w:r>
              <w:rPr>
                <w:rFonts w:hint="eastAsia" w:cs="Times New Roman"/>
                <w:snapToGrid w:val="0"/>
                <w:color w:val="auto"/>
                <w:highlight w:val="none"/>
                <w:lang w:val="en-US" w:eastAsia="zh-CN"/>
              </w:rPr>
              <w:t>8</w:t>
            </w:r>
            <w:r>
              <w:rPr>
                <w:rFonts w:hint="default" w:ascii="Times New Roman" w:hAnsi="Times New Roman" w:cs="Times New Roman"/>
                <w:snapToGrid w:val="0"/>
                <w:color w:val="auto"/>
                <w:highlight w:val="none"/>
              </w:rPr>
              <w:t>。</w:t>
            </w:r>
          </w:p>
          <w:p>
            <w:pPr>
              <w:keepNext w:val="0"/>
              <w:keepLines w:val="0"/>
              <w:pageBreakBefore w:val="0"/>
              <w:widowControl w:val="0"/>
              <w:tabs>
                <w:tab w:val="left" w:pos="4798"/>
                <w:tab w:val="left" w:pos="8059"/>
              </w:tabs>
              <w:kinsoku/>
              <w:wordWrap/>
              <w:topLinePunct w:val="0"/>
              <w:bidi w:val="0"/>
              <w:spacing w:before="71" w:after="22" w:line="240" w:lineRule="auto"/>
              <w:ind w:right="0"/>
              <w:jc w:val="center"/>
              <w:rPr>
                <w:rFonts w:hint="default" w:ascii="Times New Roman" w:hAnsi="Times New Roman" w:eastAsia="Times New Roman" w:cs="Times New Roman"/>
                <w:b/>
                <w:color w:val="auto"/>
                <w:sz w:val="13"/>
                <w:highlight w:val="none"/>
              </w:rPr>
            </w:pPr>
            <w:r>
              <w:rPr>
                <w:rFonts w:hint="default" w:ascii="Times New Roman" w:hAnsi="Times New Roman" w:cs="Times New Roman"/>
                <w:b/>
                <w:bCs/>
                <w:color w:val="auto"/>
                <w:kern w:val="2"/>
                <w:sz w:val="21"/>
                <w:szCs w:val="24"/>
                <w:lang w:val="en-US" w:eastAsia="zh-CN" w:bidi="zh-CN"/>
              </w:rPr>
              <w:t xml:space="preserve">                </w:t>
            </w:r>
            <w:r>
              <w:rPr>
                <w:rFonts w:hint="default" w:ascii="Times New Roman" w:hAnsi="Times New Roman" w:eastAsia="宋体" w:cs="Times New Roman"/>
                <w:b/>
                <w:bCs/>
                <w:color w:val="auto"/>
                <w:kern w:val="2"/>
                <w:sz w:val="21"/>
                <w:szCs w:val="24"/>
                <w:lang w:val="zh-CN" w:eastAsia="zh-CN" w:bidi="zh-CN"/>
              </w:rPr>
              <w:t>表 1-</w:t>
            </w:r>
            <w:r>
              <w:rPr>
                <w:rFonts w:hint="default" w:ascii="Times New Roman" w:hAnsi="Times New Roman" w:eastAsia="宋体" w:cs="Times New Roman"/>
                <w:b/>
                <w:bCs/>
                <w:color w:val="auto"/>
                <w:kern w:val="2"/>
                <w:sz w:val="21"/>
                <w:szCs w:val="24"/>
                <w:lang w:val="en-US" w:eastAsia="zh-CN" w:bidi="zh-CN"/>
              </w:rPr>
              <w:t>1</w:t>
            </w:r>
            <w:r>
              <w:rPr>
                <w:rFonts w:hint="eastAsia" w:cs="Times New Roman"/>
                <w:b/>
                <w:bCs/>
                <w:color w:val="auto"/>
                <w:kern w:val="2"/>
                <w:sz w:val="21"/>
                <w:szCs w:val="24"/>
                <w:lang w:val="en-US" w:eastAsia="zh-CN" w:bidi="zh-CN"/>
              </w:rPr>
              <w:t>8</w:t>
            </w:r>
            <w:r>
              <w:rPr>
                <w:rFonts w:hint="default" w:ascii="Times New Roman" w:hAnsi="Times New Roman" w:eastAsia="宋体" w:cs="Times New Roman"/>
                <w:b/>
                <w:bCs/>
                <w:color w:val="auto"/>
                <w:kern w:val="2"/>
                <w:sz w:val="21"/>
                <w:szCs w:val="24"/>
                <w:lang w:val="en-US" w:eastAsia="zh-CN" w:bidi="zh-CN"/>
              </w:rPr>
              <w:t xml:space="preserve">    </w:t>
            </w:r>
            <w:r>
              <w:rPr>
                <w:rFonts w:hint="default" w:ascii="Times New Roman" w:hAnsi="Times New Roman" w:eastAsia="宋体" w:cs="Times New Roman"/>
                <w:b/>
                <w:bCs/>
                <w:color w:val="auto"/>
                <w:kern w:val="2"/>
                <w:sz w:val="21"/>
                <w:szCs w:val="24"/>
                <w:lang w:val="zh-CN" w:eastAsia="zh-CN" w:bidi="zh-CN"/>
              </w:rPr>
              <w:t>项目土石方表</w:t>
            </w:r>
            <w:r>
              <w:rPr>
                <w:rFonts w:hint="default" w:ascii="Times New Roman" w:hAnsi="Times New Roman" w:eastAsia="宋体" w:cs="Times New Roman"/>
                <w:b/>
                <w:bCs/>
                <w:color w:val="auto"/>
                <w:kern w:val="2"/>
                <w:sz w:val="21"/>
                <w:szCs w:val="24"/>
                <w:lang w:val="en-US" w:eastAsia="zh-CN" w:bidi="zh-CN"/>
              </w:rPr>
              <w:t xml:space="preserve">       </w:t>
            </w:r>
            <w:r>
              <w:rPr>
                <w:rFonts w:hint="default" w:ascii="Times New Roman" w:hAnsi="Times New Roman" w:cs="Times New Roman"/>
                <w:b/>
                <w:bCs/>
                <w:color w:val="auto"/>
                <w:kern w:val="2"/>
                <w:sz w:val="21"/>
                <w:szCs w:val="24"/>
                <w:lang w:val="en-US" w:eastAsia="zh-CN" w:bidi="zh-CN"/>
              </w:rPr>
              <w:t xml:space="preserve">         </w:t>
            </w:r>
            <w:r>
              <w:rPr>
                <w:rFonts w:hint="default" w:ascii="Times New Roman" w:hAnsi="Times New Roman" w:eastAsia="宋体" w:cs="Times New Roman"/>
                <w:b/>
                <w:bCs/>
                <w:color w:val="auto"/>
                <w:kern w:val="2"/>
                <w:sz w:val="21"/>
                <w:szCs w:val="24"/>
                <w:lang w:val="en-US" w:eastAsia="zh-CN" w:bidi="zh-CN"/>
              </w:rPr>
              <w:t xml:space="preserve">         </w:t>
            </w:r>
            <w:r>
              <w:rPr>
                <w:rFonts w:hint="default" w:ascii="Times New Roman" w:hAnsi="Times New Roman" w:eastAsia="宋体" w:cs="Times New Roman"/>
                <w:b/>
                <w:bCs/>
                <w:color w:val="auto"/>
                <w:kern w:val="2"/>
                <w:sz w:val="21"/>
                <w:szCs w:val="24"/>
                <w:lang w:val="zh-CN" w:eastAsia="zh-CN" w:bidi="zh-CN"/>
              </w:rPr>
              <w:t>单位：万</w:t>
            </w:r>
            <w:r>
              <w:rPr>
                <w:rFonts w:hint="default" w:ascii="Times New Roman" w:hAnsi="Times New Roman" w:eastAsia="Times New Roman" w:cs="Times New Roman"/>
                <w:b/>
                <w:color w:val="auto"/>
                <w:sz w:val="21"/>
                <w:highlight w:val="none"/>
              </w:rPr>
              <w:t>m</w:t>
            </w:r>
            <w:r>
              <w:rPr>
                <w:rFonts w:hint="default" w:ascii="Times New Roman" w:hAnsi="Times New Roman" w:eastAsia="Times New Roman" w:cs="Times New Roman"/>
                <w:b/>
                <w:color w:val="auto"/>
                <w:position w:val="7"/>
                <w:sz w:val="13"/>
                <w:highlight w:val="none"/>
              </w:rPr>
              <w:t>3</w:t>
            </w:r>
          </w:p>
          <w:tbl>
            <w:tblPr>
              <w:tblStyle w:val="17"/>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49"/>
              <w:gridCol w:w="828"/>
              <w:gridCol w:w="607"/>
              <w:gridCol w:w="609"/>
              <w:gridCol w:w="609"/>
              <w:gridCol w:w="609"/>
              <w:gridCol w:w="657"/>
              <w:gridCol w:w="722"/>
              <w:gridCol w:w="719"/>
              <w:gridCol w:w="681"/>
              <w:gridCol w:w="609"/>
              <w:gridCol w:w="674"/>
              <w:gridCol w:w="430"/>
              <w:gridCol w:w="32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26" w:type="pct"/>
                  <w:vMerge w:val="restar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类型</w:t>
                  </w:r>
                </w:p>
              </w:tc>
              <w:tc>
                <w:tcPr>
                  <w:tcW w:w="459" w:type="pct"/>
                  <w:vMerge w:val="restar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土石</w:t>
                  </w: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方量</w:t>
                  </w:r>
                </w:p>
              </w:tc>
              <w:tc>
                <w:tcPr>
                  <w:tcW w:w="1010" w:type="pct"/>
                  <w:gridSpan w:val="3"/>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挖方</w:t>
                  </w:r>
                </w:p>
              </w:tc>
              <w:tc>
                <w:tcPr>
                  <w:tcW w:w="1101" w:type="pct"/>
                  <w:gridSpan w:val="3"/>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填方</w:t>
                  </w:r>
                </w:p>
              </w:tc>
              <w:tc>
                <w:tcPr>
                  <w:tcW w:w="775" w:type="pct"/>
                  <w:gridSpan w:val="2"/>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调入</w:t>
                  </w:r>
                </w:p>
              </w:tc>
              <w:tc>
                <w:tcPr>
                  <w:tcW w:w="710" w:type="pct"/>
                  <w:gridSpan w:val="2"/>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调出</w:t>
                  </w:r>
                </w:p>
              </w:tc>
              <w:tc>
                <w:tcPr>
                  <w:tcW w:w="238" w:type="pct"/>
                  <w:vMerge w:val="restar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借方</w:t>
                  </w:r>
                </w:p>
              </w:tc>
              <w:tc>
                <w:tcPr>
                  <w:tcW w:w="177" w:type="pct"/>
                  <w:vMerge w:val="restar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弃方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26" w:type="pct"/>
                  <w:vMerge w:val="continue"/>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459" w:type="pct"/>
                  <w:vMerge w:val="continue"/>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3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表</w:t>
                  </w: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土</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挖</w:t>
                  </w: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方</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小</w:t>
                  </w: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计</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表</w:t>
                  </w: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土</w:t>
                  </w:r>
                </w:p>
              </w:tc>
              <w:tc>
                <w:tcPr>
                  <w:tcW w:w="364"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填方</w:t>
                  </w:r>
                </w:p>
              </w:tc>
              <w:tc>
                <w:tcPr>
                  <w:tcW w:w="400"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小计</w:t>
                  </w:r>
                </w:p>
              </w:tc>
              <w:tc>
                <w:tcPr>
                  <w:tcW w:w="398"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数量</w:t>
                  </w:r>
                </w:p>
              </w:tc>
              <w:tc>
                <w:tcPr>
                  <w:tcW w:w="37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来源</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数</w:t>
                  </w: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量</w:t>
                  </w:r>
                </w:p>
              </w:tc>
              <w:tc>
                <w:tcPr>
                  <w:tcW w:w="373"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去向</w:t>
                  </w:r>
                </w:p>
              </w:tc>
              <w:tc>
                <w:tcPr>
                  <w:tcW w:w="238" w:type="pct"/>
                  <w:vMerge w:val="continue"/>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177" w:type="pct"/>
                  <w:vMerge w:val="continue"/>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2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塔基</w:t>
                  </w:r>
                </w:p>
              </w:tc>
              <w:tc>
                <w:tcPr>
                  <w:tcW w:w="459"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0.22</w:t>
                  </w:r>
                </w:p>
              </w:tc>
              <w:tc>
                <w:tcPr>
                  <w:tcW w:w="33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0.02</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0.09</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0.11</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0.02</w:t>
                  </w:r>
                </w:p>
              </w:tc>
              <w:tc>
                <w:tcPr>
                  <w:tcW w:w="364"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0.09</w:t>
                  </w:r>
                </w:p>
              </w:tc>
              <w:tc>
                <w:tcPr>
                  <w:tcW w:w="400"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0.11</w:t>
                  </w:r>
                </w:p>
              </w:tc>
              <w:tc>
                <w:tcPr>
                  <w:tcW w:w="398"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7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73"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238"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p>
              </w:tc>
              <w:tc>
                <w:tcPr>
                  <w:tcW w:w="17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2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牵张场</w:t>
                  </w:r>
                </w:p>
              </w:tc>
              <w:tc>
                <w:tcPr>
                  <w:tcW w:w="459"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0.12</w:t>
                  </w:r>
                </w:p>
              </w:tc>
              <w:tc>
                <w:tcPr>
                  <w:tcW w:w="33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0.06</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0.06</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64"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0.06</w:t>
                  </w:r>
                </w:p>
              </w:tc>
              <w:tc>
                <w:tcPr>
                  <w:tcW w:w="400"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0.06</w:t>
                  </w:r>
                </w:p>
              </w:tc>
              <w:tc>
                <w:tcPr>
                  <w:tcW w:w="398"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7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73"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238"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p>
              </w:tc>
              <w:tc>
                <w:tcPr>
                  <w:tcW w:w="17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2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施工便道</w:t>
                  </w:r>
                </w:p>
              </w:tc>
              <w:tc>
                <w:tcPr>
                  <w:tcW w:w="459"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0.1</w:t>
                  </w:r>
                  <w:r>
                    <w:rPr>
                      <w:rFonts w:hint="eastAsia" w:cs="Times New Roman"/>
                      <w:b w:val="0"/>
                      <w:bCs/>
                      <w:color w:val="auto"/>
                      <w:kern w:val="24"/>
                      <w:sz w:val="21"/>
                      <w:szCs w:val="21"/>
                      <w:highlight w:val="none"/>
                      <w:lang w:val="en-US" w:eastAsia="zh-CN"/>
                    </w:rPr>
                    <w:t>0</w:t>
                  </w:r>
                </w:p>
              </w:tc>
              <w:tc>
                <w:tcPr>
                  <w:tcW w:w="33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0.05</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0.05</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64"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r>
                    <w:rPr>
                      <w:rFonts w:hint="eastAsia" w:cs="Times New Roman"/>
                      <w:b w:val="0"/>
                      <w:bCs/>
                      <w:color w:val="auto"/>
                      <w:kern w:val="24"/>
                      <w:sz w:val="21"/>
                      <w:szCs w:val="21"/>
                      <w:highlight w:val="none"/>
                      <w:lang w:val="en-US" w:eastAsia="zh-CN"/>
                    </w:rPr>
                    <w:t>05</w:t>
                  </w:r>
                </w:p>
              </w:tc>
              <w:tc>
                <w:tcPr>
                  <w:tcW w:w="400"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r>
                    <w:rPr>
                      <w:rFonts w:hint="eastAsia" w:cs="Times New Roman"/>
                      <w:b w:val="0"/>
                      <w:bCs/>
                      <w:color w:val="auto"/>
                      <w:kern w:val="24"/>
                      <w:sz w:val="21"/>
                      <w:szCs w:val="21"/>
                      <w:highlight w:val="none"/>
                      <w:lang w:val="en-US" w:eastAsia="zh-CN"/>
                    </w:rPr>
                    <w:t>05</w:t>
                  </w:r>
                </w:p>
              </w:tc>
              <w:tc>
                <w:tcPr>
                  <w:tcW w:w="398"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7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73"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238"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p>
              </w:tc>
              <w:tc>
                <w:tcPr>
                  <w:tcW w:w="17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2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小计</w:t>
                  </w:r>
                </w:p>
              </w:tc>
              <w:tc>
                <w:tcPr>
                  <w:tcW w:w="459"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r>
                    <w:rPr>
                      <w:rFonts w:hint="eastAsia" w:cs="Times New Roman"/>
                      <w:b w:val="0"/>
                      <w:bCs/>
                      <w:color w:val="auto"/>
                      <w:kern w:val="24"/>
                      <w:sz w:val="21"/>
                      <w:szCs w:val="21"/>
                      <w:highlight w:val="none"/>
                      <w:lang w:val="en-US" w:eastAsia="zh-CN"/>
                    </w:rPr>
                    <w:t>44</w:t>
                  </w:r>
                </w:p>
              </w:tc>
              <w:tc>
                <w:tcPr>
                  <w:tcW w:w="336"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0.02</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0.20</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0.22</w:t>
                  </w: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0.02</w:t>
                  </w:r>
                </w:p>
              </w:tc>
              <w:tc>
                <w:tcPr>
                  <w:tcW w:w="364"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0.2</w:t>
                  </w:r>
                  <w:r>
                    <w:rPr>
                      <w:rFonts w:hint="eastAsia" w:cs="Times New Roman"/>
                      <w:b w:val="0"/>
                      <w:bCs/>
                      <w:color w:val="auto"/>
                      <w:kern w:val="24"/>
                      <w:sz w:val="21"/>
                      <w:szCs w:val="21"/>
                      <w:highlight w:val="none"/>
                      <w:lang w:val="en-US" w:eastAsia="zh-CN"/>
                    </w:rPr>
                    <w:t>0</w:t>
                  </w:r>
                </w:p>
              </w:tc>
              <w:tc>
                <w:tcPr>
                  <w:tcW w:w="400"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r>
                    <w:rPr>
                      <w:rFonts w:hint="eastAsia" w:cs="Times New Roman"/>
                      <w:b w:val="0"/>
                      <w:bCs/>
                      <w:color w:val="auto"/>
                      <w:kern w:val="24"/>
                      <w:sz w:val="21"/>
                      <w:szCs w:val="21"/>
                      <w:highlight w:val="none"/>
                      <w:lang w:val="en-US" w:eastAsia="zh-CN"/>
                    </w:rPr>
                    <w:t>22</w:t>
                  </w:r>
                </w:p>
              </w:tc>
              <w:tc>
                <w:tcPr>
                  <w:tcW w:w="398"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7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3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373"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p>
              </w:tc>
              <w:tc>
                <w:tcPr>
                  <w:tcW w:w="238"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p>
              </w:tc>
              <w:tc>
                <w:tcPr>
                  <w:tcW w:w="17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0</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snapToGrid w:val="0"/>
                <w:color w:val="auto"/>
                <w:lang w:eastAsia="zh-CN"/>
              </w:rPr>
            </w:pPr>
            <w:r>
              <w:rPr>
                <w:rFonts w:hint="default" w:ascii="Times New Roman" w:hAnsi="Times New Roman" w:cs="Times New Roman"/>
                <w:color w:val="auto"/>
                <w:lang w:eastAsia="zh-CN"/>
              </w:rPr>
              <w:t>（</w:t>
            </w:r>
            <w:r>
              <w:rPr>
                <w:rFonts w:hint="eastAsia" w:cs="Times New Roman"/>
                <w:color w:val="auto"/>
                <w:lang w:val="en-US" w:eastAsia="zh-CN"/>
              </w:rPr>
              <w:t>20</w:t>
            </w:r>
            <w:r>
              <w:rPr>
                <w:rFonts w:hint="default" w:ascii="Times New Roman" w:hAnsi="Times New Roman" w:cs="Times New Roman"/>
                <w:color w:val="auto"/>
                <w:lang w:eastAsia="zh-CN"/>
              </w:rPr>
              <w:t>）</w:t>
            </w:r>
            <w:r>
              <w:rPr>
                <w:rFonts w:hint="default" w:ascii="Times New Roman" w:hAnsi="Times New Roman" w:cs="Times New Roman"/>
                <w:snapToGrid w:val="0"/>
                <w:color w:val="auto"/>
                <w:lang w:eastAsia="zh-CN"/>
              </w:rPr>
              <w:t>工程投资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项目总投资</w:t>
            </w:r>
            <w:r>
              <w:rPr>
                <w:rFonts w:hint="default" w:ascii="Times New Roman" w:hAnsi="Times New Roman" w:cs="Times New Roman"/>
                <w:color w:val="auto"/>
                <w:lang w:val="en-US" w:eastAsia="zh-CN"/>
              </w:rPr>
              <w:t>3460</w:t>
            </w:r>
            <w:r>
              <w:rPr>
                <w:rFonts w:hint="default" w:ascii="Times New Roman" w:hAnsi="Times New Roman" w:cs="Times New Roman"/>
                <w:color w:val="auto"/>
                <w:lang w:eastAsia="zh-CN"/>
              </w:rPr>
              <w:t>万元</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其中环保投资</w:t>
            </w:r>
            <w:r>
              <w:rPr>
                <w:rFonts w:hint="default" w:ascii="Times New Roman" w:hAnsi="Times New Roman" w:cs="Times New Roman"/>
                <w:color w:val="auto"/>
                <w:lang w:val="en-US" w:eastAsia="zh-CN"/>
              </w:rPr>
              <w:t>90.5</w:t>
            </w:r>
            <w:r>
              <w:rPr>
                <w:rFonts w:hint="default" w:ascii="Times New Roman" w:hAnsi="Times New Roman" w:cs="Times New Roman"/>
                <w:color w:val="auto"/>
                <w:lang w:eastAsia="zh-CN"/>
              </w:rPr>
              <w:t>万元，占总投资的</w:t>
            </w:r>
            <w:r>
              <w:rPr>
                <w:rFonts w:hint="default" w:ascii="Times New Roman" w:hAnsi="Times New Roman" w:cs="Times New Roman"/>
                <w:color w:val="auto"/>
                <w:lang w:val="en-US" w:eastAsia="zh-CN"/>
              </w:rPr>
              <w:t>2.6</w:t>
            </w:r>
            <w:r>
              <w:rPr>
                <w:rFonts w:hint="default" w:ascii="Times New Roman" w:hAnsi="Times New Roman" w:cs="Times New Roman"/>
                <w:color w:val="auto"/>
                <w:lang w:eastAsia="zh-CN"/>
              </w:rPr>
              <w:t>%。</w:t>
            </w:r>
          </w:p>
          <w:p>
            <w:pPr>
              <w:keepNext w:val="0"/>
              <w:keepLines w:val="0"/>
              <w:pageBreakBefore w:val="0"/>
              <w:widowControl w:val="0"/>
              <w:numPr>
                <w:ilvl w:val="0"/>
                <w:numId w:val="0"/>
              </w:numPr>
              <w:kinsoku/>
              <w:wordWrap/>
              <w:topLinePunct w:val="0"/>
              <w:autoSpaceDE w:val="0"/>
              <w:autoSpaceDN w:val="0"/>
              <w:bidi w:val="0"/>
              <w:adjustRightInd w:val="0"/>
              <w:spacing w:line="360" w:lineRule="auto"/>
              <w:rPr>
                <w:rFonts w:hint="default" w:ascii="Times New Roman" w:hAnsi="Times New Roman" w:cs="Times New Roman"/>
                <w:b/>
                <w:bCs w:val="0"/>
                <w:color w:val="auto"/>
                <w:lang w:val="en-US" w:eastAsia="zh-CN"/>
              </w:rPr>
            </w:pPr>
            <w:r>
              <w:rPr>
                <w:rFonts w:hint="eastAsia" w:ascii="Times New Roman" w:hAnsi="Times New Roman" w:cs="Times New Roman"/>
                <w:b/>
                <w:bCs w:val="0"/>
                <w:color w:val="auto"/>
                <w:lang w:val="en-US" w:eastAsia="zh-CN"/>
              </w:rPr>
              <w:t xml:space="preserve">1.5 </w:t>
            </w:r>
            <w:r>
              <w:rPr>
                <w:rFonts w:hint="default" w:ascii="Times New Roman" w:hAnsi="Times New Roman" w:cs="Times New Roman"/>
                <w:b/>
                <w:bCs w:val="0"/>
                <w:color w:val="auto"/>
                <w:lang w:val="en-US" w:eastAsia="zh-CN"/>
              </w:rPr>
              <w:t>环境影响评价工作等级、评价范围、评价因子</w:t>
            </w:r>
          </w:p>
          <w:p>
            <w:pPr>
              <w:keepNext w:val="0"/>
              <w:keepLines w:val="0"/>
              <w:pageBreakBefore w:val="0"/>
              <w:widowControl w:val="0"/>
              <w:numPr>
                <w:ilvl w:val="0"/>
                <w:numId w:val="0"/>
              </w:numPr>
              <w:kinsoku/>
              <w:wordWrap/>
              <w:topLinePunct w:val="0"/>
              <w:autoSpaceDE w:val="0"/>
              <w:autoSpaceDN w:val="0"/>
              <w:bidi w:val="0"/>
              <w:adjustRightInd w:val="0"/>
              <w:spacing w:line="360" w:lineRule="auto"/>
              <w:rPr>
                <w:rFonts w:hint="default" w:ascii="Times New Roman" w:hAnsi="Times New Roman" w:cs="Times New Roman"/>
                <w:b/>
                <w:bCs w:val="0"/>
                <w:color w:val="auto"/>
                <w:lang w:val="en-US" w:eastAsia="zh-CN"/>
              </w:rPr>
            </w:pPr>
            <w:r>
              <w:rPr>
                <w:rFonts w:hint="eastAsia" w:ascii="Times New Roman" w:hAnsi="Times New Roman" w:cs="Times New Roman"/>
                <w:b/>
                <w:bCs w:val="0"/>
                <w:color w:val="auto"/>
                <w:lang w:val="en-US" w:eastAsia="zh-CN"/>
              </w:rPr>
              <w:t>1.5.1</w:t>
            </w:r>
            <w:r>
              <w:rPr>
                <w:rFonts w:hint="eastAsia" w:cs="Times New Roman"/>
                <w:b/>
                <w:bCs w:val="0"/>
                <w:color w:val="auto"/>
                <w:lang w:val="en-US" w:eastAsia="zh-CN"/>
              </w:rPr>
              <w:t xml:space="preserve"> </w:t>
            </w:r>
            <w:r>
              <w:rPr>
                <w:rFonts w:hint="default" w:ascii="Times New Roman" w:hAnsi="Times New Roman" w:cs="Times New Roman"/>
                <w:b/>
                <w:bCs w:val="0"/>
                <w:color w:val="auto"/>
                <w:lang w:val="en-US" w:eastAsia="zh-CN"/>
              </w:rPr>
              <w:t>评价等级</w:t>
            </w:r>
          </w:p>
          <w:p>
            <w:pPr>
              <w:keepNext w:val="0"/>
              <w:keepLines w:val="0"/>
              <w:pageBreakBefore w:val="0"/>
              <w:widowControl w:val="0"/>
              <w:kinsoku/>
              <w:wordWrap/>
              <w:topLinePunct w:val="0"/>
              <w:autoSpaceDE w:val="0"/>
              <w:autoSpaceDN w:val="0"/>
              <w:bidi w:val="0"/>
              <w:adjustRightIn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根据《环境影响评价技术导则输变电工程》HJ24-2014、《环境影响评价技术导则生态影响》HJ 19-2011、《环境影响评价技术导则－声环境》HJ2.4-2009的要求，确定本项目的环境影响评价工作等级、评价范围、评价重点及评价因子如表</w:t>
            </w:r>
            <w:r>
              <w:rPr>
                <w:rFonts w:hint="default" w:ascii="Times New Roman" w:hAnsi="Times New Roman" w:cs="Times New Roman"/>
                <w:color w:val="auto"/>
                <w:lang w:val="en-US" w:eastAsia="zh-CN"/>
              </w:rPr>
              <w:t>1-1</w:t>
            </w:r>
            <w:r>
              <w:rPr>
                <w:rFonts w:hint="eastAsia" w:cs="Times New Roman"/>
                <w:color w:val="auto"/>
                <w:lang w:val="en-US" w:eastAsia="zh-CN"/>
              </w:rPr>
              <w:t>9</w:t>
            </w:r>
            <w:r>
              <w:rPr>
                <w:rFonts w:hint="default" w:ascii="Times New Roman" w:hAnsi="Times New Roman" w:cs="Times New Roman"/>
                <w:color w:val="auto"/>
                <w:lang w:val="en-US" w:eastAsia="zh-CN"/>
              </w:rPr>
              <w:t>。</w:t>
            </w:r>
          </w:p>
          <w:p>
            <w:pPr>
              <w:keepNext w:val="0"/>
              <w:keepLines w:val="0"/>
              <w:pageBreakBefore w:val="0"/>
              <w:widowControl w:val="0"/>
              <w:kinsoku/>
              <w:wordWrap/>
              <w:topLinePunct w:val="0"/>
              <w:autoSpaceDE w:val="0"/>
              <w:autoSpaceDN w:val="0"/>
              <w:bidi w:val="0"/>
              <w:adjustRightIn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b/>
                <w:sz w:val="21"/>
              </w:rPr>
              <w:t>表 1-</w:t>
            </w:r>
            <w:r>
              <w:rPr>
                <w:rFonts w:hint="default" w:ascii="Times New Roman" w:hAnsi="Times New Roman" w:cs="Times New Roman"/>
                <w:b/>
                <w:sz w:val="21"/>
                <w:lang w:val="en-US" w:eastAsia="zh-CN"/>
              </w:rPr>
              <w:t>1</w:t>
            </w:r>
            <w:r>
              <w:rPr>
                <w:rFonts w:hint="eastAsia" w:cs="Times New Roman"/>
                <w:b/>
                <w:sz w:val="21"/>
                <w:lang w:val="en-US" w:eastAsia="zh-CN"/>
              </w:rPr>
              <w:t>9</w:t>
            </w:r>
            <w:r>
              <w:rPr>
                <w:rFonts w:hint="default" w:ascii="Times New Roman" w:hAnsi="Times New Roman" w:cs="Times New Roman"/>
                <w:b/>
                <w:sz w:val="21"/>
                <w:lang w:val="en-US" w:eastAsia="zh-CN"/>
              </w:rPr>
              <w:t xml:space="preserve">     </w:t>
            </w:r>
            <w:r>
              <w:rPr>
                <w:rFonts w:hint="default" w:ascii="Times New Roman" w:hAnsi="Times New Roman" w:cs="Times New Roman"/>
                <w:b/>
                <w:sz w:val="21"/>
              </w:rPr>
              <w:t>项目</w:t>
            </w:r>
            <w:r>
              <w:rPr>
                <w:rFonts w:hint="default" w:ascii="Times New Roman" w:hAnsi="Times New Roman" w:cs="Times New Roman"/>
                <w:b/>
                <w:sz w:val="21"/>
                <w:lang w:eastAsia="zh-CN"/>
              </w:rPr>
              <w:t>评价等级一览表</w:t>
            </w:r>
          </w:p>
          <w:tbl>
            <w:tblPr>
              <w:tblStyle w:val="18"/>
              <w:tblW w:w="902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1773"/>
              <w:gridCol w:w="4597"/>
              <w:gridCol w:w="14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7"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项目名称</w:t>
                  </w:r>
                </w:p>
              </w:tc>
              <w:tc>
                <w:tcPr>
                  <w:tcW w:w="1773"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评价类别</w:t>
                  </w:r>
                </w:p>
              </w:tc>
              <w:tc>
                <w:tcPr>
                  <w:tcW w:w="4597"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本工程内容</w:t>
                  </w:r>
                </w:p>
              </w:tc>
              <w:tc>
                <w:tcPr>
                  <w:tcW w:w="1490"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评价工作等级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7" w:type="dxa"/>
                  <w:vMerge w:val="restart"/>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eastAsiaTheme="minorEastAsia"/>
                      <w:color w:val="auto"/>
                      <w:sz w:val="21"/>
                      <w:szCs w:val="21"/>
                      <w:lang w:eastAsia="zh-CN"/>
                    </w:rPr>
                    <w:t>国华神木墩梁风电场薛家畔、李家畔、槐树峁风电项目</w:t>
                  </w:r>
                  <w:r>
                    <w:rPr>
                      <w:rFonts w:hint="default" w:ascii="Times New Roman" w:hAnsi="Times New Roman" w:cs="Times New Roman" w:eastAsiaTheme="minorEastAsia"/>
                      <w:color w:val="auto"/>
                      <w:sz w:val="21"/>
                      <w:szCs w:val="21"/>
                      <w:lang w:val="en-US" w:eastAsia="zh-CN"/>
                    </w:rPr>
                    <w:t>110KV送出线路</w:t>
                  </w:r>
                </w:p>
              </w:tc>
              <w:tc>
                <w:tcPr>
                  <w:tcW w:w="1773"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电磁环境影响</w:t>
                  </w:r>
                </w:p>
              </w:tc>
              <w:tc>
                <w:tcPr>
                  <w:tcW w:w="4597"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110kv线路边导线地面投影外两侧各10m无电磁环境影响敏感目标的架空线</w:t>
                  </w:r>
                  <w:r>
                    <w:rPr>
                      <w:rFonts w:hint="eastAsia" w:cs="Times New Roman"/>
                      <w:b w:val="0"/>
                      <w:bCs/>
                      <w:color w:val="auto"/>
                      <w:kern w:val="24"/>
                      <w:sz w:val="21"/>
                      <w:szCs w:val="21"/>
                      <w:highlight w:val="none"/>
                      <w:lang w:val="en-US" w:eastAsia="zh-CN"/>
                    </w:rPr>
                    <w:t>；</w:t>
                  </w:r>
                </w:p>
              </w:tc>
              <w:tc>
                <w:tcPr>
                  <w:tcW w:w="1490"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7" w:type="dxa"/>
                  <w:vMerge w:val="continue"/>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p>
              </w:tc>
              <w:tc>
                <w:tcPr>
                  <w:tcW w:w="1773"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生态环境影响</w:t>
                  </w:r>
                </w:p>
              </w:tc>
              <w:tc>
                <w:tcPr>
                  <w:tcW w:w="4597"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ind w:right="-264" w:rightChars="-110"/>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输电线路总长度为27.5km，长度＜50km；生态影</w:t>
                  </w:r>
                </w:p>
                <w:p>
                  <w:pPr>
                    <w:keepNext w:val="0"/>
                    <w:keepLines w:val="0"/>
                    <w:pageBreakBefore w:val="0"/>
                    <w:widowControl w:val="0"/>
                    <w:kinsoku/>
                    <w:wordWrap/>
                    <w:topLinePunct w:val="0"/>
                    <w:autoSpaceDE w:val="0"/>
                    <w:autoSpaceDN w:val="0"/>
                    <w:bidi w:val="0"/>
                    <w:adjustRightInd w:val="0"/>
                    <w:snapToGrid w:val="0"/>
                    <w:spacing w:line="240" w:lineRule="auto"/>
                    <w:ind w:right="-264" w:rightChars="-110"/>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响区域为一般区域</w:t>
                  </w:r>
                  <w:r>
                    <w:rPr>
                      <w:rFonts w:hint="eastAsia" w:cs="Times New Roman"/>
                      <w:b w:val="0"/>
                      <w:bCs/>
                      <w:color w:val="auto"/>
                      <w:kern w:val="24"/>
                      <w:sz w:val="21"/>
                      <w:szCs w:val="21"/>
                      <w:highlight w:val="none"/>
                      <w:lang w:val="en-US" w:eastAsia="zh-CN"/>
                    </w:rPr>
                    <w:t>；</w:t>
                  </w:r>
                </w:p>
              </w:tc>
              <w:tc>
                <w:tcPr>
                  <w:tcW w:w="1490"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7" w:type="dxa"/>
                  <w:vMerge w:val="continue"/>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p>
              </w:tc>
              <w:tc>
                <w:tcPr>
                  <w:tcW w:w="1773"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声环境影响</w:t>
                  </w:r>
                </w:p>
              </w:tc>
              <w:tc>
                <w:tcPr>
                  <w:tcW w:w="4597"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本项目所处声环境功能区为GB3096规定的2类地区；</w:t>
                  </w:r>
                </w:p>
              </w:tc>
              <w:tc>
                <w:tcPr>
                  <w:tcW w:w="1490"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7" w:type="dxa"/>
                  <w:vMerge w:val="continue"/>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p>
              </w:tc>
              <w:tc>
                <w:tcPr>
                  <w:tcW w:w="1773"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地表水环境影响</w:t>
                  </w:r>
                </w:p>
              </w:tc>
              <w:tc>
                <w:tcPr>
                  <w:tcW w:w="4597"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输电线路运营期不产生废水，对地表水无影响</w:t>
                  </w:r>
                  <w:r>
                    <w:rPr>
                      <w:rFonts w:hint="eastAsia" w:cs="Times New Roman"/>
                      <w:b w:val="0"/>
                      <w:bCs/>
                      <w:color w:val="auto"/>
                      <w:kern w:val="24"/>
                      <w:sz w:val="21"/>
                      <w:szCs w:val="21"/>
                      <w:highlight w:val="none"/>
                      <w:lang w:val="en-US" w:eastAsia="zh-CN"/>
                    </w:rPr>
                    <w:t>；</w:t>
                  </w:r>
                </w:p>
              </w:tc>
              <w:tc>
                <w:tcPr>
                  <w:tcW w:w="1490"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不开展环境影响评价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7" w:type="dxa"/>
                  <w:vMerge w:val="continue"/>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p>
              </w:tc>
              <w:tc>
                <w:tcPr>
                  <w:tcW w:w="1773"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地下水环境影响</w:t>
                  </w:r>
                </w:p>
              </w:tc>
              <w:tc>
                <w:tcPr>
                  <w:tcW w:w="4597"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本项目属于《环境影响评价技术导则地下水环境》（ HJ610 2016 ）附录 A 地下水环境影响评价行业分类中的 IV 类项目</w:t>
                  </w:r>
                  <w:r>
                    <w:rPr>
                      <w:rFonts w:hint="eastAsia" w:cs="Times New Roman"/>
                      <w:b w:val="0"/>
                      <w:bCs/>
                      <w:color w:val="auto"/>
                      <w:kern w:val="24"/>
                      <w:sz w:val="21"/>
                      <w:szCs w:val="21"/>
                      <w:highlight w:val="none"/>
                      <w:lang w:val="en-US" w:eastAsia="zh-CN"/>
                    </w:rPr>
                    <w:t>；</w:t>
                  </w:r>
                </w:p>
              </w:tc>
              <w:tc>
                <w:tcPr>
                  <w:tcW w:w="1490"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不开展环境影响评价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7" w:type="dxa"/>
                  <w:vMerge w:val="continue"/>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p>
              </w:tc>
              <w:tc>
                <w:tcPr>
                  <w:tcW w:w="1773"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土壤环境影响</w:t>
                  </w:r>
                </w:p>
              </w:tc>
              <w:tc>
                <w:tcPr>
                  <w:tcW w:w="4597"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本项目属于《环境影响评价技术导则土壤环境（试行）》（ HJ 964 2018 ）附录 A土壤环境影响评价行业分类中的IV类项目</w:t>
                  </w:r>
                  <w:r>
                    <w:rPr>
                      <w:rFonts w:hint="eastAsia" w:cs="Times New Roman"/>
                      <w:b w:val="0"/>
                      <w:bCs/>
                      <w:color w:val="auto"/>
                      <w:kern w:val="24"/>
                      <w:sz w:val="21"/>
                      <w:szCs w:val="21"/>
                      <w:highlight w:val="none"/>
                      <w:lang w:val="en-US" w:eastAsia="zh-CN"/>
                    </w:rPr>
                    <w:t>；</w:t>
                  </w:r>
                </w:p>
              </w:tc>
              <w:tc>
                <w:tcPr>
                  <w:tcW w:w="1490" w:type="dxa"/>
                  <w:tcBorders>
                    <w:tl2br w:val="nil"/>
                    <w:tr2bl w:val="nil"/>
                  </w:tcBorders>
                  <w:vAlign w:val="center"/>
                </w:tcPr>
                <w:p>
                  <w:pPr>
                    <w:keepNext w:val="0"/>
                    <w:keepLines w:val="0"/>
                    <w:pageBreakBefore w:val="0"/>
                    <w:widowControl w:val="0"/>
                    <w:kinsoku/>
                    <w:wordWrap/>
                    <w:topLinePunct w:val="0"/>
                    <w:autoSpaceDE w:val="0"/>
                    <w:autoSpaceDN w:val="0"/>
                    <w:bidi w:val="0"/>
                    <w:adjustRightInd w:val="0"/>
                    <w:snapToGrid w:val="0"/>
                    <w:spacing w:line="240" w:lineRule="auto"/>
                    <w:jc w:val="both"/>
                    <w:rPr>
                      <w:rFonts w:hint="default" w:ascii="Times New Roman" w:hAnsi="Times New Roman" w:cs="Times New Roman"/>
                      <w:b w:val="0"/>
                      <w:bCs/>
                      <w:color w:val="auto"/>
                      <w:kern w:val="24"/>
                      <w:sz w:val="21"/>
                      <w:szCs w:val="21"/>
                      <w:highlight w:val="none"/>
                      <w:lang w:val="en-US" w:eastAsia="zh-CN"/>
                    </w:rPr>
                  </w:pPr>
                  <w:r>
                    <w:rPr>
                      <w:rFonts w:hint="default" w:ascii="Times New Roman" w:hAnsi="Times New Roman" w:cs="Times New Roman"/>
                      <w:b w:val="0"/>
                      <w:bCs/>
                      <w:color w:val="auto"/>
                      <w:kern w:val="24"/>
                      <w:sz w:val="21"/>
                      <w:szCs w:val="21"/>
                      <w:highlight w:val="none"/>
                      <w:lang w:val="en-US" w:eastAsia="zh-CN"/>
                    </w:rPr>
                    <w:t>不开展环境影响评价</w:t>
                  </w:r>
                </w:p>
              </w:tc>
            </w:tr>
          </w:tbl>
          <w:p>
            <w:pPr>
              <w:keepNext w:val="0"/>
              <w:keepLines w:val="0"/>
              <w:pageBreakBefore w:val="0"/>
              <w:widowControl w:val="0"/>
              <w:numPr>
                <w:ilvl w:val="0"/>
                <w:numId w:val="0"/>
              </w:numPr>
              <w:kinsoku/>
              <w:wordWrap/>
              <w:topLinePunct w:val="0"/>
              <w:autoSpaceDE w:val="0"/>
              <w:autoSpaceDN w:val="0"/>
              <w:bidi w:val="0"/>
              <w:adjustRightInd w:val="0"/>
              <w:spacing w:line="360" w:lineRule="auto"/>
              <w:rPr>
                <w:rFonts w:hint="default" w:ascii="Times New Roman" w:hAnsi="Times New Roman" w:cs="Times New Roman"/>
                <w:b/>
                <w:bCs w:val="0"/>
                <w:color w:val="auto"/>
                <w:lang w:val="en-US" w:eastAsia="zh-CN"/>
              </w:rPr>
            </w:pPr>
            <w:r>
              <w:rPr>
                <w:rFonts w:hint="eastAsia" w:cs="Times New Roman"/>
                <w:b/>
                <w:bCs w:val="0"/>
                <w:color w:val="auto"/>
                <w:lang w:val="en-US" w:eastAsia="zh-CN"/>
              </w:rPr>
              <w:t xml:space="preserve">1.5.2 </w:t>
            </w:r>
            <w:r>
              <w:rPr>
                <w:rFonts w:hint="default" w:ascii="Times New Roman" w:hAnsi="Times New Roman" w:cs="Times New Roman"/>
                <w:b/>
                <w:bCs w:val="0"/>
                <w:color w:val="auto"/>
                <w:lang w:val="en-US" w:eastAsia="zh-CN"/>
              </w:rPr>
              <w:t>评价范围</w:t>
            </w:r>
          </w:p>
          <w:p>
            <w:pPr>
              <w:keepNext w:val="0"/>
              <w:keepLines w:val="0"/>
              <w:pageBreakBefore w:val="0"/>
              <w:widowControl w:val="0"/>
              <w:kinsoku/>
              <w:wordWrap/>
              <w:topLinePunct w:val="0"/>
              <w:autoSpaceDE w:val="0"/>
              <w:autoSpaceDN w:val="0"/>
              <w:bidi w:val="0"/>
              <w:adjustRightInd w:val="0"/>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110kV 架空线路边导线地面投影外两侧各30m内区域为工频电场强度、工频磁感应强度、噪声的评价范围；不涉及生态敏感区的输电线路段生态环境影响评价范围为线路边导线地面投影外两侧各300m内的带状区域。</w:t>
            </w:r>
          </w:p>
          <w:p>
            <w:pPr>
              <w:keepNext w:val="0"/>
              <w:keepLines w:val="0"/>
              <w:pageBreakBefore w:val="0"/>
              <w:widowControl w:val="0"/>
              <w:numPr>
                <w:ilvl w:val="0"/>
                <w:numId w:val="0"/>
              </w:numPr>
              <w:kinsoku/>
              <w:wordWrap/>
              <w:topLinePunct w:val="0"/>
              <w:autoSpaceDE w:val="0"/>
              <w:autoSpaceDN w:val="0"/>
              <w:bidi w:val="0"/>
              <w:adjustRightInd w:val="0"/>
              <w:spacing w:line="360" w:lineRule="auto"/>
              <w:rPr>
                <w:rFonts w:hint="default" w:ascii="Times New Roman" w:hAnsi="Times New Roman" w:cs="Times New Roman"/>
                <w:b/>
                <w:bCs w:val="0"/>
                <w:color w:val="auto"/>
                <w:lang w:val="en-US" w:eastAsia="zh-CN"/>
              </w:rPr>
            </w:pPr>
            <w:r>
              <w:rPr>
                <w:rFonts w:hint="eastAsia" w:cs="Times New Roman"/>
                <w:b/>
                <w:bCs w:val="0"/>
                <w:color w:val="auto"/>
                <w:lang w:val="en-US" w:eastAsia="zh-CN"/>
              </w:rPr>
              <w:t xml:space="preserve">1.5.3 </w:t>
            </w:r>
            <w:r>
              <w:rPr>
                <w:rFonts w:hint="default" w:ascii="Times New Roman" w:hAnsi="Times New Roman" w:cs="Times New Roman"/>
                <w:b/>
                <w:bCs w:val="0"/>
                <w:color w:val="auto"/>
                <w:lang w:val="en-US" w:eastAsia="zh-CN"/>
              </w:rPr>
              <w:t>评价因子</w:t>
            </w:r>
          </w:p>
          <w:p>
            <w:pPr>
              <w:keepNext w:val="0"/>
              <w:keepLines w:val="0"/>
              <w:pageBreakBefore w:val="0"/>
              <w:widowControl w:val="0"/>
              <w:kinsoku/>
              <w:wordWrap/>
              <w:topLinePunct w:val="0"/>
              <w:autoSpaceDE w:val="0"/>
              <w:autoSpaceDN w:val="0"/>
              <w:bidi w:val="0"/>
              <w:adjustRightInd w:val="0"/>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施工期：粉尘、声环境、生态、废水、固废。</w:t>
            </w:r>
          </w:p>
          <w:p>
            <w:pPr>
              <w:keepNext w:val="0"/>
              <w:keepLines w:val="0"/>
              <w:pageBreakBefore w:val="0"/>
              <w:widowControl w:val="0"/>
              <w:kinsoku/>
              <w:wordWrap/>
              <w:topLinePunct w:val="0"/>
              <w:autoSpaceDE w:val="0"/>
              <w:autoSpaceDN w:val="0"/>
              <w:bidi w:val="0"/>
              <w:adjustRightInd w:val="0"/>
              <w:spacing w:line="360" w:lineRule="auto"/>
              <w:ind w:firstLine="480" w:firstLineChars="200"/>
              <w:rPr>
                <w:rFonts w:hint="default" w:ascii="Times New Roman" w:hAnsi="Times New Roman" w:cs="Times New Roman"/>
                <w:color w:val="0000FF"/>
                <w:szCs w:val="22"/>
              </w:rPr>
            </w:pPr>
            <w:r>
              <w:rPr>
                <w:rFonts w:hint="default" w:ascii="Times New Roman" w:hAnsi="Times New Roman" w:cs="Times New Roman"/>
                <w:color w:val="auto"/>
                <w:lang w:eastAsia="zh-CN"/>
              </w:rPr>
              <w:t>运行期：工频电场、工频磁场、声环境、废水、固废。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5" w:hRule="atLeast"/>
          <w:jc w:val="center"/>
        </w:trPr>
        <w:tc>
          <w:tcPr>
            <w:tcW w:w="5000" w:type="pct"/>
            <w:gridSpan w:val="8"/>
            <w:shd w:val="clear" w:color="auto" w:fill="auto"/>
            <w:noWrap w:val="0"/>
            <w:vAlign w:val="top"/>
          </w:tcPr>
          <w:p>
            <w:pPr>
              <w:keepNext w:val="0"/>
              <w:keepLines w:val="0"/>
              <w:pageBreakBefore w:val="0"/>
              <w:widowControl w:val="0"/>
              <w:kinsoku/>
              <w:wordWrap/>
              <w:topLinePunct w:val="0"/>
              <w:bidi w:val="0"/>
              <w:spacing w:before="120" w:beforeLines="50"/>
              <w:jc w:val="both"/>
              <w:rPr>
                <w:rFonts w:hint="default" w:ascii="Times New Roman" w:hAnsi="Times New Roman" w:cs="Times New Roman"/>
                <w:b/>
                <w:color w:val="auto"/>
                <w:kern w:val="0"/>
                <w:sz w:val="28"/>
                <w:szCs w:val="28"/>
              </w:rPr>
            </w:pPr>
            <w:r>
              <w:rPr>
                <w:rFonts w:hint="default" w:ascii="Times New Roman" w:hAnsi="Times New Roman" w:cs="Times New Roman"/>
                <w:b/>
                <w:color w:val="auto"/>
                <w:kern w:val="0"/>
                <w:sz w:val="28"/>
                <w:szCs w:val="28"/>
              </w:rPr>
              <w:t>与本工程有关的原有污染情况及主要环境问题：</w:t>
            </w:r>
          </w:p>
          <w:p>
            <w:pPr>
              <w:pStyle w:val="23"/>
              <w:widowControl/>
              <w:spacing w:line="360" w:lineRule="auto"/>
              <w:ind w:firstLine="480"/>
              <w:rPr>
                <w:rFonts w:hint="default" w:ascii="Times New Roman" w:hAnsi="Times New Roman" w:cs="Times New Roman"/>
                <w:sz w:val="24"/>
                <w:szCs w:val="22"/>
              </w:rPr>
            </w:pPr>
            <w:r>
              <w:rPr>
                <w:rFonts w:hint="default" w:ascii="Times New Roman" w:hAnsi="Times New Roman" w:cs="Times New Roman"/>
                <w:sz w:val="24"/>
                <w:szCs w:val="22"/>
              </w:rPr>
              <w:t>本项目为新建项目，不存在原有污染问题。</w:t>
            </w:r>
          </w:p>
          <w:p>
            <w:pPr>
              <w:pStyle w:val="9"/>
              <w:keepNext w:val="0"/>
              <w:keepLines w:val="0"/>
              <w:pageBreakBefore w:val="0"/>
              <w:widowControl w:val="0"/>
              <w:kinsoku/>
              <w:wordWrap/>
              <w:topLinePunct w:val="0"/>
              <w:bidi w:val="0"/>
              <w:ind w:firstLine="480" w:firstLineChars="200"/>
              <w:rPr>
                <w:rFonts w:hint="default" w:ascii="Times New Roman" w:hAnsi="Times New Roman" w:cs="Times New Roman"/>
                <w:snapToGrid w:val="0"/>
                <w:color w:val="auto"/>
              </w:rPr>
            </w:pPr>
            <w:r>
              <w:rPr>
                <w:rFonts w:hint="default" w:ascii="Times New Roman" w:hAnsi="Times New Roman" w:cs="Times New Roman"/>
                <w:snapToGrid w:val="0"/>
                <w:color w:val="auto"/>
              </w:rPr>
              <w:t>拟建国华神木墩梁风电场薛家畔、李家畔、槐树峁风电项目110KV送出线路尚未建设，输电线路周边主要为灌木林地</w:t>
            </w:r>
            <w:r>
              <w:rPr>
                <w:rFonts w:hint="default" w:ascii="Times New Roman" w:hAnsi="Times New Roman" w:cs="Times New Roman"/>
                <w:snapToGrid w:val="0"/>
                <w:color w:val="auto"/>
                <w:lang w:eastAsia="zh-CN"/>
              </w:rPr>
              <w:t>、荒草地，</w:t>
            </w:r>
            <w:r>
              <w:rPr>
                <w:rFonts w:hint="default" w:ascii="Times New Roman" w:hAnsi="Times New Roman" w:cs="Times New Roman"/>
                <w:snapToGrid w:val="0"/>
                <w:color w:val="auto"/>
              </w:rPr>
              <w:t>不存在与本项目有关的原有污染。</w:t>
            </w: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cs="Times New Roman"/>
                <w:color w:val="0000FF"/>
              </w:rPr>
            </w:pP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cs="Times New Roman"/>
                <w:color w:val="0000FF"/>
              </w:rPr>
            </w:pP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cs="Times New Roman"/>
                <w:color w:val="0000FF"/>
              </w:rPr>
            </w:pP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pStyle w:val="2"/>
              <w:rPr>
                <w:rFonts w:hint="default" w:ascii="Times New Roman" w:hAnsi="Times New Roman" w:cs="Times New Roman"/>
                <w:color w:val="0000FF"/>
              </w:rPr>
            </w:pPr>
          </w:p>
          <w:p>
            <w:pPr>
              <w:rPr>
                <w:rFonts w:hint="default" w:ascii="Times New Roman" w:hAnsi="Times New Roman" w:cs="Times New Roman"/>
                <w:color w:val="0000FF"/>
              </w:rPr>
            </w:pPr>
          </w:p>
          <w:p>
            <w:pPr>
              <w:keepNext w:val="0"/>
              <w:keepLines w:val="0"/>
              <w:pageBreakBefore w:val="0"/>
              <w:widowControl w:val="0"/>
              <w:kinsoku/>
              <w:wordWrap/>
              <w:topLinePunct w:val="0"/>
              <w:autoSpaceDE w:val="0"/>
              <w:autoSpaceDN w:val="0"/>
              <w:bidi w:val="0"/>
              <w:jc w:val="both"/>
              <w:rPr>
                <w:rFonts w:hint="default" w:ascii="Times New Roman" w:hAnsi="Times New Roman" w:cs="Times New Roman"/>
                <w:color w:val="0000FF"/>
              </w:rPr>
            </w:pPr>
          </w:p>
        </w:tc>
      </w:tr>
    </w:tbl>
    <w:p>
      <w:pPr>
        <w:pStyle w:val="6"/>
        <w:keepNext w:val="0"/>
        <w:keepLines w:val="0"/>
        <w:pageBreakBefore w:val="0"/>
        <w:widowControl w:val="0"/>
        <w:kinsoku/>
        <w:wordWrap/>
        <w:topLinePunct w:val="0"/>
        <w:bidi w:val="0"/>
        <w:spacing w:before="42" w:after="2"/>
        <w:rPr>
          <w:rFonts w:hint="eastAsia"/>
          <w:lang w:val="en-US" w:eastAsia="zh-CN"/>
        </w:rPr>
      </w:pPr>
      <w:r>
        <w:rPr>
          <w:rFonts w:hint="eastAsia"/>
          <w:lang w:val="en-US" w:eastAsia="zh-CN"/>
        </w:rPr>
        <w:t>2建设项目所在地自然环境、社会环境简况</w:t>
      </w:r>
    </w:p>
    <w:tbl>
      <w:tblPr>
        <w:tblStyle w:val="17"/>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24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Borders>
              <w:bottom w:val="single" w:color="auto" w:sz="12" w:space="0"/>
            </w:tcBorders>
            <w:noWrap w:val="0"/>
            <w:vAlign w:val="top"/>
          </w:tcPr>
          <w:p>
            <w:pPr>
              <w:keepNext w:val="0"/>
              <w:keepLines w:val="0"/>
              <w:pageBreakBefore w:val="0"/>
              <w:widowControl w:val="0"/>
              <w:kinsoku/>
              <w:wordWrap/>
              <w:topLinePunct w:val="0"/>
              <w:bidi w:val="0"/>
              <w:spacing w:before="120" w:beforeLines="50"/>
              <w:rPr>
                <w:rFonts w:hint="default" w:ascii="Times New Roman" w:hAnsi="Times New Roman" w:cs="Times New Roman"/>
                <w:bCs w:val="0"/>
                <w:spacing w:val="-6"/>
                <w:kern w:val="0"/>
                <w:sz w:val="28"/>
              </w:rPr>
            </w:pPr>
            <w:r>
              <w:rPr>
                <w:rFonts w:hint="default" w:ascii="Times New Roman" w:hAnsi="Times New Roman" w:cs="Times New Roman"/>
                <w:b/>
                <w:bCs w:val="0"/>
                <w:kern w:val="0"/>
                <w:sz w:val="28"/>
                <w:szCs w:val="28"/>
              </w:rPr>
              <w:t>自然环境简况（地形、地貌、地质、气候、气象、水文、植被、生物多样性等）：</w:t>
            </w:r>
          </w:p>
          <w:p>
            <w:pPr>
              <w:keepNext w:val="0"/>
              <w:keepLines w:val="0"/>
              <w:pageBreakBefore w:val="0"/>
              <w:widowControl w:val="0"/>
              <w:kinsoku/>
              <w:wordWrap/>
              <w:topLinePunct w:val="0"/>
              <w:bidi w:val="0"/>
              <w:ind w:right="68"/>
              <w:jc w:val="both"/>
              <w:rPr>
                <w:rFonts w:hint="default" w:ascii="Times New Roman" w:hAnsi="Times New Roman" w:cs="Times New Roman"/>
                <w:b/>
                <w:bCs w:val="0"/>
              </w:rPr>
            </w:pPr>
            <w:r>
              <w:rPr>
                <w:rFonts w:hint="eastAsia" w:ascii="Times New Roman" w:hAnsi="Times New Roman" w:cs="Times New Roman"/>
                <w:b/>
                <w:bCs w:val="0"/>
                <w:lang w:val="en-US" w:eastAsia="zh-CN"/>
              </w:rPr>
              <w:t>2.1</w:t>
            </w:r>
            <w:r>
              <w:rPr>
                <w:rFonts w:hint="default" w:ascii="Times New Roman" w:hAnsi="Times New Roman" w:cs="Times New Roman"/>
                <w:b/>
                <w:bCs w:val="0"/>
              </w:rPr>
              <w:t>地理位置</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rPr>
            </w:pPr>
            <w:r>
              <w:rPr>
                <w:rFonts w:hint="default" w:ascii="Times New Roman" w:hAnsi="Times New Roman" w:cs="Times New Roman"/>
              </w:rPr>
              <w:t>神木市位于黄河中游，长城沿线，陕西省的北端，约在北纬38°13′～39°27′、东经109°40′～110°54′之间，北接内蒙古，东隔黄河与山西相望，西越榆林、定边直通宁夏，雄踞秦晋蒙三角地带中心，史称“南卫关中，北屏河套，左扼晋阳之险，右持灵夏之冲”，素为塞上重地。</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rPr>
            </w:pPr>
            <w:r>
              <w:rPr>
                <w:rFonts w:hint="eastAsia" w:cs="Times New Roman"/>
                <w:lang w:eastAsia="zh-CN"/>
              </w:rPr>
              <w:t>项目</w:t>
            </w:r>
            <w:r>
              <w:rPr>
                <w:rFonts w:hint="default" w:ascii="Times New Roman" w:hAnsi="Times New Roman" w:cs="Times New Roman"/>
              </w:rPr>
              <w:t>位于神木市</w:t>
            </w:r>
            <w:r>
              <w:rPr>
                <w:rFonts w:hint="default" w:ascii="Times New Roman" w:hAnsi="Times New Roman" w:cs="Times New Roman"/>
                <w:szCs w:val="21"/>
                <w:lang w:val="en-US" w:eastAsia="zh-CN"/>
              </w:rPr>
              <w:t>迎宾路街道办</w:t>
            </w:r>
            <w:r>
              <w:rPr>
                <w:rFonts w:hint="default" w:ascii="Times New Roman" w:hAnsi="Times New Roman" w:cs="Times New Roman"/>
              </w:rPr>
              <w:t>、锦界镇境内。</w:t>
            </w:r>
          </w:p>
          <w:p>
            <w:pPr>
              <w:keepNext w:val="0"/>
              <w:keepLines w:val="0"/>
              <w:pageBreakBefore w:val="0"/>
              <w:widowControl w:val="0"/>
              <w:kinsoku/>
              <w:wordWrap/>
              <w:topLinePunct w:val="0"/>
              <w:bidi w:val="0"/>
              <w:ind w:right="68"/>
              <w:jc w:val="both"/>
              <w:rPr>
                <w:rFonts w:hint="default" w:ascii="Times New Roman" w:hAnsi="Times New Roman" w:cs="Times New Roman"/>
                <w:b/>
                <w:bCs w:val="0"/>
              </w:rPr>
            </w:pPr>
            <w:r>
              <w:rPr>
                <w:rFonts w:hint="default" w:ascii="Times New Roman" w:hAnsi="Times New Roman" w:cs="Times New Roman"/>
                <w:b/>
                <w:bCs w:val="0"/>
                <w:lang w:val="en-US" w:eastAsia="zh-CN"/>
              </w:rPr>
              <w:t>2</w:t>
            </w:r>
            <w:r>
              <w:rPr>
                <w:rFonts w:hint="eastAsia" w:ascii="Times New Roman" w:hAnsi="Times New Roman" w:cs="Times New Roman"/>
                <w:b/>
                <w:bCs w:val="0"/>
                <w:lang w:val="en-US" w:eastAsia="zh-CN"/>
              </w:rPr>
              <w:t xml:space="preserve">.2 </w:t>
            </w:r>
            <w:r>
              <w:rPr>
                <w:rFonts w:hint="default" w:ascii="Times New Roman" w:hAnsi="Times New Roman" w:cs="Times New Roman"/>
                <w:b/>
                <w:bCs w:val="0"/>
              </w:rPr>
              <w:t>地质构造</w:t>
            </w:r>
          </w:p>
          <w:p>
            <w:pPr>
              <w:pStyle w:val="9"/>
              <w:keepNext w:val="0"/>
              <w:keepLines w:val="0"/>
              <w:pageBreakBefore w:val="0"/>
              <w:widowControl w:val="0"/>
              <w:kinsoku/>
              <w:wordWrap/>
              <w:topLinePunct w:val="0"/>
              <w:bidi w:val="0"/>
              <w:ind w:firstLine="480" w:firstLineChars="200"/>
              <w:rPr>
                <w:rFonts w:hint="default" w:ascii="Times New Roman" w:hAnsi="Times New Roman" w:cs="Times New Roman"/>
              </w:rPr>
            </w:pPr>
            <w:r>
              <w:rPr>
                <w:rFonts w:hint="default" w:ascii="Times New Roman" w:hAnsi="Times New Roman" w:cs="Times New Roman"/>
                <w:snapToGrid w:val="0"/>
                <w:color w:val="auto"/>
                <w:lang w:val="en-US" w:eastAsia="zh-CN"/>
              </w:rPr>
              <w:t>线路所在区域为中朝准地台陕甘宁台坳（亦称鄂尔多斯地台）的陕北台坳分区。鄂尔多斯地台为一大型向斜构造，长轴走向近南北，东起吕梁山脉，西抵桌子山、云雾山，南起渭北山地，北达黄河之滨，在中生代时期它相对周缘缓慢的不均匀沉降。新生代时期，鄂尔多斯地台转变为以整体抬升为主。鄂尔多斯地台是中朝地台上一个最稳定、完整的次级单元，而且地台内部没有大的、活动强烈的活动构造发育</w:t>
            </w:r>
            <w:r>
              <w:rPr>
                <w:rFonts w:hint="default" w:ascii="Times New Roman" w:hAnsi="Times New Roman" w:cs="Times New Roman"/>
              </w:rPr>
              <w:t>。</w:t>
            </w:r>
          </w:p>
          <w:p>
            <w:pPr>
              <w:pStyle w:val="9"/>
              <w:keepNext w:val="0"/>
              <w:keepLines w:val="0"/>
              <w:pageBreakBefore w:val="0"/>
              <w:widowControl w:val="0"/>
              <w:kinsoku/>
              <w:wordWrap/>
              <w:topLinePunct w:val="0"/>
              <w:bidi w:val="0"/>
              <w:ind w:firstLine="480" w:firstLineChars="200"/>
              <w:rPr>
                <w:rFonts w:hint="default" w:ascii="Times New Roman" w:hAnsi="Times New Roman" w:eastAsia="宋体" w:cs="Times New Roman"/>
                <w:bCs/>
                <w:color w:val="000000"/>
                <w:kern w:val="0"/>
                <w:sz w:val="24"/>
                <w:szCs w:val="24"/>
                <w:lang w:val="en-US" w:eastAsia="zh-CN" w:bidi="ar"/>
              </w:rPr>
            </w:pPr>
            <w:r>
              <w:rPr>
                <w:rFonts w:hint="default" w:ascii="Times New Roman" w:hAnsi="Times New Roman" w:cs="Times New Roman"/>
                <w:snapToGrid w:val="0"/>
                <w:color w:val="auto"/>
                <w:lang w:val="en-US" w:eastAsia="zh-CN"/>
              </w:rPr>
              <w:t>根据《中国地震动参数区划图》GB 18306-2015 及《建筑抗震设计规范》GB 50011- 2010（2016 年版），线路沿线Ⅱ类场地未来50年超越概率10%的地震动峰值加速度为0.05g，对应的地震基本烈度为Ⅵ度，地震动加速度反应谱特征周期为0.35s，神木市设计地震分组为第一组。</w:t>
            </w:r>
            <w:r>
              <w:rPr>
                <w:rFonts w:hint="default" w:ascii="Times New Roman" w:hAnsi="Times New Roman" w:eastAsia="宋体" w:cs="Times New Roman"/>
                <w:bCs/>
                <w:color w:val="000000"/>
                <w:kern w:val="0"/>
                <w:sz w:val="24"/>
                <w:szCs w:val="24"/>
                <w:lang w:val="en-US" w:eastAsia="zh-CN" w:bidi="ar"/>
              </w:rPr>
              <w:t xml:space="preserve"> </w:t>
            </w:r>
          </w:p>
          <w:p>
            <w:pPr>
              <w:keepNext w:val="0"/>
              <w:keepLines w:val="0"/>
              <w:pageBreakBefore w:val="0"/>
              <w:widowControl w:val="0"/>
              <w:kinsoku/>
              <w:wordWrap/>
              <w:topLinePunct w:val="0"/>
              <w:bidi w:val="0"/>
              <w:jc w:val="both"/>
              <w:rPr>
                <w:rFonts w:hint="default" w:ascii="Times New Roman" w:hAnsi="Times New Roman" w:eastAsia="宋体" w:cs="Times New Roman"/>
                <w:b/>
                <w:bCs w:val="0"/>
                <w:lang w:eastAsia="zh-CN"/>
              </w:rPr>
            </w:pPr>
            <w:r>
              <w:rPr>
                <w:rFonts w:hint="eastAsia" w:ascii="Times New Roman" w:hAnsi="Times New Roman" w:cs="Times New Roman"/>
                <w:b/>
                <w:bCs w:val="0"/>
                <w:lang w:val="en-US" w:eastAsia="zh-CN"/>
              </w:rPr>
              <w:t xml:space="preserve">2.3 </w:t>
            </w:r>
            <w:r>
              <w:rPr>
                <w:rFonts w:hint="default" w:ascii="Times New Roman" w:hAnsi="Times New Roman" w:cs="Times New Roman"/>
                <w:b/>
                <w:bCs w:val="0"/>
                <w:lang w:eastAsia="zh-CN"/>
              </w:rPr>
              <w:t>地形地貌</w:t>
            </w:r>
          </w:p>
          <w:p>
            <w:pPr>
              <w:pStyle w:val="9"/>
              <w:keepNext w:val="0"/>
              <w:keepLines w:val="0"/>
              <w:pageBreakBefore w:val="0"/>
              <w:widowControl w:val="0"/>
              <w:kinsoku/>
              <w:wordWrap/>
              <w:topLinePunct w:val="0"/>
              <w:bidi w:val="0"/>
              <w:ind w:firstLine="480" w:firstLineChars="200"/>
              <w:rPr>
                <w:rFonts w:hint="default" w:ascii="Times New Roman" w:hAnsi="Times New Roman" w:cs="Times New Roman"/>
                <w:snapToGrid w:val="0"/>
                <w:color w:val="auto"/>
                <w:lang w:val="en-US" w:eastAsia="zh-CN"/>
              </w:rPr>
            </w:pPr>
            <w:r>
              <w:rPr>
                <w:rFonts w:hint="default" w:ascii="Times New Roman" w:hAnsi="Times New Roman" w:cs="Times New Roman"/>
                <w:snapToGrid w:val="0"/>
                <w:color w:val="auto"/>
                <w:lang w:val="en-US" w:eastAsia="zh-CN"/>
              </w:rPr>
              <w:t>拟建线路位于毛乌素沙漠东南缘，沿线地貌以黄土梁、峁为主，局部黄土梁、峁上有粉细砂覆盖，为沙梁、沙丘。沿线海拔为 1140～1280m，相对高差一般为 50～100m，最大高差达 150m。在局部地段冲沟特别发育，多呈“V”形深大冲沟，切割深度一般为20～0m，地形非常破碎。线路沿线主要为草地，植被发育一般，少量农田，不具备灌溉条件。</w:t>
            </w:r>
          </w:p>
          <w:p>
            <w:pPr>
              <w:keepNext w:val="0"/>
              <w:keepLines w:val="0"/>
              <w:pageBreakBefore w:val="0"/>
              <w:widowControl w:val="0"/>
              <w:kinsoku/>
              <w:wordWrap/>
              <w:topLinePunct w:val="0"/>
              <w:bidi w:val="0"/>
              <w:jc w:val="both"/>
              <w:rPr>
                <w:rFonts w:hint="default" w:ascii="Times New Roman" w:hAnsi="Times New Roman" w:cs="Times New Roman"/>
                <w:b/>
                <w:bCs w:val="0"/>
              </w:rPr>
            </w:pPr>
            <w:r>
              <w:rPr>
                <w:rFonts w:hint="default" w:ascii="Times New Roman" w:hAnsi="Times New Roman" w:cs="Times New Roman"/>
                <w:b/>
                <w:bCs w:val="0"/>
                <w:lang w:val="en-US" w:eastAsia="zh-CN"/>
              </w:rPr>
              <w:t>4</w:t>
            </w:r>
            <w:r>
              <w:rPr>
                <w:rFonts w:hint="eastAsia" w:ascii="Times New Roman" w:hAnsi="Times New Roman" w:cs="Times New Roman"/>
                <w:b/>
                <w:bCs w:val="0"/>
                <w:lang w:val="en-US" w:eastAsia="zh-CN"/>
              </w:rPr>
              <w:t xml:space="preserve"> </w:t>
            </w:r>
            <w:r>
              <w:rPr>
                <w:rFonts w:hint="default" w:ascii="Times New Roman" w:hAnsi="Times New Roman" w:cs="Times New Roman"/>
                <w:b/>
                <w:bCs w:val="0"/>
              </w:rPr>
              <w:t>气候气象</w:t>
            </w:r>
          </w:p>
          <w:p>
            <w:pPr>
              <w:pStyle w:val="9"/>
              <w:keepNext w:val="0"/>
              <w:keepLines w:val="0"/>
              <w:pageBreakBefore w:val="0"/>
              <w:widowControl w:val="0"/>
              <w:kinsoku/>
              <w:wordWrap/>
              <w:topLinePunct w:val="0"/>
              <w:bidi w:val="0"/>
              <w:ind w:firstLine="480" w:firstLineChars="200"/>
              <w:rPr>
                <w:rFonts w:hint="default" w:ascii="Times New Roman" w:hAnsi="Times New Roman" w:cs="Times New Roman"/>
                <w:snapToGrid w:val="0"/>
                <w:color w:val="auto"/>
                <w:lang w:val="en-US" w:eastAsia="zh-CN"/>
              </w:rPr>
            </w:pPr>
            <w:r>
              <w:rPr>
                <w:rFonts w:hint="default" w:ascii="Times New Roman" w:hAnsi="Times New Roman" w:cs="Times New Roman"/>
                <w:snapToGrid w:val="0"/>
                <w:color w:val="auto"/>
                <w:lang w:val="en-US" w:eastAsia="zh-CN"/>
              </w:rPr>
              <w:t xml:space="preserve">榆林地区属温带半干旱大陆性气候，长城沿线以北是温带寒冷半干旱区，以南是暖温带冷温半干旱区，受极地大陆冷气团控制时间长，受海洋性热带气团影响时间短，大陆性气候显著。其主要特点是寒暑剧烈，气候干燥，灾害频繁，四季分明。冬季漫长寒冷，夏季短促、温差大；冬季少雨雪，夏季雨水集中，年际变率大；多西北风，风沙频繁，无霜期短，日照丰富。 </w:t>
            </w:r>
          </w:p>
          <w:p>
            <w:pPr>
              <w:pStyle w:val="9"/>
              <w:keepNext w:val="0"/>
              <w:keepLines w:val="0"/>
              <w:pageBreakBefore w:val="0"/>
              <w:widowControl w:val="0"/>
              <w:kinsoku/>
              <w:wordWrap/>
              <w:topLinePunct w:val="0"/>
              <w:bidi w:val="0"/>
              <w:ind w:firstLine="480" w:firstLineChars="200"/>
              <w:rPr>
                <w:rFonts w:hint="default" w:ascii="Times New Roman" w:hAnsi="Times New Roman" w:cs="Times New Roman"/>
                <w:snapToGrid w:val="0"/>
                <w:color w:val="auto"/>
                <w:lang w:val="en-US" w:eastAsia="zh-CN"/>
              </w:rPr>
            </w:pPr>
            <w:r>
              <w:rPr>
                <w:rFonts w:hint="default" w:ascii="Times New Roman" w:hAnsi="Times New Roman" w:cs="Times New Roman"/>
                <w:snapToGrid w:val="0"/>
                <w:color w:val="auto"/>
                <w:lang w:val="en-US" w:eastAsia="zh-CN"/>
              </w:rPr>
              <w:t xml:space="preserve">神木县位于中纬度内陆地区，属于温带干旱半干旱大陆性季风气候区。该地区气候 特点表现为四季分明，气候多变，光照充足，日温差大，春季多风，夏季干旱少雨，时有强暴雨发生，且急促而集中，秋凉雨涝，冬季干旱少雨雪。 </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default" w:ascii="Times New Roman" w:hAnsi="Times New Roman" w:cs="Times New Roman"/>
                <w:b/>
                <w:sz w:val="21"/>
              </w:rPr>
            </w:pPr>
            <w:r>
              <w:rPr>
                <w:rFonts w:hint="default" w:ascii="Times New Roman" w:hAnsi="Times New Roman" w:cs="Times New Roman"/>
                <w:b/>
                <w:sz w:val="21"/>
                <w:lang w:val="en-US" w:eastAsia="zh-CN"/>
              </w:rPr>
              <w:t>表2-1     神木气象站基本气象要素统计表</w:t>
            </w:r>
          </w:p>
          <w:tbl>
            <w:tblPr>
              <w:tblStyle w:val="1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009"/>
              <w:gridCol w:w="30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项目</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单位</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数值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年平均气温</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极端最高气温</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39.0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极端最低气温</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-29.0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年平均风速</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m/s</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年平均最大风速</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m/s</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20.7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最多雷暴日数</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d</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平均雷暴日数</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d</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33.7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最大冻土深度</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cm</w:t>
                  </w:r>
                </w:p>
              </w:tc>
              <w:tc>
                <w:tcPr>
                  <w:tcW w:w="166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snapToGrid w:val="0"/>
                      <w:color w:val="auto"/>
                      <w:sz w:val="21"/>
                      <w:szCs w:val="21"/>
                      <w:vertAlign w:val="baseline"/>
                      <w:lang w:val="en-US" w:eastAsia="zh-CN"/>
                    </w:rPr>
                  </w:pPr>
                  <w:r>
                    <w:rPr>
                      <w:rFonts w:hint="default" w:ascii="Times New Roman" w:hAnsi="Times New Roman" w:cs="Times New Roman" w:eastAsiaTheme="minorEastAsia"/>
                      <w:snapToGrid w:val="0"/>
                      <w:color w:val="auto"/>
                      <w:sz w:val="21"/>
                      <w:szCs w:val="21"/>
                      <w:vertAlign w:val="baseline"/>
                      <w:lang w:val="en-US" w:eastAsia="zh-CN"/>
                    </w:rPr>
                    <w:t>143</w:t>
                  </w:r>
                </w:p>
              </w:tc>
            </w:tr>
          </w:tbl>
          <w:p>
            <w:pPr>
              <w:keepNext w:val="0"/>
              <w:keepLines w:val="0"/>
              <w:pageBreakBefore w:val="0"/>
              <w:widowControl w:val="0"/>
              <w:kinsoku/>
              <w:wordWrap/>
              <w:topLinePunct w:val="0"/>
              <w:bidi w:val="0"/>
              <w:jc w:val="both"/>
              <w:rPr>
                <w:rFonts w:hint="default" w:ascii="Times New Roman" w:hAnsi="Times New Roman" w:cs="Times New Roman"/>
                <w:b/>
                <w:bCs w:val="0"/>
              </w:rPr>
            </w:pPr>
            <w:r>
              <w:rPr>
                <w:rFonts w:hint="eastAsia" w:ascii="Times New Roman" w:hAnsi="Times New Roman" w:cs="Times New Roman"/>
                <w:b/>
                <w:bCs w:val="0"/>
                <w:lang w:val="en-US" w:eastAsia="zh-CN"/>
              </w:rPr>
              <w:t xml:space="preserve">2.4 </w:t>
            </w:r>
            <w:r>
              <w:rPr>
                <w:rFonts w:hint="default" w:ascii="Times New Roman" w:hAnsi="Times New Roman" w:cs="Times New Roman"/>
                <w:b/>
                <w:bCs w:val="0"/>
              </w:rPr>
              <w:t>水文</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rPr>
            </w:pPr>
            <w:r>
              <w:rPr>
                <w:rFonts w:hint="default" w:ascii="Times New Roman" w:hAnsi="Times New Roman" w:cs="Times New Roman"/>
              </w:rPr>
              <w:t>神木市境内的河流有黄河、窟野河、秃尾河和由流入红碱淖几条河流组成的内陆水系。由于受地质构造和地貌等自然因素的影响，窟野河、秃尾河的流向都由西北流向东南，继承了古河道的流向。两条河流均以黄河峡谷为其侵蚀基准，在新构造上升的配合下，河流下切剧烈，有些河段已切入基岩。黄河在地质构造因素控制下，沿吕梁复背斜西翼大断裂发育南流，河床切入三迭系，石炭二迭系基岩，形成著名的晋陕峡谷。</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rPr>
            </w:pPr>
            <w:r>
              <w:rPr>
                <w:rFonts w:hint="default" w:ascii="Times New Roman" w:hAnsi="Times New Roman" w:cs="Times New Roman"/>
              </w:rPr>
              <w:t>窟野河发源于内蒙古鄂尔多斯市的拌树河，由北东方向流至后圪台一带入境。在房子塔以西河流称乌兰木伦河，以东河流称悖牛川。两河相汇后称窟野河，自北向南径流，在神木县贺家川乡南砂峁村入黄河，河道全长221km，区内流长130km，河道比降3.44‰。据神木站观测资料，多年平均流量12.98m</w:t>
            </w:r>
            <w:r>
              <w:rPr>
                <w:rFonts w:hint="default" w:ascii="Times New Roman" w:hAnsi="Times New Roman" w:cs="Times New Roman"/>
                <w:vertAlign w:val="superscript"/>
              </w:rPr>
              <w:t>3</w:t>
            </w:r>
            <w:r>
              <w:rPr>
                <w:rFonts w:hint="default" w:ascii="Times New Roman" w:hAnsi="Times New Roman" w:cs="Times New Roman"/>
              </w:rPr>
              <w:t>/s，历年最大流量13800m</w:t>
            </w:r>
            <w:r>
              <w:rPr>
                <w:rFonts w:hint="default" w:ascii="Times New Roman" w:hAnsi="Times New Roman" w:cs="Times New Roman"/>
                <w:vertAlign w:val="superscript"/>
              </w:rPr>
              <w:t>3</w:t>
            </w:r>
            <w:r>
              <w:rPr>
                <w:rFonts w:hint="default" w:ascii="Times New Roman" w:hAnsi="Times New Roman" w:cs="Times New Roman"/>
              </w:rPr>
              <w:t>/s（1976.8.2），最小时河水干枯，径流模数1.0～4.0m</w:t>
            </w:r>
            <w:r>
              <w:rPr>
                <w:rFonts w:hint="default" w:ascii="Times New Roman" w:hAnsi="Times New Roman" w:cs="Times New Roman"/>
                <w:vertAlign w:val="superscript"/>
              </w:rPr>
              <w:t>3</w:t>
            </w:r>
            <w:r>
              <w:rPr>
                <w:rFonts w:hint="default" w:ascii="Times New Roman" w:hAnsi="Times New Roman" w:cs="Times New Roman"/>
              </w:rPr>
              <w:t>/s·km</w:t>
            </w:r>
            <w:r>
              <w:rPr>
                <w:rFonts w:hint="default" w:ascii="Times New Roman" w:hAnsi="Times New Roman" w:cs="Times New Roman"/>
                <w:vertAlign w:val="superscript"/>
              </w:rPr>
              <w:t>2</w:t>
            </w:r>
            <w:r>
              <w:rPr>
                <w:rFonts w:hint="default" w:ascii="Times New Roman" w:hAnsi="Times New Roman" w:cs="Times New Roman"/>
              </w:rPr>
              <w:t>，多年平均含沙量106.406kg/m</w:t>
            </w:r>
            <w:r>
              <w:rPr>
                <w:rFonts w:hint="default" w:ascii="Times New Roman" w:hAnsi="Times New Roman" w:cs="Times New Roman"/>
                <w:vertAlign w:val="superscript"/>
              </w:rPr>
              <w:t>3</w:t>
            </w:r>
            <w:r>
              <w:rPr>
                <w:rFonts w:hint="default" w:ascii="Times New Roman" w:hAnsi="Times New Roman" w:cs="Times New Roman"/>
              </w:rPr>
              <w:t>，年平均输沙率0.161～5.84t/s。窟野河主要支流自北而南，有乌兰木伦河，㹀牛川，考考乌素沟、麻家塔沟、城西沟、呼家圪台沟等。其中城西沟长19km，流域面积120km</w:t>
            </w:r>
            <w:r>
              <w:rPr>
                <w:rFonts w:hint="default" w:ascii="Times New Roman" w:hAnsi="Times New Roman" w:cs="Times New Roman"/>
                <w:vertAlign w:val="superscript"/>
              </w:rPr>
              <w:t>2</w:t>
            </w:r>
            <w:r>
              <w:rPr>
                <w:rFonts w:hint="default" w:ascii="Times New Roman" w:hAnsi="Times New Roman" w:cs="Times New Roman"/>
              </w:rPr>
              <w:t>，河道比降11.9‰，多年平均流量0.18m</w:t>
            </w:r>
            <w:r>
              <w:rPr>
                <w:rFonts w:hint="default" w:ascii="Times New Roman" w:hAnsi="Times New Roman" w:cs="Times New Roman"/>
                <w:vertAlign w:val="superscript"/>
              </w:rPr>
              <w:t>3</w:t>
            </w:r>
            <w:r>
              <w:rPr>
                <w:rFonts w:hint="default" w:ascii="Times New Roman" w:hAnsi="Times New Roman" w:cs="Times New Roman"/>
              </w:rPr>
              <w:t>/s。</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rPr>
            </w:pPr>
            <w:r>
              <w:rPr>
                <w:rFonts w:hint="default" w:ascii="Times New Roman" w:hAnsi="Times New Roman" w:cs="Times New Roman"/>
              </w:rPr>
              <w:t>秃尾河发源于神木县瑶镇乡以北的宫泊海子，由宫泊沟和圪丑沟汇合后形成秃尾河，经瑶镇、公草湾、跌水崖岔口、从沙母河沟水源地西部流过，于神木县的河口岔注入黄河，河长140km，流域面积3294km</w:t>
            </w:r>
            <w:r>
              <w:rPr>
                <w:rFonts w:hint="default" w:ascii="Times New Roman" w:hAnsi="Times New Roman" w:cs="Times New Roman"/>
                <w:vertAlign w:val="superscript"/>
              </w:rPr>
              <w:t>2</w:t>
            </w:r>
            <w:r>
              <w:rPr>
                <w:rFonts w:hint="default" w:ascii="Times New Roman" w:hAnsi="Times New Roman" w:cs="Times New Roman"/>
              </w:rPr>
              <w:t>，河道比降3.87‰。区内河谷开阔，河床宽浅，发育有漫滩及阶地。据中游高家堡水文站观测资料，多年平均流量9.960m</w:t>
            </w:r>
            <w:r>
              <w:rPr>
                <w:rFonts w:hint="default" w:ascii="Times New Roman" w:hAnsi="Times New Roman" w:cs="Times New Roman"/>
                <w:vertAlign w:val="superscript"/>
              </w:rPr>
              <w:t>3</w:t>
            </w:r>
            <w:r>
              <w:rPr>
                <w:rFonts w:hint="default" w:ascii="Times New Roman" w:hAnsi="Times New Roman" w:cs="Times New Roman"/>
              </w:rPr>
              <w:t>/s，历年最大流量2120m</w:t>
            </w:r>
            <w:r>
              <w:rPr>
                <w:rFonts w:hint="default" w:ascii="Times New Roman" w:hAnsi="Times New Roman" w:cs="Times New Roman"/>
                <w:vertAlign w:val="superscript"/>
              </w:rPr>
              <w:t>3</w:t>
            </w:r>
            <w:r>
              <w:rPr>
                <w:rFonts w:hint="default" w:ascii="Times New Roman" w:hAnsi="Times New Roman" w:cs="Times New Roman"/>
              </w:rPr>
              <w:t>/s（1971.7.23），多年平均径流量3.14×108m</w:t>
            </w:r>
            <w:r>
              <w:rPr>
                <w:rFonts w:hint="default" w:ascii="Times New Roman" w:hAnsi="Times New Roman" w:cs="Times New Roman"/>
                <w:vertAlign w:val="superscript"/>
              </w:rPr>
              <w:t>3</w:t>
            </w:r>
            <w:r>
              <w:rPr>
                <w:rFonts w:hint="default" w:ascii="Times New Roman" w:hAnsi="Times New Roman" w:cs="Times New Roman"/>
              </w:rPr>
              <w:t>//a，年侵蚀模数3050t/km</w:t>
            </w:r>
            <w:r>
              <w:rPr>
                <w:rFonts w:hint="default" w:ascii="Times New Roman" w:hAnsi="Times New Roman" w:cs="Times New Roman"/>
                <w:vertAlign w:val="superscript"/>
              </w:rPr>
              <w:t>2</w:t>
            </w:r>
            <w:r>
              <w:rPr>
                <w:rFonts w:hint="default" w:ascii="Times New Roman" w:hAnsi="Times New Roman" w:cs="Times New Roman"/>
              </w:rPr>
              <w:t>，多年平径输沙量7.69×108t/a，一次暴雨最大侵蚀模数12358t/km</w:t>
            </w:r>
            <w:r>
              <w:rPr>
                <w:rFonts w:hint="default" w:ascii="Times New Roman" w:hAnsi="Times New Roman" w:cs="Times New Roman"/>
                <w:vertAlign w:val="superscript"/>
              </w:rPr>
              <w:t>2</w:t>
            </w:r>
            <w:r>
              <w:rPr>
                <w:rFonts w:hint="default" w:ascii="Times New Roman" w:hAnsi="Times New Roman" w:cs="Times New Roman"/>
              </w:rPr>
              <w:t>。秃尾河主要支流自北而南有谷丑沟、河子沟、青草沟、枣稍沟、黑龙沟、前青杨树沟、青水沟、团团沟等。</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rPr>
            </w:pPr>
            <w:r>
              <w:rPr>
                <w:rFonts w:hint="default" w:ascii="Times New Roman" w:hAnsi="Times New Roman" w:cs="Times New Roman"/>
              </w:rPr>
              <w:t>其中前青杨树沟发源于黄土庙南侧沙河村东之巴泥沟，河道长度27.3km，比降12.60‰，自北东向西南径流，在古今滩注入秃尾河。流域面积144.3km</w:t>
            </w:r>
            <w:r>
              <w:rPr>
                <w:rFonts w:hint="default" w:ascii="Times New Roman" w:hAnsi="Times New Roman" w:cs="Times New Roman"/>
                <w:vertAlign w:val="superscript"/>
              </w:rPr>
              <w:t>2</w:t>
            </w:r>
            <w:r>
              <w:rPr>
                <w:rFonts w:hint="default" w:ascii="Times New Roman" w:hAnsi="Times New Roman" w:cs="Times New Roman"/>
              </w:rPr>
              <w:t>，年平均流量0.190m</w:t>
            </w:r>
            <w:r>
              <w:rPr>
                <w:rFonts w:hint="default" w:ascii="Times New Roman" w:hAnsi="Times New Roman" w:cs="Times New Roman"/>
                <w:vertAlign w:val="superscript"/>
              </w:rPr>
              <w:t>3</w:t>
            </w:r>
            <w:r>
              <w:rPr>
                <w:rFonts w:hint="default" w:ascii="Times New Roman" w:hAnsi="Times New Roman" w:cs="Times New Roman"/>
              </w:rPr>
              <w:t>/s，其径流来源主要是上游黄土庙一带沙地滩地区地下水的排泄，为常年性河流。</w:t>
            </w:r>
          </w:p>
          <w:p>
            <w:pPr>
              <w:keepNext w:val="0"/>
              <w:keepLines w:val="0"/>
              <w:pageBreakBefore w:val="0"/>
              <w:widowControl w:val="0"/>
              <w:kinsoku/>
              <w:wordWrap/>
              <w:topLinePunct w:val="0"/>
              <w:bidi w:val="0"/>
              <w:jc w:val="both"/>
              <w:rPr>
                <w:rFonts w:hint="default" w:ascii="Times New Roman" w:hAnsi="Times New Roman" w:cs="Times New Roman"/>
                <w:b/>
                <w:kern w:val="24"/>
              </w:rPr>
            </w:pPr>
            <w:r>
              <w:rPr>
                <w:rFonts w:hint="eastAsia" w:ascii="Times New Roman" w:hAnsi="Times New Roman" w:cs="Times New Roman"/>
                <w:b/>
                <w:kern w:val="24"/>
                <w:lang w:val="en-US" w:eastAsia="zh-CN"/>
              </w:rPr>
              <w:t xml:space="preserve">2.5 </w:t>
            </w:r>
            <w:r>
              <w:rPr>
                <w:rFonts w:hint="default" w:ascii="Times New Roman" w:hAnsi="Times New Roman" w:cs="Times New Roman"/>
                <w:b/>
                <w:kern w:val="24"/>
              </w:rPr>
              <w:t>动植物</w:t>
            </w: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cs="Times New Roman"/>
              </w:rPr>
            </w:pPr>
            <w:r>
              <w:rPr>
                <w:rFonts w:hint="default" w:ascii="Times New Roman" w:hAnsi="Times New Roman" w:cs="Times New Roman"/>
              </w:rPr>
              <w:t>神木市地带性植被为森林草原向干草原、荒漠草原过渡性植被。自然的原生带性植物已退化，以耐旱、耐寒的沙土、旱生灌丛植被为主，主要群落为沙柳灌丛，兼有一年生或多年生的半灌木和草本植物，代表群落为沙篙群落和花棒、柠条灌丛。人工栽植的乔木多限于河川沟道之中，且多以杨、旱柳为主。区内植被总体生长情况稀少弱小。农业主要以川道地和坡耕地为主，主要农作物有玉米、谷子、糜子、高梁、豆类、马铃薯。</w:t>
            </w:r>
          </w:p>
          <w:p>
            <w:pPr>
              <w:keepNext w:val="0"/>
              <w:keepLines w:val="0"/>
              <w:pageBreakBefore w:val="0"/>
              <w:widowControl w:val="0"/>
              <w:kinsoku/>
              <w:wordWrap/>
              <w:topLinePunct w:val="0"/>
              <w:autoSpaceDE w:val="0"/>
              <w:autoSpaceDN w:val="0"/>
              <w:bidi w:val="0"/>
              <w:ind w:firstLine="480" w:firstLineChars="200"/>
              <w:jc w:val="both"/>
              <w:rPr>
                <w:rFonts w:hint="default" w:ascii="Times New Roman" w:hAnsi="Times New Roman" w:cs="Times New Roman"/>
              </w:rPr>
            </w:pPr>
            <w:r>
              <w:rPr>
                <w:rFonts w:hint="default" w:ascii="Times New Roman" w:hAnsi="Times New Roman" w:cs="Times New Roman"/>
              </w:rPr>
              <w:t>野生动物地理分布在动物地理区划中属古北界-蒙新区-东部草原亚区。目前该区野生动物组成比较简单，种类较少。根据现场调查及资料记载，目前该区野生动物(指脊椎动物中的兽类、鸟类、爬行类和两栖类)约70多种，隶属于22目39科，其中兽类4目9科，鸟类15目26科，爬行类2目2科，两栖类1目2科。此外，还有种类和数量众多的昆虫。</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kern w:val="0"/>
              </w:rPr>
            </w:pPr>
            <w:r>
              <w:rPr>
                <w:rFonts w:hint="default" w:ascii="Times New Roman" w:hAnsi="Times New Roman" w:cs="Times New Roman"/>
              </w:rPr>
              <w:t>据现场调查，</w:t>
            </w:r>
            <w:r>
              <w:rPr>
                <w:rFonts w:hint="eastAsia" w:cs="Times New Roman"/>
                <w:lang w:eastAsia="zh-CN"/>
              </w:rPr>
              <w:t>项目</w:t>
            </w:r>
            <w:r>
              <w:rPr>
                <w:rFonts w:hint="default" w:ascii="Times New Roman" w:hAnsi="Times New Roman" w:cs="Times New Roman"/>
              </w:rPr>
              <w:t>区域植被以沙柳、柠条、沙蒿等为主，野生动物主要为鼠类、兔类和麻雀、喜鹊等常见种类。区域未见国家级及陕西省级保护野生动植物、无自然保护区、风景名胜区等生态敏感区。</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231" w:hRule="atLeast"/>
          <w:jc w:val="center"/>
        </w:trPr>
        <w:tc>
          <w:tcPr>
            <w:tcW w:w="5000" w:type="pct"/>
            <w:tcBorders>
              <w:top w:val="single" w:color="auto" w:sz="12" w:space="0"/>
            </w:tcBorders>
            <w:noWrap w:val="0"/>
            <w:vAlign w:val="top"/>
          </w:tcPr>
          <w:p>
            <w:pPr>
              <w:keepNext w:val="0"/>
              <w:keepLines w:val="0"/>
              <w:pageBreakBefore w:val="0"/>
              <w:widowControl w:val="0"/>
              <w:kinsoku/>
              <w:wordWrap/>
              <w:topLinePunct w:val="0"/>
              <w:bidi w:val="0"/>
              <w:spacing w:before="120" w:beforeLines="50"/>
              <w:rPr>
                <w:rFonts w:hint="default" w:ascii="Times New Roman" w:hAnsi="Times New Roman" w:cs="Times New Roman"/>
                <w:b/>
                <w:bCs w:val="0"/>
                <w:kern w:val="0"/>
                <w:sz w:val="28"/>
                <w:szCs w:val="28"/>
              </w:rPr>
            </w:pPr>
            <w:r>
              <w:rPr>
                <w:rFonts w:hint="default" w:ascii="Times New Roman" w:hAnsi="Times New Roman" w:cs="Times New Roman"/>
                <w:b/>
                <w:bCs w:val="0"/>
                <w:kern w:val="0"/>
                <w:sz w:val="28"/>
                <w:szCs w:val="28"/>
              </w:rPr>
              <w:t>社会环境简况（社会经济结构、教育、文化、文物保护等）：</w:t>
            </w:r>
          </w:p>
          <w:p>
            <w:pPr>
              <w:keepNext w:val="0"/>
              <w:keepLines w:val="0"/>
              <w:pageBreakBefore w:val="0"/>
              <w:widowControl w:val="0"/>
              <w:kinsoku/>
              <w:wordWrap/>
              <w:topLinePunct w:val="0"/>
              <w:bidi w:val="0"/>
              <w:ind w:firstLine="480" w:firstLineChars="200"/>
              <w:jc w:val="both"/>
              <w:rPr>
                <w:rFonts w:hint="default" w:ascii="Times New Roman" w:hAnsi="Times New Roman" w:cs="Times New Roman"/>
                <w:bCs w:val="0"/>
              </w:rPr>
            </w:pPr>
            <w:r>
              <w:rPr>
                <w:rFonts w:hint="default" w:ascii="Times New Roman" w:hAnsi="Times New Roman" w:cs="Times New Roman"/>
                <w:bCs w:val="0"/>
              </w:rPr>
              <w:t>根据《建设项目环境影响评价技术导则 总纲》（HJ2.1-2016），“删除了社会环境现状调查与评价相关内容”，本报告不再对社会环境简况进行调查。</w:t>
            </w:r>
          </w:p>
          <w:p>
            <w:pPr>
              <w:keepNext w:val="0"/>
              <w:keepLines w:val="0"/>
              <w:pageBreakBefore w:val="0"/>
              <w:widowControl w:val="0"/>
              <w:kinsoku/>
              <w:wordWrap/>
              <w:topLinePunct w:val="0"/>
              <w:bidi w:val="0"/>
              <w:spacing w:line="240" w:lineRule="auto"/>
              <w:ind w:firstLine="480" w:firstLineChars="200"/>
              <w:rPr>
                <w:rFonts w:hint="default" w:ascii="Times New Roman" w:hAnsi="Times New Roman" w:cs="Times New Roman"/>
                <w:bCs w:val="0"/>
              </w:rPr>
            </w:pPr>
          </w:p>
          <w:p>
            <w:pPr>
              <w:pStyle w:val="2"/>
              <w:ind w:left="0" w:leftChars="0" w:firstLine="0" w:firstLineChars="0"/>
              <w:rPr>
                <w:rFonts w:hint="default" w:ascii="Times New Roman" w:hAnsi="Times New Roman" w:cs="Times New Roman"/>
                <w:bCs w:val="0"/>
              </w:rPr>
            </w:pPr>
          </w:p>
          <w:p>
            <w:pPr>
              <w:pStyle w:val="2"/>
              <w:rPr>
                <w:rFonts w:hint="default" w:ascii="Times New Roman" w:hAnsi="Times New Roman" w:cs="Times New Roman"/>
                <w:bCs w:val="0"/>
              </w:rPr>
            </w:pPr>
          </w:p>
          <w:p>
            <w:pPr>
              <w:pStyle w:val="2"/>
              <w:rPr>
                <w:rFonts w:hint="default" w:ascii="Times New Roman" w:hAnsi="Times New Roman" w:cs="Times New Roman"/>
                <w:bCs w:val="0"/>
              </w:rPr>
            </w:pPr>
          </w:p>
          <w:p>
            <w:pPr>
              <w:pStyle w:val="2"/>
              <w:rPr>
                <w:rFonts w:hint="default" w:ascii="Times New Roman" w:hAnsi="Times New Roman" w:cs="Times New Roman"/>
                <w:bCs w:val="0"/>
              </w:rPr>
            </w:pPr>
          </w:p>
          <w:p>
            <w:pPr>
              <w:pStyle w:val="2"/>
              <w:rPr>
                <w:rFonts w:hint="default" w:ascii="Times New Roman" w:hAnsi="Times New Roman" w:cs="Times New Roman"/>
                <w:bCs w:val="0"/>
              </w:rPr>
            </w:pPr>
          </w:p>
          <w:p>
            <w:pPr>
              <w:keepNext w:val="0"/>
              <w:keepLines w:val="0"/>
              <w:pageBreakBefore w:val="0"/>
              <w:widowControl w:val="0"/>
              <w:kinsoku/>
              <w:wordWrap/>
              <w:topLinePunct w:val="0"/>
              <w:bidi w:val="0"/>
              <w:spacing w:line="240" w:lineRule="auto"/>
              <w:rPr>
                <w:rFonts w:hint="default" w:ascii="Times New Roman" w:hAnsi="Times New Roman" w:cs="Times New Roman"/>
                <w:bCs w:val="0"/>
              </w:rPr>
            </w:pPr>
          </w:p>
          <w:p>
            <w:pPr>
              <w:keepNext w:val="0"/>
              <w:keepLines w:val="0"/>
              <w:pageBreakBefore w:val="0"/>
              <w:widowControl w:val="0"/>
              <w:kinsoku/>
              <w:wordWrap/>
              <w:topLinePunct w:val="0"/>
              <w:bidi w:val="0"/>
              <w:spacing w:line="240" w:lineRule="auto"/>
              <w:ind w:firstLine="480" w:firstLineChars="200"/>
              <w:rPr>
                <w:rFonts w:hint="default" w:ascii="Times New Roman" w:hAnsi="Times New Roman" w:cs="Times New Roman"/>
                <w:bCs w:val="0"/>
              </w:rPr>
            </w:pPr>
          </w:p>
          <w:p>
            <w:pPr>
              <w:keepNext w:val="0"/>
              <w:keepLines w:val="0"/>
              <w:pageBreakBefore w:val="0"/>
              <w:widowControl w:val="0"/>
              <w:kinsoku/>
              <w:wordWrap/>
              <w:topLinePunct w:val="0"/>
              <w:bidi w:val="0"/>
              <w:spacing w:line="240" w:lineRule="auto"/>
              <w:rPr>
                <w:rFonts w:hint="default" w:ascii="Times New Roman" w:hAnsi="Times New Roman" w:cs="Times New Roman"/>
                <w:bCs w:val="0"/>
              </w:rPr>
            </w:pPr>
          </w:p>
        </w:tc>
      </w:tr>
    </w:tbl>
    <w:p>
      <w:pPr>
        <w:pStyle w:val="6"/>
        <w:keepNext w:val="0"/>
        <w:keepLines w:val="0"/>
        <w:pageBreakBefore w:val="0"/>
        <w:widowControl w:val="0"/>
        <w:kinsoku/>
        <w:wordWrap/>
        <w:topLinePunct w:val="0"/>
        <w:bidi w:val="0"/>
        <w:spacing w:before="42" w:after="2"/>
        <w:rPr>
          <w:rFonts w:hint="eastAsia"/>
          <w:lang w:val="en-US" w:eastAsia="zh-CN"/>
        </w:rPr>
      </w:pPr>
      <w:r>
        <w:rPr>
          <w:rFonts w:hint="eastAsia"/>
          <w:lang w:val="en-US" w:eastAsia="zh-CN"/>
        </w:rPr>
        <w:t>3环境质量状况</w:t>
      </w:r>
    </w:p>
    <w:tbl>
      <w:tblPr>
        <w:tblStyle w:val="17"/>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24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5000" w:type="pct"/>
            <w:tcBorders>
              <w:bottom w:val="single" w:color="auto" w:sz="12" w:space="0"/>
            </w:tcBorders>
            <w:noWrap w:val="0"/>
            <w:vAlign w:val="top"/>
          </w:tcPr>
          <w:p>
            <w:pPr>
              <w:keepNext w:val="0"/>
              <w:keepLines w:val="0"/>
              <w:pageBreakBefore w:val="0"/>
              <w:widowControl w:val="0"/>
              <w:kinsoku/>
              <w:wordWrap/>
              <w:topLinePunct w:val="0"/>
              <w:bidi w:val="0"/>
              <w:jc w:val="both"/>
              <w:rPr>
                <w:rFonts w:hint="eastAsia"/>
                <w:lang w:eastAsia="zh-CN"/>
              </w:rPr>
            </w:pPr>
            <w:r>
              <w:t>环境质量</w:t>
            </w:r>
            <w:r>
              <w:rPr>
                <w:rFonts w:hint="eastAsia"/>
                <w:lang w:eastAsia="zh-CN"/>
              </w:rPr>
              <w:t>状况：</w:t>
            </w:r>
          </w:p>
          <w:p>
            <w:pPr>
              <w:keepNext w:val="0"/>
              <w:keepLines w:val="0"/>
              <w:pageBreakBefore w:val="0"/>
              <w:widowControl w:val="0"/>
              <w:kinsoku/>
              <w:wordWrap/>
              <w:topLinePunct w:val="0"/>
              <w:bidi w:val="0"/>
              <w:ind w:firstLine="480" w:firstLineChars="200"/>
              <w:jc w:val="both"/>
            </w:pPr>
            <w:r>
              <w:t>建设项目所在地区域环境质量现状及主要环境问题（环境空气、地表水、地下水、声环境、生态环境等）：</w:t>
            </w:r>
          </w:p>
          <w:p>
            <w:pPr>
              <w:keepNext w:val="0"/>
              <w:keepLines w:val="0"/>
              <w:pageBreakBefore w:val="0"/>
              <w:widowControl w:val="0"/>
              <w:kinsoku/>
              <w:wordWrap/>
              <w:topLinePunct w:val="0"/>
              <w:bidi w:val="0"/>
              <w:jc w:val="both"/>
              <w:rPr>
                <w:rFonts w:hint="eastAsia"/>
                <w:b/>
                <w:bCs w:val="0"/>
                <w:lang w:val="en-US" w:eastAsia="zh-CN"/>
              </w:rPr>
            </w:pPr>
            <w:r>
              <w:rPr>
                <w:rFonts w:hint="eastAsia"/>
                <w:b/>
                <w:bCs w:val="0"/>
                <w:lang w:val="en-US" w:eastAsia="zh-CN"/>
              </w:rPr>
              <w:t>3.1电磁环境质量现状</w:t>
            </w:r>
          </w:p>
          <w:p>
            <w:pPr>
              <w:keepNext w:val="0"/>
              <w:keepLines w:val="0"/>
              <w:pageBreakBefore w:val="0"/>
              <w:widowControl w:val="0"/>
              <w:kinsoku/>
              <w:wordWrap/>
              <w:topLinePunct w:val="0"/>
              <w:bidi w:val="0"/>
              <w:ind w:firstLine="480" w:firstLineChars="200"/>
              <w:jc w:val="both"/>
            </w:pPr>
            <w:r>
              <w:t>为了调查本次</w:t>
            </w:r>
            <w:r>
              <w:rPr>
                <w:rFonts w:hint="eastAsia"/>
                <w:lang w:eastAsia="zh-CN"/>
              </w:rPr>
              <w:t>项目</w:t>
            </w:r>
            <w:r>
              <w:t>所处区域的环境质量现状，</w:t>
            </w:r>
            <w:r>
              <w:rPr>
                <w:rFonts w:hint="eastAsia"/>
                <w:lang w:eastAsia="zh-CN"/>
              </w:rPr>
              <w:t>国华（神木）新能源有限公司</w:t>
            </w:r>
            <w:r>
              <w:t>委托</w:t>
            </w:r>
            <w:r>
              <w:rPr>
                <w:rFonts w:hint="eastAsia"/>
              </w:rPr>
              <w:t>陕西阔成检测服务有限公司</w:t>
            </w:r>
            <w:r>
              <w:t>于</w:t>
            </w:r>
            <w:r>
              <w:rPr>
                <w:rFonts w:hint="eastAsia"/>
                <w:lang w:val="en-US" w:eastAsia="zh-CN"/>
              </w:rPr>
              <w:t>2020</w:t>
            </w:r>
            <w:r>
              <w:t>年</w:t>
            </w:r>
            <w:r>
              <w:rPr>
                <w:rFonts w:hint="eastAsia"/>
                <w:lang w:val="en-US" w:eastAsia="zh-CN"/>
              </w:rPr>
              <w:t>9</w:t>
            </w:r>
            <w:r>
              <w:t>月</w:t>
            </w:r>
            <w:r>
              <w:rPr>
                <w:rFonts w:hint="eastAsia"/>
                <w:lang w:val="en-US" w:eastAsia="zh-CN"/>
              </w:rPr>
              <w:t>6</w:t>
            </w:r>
            <w:r>
              <w:t>日，按照相关规范对拟建</w:t>
            </w:r>
            <w:r>
              <w:rPr>
                <w:rFonts w:hint="eastAsia"/>
                <w:lang w:eastAsia="zh-CN"/>
              </w:rPr>
              <w:t>项目</w:t>
            </w:r>
            <w:r>
              <w:t>的电磁环境、声环境质量现状进行了实地监测</w:t>
            </w:r>
            <w:r>
              <w:rPr>
                <w:rFonts w:hint="eastAsia"/>
                <w:lang w:eastAsia="zh-CN"/>
              </w:rPr>
              <w:t>，监测报告</w:t>
            </w:r>
            <w:r>
              <w:rPr>
                <w:rFonts w:hint="eastAsia"/>
                <w:b w:val="0"/>
                <w:bCs/>
                <w:lang w:eastAsia="zh-CN"/>
              </w:rPr>
              <w:t>见附件</w:t>
            </w:r>
            <w:r>
              <w:rPr>
                <w:rFonts w:hint="eastAsia"/>
                <w:b w:val="0"/>
                <w:bCs/>
                <w:lang w:val="en-US" w:eastAsia="zh-CN"/>
              </w:rPr>
              <w:t>6</w:t>
            </w:r>
            <w:r>
              <w:rPr>
                <w:b/>
                <w:bCs w:val="0"/>
              </w:rPr>
              <w:t>。</w:t>
            </w:r>
          </w:p>
          <w:p>
            <w:pPr>
              <w:keepNext w:val="0"/>
              <w:keepLines w:val="0"/>
              <w:pageBreakBefore w:val="0"/>
              <w:widowControl w:val="0"/>
              <w:kinsoku/>
              <w:wordWrap/>
              <w:topLinePunct w:val="0"/>
              <w:bidi w:val="0"/>
              <w:ind w:firstLine="480" w:firstLineChars="200"/>
              <w:jc w:val="both"/>
            </w:pPr>
            <w:r>
              <w:t>按照《环境影响评价技术导则 输变电工程》（</w:t>
            </w:r>
            <w:bookmarkStart w:id="2" w:name="OLE_LINK5"/>
            <w:bookmarkStart w:id="3" w:name="OLE_LINK6"/>
            <w:r>
              <w:t>HJ</w:t>
            </w:r>
            <w:bookmarkEnd w:id="2"/>
            <w:bookmarkEnd w:id="3"/>
            <w:r>
              <w:t>24-2014）、《交流输变电工程电磁环境监测方法（试行）》（HJ681-2013）的有关规定，对</w:t>
            </w:r>
            <w:r>
              <w:rPr>
                <w:rFonts w:hint="eastAsia"/>
                <w:lang w:eastAsia="zh-CN"/>
              </w:rPr>
              <w:t>本项目</w:t>
            </w:r>
            <w:r>
              <w:t>输变电工程电磁环境状况进行了实地监测。</w:t>
            </w:r>
          </w:p>
          <w:p>
            <w:pPr>
              <w:keepNext w:val="0"/>
              <w:keepLines w:val="0"/>
              <w:pageBreakBefore w:val="0"/>
              <w:widowControl w:val="0"/>
              <w:kinsoku/>
              <w:wordWrap/>
              <w:topLinePunct w:val="0"/>
              <w:bidi w:val="0"/>
              <w:jc w:val="both"/>
              <w:rPr>
                <w:rFonts w:hint="default"/>
                <w:b/>
                <w:bCs w:val="0"/>
                <w:lang w:val="en-US" w:eastAsia="zh-CN"/>
              </w:rPr>
            </w:pPr>
            <w:r>
              <w:rPr>
                <w:rFonts w:hint="eastAsia"/>
                <w:b/>
                <w:bCs w:val="0"/>
                <w:lang w:val="en-US" w:eastAsia="zh-CN"/>
              </w:rPr>
              <w:t>3.1.1监测内容</w:t>
            </w:r>
          </w:p>
          <w:p>
            <w:pPr>
              <w:keepNext w:val="0"/>
              <w:keepLines w:val="0"/>
              <w:pageBreakBefore w:val="0"/>
              <w:widowControl w:val="0"/>
              <w:kinsoku/>
              <w:wordWrap/>
              <w:topLinePunct w:val="0"/>
              <w:bidi w:val="0"/>
              <w:ind w:firstLine="480" w:firstLineChars="200"/>
              <w:jc w:val="both"/>
              <w:rPr>
                <w:rFonts w:hint="eastAsia"/>
                <w:lang w:eastAsia="zh-CN"/>
              </w:rPr>
            </w:pPr>
            <w:r>
              <w:rPr>
                <w:rFonts w:hint="eastAsia"/>
                <w:lang w:eastAsia="zh-CN"/>
              </w:rPr>
              <w:t>（</w:t>
            </w:r>
            <w:r>
              <w:rPr>
                <w:rFonts w:hint="eastAsia"/>
                <w:lang w:val="en-US" w:eastAsia="zh-CN"/>
              </w:rPr>
              <w:t>1</w:t>
            </w:r>
            <w:r>
              <w:rPr>
                <w:rFonts w:hint="eastAsia"/>
                <w:lang w:eastAsia="zh-CN"/>
              </w:rPr>
              <w:t>）气象条件</w:t>
            </w:r>
          </w:p>
          <w:p>
            <w:pPr>
              <w:keepNext w:val="0"/>
              <w:keepLines w:val="0"/>
              <w:pageBreakBefore w:val="0"/>
              <w:widowControl w:val="0"/>
              <w:kinsoku/>
              <w:wordWrap/>
              <w:topLinePunct w:val="0"/>
              <w:bidi w:val="0"/>
              <w:ind w:firstLine="480" w:firstLineChars="200"/>
              <w:jc w:val="both"/>
            </w:pPr>
            <w:r>
              <w:t>本次现状评价监测期间气象条件见表 3-1。</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eastAsia" w:ascii="Times New Roman" w:hAnsi="Times New Roman" w:cs="Times New Roman"/>
                <w:b/>
                <w:sz w:val="21"/>
                <w:lang w:val="en-US" w:eastAsia="zh-CN"/>
              </w:rPr>
            </w:pPr>
            <w:r>
              <w:rPr>
                <w:rFonts w:hint="eastAsia" w:ascii="Times New Roman" w:hAnsi="Times New Roman" w:cs="Times New Roman"/>
                <w:b/>
                <w:sz w:val="21"/>
                <w:lang w:val="en-US" w:eastAsia="zh-CN"/>
              </w:rPr>
              <w:t>表 3-1</w:t>
            </w:r>
            <w:r>
              <w:rPr>
                <w:rFonts w:hint="eastAsia" w:ascii="Times New Roman" w:hAnsi="Times New Roman" w:cs="Times New Roman"/>
                <w:b/>
                <w:sz w:val="21"/>
                <w:lang w:val="en-US" w:eastAsia="zh-CN"/>
              </w:rPr>
              <w:tab/>
            </w:r>
            <w:r>
              <w:rPr>
                <w:rFonts w:hint="eastAsia" w:ascii="Times New Roman" w:hAnsi="Times New Roman" w:cs="Times New Roman"/>
                <w:b/>
                <w:sz w:val="21"/>
                <w:lang w:val="en-US" w:eastAsia="zh-CN"/>
              </w:rPr>
              <w:t>监测期间气象条件一览表</w:t>
            </w:r>
          </w:p>
          <w:tbl>
            <w:tblPr>
              <w:tblStyle w:val="17"/>
              <w:tblW w:w="4998" w:type="pct"/>
              <w:tblInd w:w="5" w:type="dxa"/>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403"/>
              <w:gridCol w:w="1593"/>
              <w:gridCol w:w="1674"/>
              <w:gridCol w:w="1668"/>
              <w:gridCol w:w="1685"/>
            </w:tblGrid>
            <w:tr>
              <w:tblPrEx>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1" w:type="pct"/>
                  <w:tcBorders>
                    <w:tl2br w:val="nil"/>
                    <w:tr2bl w:val="nil"/>
                  </w:tcBorders>
                </w:tcPr>
                <w:p>
                  <w:pPr>
                    <w:pStyle w:val="27"/>
                    <w:keepNext w:val="0"/>
                    <w:keepLines w:val="0"/>
                    <w:pageBreakBefore w:val="0"/>
                    <w:widowControl w:val="0"/>
                    <w:kinsoku/>
                    <w:wordWrap/>
                    <w:topLinePunct w:val="0"/>
                    <w:bidi w:val="0"/>
                    <w:spacing w:before="1" w:line="240" w:lineRule="auto"/>
                    <w:ind w:left="316" w:right="312"/>
                    <w:rPr>
                      <w:sz w:val="21"/>
                      <w:szCs w:val="21"/>
                    </w:rPr>
                  </w:pPr>
                  <w:r>
                    <w:rPr>
                      <w:sz w:val="21"/>
                      <w:szCs w:val="21"/>
                    </w:rPr>
                    <w:t>监测日期</w:t>
                  </w:r>
                </w:p>
              </w:tc>
              <w:tc>
                <w:tcPr>
                  <w:tcW w:w="882" w:type="pct"/>
                  <w:tcBorders>
                    <w:tl2br w:val="nil"/>
                    <w:tr2bl w:val="nil"/>
                  </w:tcBorders>
                </w:tcPr>
                <w:p>
                  <w:pPr>
                    <w:pStyle w:val="27"/>
                    <w:keepNext w:val="0"/>
                    <w:keepLines w:val="0"/>
                    <w:pageBreakBefore w:val="0"/>
                    <w:widowControl w:val="0"/>
                    <w:kinsoku/>
                    <w:wordWrap/>
                    <w:topLinePunct w:val="0"/>
                    <w:bidi w:val="0"/>
                    <w:spacing w:before="1" w:line="240" w:lineRule="auto"/>
                    <w:ind w:left="6"/>
                    <w:rPr>
                      <w:sz w:val="21"/>
                      <w:szCs w:val="21"/>
                    </w:rPr>
                  </w:pPr>
                  <w:r>
                    <w:rPr>
                      <w:sz w:val="21"/>
                      <w:szCs w:val="21"/>
                    </w:rPr>
                    <w:t>天气</w:t>
                  </w:r>
                </w:p>
              </w:tc>
              <w:tc>
                <w:tcPr>
                  <w:tcW w:w="927" w:type="pct"/>
                  <w:tcBorders>
                    <w:tl2br w:val="nil"/>
                    <w:tr2bl w:val="nil"/>
                  </w:tcBorders>
                </w:tcPr>
                <w:p>
                  <w:pPr>
                    <w:pStyle w:val="27"/>
                    <w:keepNext w:val="0"/>
                    <w:keepLines w:val="0"/>
                    <w:pageBreakBefore w:val="0"/>
                    <w:widowControl w:val="0"/>
                    <w:kinsoku/>
                    <w:wordWrap/>
                    <w:topLinePunct w:val="0"/>
                    <w:bidi w:val="0"/>
                    <w:spacing w:before="1" w:line="240" w:lineRule="auto"/>
                    <w:ind w:left="8"/>
                    <w:rPr>
                      <w:sz w:val="21"/>
                      <w:szCs w:val="21"/>
                    </w:rPr>
                  </w:pPr>
                  <w:r>
                    <w:rPr>
                      <w:sz w:val="21"/>
                      <w:szCs w:val="21"/>
                    </w:rPr>
                    <w:t>温度（℃）</w:t>
                  </w:r>
                </w:p>
              </w:tc>
              <w:tc>
                <w:tcPr>
                  <w:tcW w:w="924" w:type="pct"/>
                  <w:tcBorders>
                    <w:tl2br w:val="nil"/>
                    <w:tr2bl w:val="nil"/>
                  </w:tcBorders>
                </w:tcPr>
                <w:p>
                  <w:pPr>
                    <w:pStyle w:val="27"/>
                    <w:keepNext w:val="0"/>
                    <w:keepLines w:val="0"/>
                    <w:pageBreakBefore w:val="0"/>
                    <w:widowControl w:val="0"/>
                    <w:kinsoku/>
                    <w:wordWrap/>
                    <w:topLinePunct w:val="0"/>
                    <w:bidi w:val="0"/>
                    <w:spacing w:before="1" w:line="240" w:lineRule="auto"/>
                    <w:ind w:left="5"/>
                    <w:rPr>
                      <w:sz w:val="21"/>
                      <w:szCs w:val="21"/>
                    </w:rPr>
                  </w:pPr>
                  <w:r>
                    <w:rPr>
                      <w:sz w:val="21"/>
                      <w:szCs w:val="21"/>
                    </w:rPr>
                    <w:t>湿度（%）</w:t>
                  </w:r>
                </w:p>
              </w:tc>
              <w:tc>
                <w:tcPr>
                  <w:tcW w:w="933" w:type="pct"/>
                  <w:tcBorders>
                    <w:tl2br w:val="nil"/>
                    <w:tr2bl w:val="nil"/>
                  </w:tcBorders>
                </w:tcPr>
                <w:p>
                  <w:pPr>
                    <w:pStyle w:val="27"/>
                    <w:keepNext w:val="0"/>
                    <w:keepLines w:val="0"/>
                    <w:pageBreakBefore w:val="0"/>
                    <w:widowControl w:val="0"/>
                    <w:kinsoku/>
                    <w:wordWrap/>
                    <w:topLinePunct w:val="0"/>
                    <w:bidi w:val="0"/>
                    <w:spacing w:before="1" w:line="240" w:lineRule="auto"/>
                    <w:ind w:left="448" w:right="444"/>
                    <w:rPr>
                      <w:sz w:val="21"/>
                      <w:szCs w:val="21"/>
                    </w:rPr>
                  </w:pPr>
                  <w:r>
                    <w:rPr>
                      <w:sz w:val="21"/>
                      <w:szCs w:val="21"/>
                    </w:rPr>
                    <w:t>风速</w:t>
                  </w:r>
                </w:p>
              </w:tc>
            </w:tr>
            <w:tr>
              <w:tblPrEx>
                <w:tblBorders>
                  <w:top w:val="single" w:color="000000" w:sz="2" w:space="0"/>
                  <w:left w:val="none" w:color="auto" w:sz="0" w:space="0"/>
                  <w:bottom w:val="single" w:color="000000" w:sz="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31" w:type="pct"/>
                  <w:tcBorders>
                    <w:tl2br w:val="nil"/>
                    <w:tr2bl w:val="nil"/>
                  </w:tcBorders>
                </w:tcPr>
                <w:p>
                  <w:pPr>
                    <w:pStyle w:val="27"/>
                    <w:keepNext w:val="0"/>
                    <w:keepLines w:val="0"/>
                    <w:pageBreakBefore w:val="0"/>
                    <w:widowControl w:val="0"/>
                    <w:kinsoku/>
                    <w:wordWrap/>
                    <w:topLinePunct w:val="0"/>
                    <w:bidi w:val="0"/>
                    <w:spacing w:line="240" w:lineRule="auto"/>
                    <w:ind w:right="312"/>
                    <w:jc w:val="both"/>
                    <w:rPr>
                      <w:sz w:val="21"/>
                      <w:szCs w:val="21"/>
                    </w:rPr>
                  </w:pPr>
                  <w:r>
                    <w:rPr>
                      <w:sz w:val="21"/>
                      <w:szCs w:val="21"/>
                    </w:rPr>
                    <w:t>2020年</w:t>
                  </w:r>
                  <w:r>
                    <w:rPr>
                      <w:rFonts w:hint="eastAsia"/>
                      <w:sz w:val="21"/>
                      <w:szCs w:val="21"/>
                      <w:lang w:val="en-US" w:eastAsia="zh-CN"/>
                    </w:rPr>
                    <w:t>9</w:t>
                  </w:r>
                  <w:r>
                    <w:rPr>
                      <w:sz w:val="21"/>
                      <w:szCs w:val="21"/>
                    </w:rPr>
                    <w:t>月</w:t>
                  </w:r>
                  <w:r>
                    <w:rPr>
                      <w:rFonts w:hint="eastAsia"/>
                      <w:sz w:val="21"/>
                      <w:szCs w:val="21"/>
                      <w:lang w:val="en-US" w:eastAsia="zh-CN"/>
                    </w:rPr>
                    <w:t>6</w:t>
                  </w:r>
                  <w:r>
                    <w:rPr>
                      <w:sz w:val="21"/>
                      <w:szCs w:val="21"/>
                    </w:rPr>
                    <w:t>日</w:t>
                  </w:r>
                </w:p>
              </w:tc>
              <w:tc>
                <w:tcPr>
                  <w:tcW w:w="882" w:type="pct"/>
                  <w:tcBorders>
                    <w:tl2br w:val="nil"/>
                    <w:tr2bl w:val="nil"/>
                  </w:tcBorders>
                </w:tcPr>
                <w:p>
                  <w:pPr>
                    <w:pStyle w:val="27"/>
                    <w:keepNext w:val="0"/>
                    <w:keepLines w:val="0"/>
                    <w:pageBreakBefore w:val="0"/>
                    <w:widowControl w:val="0"/>
                    <w:kinsoku/>
                    <w:wordWrap/>
                    <w:topLinePunct w:val="0"/>
                    <w:bidi w:val="0"/>
                    <w:spacing w:line="240" w:lineRule="auto"/>
                    <w:ind w:left="9"/>
                    <w:rPr>
                      <w:sz w:val="21"/>
                      <w:szCs w:val="21"/>
                    </w:rPr>
                  </w:pPr>
                  <w:r>
                    <w:rPr>
                      <w:sz w:val="21"/>
                      <w:szCs w:val="21"/>
                    </w:rPr>
                    <w:t>晴</w:t>
                  </w:r>
                </w:p>
              </w:tc>
              <w:tc>
                <w:tcPr>
                  <w:tcW w:w="927" w:type="pct"/>
                  <w:tcBorders>
                    <w:tl2br w:val="nil"/>
                    <w:tr2bl w:val="nil"/>
                  </w:tcBorders>
                </w:tcPr>
                <w:p>
                  <w:pPr>
                    <w:pStyle w:val="27"/>
                    <w:keepNext w:val="0"/>
                    <w:keepLines w:val="0"/>
                    <w:pageBreakBefore w:val="0"/>
                    <w:widowControl w:val="0"/>
                    <w:kinsoku/>
                    <w:wordWrap/>
                    <w:topLinePunct w:val="0"/>
                    <w:bidi w:val="0"/>
                    <w:spacing w:before="14" w:line="240" w:lineRule="auto"/>
                    <w:ind w:left="9"/>
                    <w:rPr>
                      <w:rFonts w:hint="default"/>
                      <w:sz w:val="21"/>
                      <w:szCs w:val="21"/>
                      <w:lang w:val="en-US" w:eastAsia="zh-CN"/>
                    </w:rPr>
                  </w:pPr>
                  <w:r>
                    <w:rPr>
                      <w:rFonts w:hint="eastAsia"/>
                      <w:sz w:val="21"/>
                      <w:szCs w:val="21"/>
                      <w:lang w:val="en-US" w:eastAsia="zh-CN"/>
                    </w:rPr>
                    <w:t>16</w:t>
                  </w:r>
                </w:p>
              </w:tc>
              <w:tc>
                <w:tcPr>
                  <w:tcW w:w="924" w:type="pct"/>
                  <w:tcBorders>
                    <w:tl2br w:val="nil"/>
                    <w:tr2bl w:val="nil"/>
                  </w:tcBorders>
                </w:tcPr>
                <w:p>
                  <w:pPr>
                    <w:pStyle w:val="27"/>
                    <w:keepNext w:val="0"/>
                    <w:keepLines w:val="0"/>
                    <w:pageBreakBefore w:val="0"/>
                    <w:widowControl w:val="0"/>
                    <w:kinsoku/>
                    <w:wordWrap/>
                    <w:topLinePunct w:val="0"/>
                    <w:bidi w:val="0"/>
                    <w:spacing w:before="14" w:line="240" w:lineRule="auto"/>
                    <w:ind w:left="9"/>
                    <w:rPr>
                      <w:rFonts w:hint="default"/>
                      <w:sz w:val="21"/>
                      <w:szCs w:val="21"/>
                      <w:lang w:val="en-US" w:eastAsia="zh-CN"/>
                    </w:rPr>
                  </w:pPr>
                  <w:r>
                    <w:rPr>
                      <w:rFonts w:hint="eastAsia"/>
                      <w:sz w:val="21"/>
                      <w:szCs w:val="21"/>
                      <w:lang w:val="en-US" w:eastAsia="zh-CN"/>
                    </w:rPr>
                    <w:t>34</w:t>
                  </w:r>
                </w:p>
              </w:tc>
              <w:tc>
                <w:tcPr>
                  <w:tcW w:w="933" w:type="pct"/>
                  <w:tcBorders>
                    <w:tl2br w:val="nil"/>
                    <w:tr2bl w:val="nil"/>
                  </w:tcBorders>
                </w:tcPr>
                <w:p>
                  <w:pPr>
                    <w:pStyle w:val="27"/>
                    <w:keepNext w:val="0"/>
                    <w:keepLines w:val="0"/>
                    <w:pageBreakBefore w:val="0"/>
                    <w:widowControl w:val="0"/>
                    <w:kinsoku/>
                    <w:wordWrap/>
                    <w:topLinePunct w:val="0"/>
                    <w:bidi w:val="0"/>
                    <w:spacing w:before="14" w:line="240" w:lineRule="auto"/>
                    <w:ind w:left="450" w:right="444"/>
                    <w:rPr>
                      <w:sz w:val="21"/>
                      <w:szCs w:val="21"/>
                    </w:rPr>
                  </w:pPr>
                  <w:r>
                    <w:rPr>
                      <w:rFonts w:hint="eastAsia"/>
                      <w:sz w:val="21"/>
                      <w:szCs w:val="21"/>
                      <w:lang w:val="en-US" w:eastAsia="zh-CN"/>
                    </w:rPr>
                    <w:t>1.3</w:t>
                  </w:r>
                  <w:r>
                    <w:rPr>
                      <w:sz w:val="21"/>
                      <w:szCs w:val="21"/>
                    </w:rPr>
                    <w:t>m/s</w:t>
                  </w:r>
                </w:p>
              </w:tc>
            </w:tr>
          </w:tbl>
          <w:p>
            <w:pPr>
              <w:keepNext w:val="0"/>
              <w:keepLines w:val="0"/>
              <w:pageBreakBefore w:val="0"/>
              <w:widowControl w:val="0"/>
              <w:kinsoku/>
              <w:wordWrap/>
              <w:topLinePunct w:val="0"/>
              <w:bidi w:val="0"/>
              <w:ind w:firstLine="480" w:firstLineChars="200"/>
              <w:jc w:val="both"/>
              <w:rPr>
                <w:rFonts w:hint="eastAsia"/>
                <w:lang w:eastAsia="zh-CN"/>
              </w:rPr>
            </w:pPr>
            <w:r>
              <w:rPr>
                <w:rFonts w:hint="eastAsia"/>
                <w:lang w:eastAsia="zh-CN"/>
              </w:rPr>
              <w:t>（</w:t>
            </w:r>
            <w:r>
              <w:rPr>
                <w:rFonts w:hint="eastAsia"/>
                <w:lang w:val="en-US" w:eastAsia="zh-CN"/>
              </w:rPr>
              <w:t>2</w:t>
            </w:r>
            <w:r>
              <w:rPr>
                <w:rFonts w:hint="eastAsia"/>
                <w:lang w:eastAsia="zh-CN"/>
              </w:rPr>
              <w:t>）监测项目</w:t>
            </w:r>
          </w:p>
          <w:p>
            <w:pPr>
              <w:keepNext w:val="0"/>
              <w:keepLines w:val="0"/>
              <w:pageBreakBefore w:val="0"/>
              <w:widowControl w:val="0"/>
              <w:kinsoku/>
              <w:wordWrap/>
              <w:topLinePunct w:val="0"/>
              <w:bidi w:val="0"/>
              <w:ind w:firstLine="480" w:firstLineChars="200"/>
              <w:jc w:val="both"/>
              <w:rPr>
                <w:rFonts w:hint="eastAsia"/>
                <w:lang w:eastAsia="zh-CN"/>
              </w:rPr>
            </w:pPr>
            <w:r>
              <w:rPr>
                <w:rFonts w:hint="eastAsia"/>
                <w:lang w:eastAsia="zh-CN"/>
              </w:rPr>
              <w:t>工频电场、工频磁场，各监测点位监测 5 次，取平均值。</w:t>
            </w:r>
          </w:p>
          <w:p>
            <w:pPr>
              <w:keepNext w:val="0"/>
              <w:keepLines w:val="0"/>
              <w:pageBreakBefore w:val="0"/>
              <w:widowControl w:val="0"/>
              <w:kinsoku/>
              <w:wordWrap/>
              <w:topLinePunct w:val="0"/>
              <w:bidi w:val="0"/>
              <w:ind w:firstLine="480" w:firstLineChars="200"/>
              <w:jc w:val="both"/>
              <w:rPr>
                <w:rFonts w:hint="eastAsia"/>
                <w:lang w:eastAsia="zh-CN"/>
              </w:rPr>
            </w:pPr>
            <w:r>
              <w:rPr>
                <w:rFonts w:hint="eastAsia"/>
                <w:lang w:eastAsia="zh-CN"/>
              </w:rPr>
              <w:t>（</w:t>
            </w:r>
            <w:r>
              <w:rPr>
                <w:rFonts w:hint="eastAsia"/>
                <w:lang w:val="en-US" w:eastAsia="zh-CN"/>
              </w:rPr>
              <w:t>3</w:t>
            </w:r>
            <w:r>
              <w:rPr>
                <w:rFonts w:hint="eastAsia"/>
                <w:lang w:eastAsia="zh-CN"/>
              </w:rPr>
              <w:t>）监测方法</w:t>
            </w:r>
          </w:p>
          <w:p>
            <w:pPr>
              <w:keepNext w:val="0"/>
              <w:keepLines w:val="0"/>
              <w:pageBreakBefore w:val="0"/>
              <w:widowControl w:val="0"/>
              <w:kinsoku/>
              <w:wordWrap/>
              <w:topLinePunct w:val="0"/>
              <w:bidi w:val="0"/>
              <w:ind w:firstLine="480" w:firstLineChars="200"/>
              <w:jc w:val="both"/>
              <w:rPr>
                <w:rFonts w:hint="eastAsia"/>
                <w:lang w:eastAsia="zh-CN"/>
              </w:rPr>
            </w:pPr>
            <w:r>
              <w:rPr>
                <w:rFonts w:hint="eastAsia"/>
                <w:lang w:eastAsia="zh-CN"/>
              </w:rPr>
              <w:t>《交流输变电工程电磁环境监测方法（试行）》（HJ</w:t>
            </w:r>
            <w:r>
              <w:rPr>
                <w:rFonts w:hint="eastAsia"/>
                <w:lang w:val="en-US" w:eastAsia="zh-CN"/>
              </w:rPr>
              <w:t xml:space="preserve"> </w:t>
            </w:r>
            <w:r>
              <w:rPr>
                <w:rFonts w:hint="eastAsia"/>
                <w:lang w:eastAsia="zh-CN"/>
              </w:rPr>
              <w:t>681-2013）。</w:t>
            </w:r>
          </w:p>
          <w:p>
            <w:pPr>
              <w:keepNext w:val="0"/>
              <w:keepLines w:val="0"/>
              <w:pageBreakBefore w:val="0"/>
              <w:widowControl w:val="0"/>
              <w:kinsoku/>
              <w:wordWrap/>
              <w:topLinePunct w:val="0"/>
              <w:bidi w:val="0"/>
              <w:jc w:val="both"/>
              <w:rPr>
                <w:rFonts w:hint="eastAsia"/>
                <w:b/>
                <w:bCs w:val="0"/>
                <w:lang w:val="en-US" w:eastAsia="zh-CN"/>
              </w:rPr>
            </w:pPr>
            <w:r>
              <w:rPr>
                <w:rFonts w:hint="eastAsia"/>
                <w:b/>
                <w:bCs w:val="0"/>
                <w:lang w:val="en-US" w:eastAsia="zh-CN"/>
              </w:rPr>
              <w:t>3.1.2监测仪器</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eastAsia"/>
                <w:lang w:val="en-US" w:eastAsia="zh-CN"/>
              </w:rPr>
            </w:pPr>
            <w:r>
              <w:rPr>
                <w:rFonts w:hint="eastAsia" w:ascii="Times New Roman" w:hAnsi="Times New Roman" w:cs="Times New Roman"/>
                <w:b/>
                <w:sz w:val="21"/>
                <w:lang w:val="en-US" w:eastAsia="zh-CN"/>
              </w:rPr>
              <w:t>表 3-2</w:t>
            </w:r>
            <w:r>
              <w:rPr>
                <w:rFonts w:hint="eastAsia" w:ascii="Times New Roman" w:hAnsi="Times New Roman" w:cs="Times New Roman"/>
                <w:b/>
                <w:sz w:val="21"/>
                <w:lang w:val="en-US" w:eastAsia="zh-CN"/>
              </w:rPr>
              <w:tab/>
            </w:r>
            <w:r>
              <w:rPr>
                <w:rFonts w:hint="eastAsia" w:ascii="Times New Roman" w:hAnsi="Times New Roman" w:cs="Times New Roman"/>
                <w:b/>
                <w:sz w:val="21"/>
                <w:lang w:val="en-US" w:eastAsia="zh-CN"/>
              </w:rPr>
              <w:t>电磁环境测量仪器一览表</w:t>
            </w:r>
          </w:p>
          <w:tbl>
            <w:tblPr>
              <w:tblStyle w:val="17"/>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85"/>
              <w:gridCol w:w="3269"/>
              <w:gridCol w:w="1478"/>
              <w:gridCol w:w="299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2"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仪器名称</w:t>
                  </w:r>
                </w:p>
              </w:tc>
              <w:tc>
                <w:tcPr>
                  <w:tcW w:w="4287" w:type="pct"/>
                  <w:gridSpan w:val="3"/>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电磁辐射分析仪</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2"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型号规格</w:t>
                  </w:r>
                </w:p>
              </w:tc>
              <w:tc>
                <w:tcPr>
                  <w:tcW w:w="1811"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BHYT2010A</w:t>
                  </w:r>
                </w:p>
              </w:tc>
              <w:tc>
                <w:tcPr>
                  <w:tcW w:w="819"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仪器编号</w:t>
                  </w:r>
                </w:p>
              </w:tc>
              <w:tc>
                <w:tcPr>
                  <w:tcW w:w="165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手持式场强仪（编号：KCYQ-G-095）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2"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检出限</w:t>
                  </w:r>
                </w:p>
              </w:tc>
              <w:tc>
                <w:tcPr>
                  <w:tcW w:w="4287" w:type="pct"/>
                  <w:gridSpan w:val="3"/>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工频电场强度</w:t>
                  </w:r>
                  <w:r>
                    <w:rPr>
                      <w:rFonts w:hint="eastAsia"/>
                      <w:sz w:val="21"/>
                      <w:szCs w:val="21"/>
                      <w:lang w:val="en-US" w:eastAsia="zh-CN"/>
                    </w:rPr>
                    <w:t>:</w:t>
                  </w:r>
                  <w:r>
                    <w:rPr>
                      <w:rFonts w:hint="default"/>
                      <w:sz w:val="21"/>
                      <w:szCs w:val="21"/>
                      <w:lang w:val="en-US" w:eastAsia="zh-CN"/>
                    </w:rPr>
                    <w:t>（0.01V/m~100kV/m）</w:t>
                  </w:r>
                </w:p>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工频磁感应强度</w:t>
                  </w:r>
                  <w:r>
                    <w:rPr>
                      <w:rFonts w:hint="eastAsia"/>
                      <w:sz w:val="21"/>
                      <w:szCs w:val="21"/>
                      <w:lang w:val="en-US" w:eastAsia="zh-CN"/>
                    </w:rPr>
                    <w:t>:</w:t>
                  </w:r>
                  <w:r>
                    <w:rPr>
                      <w:rFonts w:hint="default"/>
                      <w:sz w:val="21"/>
                      <w:szCs w:val="21"/>
                      <w:lang w:val="en-US" w:eastAsia="zh-CN"/>
                    </w:rPr>
                    <w:t>（1nT~10mT）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2"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校准证书编号</w:t>
                  </w:r>
                </w:p>
              </w:tc>
              <w:tc>
                <w:tcPr>
                  <w:tcW w:w="1811"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2019F33-10-2261872003</w:t>
                  </w:r>
                </w:p>
              </w:tc>
              <w:tc>
                <w:tcPr>
                  <w:tcW w:w="819"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有效日期</w:t>
                  </w:r>
                </w:p>
              </w:tc>
              <w:tc>
                <w:tcPr>
                  <w:tcW w:w="1657" w:type="pct"/>
                  <w:tcBorders>
                    <w:tl2br w:val="nil"/>
                    <w:tr2bl w:val="nil"/>
                  </w:tcBorders>
                </w:tcPr>
                <w:p>
                  <w:pPr>
                    <w:keepNext w:val="0"/>
                    <w:keepLines w:val="0"/>
                    <w:pageBreakBefore w:val="0"/>
                    <w:widowControl w:val="0"/>
                    <w:kinsoku/>
                    <w:wordWrap/>
                    <w:topLinePunct w:val="0"/>
                    <w:autoSpaceDE w:val="0"/>
                    <w:autoSpaceDN w:val="0"/>
                    <w:bidi w:val="0"/>
                    <w:adjustRightInd w:val="0"/>
                    <w:snapToGrid w:val="0"/>
                    <w:spacing w:line="240" w:lineRule="auto"/>
                    <w:jc w:val="center"/>
                    <w:rPr>
                      <w:rFonts w:hint="default"/>
                      <w:sz w:val="21"/>
                      <w:szCs w:val="21"/>
                      <w:lang w:val="en-US" w:eastAsia="zh-CN"/>
                    </w:rPr>
                  </w:pPr>
                  <w:r>
                    <w:rPr>
                      <w:rFonts w:hint="default"/>
                      <w:sz w:val="21"/>
                      <w:szCs w:val="21"/>
                      <w:lang w:val="en-US" w:eastAsia="zh-CN"/>
                    </w:rPr>
                    <w:t>2019.12.26~2020.12.25</w:t>
                  </w:r>
                </w:p>
              </w:tc>
            </w:tr>
          </w:tbl>
          <w:p>
            <w:pPr>
              <w:keepNext w:val="0"/>
              <w:keepLines w:val="0"/>
              <w:pageBreakBefore w:val="0"/>
              <w:widowControl w:val="0"/>
              <w:kinsoku/>
              <w:wordWrap/>
              <w:topLinePunct w:val="0"/>
              <w:bidi w:val="0"/>
              <w:jc w:val="both"/>
              <w:rPr>
                <w:rFonts w:hint="eastAsia"/>
                <w:b/>
                <w:bCs w:val="0"/>
                <w:lang w:val="en-US" w:eastAsia="zh-CN"/>
              </w:rPr>
            </w:pPr>
            <w:r>
              <w:rPr>
                <w:rFonts w:hint="eastAsia"/>
                <w:b/>
                <w:bCs w:val="0"/>
                <w:lang w:val="en-US" w:eastAsia="zh-CN"/>
              </w:rPr>
              <w:t>3.1.3监测布点</w:t>
            </w:r>
          </w:p>
          <w:p>
            <w:pPr>
              <w:keepNext w:val="0"/>
              <w:keepLines w:val="0"/>
              <w:pageBreakBefore w:val="0"/>
              <w:widowControl w:val="0"/>
              <w:kinsoku/>
              <w:wordWrap/>
              <w:topLinePunct w:val="0"/>
              <w:bidi w:val="0"/>
              <w:ind w:firstLine="480" w:firstLineChars="200"/>
              <w:jc w:val="both"/>
              <w:rPr>
                <w:rFonts w:hint="eastAsia"/>
                <w:lang w:eastAsia="zh-CN"/>
              </w:rPr>
            </w:pPr>
            <w:r>
              <w:rPr>
                <w:rFonts w:hint="eastAsia"/>
                <w:lang w:eastAsia="zh-CN"/>
              </w:rPr>
              <w:t>依据《环境影响评价技术导则 输变电工程》中的监测点位及布点方法，输电线路敏感目标的布点方法以定位监测为主，在有代表性的电磁环境保护目标处布设</w:t>
            </w:r>
            <w:r>
              <w:rPr>
                <w:rFonts w:hint="eastAsia"/>
                <w:lang w:val="en-US" w:eastAsia="zh-CN"/>
              </w:rPr>
              <w:t>3</w:t>
            </w:r>
            <w:r>
              <w:rPr>
                <w:rFonts w:hint="eastAsia"/>
                <w:lang w:eastAsia="zh-CN"/>
              </w:rPr>
              <w:t>个监测点，监测点位布设一览表见表</w:t>
            </w:r>
            <w:r>
              <w:rPr>
                <w:rFonts w:hint="eastAsia"/>
                <w:lang w:val="en-US" w:eastAsia="zh-CN"/>
              </w:rPr>
              <w:t>3-3</w:t>
            </w:r>
            <w:r>
              <w:rPr>
                <w:rFonts w:hint="eastAsia"/>
                <w:lang w:eastAsia="zh-CN"/>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eastAsia" w:ascii="Times New Roman" w:hAnsi="Times New Roman" w:cs="Times New Roman"/>
                <w:b/>
                <w:sz w:val="21"/>
                <w:lang w:val="en-US" w:eastAsia="zh-CN"/>
              </w:rPr>
            </w:pPr>
            <w:r>
              <w:rPr>
                <w:rFonts w:hint="eastAsia" w:ascii="Times New Roman" w:hAnsi="Times New Roman" w:cs="Times New Roman"/>
                <w:b/>
                <w:sz w:val="21"/>
                <w:lang w:val="en-US" w:eastAsia="zh-CN"/>
              </w:rPr>
              <w:t>表3-3 监测点布设一览表</w:t>
            </w:r>
          </w:p>
          <w:tbl>
            <w:tblPr>
              <w:tblStyle w:val="18"/>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417"/>
              <w:gridCol w:w="2559"/>
              <w:gridCol w:w="1249"/>
              <w:gridCol w:w="1355"/>
              <w:gridCol w:w="18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序号</w:t>
                  </w:r>
                </w:p>
              </w:tc>
              <w:tc>
                <w:tcPr>
                  <w:tcW w:w="78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监测点位</w:t>
                  </w:r>
                </w:p>
              </w:tc>
              <w:tc>
                <w:tcPr>
                  <w:tcW w:w="141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坐标</w:t>
                  </w:r>
                </w:p>
              </w:tc>
              <w:tc>
                <w:tcPr>
                  <w:tcW w:w="692"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监测因子</w:t>
                  </w:r>
                </w:p>
              </w:tc>
              <w:tc>
                <w:tcPr>
                  <w:tcW w:w="751"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监测频次</w:t>
                  </w:r>
                </w:p>
              </w:tc>
              <w:tc>
                <w:tcPr>
                  <w:tcW w:w="1019"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1</w:t>
                  </w:r>
                </w:p>
              </w:tc>
              <w:tc>
                <w:tcPr>
                  <w:tcW w:w="78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J7塔基</w:t>
                  </w:r>
                </w:p>
              </w:tc>
              <w:tc>
                <w:tcPr>
                  <w:tcW w:w="141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东经：110°25′19.52″</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 xml:space="preserve">北纬：38°40′59.80″ </w:t>
                  </w:r>
                </w:p>
              </w:tc>
              <w:tc>
                <w:tcPr>
                  <w:tcW w:w="692"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工频电场、</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工频磁场</w:t>
                  </w:r>
                </w:p>
              </w:tc>
              <w:tc>
                <w:tcPr>
                  <w:tcW w:w="751"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 5 次，取平均值</w:t>
                  </w:r>
                </w:p>
              </w:tc>
              <w:tc>
                <w:tcPr>
                  <w:tcW w:w="1019"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《电磁环境控制限值》（GB8702-2014）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2</w:t>
                  </w:r>
                </w:p>
              </w:tc>
              <w:tc>
                <w:tcPr>
                  <w:tcW w:w="78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J17-ZC18塔中心线下</w:t>
                  </w:r>
                </w:p>
              </w:tc>
              <w:tc>
                <w:tcPr>
                  <w:tcW w:w="141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东经：110°22′12.34″</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北纬：38°41′24.09″</w:t>
                  </w:r>
                </w:p>
              </w:tc>
              <w:tc>
                <w:tcPr>
                  <w:tcW w:w="692"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751"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019"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3</w:t>
                  </w:r>
                </w:p>
              </w:tc>
              <w:tc>
                <w:tcPr>
                  <w:tcW w:w="785"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JE53塔基</w:t>
                  </w:r>
                </w:p>
              </w:tc>
              <w:tc>
                <w:tcPr>
                  <w:tcW w:w="141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东经：110°15′30.30″</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北纬38°43′11.46″</w:t>
                  </w:r>
                </w:p>
              </w:tc>
              <w:tc>
                <w:tcPr>
                  <w:tcW w:w="692"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751"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019"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限值</w:t>
                  </w:r>
                </w:p>
              </w:tc>
              <w:tc>
                <w:tcPr>
                  <w:tcW w:w="4666" w:type="pct"/>
                  <w:gridSpan w:val="5"/>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50Hz 频率下，环境中工频电场强度的公众曝露控制限值为4000V/m，工频磁感应强度的公众曝露控制限值为100μT；架空输电线路下的耕地、线园地、牧草地、畜禽饲养地、养殖水面、道路等场所，工频电场强度控制限值为10kV/m。</w:t>
                  </w:r>
                </w:p>
              </w:tc>
            </w:tr>
          </w:tbl>
          <w:p>
            <w:pPr>
              <w:keepNext w:val="0"/>
              <w:keepLines w:val="0"/>
              <w:pageBreakBefore w:val="0"/>
              <w:widowControl w:val="0"/>
              <w:kinsoku/>
              <w:wordWrap/>
              <w:topLinePunct w:val="0"/>
              <w:bidi w:val="0"/>
              <w:jc w:val="both"/>
              <w:rPr>
                <w:rFonts w:hint="eastAsia"/>
                <w:b/>
                <w:bCs w:val="0"/>
                <w:lang w:val="en-US" w:eastAsia="zh-CN"/>
              </w:rPr>
            </w:pPr>
            <w:r>
              <w:rPr>
                <w:rFonts w:hint="eastAsia"/>
                <w:b/>
                <w:bCs w:val="0"/>
                <w:lang w:val="en-US" w:eastAsia="zh-CN"/>
              </w:rPr>
              <w:t>3.1.4监测结果</w:t>
            </w:r>
          </w:p>
          <w:p>
            <w:pPr>
              <w:keepNext w:val="0"/>
              <w:keepLines w:val="0"/>
              <w:pageBreakBefore w:val="0"/>
              <w:widowControl w:val="0"/>
              <w:kinsoku/>
              <w:wordWrap/>
              <w:topLinePunct w:val="0"/>
              <w:bidi w:val="0"/>
              <w:ind w:firstLine="480" w:firstLineChars="200"/>
              <w:jc w:val="both"/>
              <w:rPr>
                <w:rFonts w:hint="eastAsia"/>
                <w:lang w:val="en-US" w:eastAsia="zh-CN"/>
              </w:rPr>
            </w:pPr>
            <w:r>
              <w:rPr>
                <w:rFonts w:hint="eastAsia"/>
                <w:lang w:eastAsia="zh-CN"/>
              </w:rPr>
              <w:t>本项目</w:t>
            </w:r>
            <w:r>
              <w:t>工频电场强度、工频磁感应强度监测结果</w:t>
            </w:r>
            <w:r>
              <w:rPr>
                <w:rFonts w:hint="eastAsia"/>
                <w:lang w:eastAsia="zh-CN"/>
              </w:rPr>
              <w:t>见表</w:t>
            </w:r>
            <w:r>
              <w:rPr>
                <w:rFonts w:hint="eastAsia"/>
                <w:lang w:val="en-US" w:eastAsia="zh-CN"/>
              </w:rPr>
              <w:t>3-4，</w:t>
            </w:r>
            <w:r>
              <w:t>具体监测点位见附图</w:t>
            </w:r>
            <w:r>
              <w:rPr>
                <w:rFonts w:hint="eastAsia"/>
                <w:lang w:val="en-US" w:eastAsia="zh-CN"/>
              </w:rPr>
              <w:t>4</w:t>
            </w:r>
            <w:r>
              <w:rPr>
                <w:rFonts w:hint="eastAsia"/>
                <w:lang w:eastAsia="zh-CN"/>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eastAsia" w:ascii="Times New Roman" w:hAnsi="Times New Roman" w:cs="Times New Roman"/>
                <w:b/>
                <w:sz w:val="21"/>
                <w:lang w:val="en-US" w:eastAsia="zh-CN"/>
              </w:rPr>
            </w:pPr>
            <w:r>
              <w:rPr>
                <w:rFonts w:hint="eastAsia" w:ascii="Times New Roman" w:hAnsi="Times New Roman" w:cs="Times New Roman"/>
                <w:b/>
                <w:sz w:val="21"/>
                <w:lang w:val="en-US" w:eastAsia="zh-CN"/>
              </w:rPr>
              <w:t>表3-4   工频电场强度、工频磁感应强度监测结果</w:t>
            </w:r>
          </w:p>
          <w:tbl>
            <w:tblPr>
              <w:tblStyle w:val="17"/>
              <w:tblW w:w="4997"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35"/>
              <w:gridCol w:w="2628"/>
              <w:gridCol w:w="2704"/>
              <w:gridCol w:w="245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监测日期</w:t>
                  </w:r>
                </w:p>
              </w:tc>
              <w:tc>
                <w:tcPr>
                  <w:tcW w:w="1456"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监测点位</w:t>
                  </w:r>
                </w:p>
              </w:tc>
              <w:tc>
                <w:tcPr>
                  <w:tcW w:w="2858" w:type="pct"/>
                  <w:gridSpan w:val="2"/>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监测结果</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456"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49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工频电场强度（V/m）</w:t>
                  </w:r>
                </w:p>
              </w:tc>
              <w:tc>
                <w:tcPr>
                  <w:tcW w:w="136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工频磁感应强度（μT）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09 月 06 日</w:t>
                  </w:r>
                </w:p>
              </w:tc>
              <w:tc>
                <w:tcPr>
                  <w:tcW w:w="1456"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left"/>
                    <w:textAlignment w:val="auto"/>
                    <w:rPr>
                      <w:rFonts w:hint="eastAsia"/>
                      <w:sz w:val="21"/>
                      <w:szCs w:val="21"/>
                      <w:lang w:val="en-US" w:eastAsia="zh-CN"/>
                    </w:rPr>
                  </w:pPr>
                  <w:r>
                    <w:rPr>
                      <w:rFonts w:hint="eastAsia"/>
                      <w:sz w:val="21"/>
                      <w:szCs w:val="21"/>
                      <w:lang w:val="en-US" w:eastAsia="zh-CN"/>
                    </w:rPr>
                    <w:t>1◆J7塔基</w:t>
                  </w:r>
                </w:p>
              </w:tc>
              <w:tc>
                <w:tcPr>
                  <w:tcW w:w="149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19.56</w:t>
                  </w:r>
                </w:p>
              </w:tc>
              <w:tc>
                <w:tcPr>
                  <w:tcW w:w="136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0.070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456"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left"/>
                    <w:textAlignment w:val="auto"/>
                    <w:rPr>
                      <w:rFonts w:hint="eastAsia"/>
                      <w:sz w:val="21"/>
                      <w:szCs w:val="21"/>
                      <w:lang w:val="en-US" w:eastAsia="zh-CN"/>
                    </w:rPr>
                  </w:pPr>
                  <w:r>
                    <w:rPr>
                      <w:rFonts w:hint="eastAsia"/>
                      <w:sz w:val="21"/>
                      <w:szCs w:val="21"/>
                      <w:lang w:val="en-US" w:eastAsia="zh-CN"/>
                    </w:rPr>
                    <w:t>2◆J17-ZC18 塔中心线下</w:t>
                  </w:r>
                </w:p>
              </w:tc>
              <w:tc>
                <w:tcPr>
                  <w:tcW w:w="149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18.75</w:t>
                  </w:r>
                </w:p>
              </w:tc>
              <w:tc>
                <w:tcPr>
                  <w:tcW w:w="136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0.066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456"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left"/>
                    <w:textAlignment w:val="auto"/>
                    <w:rPr>
                      <w:rFonts w:hint="eastAsia"/>
                      <w:sz w:val="21"/>
                      <w:szCs w:val="21"/>
                      <w:lang w:val="en-US" w:eastAsia="zh-CN"/>
                    </w:rPr>
                  </w:pPr>
                  <w:r>
                    <w:rPr>
                      <w:rFonts w:hint="eastAsia"/>
                      <w:sz w:val="21"/>
                      <w:szCs w:val="21"/>
                      <w:lang w:val="en-US" w:eastAsia="zh-CN"/>
                    </w:rPr>
                    <w:t>3◆JE53 塔基</w:t>
                  </w:r>
                </w:p>
              </w:tc>
              <w:tc>
                <w:tcPr>
                  <w:tcW w:w="149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17.90</w:t>
                  </w:r>
                </w:p>
              </w:tc>
              <w:tc>
                <w:tcPr>
                  <w:tcW w:w="136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0.061</w:t>
                  </w:r>
                </w:p>
              </w:tc>
            </w:tr>
          </w:tbl>
          <w:p>
            <w:pPr>
              <w:keepNext w:val="0"/>
              <w:keepLines w:val="0"/>
              <w:pageBreakBefore w:val="0"/>
              <w:widowControl w:val="0"/>
              <w:kinsoku/>
              <w:wordWrap/>
              <w:topLinePunct w:val="0"/>
              <w:bidi w:val="0"/>
              <w:spacing w:before="120" w:beforeLines="50"/>
              <w:ind w:firstLine="480" w:firstLineChars="200"/>
              <w:jc w:val="both"/>
            </w:pPr>
            <w:r>
              <w:t>监测结果表明：线路沿线各监测点的工频电场强度为</w:t>
            </w:r>
            <w:r>
              <w:rPr>
                <w:rFonts w:hint="eastAsia"/>
                <w:lang w:val="en-US" w:eastAsia="zh-CN"/>
              </w:rPr>
              <w:t>17.90</w:t>
            </w:r>
            <w:r>
              <w:t>～</w:t>
            </w:r>
            <w:r>
              <w:rPr>
                <w:rFonts w:hint="eastAsia"/>
                <w:lang w:val="en-US" w:eastAsia="zh-CN"/>
              </w:rPr>
              <w:t>19.56</w:t>
            </w:r>
            <w:r>
              <w:t>V/m，工频磁感应强度为0.0</w:t>
            </w:r>
            <w:r>
              <w:rPr>
                <w:rFonts w:hint="eastAsia"/>
                <w:lang w:val="en-US" w:eastAsia="zh-CN"/>
              </w:rPr>
              <w:t>61</w:t>
            </w:r>
            <w:r>
              <w:t>～0.0</w:t>
            </w:r>
            <w:r>
              <w:rPr>
                <w:rFonts w:hint="eastAsia"/>
                <w:lang w:val="en-US" w:eastAsia="zh-CN"/>
              </w:rPr>
              <w:t>70</w:t>
            </w:r>
            <w:r>
              <w:t>μT。各监测点监测值均满足《电磁环境控制限值》（GB8702-2014）中规定的标准限值要求。区域的电磁环境状况良好。</w:t>
            </w:r>
          </w:p>
          <w:p>
            <w:pPr>
              <w:keepNext w:val="0"/>
              <w:keepLines w:val="0"/>
              <w:pageBreakBefore w:val="0"/>
              <w:widowControl w:val="0"/>
              <w:kinsoku/>
              <w:wordWrap/>
              <w:topLinePunct w:val="0"/>
              <w:bidi w:val="0"/>
              <w:jc w:val="both"/>
              <w:rPr>
                <w:rFonts w:hint="default"/>
                <w:b/>
                <w:bCs w:val="0"/>
                <w:lang w:val="en-US" w:eastAsia="zh-CN"/>
              </w:rPr>
            </w:pPr>
            <w:r>
              <w:rPr>
                <w:rFonts w:hint="eastAsia"/>
                <w:b/>
                <w:bCs w:val="0"/>
                <w:lang w:val="en-US" w:eastAsia="zh-CN"/>
              </w:rPr>
              <w:t>3.2</w:t>
            </w:r>
            <w:r>
              <w:rPr>
                <w:rFonts w:hint="default"/>
                <w:b/>
                <w:bCs w:val="0"/>
                <w:lang w:val="en-US" w:eastAsia="zh-CN"/>
              </w:rPr>
              <w:t>声环境质量现状</w:t>
            </w:r>
          </w:p>
          <w:p>
            <w:pPr>
              <w:keepNext w:val="0"/>
              <w:keepLines w:val="0"/>
              <w:pageBreakBefore w:val="0"/>
              <w:widowControl w:val="0"/>
              <w:kinsoku/>
              <w:wordWrap/>
              <w:topLinePunct w:val="0"/>
              <w:bidi w:val="0"/>
              <w:ind w:firstLine="480" w:firstLineChars="200"/>
              <w:jc w:val="both"/>
            </w:pPr>
            <w:r>
              <w:t>按照《环境影响评价技术导则 声环境》（HJ2.4-2009）和《声环境质量标准》（GB 3096-2008）的要求，对</w:t>
            </w:r>
            <w:r>
              <w:rPr>
                <w:rFonts w:hint="eastAsia"/>
                <w:lang w:eastAsia="zh-CN"/>
              </w:rPr>
              <w:t>项目</w:t>
            </w:r>
            <w:r>
              <w:t>所处区域的声环境质量现状进行了监测。</w:t>
            </w:r>
          </w:p>
          <w:p>
            <w:pPr>
              <w:keepNext w:val="0"/>
              <w:keepLines w:val="0"/>
              <w:pageBreakBefore w:val="0"/>
              <w:widowControl w:val="0"/>
              <w:kinsoku/>
              <w:wordWrap/>
              <w:topLinePunct w:val="0"/>
              <w:bidi w:val="0"/>
              <w:jc w:val="both"/>
              <w:rPr>
                <w:rFonts w:hint="eastAsia"/>
                <w:b/>
                <w:bCs w:val="0"/>
                <w:lang w:val="en-US" w:eastAsia="zh-CN"/>
              </w:rPr>
            </w:pPr>
            <w:r>
              <w:rPr>
                <w:rFonts w:hint="eastAsia"/>
                <w:b/>
                <w:bCs w:val="0"/>
                <w:lang w:val="en-US" w:eastAsia="zh-CN"/>
              </w:rPr>
              <w:t>3.2.1监测点位布设及内容</w:t>
            </w:r>
          </w:p>
          <w:p>
            <w:pPr>
              <w:keepNext w:val="0"/>
              <w:keepLines w:val="0"/>
              <w:pageBreakBefore w:val="0"/>
              <w:widowControl w:val="0"/>
              <w:kinsoku/>
              <w:wordWrap/>
              <w:topLinePunct w:val="0"/>
              <w:bidi w:val="0"/>
              <w:ind w:firstLine="480" w:firstLineChars="200"/>
              <w:jc w:val="both"/>
              <w:rPr>
                <w:rFonts w:hint="eastAsia"/>
                <w:lang w:eastAsia="zh-CN"/>
              </w:rPr>
            </w:pPr>
            <w:r>
              <w:t>本次声环境质量现状监测共设置监测点位3个</w:t>
            </w:r>
            <w:r>
              <w:rPr>
                <w:rFonts w:hint="eastAsia"/>
                <w:lang w:eastAsia="zh-CN"/>
              </w:rPr>
              <w:t>，</w:t>
            </w:r>
            <w:r>
              <w:rPr>
                <w:rFonts w:hint="eastAsia"/>
                <w:lang w:val="en-US" w:eastAsia="zh-CN"/>
              </w:rPr>
              <w:t>监测点位布设图见</w:t>
            </w:r>
            <w:r>
              <w:t>附图</w:t>
            </w:r>
            <w:r>
              <w:rPr>
                <w:rFonts w:hint="eastAsia"/>
                <w:lang w:val="en-US" w:eastAsia="zh-CN"/>
              </w:rPr>
              <w:t>4</w:t>
            </w:r>
            <w:r>
              <w:rPr>
                <w:rFonts w:hint="eastAsia"/>
                <w:lang w:eastAsia="zh-CN"/>
              </w:rPr>
              <w:t>。</w:t>
            </w:r>
          </w:p>
          <w:p>
            <w:pPr>
              <w:keepNext w:val="0"/>
              <w:keepLines w:val="0"/>
              <w:pageBreakBefore w:val="0"/>
              <w:widowControl w:val="0"/>
              <w:kinsoku/>
              <w:wordWrap/>
              <w:topLinePunct w:val="0"/>
              <w:bidi w:val="0"/>
              <w:ind w:firstLine="480" w:firstLineChars="200"/>
              <w:jc w:val="both"/>
              <w:rPr>
                <w:rFonts w:hint="eastAsia"/>
                <w:lang w:eastAsia="zh-CN"/>
              </w:rPr>
            </w:pPr>
            <w:r>
              <w:rPr>
                <w:rFonts w:hint="eastAsia"/>
                <w:lang w:eastAsia="zh-CN"/>
              </w:rPr>
              <w:t>（</w:t>
            </w:r>
            <w:r>
              <w:rPr>
                <w:rFonts w:hint="eastAsia"/>
                <w:lang w:val="en-US" w:eastAsia="zh-CN"/>
              </w:rPr>
              <w:t>1</w:t>
            </w:r>
            <w:r>
              <w:rPr>
                <w:rFonts w:hint="eastAsia"/>
                <w:lang w:eastAsia="zh-CN"/>
              </w:rPr>
              <w:t>）监测项目：</w:t>
            </w:r>
            <w:r>
              <w:t>等效连续A声级</w:t>
            </w:r>
            <w:r>
              <w:rPr>
                <w:rFonts w:hint="eastAsia"/>
                <w:lang w:eastAsia="zh-CN"/>
              </w:rPr>
              <w:t>；</w:t>
            </w:r>
          </w:p>
          <w:p>
            <w:pPr>
              <w:keepNext w:val="0"/>
              <w:keepLines w:val="0"/>
              <w:pageBreakBefore w:val="0"/>
              <w:widowControl w:val="0"/>
              <w:kinsoku/>
              <w:wordWrap/>
              <w:topLinePunct w:val="0"/>
              <w:bidi w:val="0"/>
              <w:ind w:firstLine="480" w:firstLineChars="200"/>
              <w:jc w:val="both"/>
              <w:rPr>
                <w:rFonts w:hint="eastAsia"/>
                <w:lang w:eastAsia="zh-CN"/>
              </w:rPr>
            </w:pPr>
            <w:r>
              <w:rPr>
                <w:rFonts w:hint="eastAsia"/>
                <w:lang w:eastAsia="zh-CN"/>
              </w:rPr>
              <w:t>（</w:t>
            </w:r>
            <w:r>
              <w:rPr>
                <w:rFonts w:hint="eastAsia"/>
                <w:lang w:val="en-US" w:eastAsia="zh-CN"/>
              </w:rPr>
              <w:t>2</w:t>
            </w:r>
            <w:r>
              <w:rPr>
                <w:rFonts w:hint="eastAsia"/>
                <w:lang w:eastAsia="zh-CN"/>
              </w:rPr>
              <w:t>）监测频次：</w:t>
            </w:r>
            <w:r>
              <w:t>监测 2天，昼间、夜间各监测 1次</w:t>
            </w:r>
            <w:r>
              <w:rPr>
                <w:rFonts w:hint="eastAsia"/>
                <w:lang w:eastAsia="zh-CN"/>
              </w:rPr>
              <w:t>；</w:t>
            </w:r>
          </w:p>
          <w:p>
            <w:pPr>
              <w:keepNext w:val="0"/>
              <w:keepLines w:val="0"/>
              <w:pageBreakBefore w:val="0"/>
              <w:widowControl w:val="0"/>
              <w:kinsoku/>
              <w:wordWrap/>
              <w:topLinePunct w:val="0"/>
              <w:bidi w:val="0"/>
              <w:ind w:firstLine="480" w:firstLineChars="200"/>
              <w:jc w:val="both"/>
              <w:rPr>
                <w:rFonts w:hint="eastAsia"/>
                <w:lang w:val="en-US" w:eastAsia="zh-CN"/>
              </w:rPr>
            </w:pPr>
            <w:r>
              <w:rPr>
                <w:rFonts w:hint="eastAsia"/>
                <w:lang w:eastAsia="zh-CN"/>
              </w:rPr>
              <w:t>（</w:t>
            </w:r>
            <w:r>
              <w:rPr>
                <w:rFonts w:hint="eastAsia"/>
                <w:lang w:val="en-US" w:eastAsia="zh-CN"/>
              </w:rPr>
              <w:t>3</w:t>
            </w:r>
            <w:r>
              <w:rPr>
                <w:rFonts w:hint="eastAsia"/>
                <w:lang w:eastAsia="zh-CN"/>
              </w:rPr>
              <w:t>）执行标准：</w:t>
            </w:r>
            <w:r>
              <w:t>《声环境质量标准》GB 3096-2008</w:t>
            </w:r>
            <w:r>
              <w:rPr>
                <w:rFonts w:hint="eastAsia"/>
                <w:lang w:eastAsia="zh-CN"/>
              </w:rPr>
              <w:t>中</w:t>
            </w:r>
            <w:r>
              <w:rPr>
                <w:rFonts w:hint="eastAsia"/>
                <w:lang w:val="en-US" w:eastAsia="zh-CN"/>
              </w:rPr>
              <w:t>1类标准；</w:t>
            </w:r>
          </w:p>
          <w:p>
            <w:pPr>
              <w:keepNext w:val="0"/>
              <w:keepLines w:val="0"/>
              <w:pageBreakBefore w:val="0"/>
              <w:widowControl w:val="0"/>
              <w:kinsoku/>
              <w:wordWrap/>
              <w:topLinePunct w:val="0"/>
              <w:bidi w:val="0"/>
              <w:ind w:firstLine="480" w:firstLineChars="200"/>
              <w:jc w:val="both"/>
            </w:pPr>
            <w:r>
              <w:rPr>
                <w:rFonts w:hint="eastAsia"/>
                <w:lang w:eastAsia="zh-CN"/>
              </w:rPr>
              <w:t>检测内容等</w:t>
            </w:r>
            <w:r>
              <w:t>详见</w:t>
            </w:r>
            <w:r>
              <w:rPr>
                <w:rFonts w:hint="eastAsia"/>
                <w:lang w:eastAsia="zh-CN"/>
              </w:rPr>
              <w:t>表</w:t>
            </w:r>
            <w:r>
              <w:rPr>
                <w:rFonts w:hint="eastAsia"/>
                <w:lang w:val="en-US" w:eastAsia="zh-CN"/>
              </w:rPr>
              <w:t>3-5</w:t>
            </w:r>
            <w: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eastAsia" w:ascii="Times New Roman" w:hAnsi="Times New Roman" w:cs="Times New Roman"/>
                <w:b/>
                <w:sz w:val="21"/>
                <w:lang w:val="en-US" w:eastAsia="zh-CN"/>
              </w:rPr>
            </w:pP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eastAsia" w:ascii="Times New Roman" w:hAnsi="Times New Roman" w:cs="Times New Roman"/>
                <w:b/>
                <w:sz w:val="21"/>
                <w:lang w:val="en-US" w:eastAsia="zh-CN"/>
              </w:rPr>
            </w:pP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eastAsia" w:ascii="Times New Roman" w:hAnsi="Times New Roman" w:cs="Times New Roman"/>
                <w:b/>
                <w:sz w:val="21"/>
                <w:lang w:val="en-US" w:eastAsia="zh-CN"/>
              </w:rPr>
            </w:pPr>
            <w:r>
              <w:rPr>
                <w:rFonts w:hint="eastAsia" w:ascii="Times New Roman" w:hAnsi="Times New Roman" w:cs="Times New Roman"/>
                <w:b/>
                <w:sz w:val="21"/>
                <w:lang w:val="en-US" w:eastAsia="zh-CN"/>
              </w:rPr>
              <w:t>表3-5  监测内容一览表</w:t>
            </w:r>
          </w:p>
          <w:tbl>
            <w:tblPr>
              <w:tblStyle w:val="18"/>
              <w:tblpPr w:leftFromText="180" w:rightFromText="180" w:vertAnchor="text" w:horzAnchor="page" w:tblpX="87" w:tblpY="266"/>
              <w:tblOverlap w:val="never"/>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61"/>
              <w:gridCol w:w="2264"/>
              <w:gridCol w:w="1045"/>
              <w:gridCol w:w="1176"/>
              <w:gridCol w:w="911"/>
              <w:gridCol w:w="18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2"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序号</w:t>
                  </w:r>
                </w:p>
              </w:tc>
              <w:tc>
                <w:tcPr>
                  <w:tcW w:w="83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监测点位</w:t>
                  </w:r>
                </w:p>
              </w:tc>
              <w:tc>
                <w:tcPr>
                  <w:tcW w:w="130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坐标</w:t>
                  </w:r>
                </w:p>
              </w:tc>
              <w:tc>
                <w:tcPr>
                  <w:tcW w:w="624"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监测因子</w:t>
                  </w:r>
                </w:p>
              </w:tc>
              <w:tc>
                <w:tcPr>
                  <w:tcW w:w="69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监测频次</w:t>
                  </w:r>
                </w:p>
              </w:tc>
              <w:tc>
                <w:tcPr>
                  <w:tcW w:w="55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限值</w:t>
                  </w:r>
                </w:p>
              </w:tc>
              <w:tc>
                <w:tcPr>
                  <w:tcW w:w="744"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2"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1</w:t>
                  </w:r>
                </w:p>
              </w:tc>
              <w:tc>
                <w:tcPr>
                  <w:tcW w:w="83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J7塔基</w:t>
                  </w:r>
                </w:p>
              </w:tc>
              <w:tc>
                <w:tcPr>
                  <w:tcW w:w="130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default"/>
                      <w:sz w:val="21"/>
                      <w:szCs w:val="21"/>
                      <w:lang w:val="en-US" w:eastAsia="zh-CN"/>
                    </w:rPr>
                    <w:t>东经：110°25′19.52″</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default"/>
                      <w:sz w:val="21"/>
                      <w:szCs w:val="21"/>
                      <w:lang w:val="en-US" w:eastAsia="zh-CN"/>
                    </w:rPr>
                    <w:t xml:space="preserve">北纬：38°40′59.80″ </w:t>
                  </w:r>
                </w:p>
              </w:tc>
              <w:tc>
                <w:tcPr>
                  <w:tcW w:w="624"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昼、夜等效A声级。</w:t>
                  </w:r>
                </w:p>
              </w:tc>
              <w:tc>
                <w:tcPr>
                  <w:tcW w:w="697"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各监测点位监测2天，昼、夜间各测1次</w:t>
                  </w:r>
                </w:p>
              </w:tc>
              <w:tc>
                <w:tcPr>
                  <w:tcW w:w="550"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昼间：55</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夜间：45</w:t>
                  </w:r>
                </w:p>
              </w:tc>
              <w:tc>
                <w:tcPr>
                  <w:tcW w:w="744"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《声环境质量标准》（GB3096-2008）中1类标准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2"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2</w:t>
                  </w:r>
                </w:p>
              </w:tc>
              <w:tc>
                <w:tcPr>
                  <w:tcW w:w="83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J17-ZC18塔中心线下</w:t>
                  </w:r>
                </w:p>
              </w:tc>
              <w:tc>
                <w:tcPr>
                  <w:tcW w:w="130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default"/>
                      <w:sz w:val="21"/>
                      <w:szCs w:val="21"/>
                      <w:lang w:val="en-US" w:eastAsia="zh-CN"/>
                    </w:rPr>
                    <w:t>东经：110°22′12.34″</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default"/>
                      <w:sz w:val="21"/>
                      <w:szCs w:val="21"/>
                      <w:lang w:val="en-US" w:eastAsia="zh-CN"/>
                    </w:rPr>
                    <w:t>北纬：38°41′24.09″</w:t>
                  </w:r>
                </w:p>
              </w:tc>
              <w:tc>
                <w:tcPr>
                  <w:tcW w:w="624" w:type="pct"/>
                  <w:vMerge w:val="continue"/>
                  <w:tcBorders>
                    <w:tl2br w:val="nil"/>
                    <w:tr2bl w:val="nil"/>
                  </w:tcBorders>
                </w:tcPr>
                <w:p>
                  <w:pPr>
                    <w:spacing w:line="240" w:lineRule="auto"/>
                    <w:jc w:val="both"/>
                    <w:rPr>
                      <w:rFonts w:hint="eastAsia"/>
                      <w:lang w:val="en-US" w:eastAsia="zh-CN"/>
                    </w:rPr>
                  </w:pPr>
                </w:p>
              </w:tc>
              <w:tc>
                <w:tcPr>
                  <w:tcW w:w="697" w:type="pct"/>
                  <w:vMerge w:val="continue"/>
                  <w:tcBorders>
                    <w:tl2br w:val="nil"/>
                    <w:tr2bl w:val="nil"/>
                  </w:tcBorders>
                </w:tcPr>
                <w:p>
                  <w:pPr>
                    <w:spacing w:line="240" w:lineRule="auto"/>
                    <w:jc w:val="both"/>
                    <w:rPr>
                      <w:rFonts w:hint="eastAsia"/>
                      <w:lang w:val="en-US" w:eastAsia="zh-CN"/>
                    </w:rPr>
                  </w:pPr>
                </w:p>
              </w:tc>
              <w:tc>
                <w:tcPr>
                  <w:tcW w:w="550" w:type="pct"/>
                  <w:vMerge w:val="continue"/>
                  <w:tcBorders>
                    <w:tl2br w:val="nil"/>
                    <w:tr2bl w:val="nil"/>
                  </w:tcBorders>
                </w:tcPr>
                <w:p>
                  <w:pPr>
                    <w:spacing w:line="240" w:lineRule="auto"/>
                    <w:jc w:val="both"/>
                    <w:rPr>
                      <w:rFonts w:hint="eastAsia"/>
                      <w:lang w:val="en-US" w:eastAsia="zh-CN"/>
                    </w:rPr>
                  </w:pPr>
                </w:p>
              </w:tc>
              <w:tc>
                <w:tcPr>
                  <w:tcW w:w="744" w:type="pct"/>
                  <w:vMerge w:val="continue"/>
                  <w:tcBorders>
                    <w:tl2br w:val="nil"/>
                    <w:tr2bl w:val="nil"/>
                  </w:tcBorders>
                </w:tcPr>
                <w:p>
                  <w:pPr>
                    <w:spacing w:line="240" w:lineRule="auto"/>
                    <w:jc w:val="both"/>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2"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3</w:t>
                  </w:r>
                </w:p>
              </w:tc>
              <w:tc>
                <w:tcPr>
                  <w:tcW w:w="83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JE53塔基</w:t>
                  </w:r>
                </w:p>
              </w:tc>
              <w:tc>
                <w:tcPr>
                  <w:tcW w:w="130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default"/>
                      <w:sz w:val="21"/>
                      <w:szCs w:val="21"/>
                      <w:lang w:val="en-US" w:eastAsia="zh-CN"/>
                    </w:rPr>
                    <w:t>东经：110°15′30.30″</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both"/>
                    <w:textAlignment w:val="auto"/>
                    <w:rPr>
                      <w:rFonts w:hint="default"/>
                      <w:sz w:val="21"/>
                      <w:szCs w:val="21"/>
                      <w:lang w:val="en-US" w:eastAsia="zh-CN"/>
                    </w:rPr>
                  </w:pPr>
                  <w:r>
                    <w:rPr>
                      <w:rFonts w:hint="default"/>
                      <w:sz w:val="21"/>
                      <w:szCs w:val="21"/>
                      <w:lang w:val="en-US" w:eastAsia="zh-CN"/>
                    </w:rPr>
                    <w:t>北纬38°43′11.46″</w:t>
                  </w:r>
                </w:p>
              </w:tc>
              <w:tc>
                <w:tcPr>
                  <w:tcW w:w="624" w:type="pct"/>
                  <w:vMerge w:val="continue"/>
                  <w:tcBorders>
                    <w:tl2br w:val="nil"/>
                    <w:tr2bl w:val="nil"/>
                  </w:tcBorders>
                </w:tcPr>
                <w:p>
                  <w:pPr>
                    <w:spacing w:line="240" w:lineRule="auto"/>
                    <w:jc w:val="both"/>
                    <w:rPr>
                      <w:rFonts w:hint="eastAsia"/>
                      <w:lang w:val="en-US" w:eastAsia="zh-CN"/>
                    </w:rPr>
                  </w:pPr>
                </w:p>
              </w:tc>
              <w:tc>
                <w:tcPr>
                  <w:tcW w:w="697" w:type="pct"/>
                  <w:vMerge w:val="continue"/>
                  <w:tcBorders>
                    <w:tl2br w:val="nil"/>
                    <w:tr2bl w:val="nil"/>
                  </w:tcBorders>
                </w:tcPr>
                <w:p>
                  <w:pPr>
                    <w:spacing w:line="240" w:lineRule="auto"/>
                    <w:jc w:val="both"/>
                    <w:rPr>
                      <w:rFonts w:hint="eastAsia"/>
                      <w:lang w:val="en-US" w:eastAsia="zh-CN"/>
                    </w:rPr>
                  </w:pPr>
                </w:p>
              </w:tc>
              <w:tc>
                <w:tcPr>
                  <w:tcW w:w="550" w:type="pct"/>
                  <w:vMerge w:val="continue"/>
                  <w:tcBorders>
                    <w:tl2br w:val="nil"/>
                    <w:tr2bl w:val="nil"/>
                  </w:tcBorders>
                </w:tcPr>
                <w:p>
                  <w:pPr>
                    <w:spacing w:line="240" w:lineRule="auto"/>
                    <w:jc w:val="both"/>
                    <w:rPr>
                      <w:rFonts w:hint="eastAsia"/>
                      <w:lang w:val="en-US" w:eastAsia="zh-CN"/>
                    </w:rPr>
                  </w:pPr>
                </w:p>
              </w:tc>
              <w:tc>
                <w:tcPr>
                  <w:tcW w:w="744" w:type="pct"/>
                  <w:vMerge w:val="continue"/>
                  <w:tcBorders>
                    <w:tl2br w:val="nil"/>
                    <w:tr2bl w:val="nil"/>
                  </w:tcBorders>
                </w:tcPr>
                <w:p>
                  <w:pPr>
                    <w:spacing w:line="240" w:lineRule="auto"/>
                    <w:jc w:val="both"/>
                    <w:rPr>
                      <w:rFonts w:hint="eastAsia"/>
                      <w:lang w:val="en-US" w:eastAsia="zh-CN"/>
                    </w:rPr>
                  </w:pPr>
                </w:p>
              </w:tc>
            </w:tr>
          </w:tbl>
          <w:p>
            <w:pPr>
              <w:keepNext w:val="0"/>
              <w:keepLines w:val="0"/>
              <w:pageBreakBefore w:val="0"/>
              <w:widowControl w:val="0"/>
              <w:kinsoku/>
              <w:wordWrap/>
              <w:topLinePunct w:val="0"/>
              <w:bidi w:val="0"/>
              <w:jc w:val="both"/>
              <w:rPr>
                <w:rFonts w:hint="eastAsia"/>
                <w:b/>
                <w:bCs w:val="0"/>
                <w:lang w:val="en-US" w:eastAsia="zh-CN"/>
              </w:rPr>
            </w:pPr>
            <w:r>
              <w:rPr>
                <w:rFonts w:hint="eastAsia"/>
                <w:b/>
                <w:bCs w:val="0"/>
                <w:lang w:val="en-US" w:eastAsia="zh-CN"/>
              </w:rPr>
              <w:t>3.2.2噪声监测仪器校准及参数</w:t>
            </w:r>
          </w:p>
          <w:p>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lang w:val="en-US" w:eastAsia="zh-CN"/>
              </w:rPr>
            </w:pPr>
            <w:r>
              <w:rPr>
                <w:rFonts w:hint="eastAsia"/>
                <w:lang w:val="en-US" w:eastAsia="zh-CN"/>
              </w:rPr>
              <w:t xml:space="preserve">    </w:t>
            </w:r>
            <w:r>
              <w:rPr>
                <w:lang w:val="en-US" w:eastAsia="zh-CN"/>
              </w:rPr>
              <w:t>监测仪器</w:t>
            </w:r>
            <w:r>
              <w:rPr>
                <w:rFonts w:hint="eastAsia"/>
                <w:lang w:val="en-US" w:eastAsia="zh-CN"/>
              </w:rPr>
              <w:t>校准及</w:t>
            </w:r>
            <w:r>
              <w:rPr>
                <w:lang w:val="en-US" w:eastAsia="zh-CN"/>
              </w:rPr>
              <w:t>参数见表</w:t>
            </w:r>
            <w:r>
              <w:rPr>
                <w:rFonts w:hint="eastAsia"/>
                <w:lang w:val="en-US" w:eastAsia="zh-CN"/>
              </w:rPr>
              <w:t>3-6、表3-7。</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eastAsia" w:ascii="Times New Roman" w:hAnsi="Times New Roman" w:cs="Times New Roman"/>
                <w:b/>
                <w:sz w:val="21"/>
                <w:lang w:val="en-US" w:eastAsia="zh-CN"/>
              </w:rPr>
            </w:pPr>
            <w:r>
              <w:rPr>
                <w:rFonts w:hint="eastAsia" w:ascii="Times New Roman" w:hAnsi="Times New Roman" w:cs="Times New Roman"/>
                <w:b/>
                <w:sz w:val="21"/>
                <w:lang w:val="en-US" w:eastAsia="zh-CN"/>
              </w:rPr>
              <w:t xml:space="preserve">表 3-6   </w:t>
            </w:r>
            <w:r>
              <w:rPr>
                <w:rFonts w:hint="eastAsia" w:ascii="Times New Roman" w:hAnsi="Times New Roman" w:cs="Times New Roman"/>
                <w:b/>
                <w:sz w:val="21"/>
                <w:lang w:val="en-US" w:eastAsia="zh-CN"/>
              </w:rPr>
              <w:tab/>
            </w:r>
            <w:r>
              <w:rPr>
                <w:rFonts w:hint="eastAsia" w:ascii="Times New Roman" w:hAnsi="Times New Roman" w:cs="Times New Roman"/>
                <w:b/>
                <w:sz w:val="21"/>
                <w:lang w:val="en-US" w:eastAsia="zh-CN"/>
              </w:rPr>
              <w:t>噪声监测仪器校准</w:t>
            </w:r>
          </w:p>
          <w:tbl>
            <w:tblPr>
              <w:tblStyle w:val="17"/>
              <w:tblW w:w="4997"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36"/>
              <w:gridCol w:w="1908"/>
              <w:gridCol w:w="1787"/>
              <w:gridCol w:w="1368"/>
              <w:gridCol w:w="1305"/>
              <w:gridCol w:w="131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41"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校准日期</w:t>
                  </w:r>
                </w:p>
              </w:tc>
              <w:tc>
                <w:tcPr>
                  <w:tcW w:w="105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校准仪器</w:t>
                  </w:r>
                </w:p>
              </w:tc>
              <w:tc>
                <w:tcPr>
                  <w:tcW w:w="99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监测仪器</w:t>
                  </w:r>
                </w:p>
              </w:tc>
              <w:tc>
                <w:tcPr>
                  <w:tcW w:w="75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声校准器标准值</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dB(A)</w:t>
                  </w:r>
                </w:p>
              </w:tc>
              <w:tc>
                <w:tcPr>
                  <w:tcW w:w="723"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仪器校准值</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（监测前）</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dB(A)</w:t>
                  </w:r>
                </w:p>
              </w:tc>
              <w:tc>
                <w:tcPr>
                  <w:tcW w:w="72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仪器校准值</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（监测后）</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dB(A)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41"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09 月 06 日</w:t>
                  </w:r>
                </w:p>
              </w:tc>
              <w:tc>
                <w:tcPr>
                  <w:tcW w:w="1057"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HS6020 型</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声校准器</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（KCYQ-G-187）</w:t>
                  </w:r>
                </w:p>
              </w:tc>
              <w:tc>
                <w:tcPr>
                  <w:tcW w:w="990"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AWA5688 型</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多功能噪声分析仪</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（KCYQ-G-477）</w:t>
                  </w:r>
                </w:p>
              </w:tc>
              <w:tc>
                <w:tcPr>
                  <w:tcW w:w="75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93.78</w:t>
                  </w:r>
                </w:p>
              </w:tc>
              <w:tc>
                <w:tcPr>
                  <w:tcW w:w="723"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93.8</w:t>
                  </w:r>
                </w:p>
              </w:tc>
              <w:tc>
                <w:tcPr>
                  <w:tcW w:w="72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93.8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41"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09 月 07 日</w:t>
                  </w:r>
                </w:p>
              </w:tc>
              <w:tc>
                <w:tcPr>
                  <w:tcW w:w="1057"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990"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75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93.78</w:t>
                  </w:r>
                </w:p>
              </w:tc>
              <w:tc>
                <w:tcPr>
                  <w:tcW w:w="723"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93.8</w:t>
                  </w:r>
                </w:p>
              </w:tc>
              <w:tc>
                <w:tcPr>
                  <w:tcW w:w="72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93.8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41"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lang w:val="en-US" w:eastAsia="zh-CN"/>
                    </w:rPr>
                  </w:pPr>
                  <w:r>
                    <w:rPr>
                      <w:rFonts w:hint="eastAsia"/>
                      <w:lang w:val="en-US" w:eastAsia="zh-CN"/>
                    </w:rPr>
                    <w:t>备注</w:t>
                  </w:r>
                </w:p>
              </w:tc>
              <w:tc>
                <w:tcPr>
                  <w:tcW w:w="4258" w:type="pct"/>
                  <w:gridSpan w:val="5"/>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lang w:val="en-US" w:eastAsia="zh-CN"/>
                    </w:rPr>
                  </w:pPr>
                  <w:r>
                    <w:rPr>
                      <w:rFonts w:hint="eastAsia"/>
                      <w:lang w:val="en-US" w:eastAsia="zh-CN"/>
                    </w:rPr>
                    <w:t>监测前后校准误差均不超过 0.5 dB(A)，满足监测规范的要求。</w:t>
                  </w:r>
                </w:p>
              </w:tc>
            </w:tr>
          </w:tbl>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eastAsia" w:ascii="Times New Roman" w:hAnsi="Times New Roman" w:cs="Times New Roman"/>
                <w:b/>
                <w:sz w:val="21"/>
                <w:lang w:val="en-US" w:eastAsia="zh-CN"/>
              </w:rPr>
            </w:pPr>
            <w:r>
              <w:rPr>
                <w:rFonts w:hint="eastAsia" w:ascii="Times New Roman" w:hAnsi="Times New Roman" w:cs="Times New Roman"/>
                <w:b/>
                <w:sz w:val="21"/>
                <w:lang w:val="en-US" w:eastAsia="zh-CN"/>
              </w:rPr>
              <w:t>表 3-7</w:t>
            </w:r>
            <w:r>
              <w:rPr>
                <w:rFonts w:hint="eastAsia" w:ascii="Times New Roman" w:hAnsi="Times New Roman" w:cs="Times New Roman"/>
                <w:b/>
                <w:sz w:val="21"/>
                <w:lang w:val="en-US" w:eastAsia="zh-CN"/>
              </w:rPr>
              <w:tab/>
            </w:r>
            <w:r>
              <w:rPr>
                <w:rFonts w:hint="eastAsia" w:ascii="Times New Roman" w:hAnsi="Times New Roman" w:cs="Times New Roman"/>
                <w:b/>
                <w:sz w:val="21"/>
                <w:lang w:val="en-US" w:eastAsia="zh-CN"/>
              </w:rPr>
              <w:t>噪声环境测量仪器一览表</w:t>
            </w:r>
          </w:p>
          <w:tbl>
            <w:tblPr>
              <w:tblStyle w:val="17"/>
              <w:tblW w:w="4998"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85"/>
              <w:gridCol w:w="3269"/>
              <w:gridCol w:w="1478"/>
              <w:gridCol w:w="299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2"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仪器名称</w:t>
                  </w:r>
                </w:p>
              </w:tc>
              <w:tc>
                <w:tcPr>
                  <w:tcW w:w="4287" w:type="pct"/>
                  <w:gridSpan w:val="3"/>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多功能型噪声分析仪</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2"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型号规格</w:t>
                  </w:r>
                </w:p>
              </w:tc>
              <w:tc>
                <w:tcPr>
                  <w:tcW w:w="1811"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AWA5688</w:t>
                  </w:r>
                </w:p>
              </w:tc>
              <w:tc>
                <w:tcPr>
                  <w:tcW w:w="819"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仪器编号</w:t>
                  </w:r>
                </w:p>
              </w:tc>
              <w:tc>
                <w:tcPr>
                  <w:tcW w:w="165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KCYQ-G-477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2"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检出限</w:t>
                  </w:r>
                </w:p>
              </w:tc>
              <w:tc>
                <w:tcPr>
                  <w:tcW w:w="4287" w:type="pct"/>
                  <w:gridSpan w:val="3"/>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28~133（dB(A)）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2"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校准证书编号</w:t>
                  </w:r>
                </w:p>
              </w:tc>
              <w:tc>
                <w:tcPr>
                  <w:tcW w:w="1811"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2S20200919J</w:t>
                  </w:r>
                </w:p>
              </w:tc>
              <w:tc>
                <w:tcPr>
                  <w:tcW w:w="819"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有效日期</w:t>
                  </w:r>
                </w:p>
              </w:tc>
              <w:tc>
                <w:tcPr>
                  <w:tcW w:w="1657"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2020.5.21~2021.5.20</w:t>
                  </w:r>
                </w:p>
              </w:tc>
            </w:tr>
          </w:tbl>
          <w:p>
            <w:pPr>
              <w:keepNext w:val="0"/>
              <w:keepLines w:val="0"/>
              <w:pageBreakBefore w:val="0"/>
              <w:widowControl w:val="0"/>
              <w:kinsoku/>
              <w:wordWrap/>
              <w:topLinePunct w:val="0"/>
              <w:bidi w:val="0"/>
              <w:jc w:val="both"/>
              <w:rPr>
                <w:rFonts w:hint="eastAsia"/>
                <w:b/>
                <w:bCs w:val="0"/>
                <w:lang w:val="en-US" w:eastAsia="zh-CN"/>
              </w:rPr>
            </w:pPr>
            <w:r>
              <w:rPr>
                <w:rFonts w:hint="eastAsia"/>
                <w:b/>
                <w:bCs w:val="0"/>
                <w:lang w:val="en-US" w:eastAsia="zh-CN"/>
              </w:rPr>
              <w:t>3.2.3监测结果</w:t>
            </w:r>
          </w:p>
          <w:p>
            <w:pPr>
              <w:keepNext w:val="0"/>
              <w:keepLines w:val="0"/>
              <w:pageBreakBefore w:val="0"/>
              <w:widowControl w:val="0"/>
              <w:kinsoku/>
              <w:wordWrap/>
              <w:topLinePunct w:val="0"/>
              <w:bidi w:val="0"/>
              <w:ind w:firstLine="480" w:firstLineChars="200"/>
              <w:jc w:val="both"/>
              <w:rPr>
                <w:rFonts w:hint="eastAsia"/>
                <w:lang w:val="en-US" w:eastAsia="zh-CN"/>
              </w:rPr>
            </w:pPr>
            <w:r>
              <w:rPr>
                <w:rFonts w:hint="eastAsia"/>
                <w:lang w:eastAsia="zh-CN"/>
              </w:rPr>
              <w:t>本项目</w:t>
            </w:r>
            <w:r>
              <w:t>工</w:t>
            </w:r>
            <w:r>
              <w:rPr>
                <w:rFonts w:hint="eastAsia"/>
                <w:lang w:eastAsia="zh-CN"/>
              </w:rPr>
              <w:t>噪声环境现状</w:t>
            </w:r>
            <w:r>
              <w:t>监测结果</w:t>
            </w:r>
            <w:r>
              <w:rPr>
                <w:rFonts w:hint="eastAsia"/>
                <w:lang w:eastAsia="zh-CN"/>
              </w:rPr>
              <w:t>见表</w:t>
            </w:r>
            <w:r>
              <w:rPr>
                <w:rFonts w:hint="eastAsia"/>
                <w:lang w:val="en-US" w:eastAsia="zh-CN"/>
              </w:rPr>
              <w:t>3-8</w:t>
            </w:r>
            <w:r>
              <w:rPr>
                <w:rFonts w:hint="eastAsia"/>
                <w:lang w:eastAsia="zh-CN"/>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45"/>
              <w:textAlignment w:val="auto"/>
              <w:rPr>
                <w:rFonts w:hint="eastAsia" w:ascii="Times New Roman" w:hAnsi="Times New Roman" w:cs="Times New Roman"/>
                <w:b/>
                <w:sz w:val="21"/>
                <w:lang w:val="en-US" w:eastAsia="zh-CN"/>
              </w:rPr>
            </w:pPr>
            <w:r>
              <w:rPr>
                <w:rFonts w:hint="eastAsia" w:ascii="Times New Roman" w:hAnsi="Times New Roman" w:cs="Times New Roman"/>
                <w:b/>
                <w:sz w:val="21"/>
                <w:lang w:val="en-US" w:eastAsia="zh-CN"/>
              </w:rPr>
              <w:t>表3-8        噪声监测结果</w:t>
            </w:r>
          </w:p>
          <w:tbl>
            <w:tblPr>
              <w:tblStyle w:val="17"/>
              <w:tblW w:w="4997"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139"/>
              <w:gridCol w:w="1632"/>
              <w:gridCol w:w="1522"/>
              <w:gridCol w:w="1444"/>
              <w:gridCol w:w="128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39" w:type="pct"/>
                  <w:vMerge w:val="restart"/>
                  <w:tcBorders>
                    <w:tl2br w:val="nil"/>
                    <w:tr2bl w:val="nil"/>
                  </w:tcBorders>
                  <w:vAlign w:val="center"/>
                  <mc:AlternateContent>
                    <mc:Choice Requires="wpsCustomData">
                      <wpsCustomData:diagonals>
                        <wpsCustomData:diagonal from="10000" to="30000">
                          <wpsCustomData:border w:val="single" w:color="000000" w:sz="4" w:space="0"/>
                        </wpsCustomData:diagonal>
                      </wpsCustomData:diagonals>
                    </mc:Choice>
                  </mc:AlternateContent>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 xml:space="preserve">           </w:t>
                  </w:r>
                </w:p>
                <w:p>
                  <w:pPr>
                    <w:pStyle w:val="9"/>
                    <w:keepNext w:val="0"/>
                    <w:keepLines w:val="0"/>
                    <w:pageBreakBefore w:val="0"/>
                    <w:widowControl w:val="0"/>
                    <w:tabs>
                      <w:tab w:val="left" w:pos="604"/>
                    </w:tabs>
                    <w:kinsoku/>
                    <w:wordWrap/>
                    <w:overflowPunct/>
                    <w:topLinePunct w:val="0"/>
                    <w:autoSpaceDE/>
                    <w:autoSpaceDN/>
                    <w:bidi w:val="0"/>
                    <w:adjustRightInd/>
                    <w:snapToGrid w:val="0"/>
                    <w:spacing w:line="320" w:lineRule="exact"/>
                    <w:jc w:val="center"/>
                    <w:textAlignment w:val="auto"/>
                    <mc:AlternateContent>
                      <mc:Choice Requires="wpsCustomData">
                        <wpsCustomData:diagonalParaType/>
                      </mc:Choice>
                    </mc:AlternateContent>
                    <w:rPr>
                      <w:rFonts w:hint="default"/>
                      <w:sz w:val="21"/>
                      <w:szCs w:val="21"/>
                      <w:lang w:val="en-US" w:eastAsia="zh-CN"/>
                    </w:rPr>
                  </w:pPr>
                  <w:r>
                    <w:rPr>
                      <w:rFonts w:hint="default"/>
                      <w:sz w:val="21"/>
                      <w:szCs w:val="21"/>
                      <w:lang w:val="en-US" w:eastAsia="zh-CN"/>
                    </w:rPr>
                    <w:t>监测点位</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监测日期（气象条件）</w:t>
                  </w:r>
                </w:p>
              </w:tc>
              <w:tc>
                <w:tcPr>
                  <w:tcW w:w="1747" w:type="pct"/>
                  <w:gridSpan w:val="2"/>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09 月 06 日</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（天气晴、风速 1.3m/s）</w:t>
                  </w:r>
                </w:p>
              </w:tc>
              <w:tc>
                <w:tcPr>
                  <w:tcW w:w="1512" w:type="pct"/>
                  <w:gridSpan w:val="2"/>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09 月 07 日</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（天气晴、风速 1.3m/s）</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39" w:type="pct"/>
                  <w:vMerge w:val="continue"/>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p>
              </w:tc>
              <w:tc>
                <w:tcPr>
                  <w:tcW w:w="904"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昼间</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Leq[dB(A)]</w:t>
                  </w:r>
                </w:p>
              </w:tc>
              <w:tc>
                <w:tcPr>
                  <w:tcW w:w="843"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夜间</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Leq[dB(A)]</w:t>
                  </w:r>
                </w:p>
              </w:tc>
              <w:tc>
                <w:tcPr>
                  <w:tcW w:w="800"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昼间</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Leq[dB(A)]</w:t>
                  </w:r>
                </w:p>
              </w:tc>
              <w:tc>
                <w:tcPr>
                  <w:tcW w:w="712"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夜间</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Leq[dB(A)]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39"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1▲J7 塔基</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（N38°40′59.80″E110°25′19.52″）</w:t>
                  </w:r>
                </w:p>
              </w:tc>
              <w:tc>
                <w:tcPr>
                  <w:tcW w:w="904"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37</w:t>
                  </w:r>
                </w:p>
              </w:tc>
              <w:tc>
                <w:tcPr>
                  <w:tcW w:w="843"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35</w:t>
                  </w:r>
                </w:p>
              </w:tc>
              <w:tc>
                <w:tcPr>
                  <w:tcW w:w="800"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38</w:t>
                  </w:r>
                </w:p>
              </w:tc>
              <w:tc>
                <w:tcPr>
                  <w:tcW w:w="712"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39"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2▲J17-ZC18 塔中心线下</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（N38°41′24.09″E110°22′12.34″）</w:t>
                  </w:r>
                </w:p>
              </w:tc>
              <w:tc>
                <w:tcPr>
                  <w:tcW w:w="904"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37</w:t>
                  </w:r>
                </w:p>
              </w:tc>
              <w:tc>
                <w:tcPr>
                  <w:tcW w:w="843"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33</w:t>
                  </w:r>
                </w:p>
              </w:tc>
              <w:tc>
                <w:tcPr>
                  <w:tcW w:w="800"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38</w:t>
                  </w:r>
                </w:p>
              </w:tc>
              <w:tc>
                <w:tcPr>
                  <w:tcW w:w="712"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39"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3▲JE53 塔基</w:t>
                  </w: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（N38°43′11.46″E110°15′30.30″）</w:t>
                  </w:r>
                </w:p>
              </w:tc>
              <w:tc>
                <w:tcPr>
                  <w:tcW w:w="904"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38</w:t>
                  </w:r>
                </w:p>
              </w:tc>
              <w:tc>
                <w:tcPr>
                  <w:tcW w:w="843"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33</w:t>
                  </w:r>
                </w:p>
              </w:tc>
              <w:tc>
                <w:tcPr>
                  <w:tcW w:w="800"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38</w:t>
                  </w:r>
                </w:p>
              </w:tc>
              <w:tc>
                <w:tcPr>
                  <w:tcW w:w="712"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39"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是否达标</w:t>
                  </w:r>
                </w:p>
              </w:tc>
              <w:tc>
                <w:tcPr>
                  <w:tcW w:w="904"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是</w:t>
                  </w:r>
                </w:p>
              </w:tc>
              <w:tc>
                <w:tcPr>
                  <w:tcW w:w="843"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是</w:t>
                  </w:r>
                </w:p>
              </w:tc>
              <w:tc>
                <w:tcPr>
                  <w:tcW w:w="800"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是</w:t>
                  </w:r>
                </w:p>
              </w:tc>
              <w:tc>
                <w:tcPr>
                  <w:tcW w:w="712"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39"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执行标准</w:t>
                  </w:r>
                </w:p>
              </w:tc>
              <w:tc>
                <w:tcPr>
                  <w:tcW w:w="904"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55</w:t>
                  </w:r>
                </w:p>
              </w:tc>
              <w:tc>
                <w:tcPr>
                  <w:tcW w:w="843"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45</w:t>
                  </w:r>
                </w:p>
              </w:tc>
              <w:tc>
                <w:tcPr>
                  <w:tcW w:w="800"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55</w:t>
                  </w:r>
                </w:p>
              </w:tc>
              <w:tc>
                <w:tcPr>
                  <w:tcW w:w="712" w:type="pct"/>
                  <w:tcBorders>
                    <w:tl2br w:val="nil"/>
                    <w:tr2bl w:val="nil"/>
                  </w:tcBorders>
                  <w:vAlign w:val="center"/>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45</w:t>
                  </w:r>
                </w:p>
              </w:tc>
            </w:tr>
          </w:tbl>
          <w:p>
            <w:pPr>
              <w:keepNext w:val="0"/>
              <w:keepLines w:val="0"/>
              <w:pageBreakBefore w:val="0"/>
              <w:widowControl w:val="0"/>
              <w:kinsoku/>
              <w:wordWrap/>
              <w:topLinePunct w:val="0"/>
              <w:bidi w:val="0"/>
              <w:ind w:firstLine="480" w:firstLineChars="200"/>
              <w:jc w:val="both"/>
            </w:pPr>
            <w:r>
              <w:t>监测结果表明：线路沿线各监测点的昼间噪声监测值为3</w:t>
            </w:r>
            <w:r>
              <w:rPr>
                <w:rFonts w:hint="eastAsia"/>
                <w:lang w:val="en-US" w:eastAsia="zh-CN"/>
              </w:rPr>
              <w:t>7</w:t>
            </w:r>
            <w:r>
              <w:t>～</w:t>
            </w:r>
            <w:r>
              <w:rPr>
                <w:rFonts w:hint="eastAsia"/>
                <w:lang w:val="en-US" w:eastAsia="zh-CN"/>
              </w:rPr>
              <w:t>38</w:t>
            </w:r>
            <w:r>
              <w:t>dB(A)，夜间噪声监测值为3</w:t>
            </w:r>
            <w:r>
              <w:rPr>
                <w:rFonts w:hint="eastAsia"/>
                <w:lang w:val="en-US" w:eastAsia="zh-CN"/>
              </w:rPr>
              <w:t>3</w:t>
            </w:r>
            <w:r>
              <w:t>～3</w:t>
            </w:r>
            <w:r>
              <w:rPr>
                <w:rFonts w:hint="eastAsia"/>
                <w:lang w:val="en-US" w:eastAsia="zh-CN"/>
              </w:rPr>
              <w:t>6</w:t>
            </w:r>
            <w:r>
              <w:t>dB(A)</w:t>
            </w:r>
            <w:r>
              <w:rPr>
                <w:rFonts w:hint="eastAsia"/>
              </w:rPr>
              <w:t>。各监测点</w:t>
            </w:r>
            <w:r>
              <w:t>均满足《声环境质量标准》（GB3096-2008）中</w:t>
            </w:r>
            <w:r>
              <w:rPr>
                <w:rFonts w:hint="eastAsia"/>
                <w:lang w:val="en-US" w:eastAsia="zh-CN"/>
              </w:rPr>
              <w:t>1</w:t>
            </w:r>
            <w:r>
              <w:t>类标准限值要求。</w:t>
            </w:r>
          </w:p>
          <w:p>
            <w:pPr>
              <w:keepNext w:val="0"/>
              <w:keepLines w:val="0"/>
              <w:pageBreakBefore w:val="0"/>
              <w:widowControl w:val="0"/>
              <w:kinsoku/>
              <w:wordWrap/>
              <w:topLinePunct w:val="0"/>
              <w:bidi w:val="0"/>
              <w:jc w:val="both"/>
              <w:rPr>
                <w:rFonts w:hint="default"/>
                <w:b/>
                <w:bCs w:val="0"/>
                <w:lang w:val="en-US" w:eastAsia="zh-CN"/>
              </w:rPr>
            </w:pPr>
            <w:r>
              <w:rPr>
                <w:rFonts w:hint="eastAsia"/>
                <w:b/>
                <w:bCs w:val="0"/>
                <w:lang w:val="en-US" w:eastAsia="zh-CN"/>
              </w:rPr>
              <w:t>3.</w:t>
            </w:r>
            <w:r>
              <w:rPr>
                <w:rFonts w:hint="default"/>
                <w:b/>
                <w:bCs w:val="0"/>
                <w:lang w:val="en-US" w:eastAsia="zh-CN"/>
              </w:rPr>
              <w:t>3</w:t>
            </w:r>
            <w:r>
              <w:rPr>
                <w:rFonts w:hint="eastAsia"/>
                <w:b/>
                <w:bCs w:val="0"/>
                <w:lang w:val="en-US" w:eastAsia="zh-CN"/>
              </w:rPr>
              <w:t xml:space="preserve"> </w:t>
            </w:r>
            <w:r>
              <w:rPr>
                <w:rFonts w:hint="default"/>
                <w:b/>
                <w:bCs w:val="0"/>
                <w:lang w:val="en-US" w:eastAsia="zh-CN"/>
              </w:rPr>
              <w:t>生态环境现状</w:t>
            </w:r>
          </w:p>
          <w:p>
            <w:pPr>
              <w:keepNext w:val="0"/>
              <w:keepLines w:val="0"/>
              <w:pageBreakBefore w:val="0"/>
              <w:widowControl w:val="0"/>
              <w:kinsoku/>
              <w:wordWrap/>
              <w:topLinePunct w:val="0"/>
              <w:bidi w:val="0"/>
              <w:ind w:firstLine="482"/>
              <w:jc w:val="both"/>
            </w:pPr>
            <w:r>
              <w:t>本</w:t>
            </w:r>
            <w:r>
              <w:rPr>
                <w:rFonts w:hint="eastAsia"/>
                <w:lang w:eastAsia="zh-CN"/>
              </w:rPr>
              <w:t>项目</w:t>
            </w:r>
            <w:r>
              <w:t>位于榆林市神木市境内，根据《陕西省生态功能区划》</w:t>
            </w:r>
            <w:r>
              <w:rPr>
                <w:rFonts w:hint="eastAsia"/>
                <w:lang w:eastAsia="zh-CN"/>
              </w:rPr>
              <w:t>（见附图</w:t>
            </w:r>
            <w:r>
              <w:rPr>
                <w:rFonts w:hint="eastAsia"/>
                <w:lang w:val="en-US" w:eastAsia="zh-CN"/>
              </w:rPr>
              <w:t>3</w:t>
            </w:r>
            <w:r>
              <w:rPr>
                <w:rFonts w:hint="eastAsia"/>
                <w:lang w:eastAsia="zh-CN"/>
              </w:rPr>
              <w:t>）</w:t>
            </w:r>
            <w:r>
              <w:t>，处于榆神府黄土梁水蚀风蚀控制生态功能区。</w:t>
            </w:r>
          </w:p>
          <w:p>
            <w:pPr>
              <w:keepNext w:val="0"/>
              <w:keepLines w:val="0"/>
              <w:pageBreakBefore w:val="0"/>
              <w:widowControl w:val="0"/>
              <w:kinsoku/>
              <w:wordWrap/>
              <w:topLinePunct w:val="0"/>
              <w:bidi w:val="0"/>
              <w:ind w:firstLine="482"/>
              <w:jc w:val="both"/>
            </w:pPr>
            <w:r>
              <w:fldChar w:fldCharType="begin"/>
            </w:r>
            <w:r>
              <w:instrText xml:space="preserve"> = 2 \* GB2 </w:instrText>
            </w:r>
            <w:r>
              <w:fldChar w:fldCharType="separate"/>
            </w:r>
            <w:r>
              <w:rPr>
                <w:rFonts w:hint="eastAsia"/>
              </w:rPr>
              <w:t>⑵</w:t>
            </w:r>
            <w:r>
              <w:fldChar w:fldCharType="end"/>
            </w:r>
            <w:r>
              <w:t xml:space="preserve"> 土地利用现状</w:t>
            </w:r>
          </w:p>
          <w:p>
            <w:pPr>
              <w:keepNext w:val="0"/>
              <w:keepLines w:val="0"/>
              <w:pageBreakBefore w:val="0"/>
              <w:widowControl w:val="0"/>
              <w:kinsoku/>
              <w:wordWrap/>
              <w:topLinePunct w:val="0"/>
              <w:bidi w:val="0"/>
              <w:ind w:firstLine="482"/>
              <w:jc w:val="both"/>
              <w:rPr>
                <w:rFonts w:hint="default" w:eastAsia="宋体"/>
                <w:lang w:val="en-US" w:eastAsia="zh-CN"/>
              </w:rPr>
            </w:pPr>
            <w:r>
              <w:t>根据现场调查，区域土地利用类型包括</w:t>
            </w:r>
            <w:r>
              <w:rPr>
                <w:rFonts w:hint="eastAsia"/>
                <w:lang w:eastAsia="zh-CN"/>
              </w:rPr>
              <w:t>荒地</w:t>
            </w:r>
            <w:r>
              <w:t>、草地、</w:t>
            </w:r>
            <w:r>
              <w:rPr>
                <w:rFonts w:hint="eastAsia"/>
                <w:lang w:eastAsia="zh-CN"/>
              </w:rPr>
              <w:t>林地</w:t>
            </w:r>
            <w:r>
              <w:t>。</w:t>
            </w:r>
            <w:r>
              <w:rPr>
                <w:rFonts w:hint="eastAsia"/>
                <w:lang w:eastAsia="zh-CN"/>
              </w:rPr>
              <w:t>本项目评价范围内土地利用现状图见附图</w:t>
            </w:r>
            <w:r>
              <w:rPr>
                <w:rFonts w:hint="eastAsia"/>
                <w:lang w:val="en-US" w:eastAsia="zh-CN"/>
              </w:rPr>
              <w:t>7。</w:t>
            </w:r>
          </w:p>
          <w:p>
            <w:pPr>
              <w:keepNext w:val="0"/>
              <w:keepLines w:val="0"/>
              <w:pageBreakBefore w:val="0"/>
              <w:widowControl w:val="0"/>
              <w:kinsoku/>
              <w:wordWrap/>
              <w:topLinePunct w:val="0"/>
              <w:bidi w:val="0"/>
              <w:ind w:firstLine="482"/>
              <w:jc w:val="both"/>
            </w:pPr>
            <w:r>
              <w:fldChar w:fldCharType="begin"/>
            </w:r>
            <w:r>
              <w:instrText xml:space="preserve"> = 3 \* GB2 </w:instrText>
            </w:r>
            <w:r>
              <w:fldChar w:fldCharType="separate"/>
            </w:r>
            <w:r>
              <w:rPr>
                <w:rFonts w:hint="eastAsia"/>
              </w:rPr>
              <w:t>⑶</w:t>
            </w:r>
            <w:r>
              <w:fldChar w:fldCharType="end"/>
            </w:r>
            <w:r>
              <w:t xml:space="preserve"> 植被</w:t>
            </w:r>
          </w:p>
          <w:p>
            <w:pPr>
              <w:keepNext w:val="0"/>
              <w:keepLines w:val="0"/>
              <w:pageBreakBefore w:val="0"/>
              <w:widowControl w:val="0"/>
              <w:kinsoku/>
              <w:wordWrap/>
              <w:topLinePunct w:val="0"/>
              <w:autoSpaceDE w:val="0"/>
              <w:autoSpaceDN w:val="0"/>
              <w:bidi w:val="0"/>
              <w:ind w:firstLine="480" w:firstLineChars="200"/>
              <w:jc w:val="both"/>
            </w:pPr>
            <w:r>
              <w:t>区域为风沙草滩地貌，自然的原生带性植物已退化，以沙土、旱生灌丛植被为主，主要群落为沙柳灌丛、沙蒿群落、柠条群落。道路及河川沟道旁有人工种植的杨、旱柳、刺槐及樟子松等乔木。区内植被总体生长情况稀少弱小。</w:t>
            </w:r>
          </w:p>
          <w:tbl>
            <w:tblPr>
              <w:tblStyle w:val="1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13"/>
              <w:gridCol w:w="4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3" w:type="dxa"/>
                </w:tcPr>
                <w:p>
                  <w:pPr>
                    <w:pStyle w:val="2"/>
                    <w:jc w:val="both"/>
                    <w:rPr>
                      <w:vertAlign w:val="baseline"/>
                    </w:rPr>
                  </w:pPr>
                  <w:r>
                    <w:drawing>
                      <wp:inline distT="0" distB="0" distL="114300" distR="114300">
                        <wp:extent cx="2569845" cy="1800225"/>
                        <wp:effectExtent l="0" t="0" r="1905" b="952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20"/>
                                <a:stretch>
                                  <a:fillRect/>
                                </a:stretch>
                              </pic:blipFill>
                              <pic:spPr>
                                <a:xfrm>
                                  <a:off x="0" y="0"/>
                                  <a:ext cx="2569845" cy="1800225"/>
                                </a:xfrm>
                                <a:prstGeom prst="rect">
                                  <a:avLst/>
                                </a:prstGeom>
                                <a:noFill/>
                                <a:ln>
                                  <a:noFill/>
                                </a:ln>
                              </pic:spPr>
                            </pic:pic>
                          </a:graphicData>
                        </a:graphic>
                      </wp:inline>
                    </w:drawing>
                  </w:r>
                </w:p>
              </w:tc>
              <w:tc>
                <w:tcPr>
                  <w:tcW w:w="4514" w:type="dxa"/>
                </w:tcPr>
                <w:p>
                  <w:pPr>
                    <w:pStyle w:val="2"/>
                    <w:jc w:val="both"/>
                    <w:rPr>
                      <w:vertAlign w:val="baseline"/>
                    </w:rPr>
                  </w:pPr>
                  <w:r>
                    <w:drawing>
                      <wp:inline distT="0" distB="0" distL="114300" distR="114300">
                        <wp:extent cx="2406015" cy="1800225"/>
                        <wp:effectExtent l="0" t="0" r="13335" b="952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1"/>
                                <a:stretch>
                                  <a:fillRect/>
                                </a:stretch>
                              </pic:blipFill>
                              <pic:spPr>
                                <a:xfrm>
                                  <a:off x="0" y="0"/>
                                  <a:ext cx="2406015" cy="1800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3" w:type="dxa"/>
                </w:tcPr>
                <w:p>
                  <w:pPr>
                    <w:pStyle w:val="2"/>
                    <w:ind w:left="0" w:leftChars="0" w:firstLine="0" w:firstLineChars="0"/>
                    <w:jc w:val="center"/>
                    <w:rPr>
                      <w:rFonts w:hint="eastAsia" w:eastAsia="宋体"/>
                      <w:vertAlign w:val="baseline"/>
                      <w:lang w:eastAsia="zh-CN"/>
                    </w:rPr>
                  </w:pPr>
                  <w:r>
                    <w:rPr>
                      <w:rFonts w:hint="eastAsia"/>
                      <w:vertAlign w:val="baseline"/>
                      <w:lang w:eastAsia="zh-CN"/>
                    </w:rPr>
                    <w:t>植被现状</w:t>
                  </w:r>
                </w:p>
              </w:tc>
              <w:tc>
                <w:tcPr>
                  <w:tcW w:w="4514" w:type="dxa"/>
                </w:tcPr>
                <w:p>
                  <w:pPr>
                    <w:pStyle w:val="2"/>
                    <w:jc w:val="center"/>
                    <w:rPr>
                      <w:vertAlign w:val="baseline"/>
                    </w:rPr>
                  </w:pPr>
                  <w:r>
                    <w:rPr>
                      <w:rFonts w:hint="eastAsia"/>
                      <w:vertAlign w:val="baseline"/>
                      <w:lang w:eastAsia="zh-CN"/>
                    </w:rPr>
                    <w:t>植被现状</w:t>
                  </w:r>
                </w:p>
              </w:tc>
            </w:tr>
          </w:tbl>
          <w:p>
            <w:pPr>
              <w:keepNext w:val="0"/>
              <w:keepLines w:val="0"/>
              <w:pageBreakBefore w:val="0"/>
              <w:widowControl w:val="0"/>
              <w:kinsoku/>
              <w:wordWrap/>
              <w:topLinePunct w:val="0"/>
              <w:autoSpaceDE w:val="0"/>
              <w:autoSpaceDN w:val="0"/>
              <w:bidi w:val="0"/>
              <w:ind w:firstLine="480" w:firstLineChars="200"/>
              <w:jc w:val="both"/>
            </w:pPr>
            <w:r>
              <w:rPr>
                <w:rFonts w:hint="eastAsia"/>
              </w:rPr>
              <w:t>⑷</w:t>
            </w:r>
            <w:r>
              <w:t xml:space="preserve"> 动物</w:t>
            </w:r>
          </w:p>
          <w:p>
            <w:pPr>
              <w:keepNext w:val="0"/>
              <w:keepLines w:val="0"/>
              <w:pageBreakBefore w:val="0"/>
              <w:widowControl w:val="0"/>
              <w:kinsoku/>
              <w:wordWrap/>
              <w:topLinePunct w:val="0"/>
              <w:bidi w:val="0"/>
              <w:ind w:firstLine="482"/>
              <w:jc w:val="both"/>
              <w:rPr>
                <w:rFonts w:hint="eastAsia"/>
                <w:lang w:eastAsia="zh-CN"/>
              </w:rPr>
            </w:pPr>
            <w:r>
              <w:t>区域野生动物组成比较简单，种类较少。据现场调查，野生动物主要有鼠类、兔类和麻雀、喜鹊等常见种类。</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491" w:hRule="atLeast"/>
          <w:jc w:val="center"/>
        </w:trPr>
        <w:tc>
          <w:tcPr>
            <w:tcW w:w="5000" w:type="pct"/>
            <w:tcBorders>
              <w:top w:val="single" w:color="auto" w:sz="12" w:space="0"/>
            </w:tcBorders>
            <w:noWrap w:val="0"/>
            <w:vAlign w:val="top"/>
          </w:tcPr>
          <w:p>
            <w:pPr>
              <w:keepNext w:val="0"/>
              <w:keepLines w:val="0"/>
              <w:pageBreakBefore w:val="0"/>
              <w:widowControl w:val="0"/>
              <w:kinsoku/>
              <w:wordWrap/>
              <w:topLinePunct w:val="0"/>
              <w:bidi w:val="0"/>
              <w:spacing w:before="120" w:beforeLines="50"/>
              <w:rPr>
                <w:b/>
                <w:bCs w:val="0"/>
              </w:rPr>
            </w:pPr>
            <w:r>
              <w:rPr>
                <w:rFonts w:hint="eastAsia"/>
                <w:b/>
                <w:bCs w:val="0"/>
                <w:lang w:val="en-US" w:eastAsia="zh-CN"/>
              </w:rPr>
              <w:t>3.4</w:t>
            </w:r>
            <w:r>
              <w:rPr>
                <w:b/>
                <w:bCs w:val="0"/>
              </w:rPr>
              <w:t>主要环境保护目标：</w:t>
            </w:r>
          </w:p>
          <w:p>
            <w:pPr>
              <w:keepNext w:val="0"/>
              <w:keepLines w:val="0"/>
              <w:pageBreakBefore w:val="0"/>
              <w:widowControl w:val="0"/>
              <w:kinsoku/>
              <w:wordWrap/>
              <w:topLinePunct w:val="0"/>
              <w:bidi w:val="0"/>
              <w:ind w:firstLine="480" w:firstLineChars="200"/>
              <w:jc w:val="both"/>
            </w:pPr>
            <w:r>
              <w:t>本</w:t>
            </w:r>
            <w:r>
              <w:rPr>
                <w:rFonts w:hint="eastAsia"/>
                <w:lang w:eastAsia="zh-CN"/>
              </w:rPr>
              <w:t>项目</w:t>
            </w:r>
            <w:r>
              <w:t>为交流输变电工程，电压等级110kV。</w:t>
            </w:r>
          </w:p>
          <w:p>
            <w:pPr>
              <w:keepNext w:val="0"/>
              <w:keepLines w:val="0"/>
              <w:pageBreakBefore w:val="0"/>
              <w:widowControl w:val="0"/>
              <w:kinsoku/>
              <w:wordWrap/>
              <w:topLinePunct w:val="0"/>
              <w:bidi w:val="0"/>
              <w:ind w:firstLine="480" w:firstLineChars="200"/>
              <w:jc w:val="both"/>
            </w:pPr>
            <w:r>
              <w:rPr>
                <w:rFonts w:hint="eastAsia"/>
              </w:rPr>
              <w:t>⑴</w:t>
            </w:r>
            <w:r>
              <w:t xml:space="preserve"> 本</w:t>
            </w:r>
            <w:r>
              <w:rPr>
                <w:rFonts w:hint="eastAsia"/>
                <w:lang w:eastAsia="zh-CN"/>
              </w:rPr>
              <w:t>项目</w:t>
            </w:r>
            <w:r>
              <w:t>主要环境保护目标为：电磁环境影响评价范围内，重点保护该区域内的住宅、学校、医院、办公楼、工厂等有公众居住、工作或学习的建筑物；声环境评价范围内，重点保护该区域内的公众。</w:t>
            </w:r>
          </w:p>
          <w:p>
            <w:pPr>
              <w:keepNext w:val="0"/>
              <w:keepLines w:val="0"/>
              <w:pageBreakBefore w:val="0"/>
              <w:widowControl w:val="0"/>
              <w:kinsoku/>
              <w:wordWrap/>
              <w:topLinePunct w:val="0"/>
              <w:bidi w:val="0"/>
              <w:ind w:firstLine="480" w:firstLineChars="200"/>
              <w:jc w:val="both"/>
              <w:rPr>
                <w:rFonts w:hint="default" w:eastAsia="宋体"/>
                <w:lang w:val="en-US" w:eastAsia="zh-CN"/>
              </w:rPr>
            </w:pPr>
            <w:r>
              <w:rPr>
                <w:rFonts w:hint="eastAsia"/>
              </w:rPr>
              <w:t>⑵</w:t>
            </w:r>
            <w:r>
              <w:t xml:space="preserve"> 评价范围</w:t>
            </w:r>
            <w:r>
              <w:rPr>
                <w:rFonts w:hint="eastAsia"/>
                <w:lang w:val="en-US" w:eastAsia="zh-CN"/>
              </w:rPr>
              <w:t xml:space="preserve">                                                                                                                                                                                                                                                                                                                                                                                                                                                                                                                                         </w:t>
            </w:r>
          </w:p>
          <w:p>
            <w:pPr>
              <w:keepNext w:val="0"/>
              <w:keepLines w:val="0"/>
              <w:pageBreakBefore w:val="0"/>
              <w:widowControl w:val="0"/>
              <w:kinsoku/>
              <w:wordWrap/>
              <w:topLinePunct w:val="0"/>
              <w:bidi w:val="0"/>
              <w:ind w:firstLine="480" w:firstLineChars="200"/>
              <w:jc w:val="both"/>
            </w:pPr>
            <w:r>
              <w:rPr>
                <w:rFonts w:hint="eastAsia"/>
              </w:rPr>
              <w:t xml:space="preserve">① </w:t>
            </w:r>
            <w:r>
              <w:rPr>
                <w:rFonts w:hint="eastAsia"/>
                <w:lang w:eastAsia="zh-CN"/>
              </w:rPr>
              <w:t>项目</w:t>
            </w:r>
            <w:r>
              <w:t>工频电场、工频磁场评价范围：架空线路边导线地面投影外两侧各30m带状区域</w:t>
            </w:r>
            <w:r>
              <w:rPr>
                <w:rFonts w:hint="eastAsia"/>
              </w:rPr>
              <w:t>。</w:t>
            </w:r>
          </w:p>
          <w:p>
            <w:pPr>
              <w:keepNext w:val="0"/>
              <w:keepLines w:val="0"/>
              <w:pageBreakBefore w:val="0"/>
              <w:widowControl w:val="0"/>
              <w:kinsoku/>
              <w:wordWrap/>
              <w:topLinePunct w:val="0"/>
              <w:bidi w:val="0"/>
              <w:ind w:firstLine="480" w:firstLineChars="200"/>
              <w:jc w:val="both"/>
            </w:pPr>
            <w:r>
              <w:rPr>
                <w:rFonts w:hint="eastAsia"/>
              </w:rPr>
              <w:t xml:space="preserve">② </w:t>
            </w:r>
            <w:r>
              <w:t>声环境影响评价范围：架空线路参照电磁环境影响评价范围中相应电压等级线路的评价范围，取架空线路边导线地面投影两侧各30m带状区域</w:t>
            </w:r>
            <w:r>
              <w:rPr>
                <w:rFonts w:hint="eastAsia"/>
              </w:rPr>
              <w:t>。</w:t>
            </w:r>
          </w:p>
          <w:p>
            <w:pPr>
              <w:keepNext w:val="0"/>
              <w:keepLines w:val="0"/>
              <w:pageBreakBefore w:val="0"/>
              <w:widowControl w:val="0"/>
              <w:kinsoku/>
              <w:wordWrap/>
              <w:topLinePunct w:val="0"/>
              <w:bidi w:val="0"/>
              <w:ind w:firstLine="480" w:firstLineChars="200"/>
              <w:jc w:val="both"/>
              <w:rPr>
                <w:rFonts w:hint="eastAsia" w:eastAsia="宋体"/>
                <w:lang w:eastAsia="zh-CN"/>
              </w:rPr>
            </w:pPr>
            <w:r>
              <w:rPr>
                <w:rFonts w:hint="eastAsia"/>
              </w:rPr>
              <w:t xml:space="preserve">③ </w:t>
            </w:r>
            <w:r>
              <w:t>生态环境评价范围：输电线路走廊两侧各300m带状区域。</w:t>
            </w:r>
          </w:p>
          <w:p>
            <w:pPr>
              <w:keepNext w:val="0"/>
              <w:keepLines w:val="0"/>
              <w:pageBreakBefore w:val="0"/>
              <w:widowControl w:val="0"/>
              <w:kinsoku/>
              <w:wordWrap/>
              <w:topLinePunct w:val="0"/>
              <w:bidi w:val="0"/>
              <w:ind w:firstLine="480" w:firstLineChars="200"/>
              <w:jc w:val="both"/>
            </w:pPr>
            <w:r>
              <w:t>根据现场踏勘，本</w:t>
            </w:r>
            <w:r>
              <w:rPr>
                <w:rFonts w:hint="eastAsia"/>
                <w:lang w:eastAsia="zh-CN"/>
              </w:rPr>
              <w:t>项目</w:t>
            </w:r>
            <w:r>
              <w:t>输电线路电磁环境、声环境及生态环境评价范围内无保护目标。</w:t>
            </w:r>
          </w:p>
          <w:p>
            <w:pPr>
              <w:keepNext w:val="0"/>
              <w:keepLines w:val="0"/>
              <w:pageBreakBefore w:val="0"/>
              <w:widowControl w:val="0"/>
              <w:kinsoku/>
              <w:wordWrap/>
              <w:topLinePunct w:val="0"/>
              <w:bidi w:val="0"/>
              <w:ind w:firstLine="480" w:firstLineChars="200"/>
              <w:jc w:val="both"/>
              <w:rPr>
                <w:rFonts w:hint="default"/>
                <w:color w:val="auto"/>
                <w:lang w:val="en-US" w:eastAsia="zh-CN"/>
              </w:rPr>
            </w:pPr>
            <w:r>
              <w:rPr>
                <w:color w:val="auto"/>
              </w:rPr>
              <w:t>根据现场踏勘，</w:t>
            </w:r>
            <w:r>
              <w:rPr>
                <w:rFonts w:hint="eastAsia"/>
                <w:color w:val="auto"/>
                <w:lang w:eastAsia="zh-CN"/>
              </w:rPr>
              <w:t>本项目跨越秦长城、明长城。跨越秦长城位置位于锦界镇内塔基</w:t>
            </w:r>
            <w:r>
              <w:rPr>
                <w:rFonts w:hint="eastAsia"/>
                <w:color w:val="auto"/>
                <w:lang w:val="en-US" w:eastAsia="zh-CN"/>
              </w:rPr>
              <w:t>JE35-塔基JE36中间</w:t>
            </w:r>
            <w:r>
              <w:rPr>
                <w:rFonts w:hint="eastAsia"/>
                <w:color w:val="auto"/>
                <w:lang w:eastAsia="zh-CN"/>
              </w:rPr>
              <w:t>，跨越明长城位置位于塔基</w:t>
            </w:r>
            <w:r>
              <w:rPr>
                <w:rFonts w:hint="eastAsia"/>
                <w:color w:val="auto"/>
                <w:lang w:val="en-US" w:eastAsia="zh-CN"/>
              </w:rPr>
              <w:t>J16-塔基J17中间</w:t>
            </w:r>
            <w:r>
              <w:rPr>
                <w:rFonts w:hint="eastAsia"/>
                <w:color w:val="auto"/>
                <w:lang w:eastAsia="zh-CN"/>
              </w:rPr>
              <w:t>，各塔基距离长城的直线距离见表</w:t>
            </w:r>
            <w:r>
              <w:rPr>
                <w:rFonts w:hint="eastAsia"/>
                <w:color w:val="auto"/>
                <w:lang w:val="en-US" w:eastAsia="zh-CN"/>
              </w:rPr>
              <w:t>3-9，位置关系见附图6。</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color w:val="auto"/>
                <w:sz w:val="21"/>
                <w:lang w:val="en-US" w:eastAsia="zh-CN"/>
              </w:rPr>
            </w:pPr>
            <w:r>
              <w:rPr>
                <w:rFonts w:hint="eastAsia" w:ascii="Times New Roman" w:hAnsi="Times New Roman" w:cs="Times New Roman" w:eastAsiaTheme="minorEastAsia"/>
                <w:b/>
                <w:color w:val="auto"/>
                <w:sz w:val="21"/>
                <w:lang w:val="en-US" w:eastAsia="zh-CN"/>
              </w:rPr>
              <w:t>表3-9  长城与塔基位置关系</w:t>
            </w:r>
          </w:p>
          <w:tbl>
            <w:tblPr>
              <w:tblStyle w:val="1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2257"/>
              <w:gridCol w:w="2257"/>
              <w:gridCol w:w="22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序号</w:t>
                  </w:r>
                </w:p>
              </w:tc>
              <w:tc>
                <w:tcPr>
                  <w:tcW w:w="1250" w:type="pct"/>
                  <w:tcBorders>
                    <w:tl2br w:val="nil"/>
                    <w:tr2bl w:val="nil"/>
                  </w:tcBorders>
                </w:tcPr>
                <w:p>
                  <w:pPr>
                    <w:keepNext w:val="0"/>
                    <w:keepLines w:val="0"/>
                    <w:pageBreakBefore w:val="0"/>
                    <w:widowControl w:val="0"/>
                    <w:kinsoku/>
                    <w:wordWrap/>
                    <w:topLinePunct w:val="0"/>
                    <w:bidi w:val="0"/>
                    <w:spacing w:line="240" w:lineRule="auto"/>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长城</w:t>
                  </w:r>
                </w:p>
              </w:tc>
              <w:tc>
                <w:tcPr>
                  <w:tcW w:w="1250"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塔基及相对距离</w:t>
                  </w:r>
                </w:p>
              </w:tc>
              <w:tc>
                <w:tcPr>
                  <w:tcW w:w="1250"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塔基及距离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1250" w:type="pct"/>
                  <w:tcBorders>
                    <w:tl2br w:val="nil"/>
                    <w:tr2bl w:val="nil"/>
                  </w:tcBorders>
                </w:tcPr>
                <w:p>
                  <w:pPr>
                    <w:keepNext w:val="0"/>
                    <w:keepLines w:val="0"/>
                    <w:pageBreakBefore w:val="0"/>
                    <w:widowControl w:val="0"/>
                    <w:kinsoku/>
                    <w:wordWrap/>
                    <w:topLinePunct w:val="0"/>
                    <w:bidi w:val="0"/>
                    <w:spacing w:line="240" w:lineRule="auto"/>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秦长城</w:t>
                  </w:r>
                </w:p>
              </w:tc>
              <w:tc>
                <w:tcPr>
                  <w:tcW w:w="1250"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JE35；123m</w:t>
                  </w:r>
                </w:p>
              </w:tc>
              <w:tc>
                <w:tcPr>
                  <w:tcW w:w="1250"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JE36；250m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1250" w:type="pct"/>
                  <w:tcBorders>
                    <w:tl2br w:val="nil"/>
                    <w:tr2bl w:val="nil"/>
                  </w:tcBorders>
                </w:tcPr>
                <w:p>
                  <w:pPr>
                    <w:keepNext w:val="0"/>
                    <w:keepLines w:val="0"/>
                    <w:pageBreakBefore w:val="0"/>
                    <w:widowControl w:val="0"/>
                    <w:kinsoku/>
                    <w:wordWrap/>
                    <w:topLinePunct w:val="0"/>
                    <w:bidi w:val="0"/>
                    <w:spacing w:line="240" w:lineRule="auto"/>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明长城</w:t>
                  </w:r>
                </w:p>
              </w:tc>
              <w:tc>
                <w:tcPr>
                  <w:tcW w:w="1250"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J16；143m</w:t>
                  </w:r>
                </w:p>
              </w:tc>
              <w:tc>
                <w:tcPr>
                  <w:tcW w:w="1250"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J17；180m</w:t>
                  </w:r>
                </w:p>
              </w:tc>
            </w:tr>
          </w:tbl>
          <w:p>
            <w:pPr>
              <w:keepNext w:val="0"/>
              <w:keepLines w:val="0"/>
              <w:pageBreakBefore w:val="0"/>
              <w:widowControl w:val="0"/>
              <w:kinsoku/>
              <w:wordWrap/>
              <w:topLinePunct w:val="0"/>
              <w:bidi w:val="0"/>
              <w:ind w:firstLine="480" w:firstLineChars="200"/>
              <w:jc w:val="both"/>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项目环境保护目标见表</w:t>
            </w:r>
            <w:r>
              <w:rPr>
                <w:rFonts w:hint="eastAsia" w:ascii="Times New Roman" w:hAnsi="Times New Roman" w:eastAsia="宋体" w:cs="Times New Roman"/>
                <w:lang w:val="en-US" w:eastAsia="zh-CN"/>
              </w:rPr>
              <w:t>3-</w:t>
            </w:r>
            <w:r>
              <w:rPr>
                <w:rFonts w:hint="eastAsia" w:cs="Times New Roman"/>
                <w:lang w:val="en-US" w:eastAsia="zh-CN"/>
              </w:rPr>
              <w:t>10</w:t>
            </w:r>
            <w:r>
              <w:rPr>
                <w:rFonts w:hint="eastAsia" w:ascii="Times New Roman" w:hAnsi="Times New Roman" w:eastAsia="宋体" w:cs="Times New Roman"/>
                <w:lang w:val="en-US" w:eastAsia="zh-CN"/>
              </w:rPr>
              <w:t>。</w:t>
            </w:r>
          </w:p>
          <w:p>
            <w:pPr>
              <w:pStyle w:val="27"/>
              <w:keepNext w:val="0"/>
              <w:keepLines w:val="0"/>
              <w:pageBreakBefore w:val="0"/>
              <w:widowControl w:val="0"/>
              <w:tabs>
                <w:tab w:val="left" w:pos="800"/>
              </w:tabs>
              <w:kinsoku/>
              <w:wordWrap/>
              <w:overflowPunct/>
              <w:topLinePunct w:val="0"/>
              <w:autoSpaceDE/>
              <w:autoSpaceDN/>
              <w:bidi w:val="0"/>
              <w:adjustRightInd/>
              <w:snapToGrid/>
              <w:spacing w:line="240" w:lineRule="auto"/>
              <w:ind w:left="-6"/>
              <w:textAlignment w:val="auto"/>
              <w:rPr>
                <w:rFonts w:hint="default" w:ascii="Times New Roman" w:hAnsi="Times New Roman" w:cs="Times New Roman" w:eastAsiaTheme="minorEastAsia"/>
                <w:b/>
                <w:sz w:val="21"/>
                <w:lang w:val="en-US" w:eastAsia="zh-CN"/>
              </w:rPr>
            </w:pPr>
            <w:r>
              <w:rPr>
                <w:rFonts w:hint="eastAsia" w:ascii="Times New Roman" w:hAnsi="Times New Roman" w:cs="Times New Roman" w:eastAsiaTheme="minorEastAsia"/>
                <w:b/>
                <w:sz w:val="21"/>
                <w:lang w:val="en-US" w:eastAsia="zh-CN"/>
              </w:rPr>
              <w:t>表3-10  环境保护目标</w:t>
            </w:r>
          </w:p>
          <w:tbl>
            <w:tblPr>
              <w:tblStyle w:val="18"/>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122"/>
              <w:gridCol w:w="1213"/>
              <w:gridCol w:w="1256"/>
              <w:gridCol w:w="1635"/>
              <w:gridCol w:w="29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66" w:type="pct"/>
                  <w:vMerge w:val="restart"/>
                  <w:tcBorders>
                    <w:tl2br w:val="nil"/>
                    <w:tr2bl w:val="nil"/>
                  </w:tcBorders>
                </w:tcPr>
                <w:p>
                  <w:pPr>
                    <w:keepNext w:val="0"/>
                    <w:keepLines w:val="0"/>
                    <w:pageBreakBefore w:val="0"/>
                    <w:widowControl w:val="0"/>
                    <w:kinsoku/>
                    <w:wordWrap/>
                    <w:topLinePunct w:val="0"/>
                    <w:bidi w:val="0"/>
                    <w:spacing w:line="240" w:lineRule="auto"/>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环境要素</w:t>
                  </w:r>
                </w:p>
              </w:tc>
              <w:tc>
                <w:tcPr>
                  <w:tcW w:w="622" w:type="pct"/>
                  <w:vMerge w:val="restar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保护对象</w:t>
                  </w:r>
                </w:p>
              </w:tc>
              <w:tc>
                <w:tcPr>
                  <w:tcW w:w="1367" w:type="pct"/>
                  <w:gridSpan w:val="2"/>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相对位置</w:t>
                  </w:r>
                </w:p>
              </w:tc>
              <w:tc>
                <w:tcPr>
                  <w:tcW w:w="906" w:type="pct"/>
                  <w:vMerge w:val="restar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保护内容</w:t>
                  </w:r>
                </w:p>
              </w:tc>
              <w:tc>
                <w:tcPr>
                  <w:tcW w:w="1636" w:type="pct"/>
                  <w:vMerge w:val="restar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保护目标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66" w:type="pct"/>
                  <w:vMerge w:val="continue"/>
                  <w:tcBorders>
                    <w:tl2br w:val="nil"/>
                    <w:tr2bl w:val="nil"/>
                  </w:tcBorders>
                </w:tcPr>
                <w:p>
                  <w:pPr>
                    <w:keepNext w:val="0"/>
                    <w:keepLines w:val="0"/>
                    <w:pageBreakBefore w:val="0"/>
                    <w:widowControl w:val="0"/>
                    <w:kinsoku/>
                    <w:wordWrap/>
                    <w:topLinePunct w:val="0"/>
                    <w:bidi w:val="0"/>
                    <w:spacing w:line="240" w:lineRule="auto"/>
                    <w:jc w:val="center"/>
                  </w:pPr>
                </w:p>
              </w:tc>
              <w:tc>
                <w:tcPr>
                  <w:tcW w:w="622" w:type="pct"/>
                  <w:vMerge w:val="continue"/>
                  <w:tcBorders>
                    <w:tl2br w:val="nil"/>
                    <w:tr2bl w:val="nil"/>
                  </w:tcBorders>
                </w:tcPr>
                <w:p>
                  <w:pPr>
                    <w:keepNext w:val="0"/>
                    <w:keepLines w:val="0"/>
                    <w:pageBreakBefore w:val="0"/>
                    <w:widowControl w:val="0"/>
                    <w:kinsoku/>
                    <w:wordWrap/>
                    <w:topLinePunct w:val="0"/>
                    <w:bidi w:val="0"/>
                    <w:spacing w:line="240" w:lineRule="auto"/>
                    <w:jc w:val="center"/>
                  </w:pPr>
                </w:p>
              </w:tc>
              <w:tc>
                <w:tcPr>
                  <w:tcW w:w="672"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方位</w:t>
                  </w:r>
                </w:p>
              </w:tc>
              <w:tc>
                <w:tcPr>
                  <w:tcW w:w="695"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距离</w:t>
                  </w:r>
                </w:p>
              </w:tc>
              <w:tc>
                <w:tcPr>
                  <w:tcW w:w="906" w:type="pct"/>
                  <w:vMerge w:val="continue"/>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p>
              </w:tc>
              <w:tc>
                <w:tcPr>
                  <w:tcW w:w="1636" w:type="pct"/>
                  <w:vMerge w:val="continue"/>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电磁</w:t>
                  </w:r>
                </w:p>
              </w:tc>
              <w:tc>
                <w:tcPr>
                  <w:tcW w:w="1990" w:type="pct"/>
                  <w:gridSpan w:val="3"/>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架空线路边导线地面投影两侧各30m范围内无环境保护目标</w:t>
                  </w:r>
                </w:p>
              </w:tc>
              <w:tc>
                <w:tcPr>
                  <w:tcW w:w="906" w:type="pct"/>
                  <w:tcBorders>
                    <w:tl2br w:val="nil"/>
                    <w:tr2bl w:val="nil"/>
                  </w:tcBorders>
                </w:tcPr>
                <w:p>
                  <w:pPr>
                    <w:keepNext w:val="0"/>
                    <w:keepLines w:val="0"/>
                    <w:pageBreakBefore w:val="0"/>
                    <w:widowControl w:val="0"/>
                    <w:kinsoku/>
                    <w:wordWrap/>
                    <w:topLinePunct w:val="0"/>
                    <w:bidi w:val="0"/>
                    <w:spacing w:line="240" w:lineRule="auto"/>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工频电场</w:t>
                  </w:r>
                </w:p>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工频磁场</w:t>
                  </w:r>
                </w:p>
              </w:tc>
              <w:tc>
                <w:tcPr>
                  <w:tcW w:w="1636"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val="en-US" w:eastAsia="zh-CN"/>
                    </w:rPr>
                  </w:pPr>
                  <w:r>
                    <w:rPr>
                      <w:rFonts w:hint="eastAsia" w:asciiTheme="minorEastAsia" w:hAnsiTheme="minorEastAsia" w:eastAsiaTheme="minorEastAsia" w:cstheme="minorEastAsia"/>
                      <w:color w:val="auto"/>
                      <w:sz w:val="21"/>
                      <w:szCs w:val="21"/>
                    </w:rPr>
                    <w:t>《电磁环境控制限值》（GB8702-2014）</w:t>
                  </w:r>
                  <w:r>
                    <w:rPr>
                      <w:rFonts w:hint="eastAsia" w:asciiTheme="minorEastAsia" w:hAnsiTheme="minorEastAsia" w:eastAsiaTheme="minorEastAsia" w:cstheme="minorEastAsia"/>
                      <w:color w:val="auto"/>
                      <w:sz w:val="21"/>
                      <w:szCs w:val="21"/>
                      <w:lang w:eastAsia="zh-CN"/>
                    </w:rPr>
                    <w:t>表</w:t>
                  </w:r>
                  <w:r>
                    <w:rPr>
                      <w:rFonts w:hint="eastAsia" w:asciiTheme="minorEastAsia" w:hAnsiTheme="minorEastAsia" w:eastAsiaTheme="minorEastAsia" w:cstheme="minorEastAsia"/>
                      <w:color w:val="auto"/>
                      <w:sz w:val="21"/>
                      <w:szCs w:val="21"/>
                      <w:lang w:val="en-US" w:eastAsia="zh-CN"/>
                    </w:rPr>
                    <w:t>1中限值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66"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声环境</w:t>
                  </w:r>
                </w:p>
              </w:tc>
              <w:tc>
                <w:tcPr>
                  <w:tcW w:w="1990" w:type="pct"/>
                  <w:gridSpan w:val="3"/>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架空线路边导线地面投影两侧各30m范围内无环境保护目标</w:t>
                  </w:r>
                </w:p>
              </w:tc>
              <w:tc>
                <w:tcPr>
                  <w:tcW w:w="906"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声环境质量</w:t>
                  </w:r>
                </w:p>
              </w:tc>
              <w:tc>
                <w:tcPr>
                  <w:tcW w:w="1636"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《声环境质量标准》（GB3096-2008）中</w:t>
                  </w: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lang w:eastAsia="zh-CN"/>
                    </w:rPr>
                    <w:t>类标准限值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生态</w:t>
                  </w:r>
                </w:p>
              </w:tc>
              <w:tc>
                <w:tcPr>
                  <w:tcW w:w="1990" w:type="pct"/>
                  <w:gridSpan w:val="3"/>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sz w:val="21"/>
                      <w:szCs w:val="21"/>
                    </w:rPr>
                    <w:t>输电线路走廊两侧各300m带状区域</w:t>
                  </w:r>
                </w:p>
              </w:tc>
              <w:tc>
                <w:tcPr>
                  <w:tcW w:w="906" w:type="pct"/>
                  <w:tcBorders>
                    <w:tl2br w:val="nil"/>
                    <w:tr2bl w:val="nil"/>
                  </w:tcBorders>
                </w:tcPr>
                <w:p>
                  <w:pPr>
                    <w:keepNext w:val="0"/>
                    <w:keepLines w:val="0"/>
                    <w:pageBreakBefore w:val="0"/>
                    <w:widowControl w:val="0"/>
                    <w:kinsoku/>
                    <w:wordWrap/>
                    <w:topLinePunct w:val="0"/>
                    <w:bidi w:val="0"/>
                    <w:spacing w:line="240" w:lineRule="auto"/>
                    <w:jc w:val="both"/>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植被、水土流失</w:t>
                  </w:r>
                </w:p>
              </w:tc>
              <w:tc>
                <w:tcPr>
                  <w:tcW w:w="1636" w:type="pct"/>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5000" w:type="pct"/>
                  <w:gridSpan w:val="6"/>
                  <w:tcBorders>
                    <w:tl2br w:val="nil"/>
                    <w:tr2bl w:val="nil"/>
                  </w:tcBorders>
                </w:tcPr>
                <w:p>
                  <w:pPr>
                    <w:keepNext w:val="0"/>
                    <w:keepLines w:val="0"/>
                    <w:pageBreakBefore w:val="0"/>
                    <w:widowControl w:val="0"/>
                    <w:kinsoku/>
                    <w:wordWrap/>
                    <w:topLinePunct w:val="0"/>
                    <w:bidi w:val="0"/>
                    <w:spacing w:line="240" w:lineRule="auto"/>
                    <w:jc w:val="center"/>
                    <w:rPr>
                      <w:rFonts w:hint="default" w:ascii="Times New Roman" w:hAnsi="Times New Roman" w:cs="Times New Roman" w:eastAsiaTheme="minorEastAsia"/>
                      <w:sz w:val="21"/>
                      <w:szCs w:val="21"/>
                      <w:lang w:eastAsia="zh-CN"/>
                    </w:rPr>
                  </w:pPr>
                  <w:r>
                    <w:rPr>
                      <w:rFonts w:hint="eastAsia"/>
                      <w:lang w:eastAsia="zh-CN"/>
                    </w:rPr>
                    <w:t>注：</w:t>
                  </w:r>
                  <w:r>
                    <w:t>根据现场踏勘，本</w:t>
                  </w:r>
                  <w:r>
                    <w:rPr>
                      <w:rFonts w:hint="eastAsia"/>
                      <w:lang w:eastAsia="zh-CN"/>
                    </w:rPr>
                    <w:t>项目</w:t>
                  </w:r>
                  <w:r>
                    <w:t>输电线路电磁环境、声环境及生态环境评价范围内无保护目标</w:t>
                  </w:r>
                </w:p>
              </w:tc>
            </w:tr>
          </w:tbl>
          <w:p>
            <w:pPr>
              <w:keepNext w:val="0"/>
              <w:keepLines w:val="0"/>
              <w:pageBreakBefore w:val="0"/>
              <w:widowControl w:val="0"/>
              <w:kinsoku/>
              <w:wordWrap/>
              <w:topLinePunct w:val="0"/>
              <w:bidi w:val="0"/>
              <w:ind w:firstLine="480" w:firstLineChars="200"/>
              <w:jc w:val="both"/>
              <w:rPr>
                <w:rFonts w:hint="eastAsia" w:ascii="Times New Roman" w:hAnsi="Times New Roman" w:eastAsia="宋体" w:cs="Times New Roman"/>
                <w:lang w:val="en-US" w:eastAsia="zh-CN"/>
              </w:rPr>
            </w:pPr>
          </w:p>
          <w:p>
            <w:pPr>
              <w:pStyle w:val="14"/>
              <w:rPr>
                <w:rFonts w:hint="eastAsia"/>
                <w:lang w:val="en-US" w:eastAsia="zh-CN"/>
              </w:rPr>
            </w:pPr>
          </w:p>
          <w:p>
            <w:pPr>
              <w:pStyle w:val="16"/>
              <w:keepNext w:val="0"/>
              <w:keepLines w:val="0"/>
              <w:pageBreakBefore w:val="0"/>
              <w:widowControl w:val="0"/>
              <w:kinsoku/>
              <w:wordWrap/>
              <w:topLinePunct w:val="0"/>
              <w:bidi w:val="0"/>
              <w:ind w:left="0" w:leftChars="0" w:firstLine="0" w:firstLineChars="0"/>
              <w:rPr>
                <w:rFonts w:hint="eastAsia"/>
                <w:lang w:eastAsia="zh-CN"/>
              </w:rPr>
            </w:pPr>
          </w:p>
        </w:tc>
      </w:tr>
    </w:tbl>
    <w:p>
      <w:pPr>
        <w:pStyle w:val="6"/>
        <w:keepNext w:val="0"/>
        <w:keepLines w:val="0"/>
        <w:pageBreakBefore w:val="0"/>
        <w:widowControl w:val="0"/>
        <w:kinsoku/>
        <w:wordWrap/>
        <w:topLinePunct w:val="0"/>
        <w:bidi w:val="0"/>
        <w:spacing w:before="42" w:after="2"/>
        <w:rPr>
          <w:rFonts w:hint="eastAsia"/>
          <w:lang w:val="en-US" w:eastAsia="zh-CN"/>
        </w:rPr>
      </w:pPr>
      <w:r>
        <w:rPr>
          <w:rFonts w:hint="eastAsia"/>
          <w:lang w:val="en-US" w:eastAsia="zh-CN"/>
        </w:rPr>
        <w:t>4评价适用标准</w:t>
      </w:r>
    </w:p>
    <w:tbl>
      <w:tblPr>
        <w:tblStyle w:val="17"/>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675"/>
        <w:gridCol w:w="8568"/>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265" w:hRule="atLeast"/>
          <w:jc w:val="center"/>
        </w:trPr>
        <w:tc>
          <w:tcPr>
            <w:tcW w:w="365" w:type="pct"/>
            <w:tcBorders>
              <w:bottom w:val="single" w:color="auto" w:sz="2" w:space="0"/>
              <w:right w:val="single" w:color="auto" w:sz="2" w:space="0"/>
            </w:tcBorders>
            <w:noWrap w:val="0"/>
            <w:vAlign w:val="center"/>
          </w:tcPr>
          <w:p>
            <w:pPr>
              <w:keepNext w:val="0"/>
              <w:keepLines w:val="0"/>
              <w:pageBreakBefore w:val="0"/>
              <w:widowControl w:val="0"/>
              <w:tabs>
                <w:tab w:val="left" w:pos="0"/>
              </w:tabs>
              <w:kinsoku/>
              <w:wordWrap/>
              <w:topLinePunct w:val="0"/>
              <w:bidi w:val="0"/>
              <w:spacing w:line="300" w:lineRule="auto"/>
              <w:jc w:val="center"/>
              <w:rPr>
                <w:sz w:val="28"/>
                <w:szCs w:val="28"/>
              </w:rPr>
            </w:pPr>
            <w:r>
              <w:rPr>
                <w:sz w:val="28"/>
                <w:szCs w:val="28"/>
              </w:rPr>
              <w:t>环境质量</w:t>
            </w:r>
          </w:p>
          <w:p>
            <w:pPr>
              <w:keepNext w:val="0"/>
              <w:keepLines w:val="0"/>
              <w:pageBreakBefore w:val="0"/>
              <w:widowControl w:val="0"/>
              <w:tabs>
                <w:tab w:val="left" w:pos="0"/>
              </w:tabs>
              <w:kinsoku/>
              <w:wordWrap/>
              <w:topLinePunct w:val="0"/>
              <w:bidi w:val="0"/>
              <w:spacing w:line="300" w:lineRule="auto"/>
              <w:jc w:val="center"/>
              <w:rPr>
                <w:sz w:val="28"/>
                <w:szCs w:val="28"/>
              </w:rPr>
            </w:pPr>
            <w:r>
              <w:rPr>
                <w:sz w:val="28"/>
                <w:szCs w:val="28"/>
              </w:rPr>
              <w:t>标</w:t>
            </w:r>
          </w:p>
          <w:p>
            <w:pPr>
              <w:keepNext w:val="0"/>
              <w:keepLines w:val="0"/>
              <w:pageBreakBefore w:val="0"/>
              <w:widowControl w:val="0"/>
              <w:tabs>
                <w:tab w:val="left" w:pos="0"/>
              </w:tabs>
              <w:kinsoku/>
              <w:wordWrap/>
              <w:topLinePunct w:val="0"/>
              <w:bidi w:val="0"/>
              <w:spacing w:line="300" w:lineRule="auto"/>
              <w:jc w:val="center"/>
              <w:rPr>
                <w:highlight w:val="yellow"/>
              </w:rPr>
            </w:pPr>
            <w:r>
              <w:rPr>
                <w:sz w:val="28"/>
                <w:szCs w:val="28"/>
              </w:rPr>
              <w:t>准</w:t>
            </w:r>
          </w:p>
        </w:tc>
        <w:tc>
          <w:tcPr>
            <w:tcW w:w="4635" w:type="pct"/>
            <w:tcBorders>
              <w:left w:val="single" w:color="auto" w:sz="2" w:space="0"/>
              <w:bottom w:val="single" w:color="auto" w:sz="2" w:space="0"/>
            </w:tcBorders>
            <w:noWrap w:val="0"/>
            <w:vAlign w:val="center"/>
          </w:tcPr>
          <w:p>
            <w:pPr>
              <w:keepNext w:val="0"/>
              <w:keepLines w:val="0"/>
              <w:pageBreakBefore w:val="0"/>
              <w:widowControl w:val="0"/>
              <w:kinsoku/>
              <w:wordWrap/>
              <w:topLinePunct w:val="0"/>
              <w:bidi w:val="0"/>
              <w:ind w:firstLine="480"/>
              <w:jc w:val="both"/>
            </w:pPr>
            <w:r>
              <w:t>1、电磁环境依据《电磁环境控制限值》（GB8702-2014）中表1</w:t>
            </w:r>
            <w:r>
              <w:rPr>
                <w:rFonts w:ascii="宋体" w:hAnsi="宋体"/>
              </w:rPr>
              <w:t>“公众暴露控制限值”</w:t>
            </w:r>
            <w:r>
              <w:t>规定：对于频率为50Hz环境中电场强度控制限值为4kV/m；磁感应强度控制限值为100μT。架空输电线路线下的耕地、园地、牧草地、畜禽饲养地、养殖水面、道路等场所，频率50Hz的电场强度以10kV/m作为控制限值。</w:t>
            </w:r>
          </w:p>
          <w:p>
            <w:pPr>
              <w:keepNext w:val="0"/>
              <w:keepLines w:val="0"/>
              <w:pageBreakBefore w:val="0"/>
              <w:widowControl w:val="0"/>
              <w:kinsoku/>
              <w:wordWrap/>
              <w:topLinePunct w:val="0"/>
              <w:bidi w:val="0"/>
              <w:ind w:firstLine="480" w:firstLineChars="200"/>
            </w:pPr>
            <w:r>
              <w:t>2、声环境执行《声环境质量标准》（GB3096-2008）中</w:t>
            </w:r>
            <w:r>
              <w:rPr>
                <w:rFonts w:hint="eastAsia"/>
                <w:lang w:val="en-US" w:eastAsia="zh-CN"/>
              </w:rPr>
              <w:t>1</w:t>
            </w:r>
            <w:r>
              <w:t>类标准（昼间：</w:t>
            </w:r>
            <w:r>
              <w:rPr>
                <w:rFonts w:hint="eastAsia"/>
                <w:lang w:val="en-US" w:eastAsia="zh-CN"/>
              </w:rPr>
              <w:t>55</w:t>
            </w:r>
            <w:r>
              <w:t>dB(A)，夜间：</w:t>
            </w:r>
            <w:r>
              <w:rPr>
                <w:rFonts w:hint="eastAsia"/>
                <w:lang w:val="en-US" w:eastAsia="zh-CN"/>
              </w:rPr>
              <w:t>45</w:t>
            </w:r>
            <w:r>
              <w:t>dB(A)）</w:t>
            </w:r>
            <w:r>
              <w:rPr>
                <w:kern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365" w:type="pct"/>
            <w:tcBorders>
              <w:top w:val="single" w:color="auto" w:sz="2" w:space="0"/>
              <w:bottom w:val="single" w:color="auto" w:sz="2" w:space="0"/>
              <w:right w:val="single" w:color="auto" w:sz="2" w:space="0"/>
            </w:tcBorders>
            <w:noWrap w:val="0"/>
            <w:vAlign w:val="center"/>
          </w:tcPr>
          <w:p>
            <w:pPr>
              <w:keepNext w:val="0"/>
              <w:keepLines w:val="0"/>
              <w:pageBreakBefore w:val="0"/>
              <w:widowControl w:val="0"/>
              <w:tabs>
                <w:tab w:val="left" w:pos="0"/>
              </w:tabs>
              <w:kinsoku/>
              <w:wordWrap/>
              <w:topLinePunct w:val="0"/>
              <w:bidi w:val="0"/>
              <w:spacing w:line="300" w:lineRule="auto"/>
              <w:jc w:val="center"/>
              <w:rPr>
                <w:highlight w:val="yellow"/>
              </w:rPr>
            </w:pPr>
            <w:r>
              <w:rPr>
                <w:sz w:val="28"/>
                <w:szCs w:val="28"/>
              </w:rPr>
              <w:t>污染物排放标准</w:t>
            </w:r>
          </w:p>
        </w:tc>
        <w:tc>
          <w:tcPr>
            <w:tcW w:w="4635" w:type="pct"/>
            <w:tcBorders>
              <w:top w:val="single" w:color="auto" w:sz="2" w:space="0"/>
              <w:left w:val="single" w:color="auto" w:sz="2" w:space="0"/>
              <w:bottom w:val="single" w:color="auto" w:sz="2" w:space="0"/>
            </w:tcBorders>
            <w:noWrap w:val="0"/>
            <w:vAlign w:val="center"/>
          </w:tcPr>
          <w:p>
            <w:pPr>
              <w:keepNext w:val="0"/>
              <w:keepLines w:val="0"/>
              <w:pageBreakBefore w:val="0"/>
              <w:widowControl w:val="0"/>
              <w:kinsoku/>
              <w:wordWrap/>
              <w:topLinePunct w:val="0"/>
              <w:bidi w:val="0"/>
              <w:ind w:firstLine="480" w:firstLineChars="200"/>
              <w:rPr>
                <w:b/>
                <w:kern w:val="24"/>
              </w:rPr>
            </w:pPr>
            <w:r>
              <w:rPr>
                <w:kern w:val="24"/>
              </w:rPr>
              <w:t>1、</w:t>
            </w:r>
            <w:r>
              <w:t>工频电场、工频电磁场执行</w:t>
            </w:r>
            <w:r>
              <w:rPr>
                <w:bCs w:val="0"/>
              </w:rPr>
              <w:t>《电磁环境控制限值》（GB8702-2014）表1中</w:t>
            </w:r>
            <w:r>
              <w:rPr>
                <w:rFonts w:ascii="宋体" w:hAnsi="宋体"/>
                <w:bCs w:val="0"/>
              </w:rPr>
              <w:t>“公众曝露控制限值”</w:t>
            </w:r>
            <w:r>
              <w:rPr>
                <w:bCs w:val="0"/>
              </w:rPr>
              <w:t>规定，电场强度以4kV/m作为控制限值；磁感应强度以100μT作为控制限值。</w:t>
            </w:r>
            <w:r>
              <w:t>架空输电线路线下的耕地、园地、牧草地、畜禽饲养地、养殖水面、道路等场所，频率50Hz的电场强度以10kV/m作为控制限值。</w:t>
            </w:r>
          </w:p>
          <w:p>
            <w:pPr>
              <w:pStyle w:val="8"/>
              <w:keepNext w:val="0"/>
              <w:keepLines w:val="0"/>
              <w:pageBreakBefore w:val="0"/>
              <w:widowControl w:val="0"/>
              <w:tabs>
                <w:tab w:val="left" w:pos="6180"/>
              </w:tabs>
              <w:kinsoku/>
              <w:wordWrap/>
              <w:topLinePunct w:val="0"/>
              <w:bidi w:val="0"/>
              <w:adjustRightInd/>
              <w:spacing w:line="360" w:lineRule="auto"/>
              <w:ind w:firstLine="480" w:firstLineChars="200"/>
            </w:pPr>
            <w:r>
              <w:t>2、施工期噪声排放执行《建筑施工场界环境噪声排放标准》（GB12523-2011）中有关规定（昼间：70dB(A)，夜间：55dB(A)）；</w:t>
            </w:r>
            <w:r>
              <w:rPr>
                <w:rFonts w:hint="eastAsia"/>
              </w:rPr>
              <w:t>（1）运营期噪声执行《声环境质量标准》（GB3096-2008）中1类标准。</w:t>
            </w:r>
          </w:p>
          <w:p>
            <w:pPr>
              <w:keepNext w:val="0"/>
              <w:keepLines w:val="0"/>
              <w:pageBreakBefore w:val="0"/>
              <w:widowControl w:val="0"/>
              <w:kinsoku/>
              <w:wordWrap/>
              <w:topLinePunct w:val="0"/>
              <w:bidi w:val="0"/>
              <w:ind w:firstLine="480" w:firstLineChars="200"/>
              <w:jc w:val="both"/>
            </w:pPr>
            <w:r>
              <w:t>3、施工扬尘按照《施工场界扬尘排放限值》（DB61/1078-2017）中规定执行；其他大气污染物排放执行《大气污染物综合排放标准》（GB16297-1996）中无组织排放标准。</w:t>
            </w:r>
          </w:p>
          <w:p>
            <w:pPr>
              <w:keepNext w:val="0"/>
              <w:keepLines w:val="0"/>
              <w:pageBreakBefore w:val="0"/>
              <w:widowControl w:val="0"/>
              <w:kinsoku/>
              <w:wordWrap/>
              <w:topLinePunct w:val="0"/>
              <w:bidi w:val="0"/>
              <w:ind w:firstLine="480" w:firstLineChars="200"/>
            </w:pPr>
            <w:r>
              <w:t>4、一般工业固体废弃物执行《一般工业固体废物贮存、处置场所污染控制标准》（GB18599-2001）及2013年修改单中有关规定，危险废物贮存执行《危险废物贮存污染控制标准》（GBl8597-2001）及2013年修改单中有关规定。生活垃圾执行《生活垃圾填埋场污染控制标准》（GB16889-2008）中有关规定。</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912" w:hRule="atLeast"/>
          <w:jc w:val="center"/>
        </w:trPr>
        <w:tc>
          <w:tcPr>
            <w:tcW w:w="365" w:type="pct"/>
            <w:tcBorders>
              <w:top w:val="single" w:color="auto" w:sz="2" w:space="0"/>
              <w:right w:val="single" w:color="auto" w:sz="2" w:space="0"/>
            </w:tcBorders>
            <w:noWrap w:val="0"/>
            <w:vAlign w:val="center"/>
          </w:tcPr>
          <w:p>
            <w:pPr>
              <w:keepNext w:val="0"/>
              <w:keepLines w:val="0"/>
              <w:pageBreakBefore w:val="0"/>
              <w:widowControl w:val="0"/>
              <w:tabs>
                <w:tab w:val="left" w:pos="0"/>
              </w:tabs>
              <w:kinsoku/>
              <w:wordWrap/>
              <w:topLinePunct w:val="0"/>
              <w:bidi w:val="0"/>
              <w:spacing w:line="240" w:lineRule="auto"/>
              <w:jc w:val="center"/>
              <w:rPr>
                <w:sz w:val="28"/>
                <w:szCs w:val="28"/>
              </w:rPr>
            </w:pPr>
            <w:r>
              <w:rPr>
                <w:sz w:val="28"/>
                <w:szCs w:val="28"/>
              </w:rPr>
              <w:t>总</w:t>
            </w:r>
          </w:p>
          <w:p>
            <w:pPr>
              <w:keepNext w:val="0"/>
              <w:keepLines w:val="0"/>
              <w:pageBreakBefore w:val="0"/>
              <w:widowControl w:val="0"/>
              <w:tabs>
                <w:tab w:val="left" w:pos="0"/>
              </w:tabs>
              <w:kinsoku/>
              <w:wordWrap/>
              <w:topLinePunct w:val="0"/>
              <w:bidi w:val="0"/>
              <w:spacing w:line="240" w:lineRule="auto"/>
              <w:jc w:val="center"/>
              <w:rPr>
                <w:sz w:val="28"/>
                <w:szCs w:val="28"/>
              </w:rPr>
            </w:pPr>
            <w:r>
              <w:rPr>
                <w:sz w:val="28"/>
                <w:szCs w:val="28"/>
              </w:rPr>
              <w:t>量</w:t>
            </w:r>
          </w:p>
          <w:p>
            <w:pPr>
              <w:keepNext w:val="0"/>
              <w:keepLines w:val="0"/>
              <w:pageBreakBefore w:val="0"/>
              <w:widowControl w:val="0"/>
              <w:tabs>
                <w:tab w:val="left" w:pos="0"/>
              </w:tabs>
              <w:kinsoku/>
              <w:wordWrap/>
              <w:topLinePunct w:val="0"/>
              <w:bidi w:val="0"/>
              <w:spacing w:line="240" w:lineRule="auto"/>
              <w:jc w:val="center"/>
              <w:rPr>
                <w:sz w:val="28"/>
                <w:szCs w:val="28"/>
              </w:rPr>
            </w:pPr>
            <w:r>
              <w:rPr>
                <w:sz w:val="28"/>
                <w:szCs w:val="28"/>
              </w:rPr>
              <w:t>控</w:t>
            </w:r>
          </w:p>
          <w:p>
            <w:pPr>
              <w:keepNext w:val="0"/>
              <w:keepLines w:val="0"/>
              <w:pageBreakBefore w:val="0"/>
              <w:widowControl w:val="0"/>
              <w:tabs>
                <w:tab w:val="left" w:pos="0"/>
              </w:tabs>
              <w:kinsoku/>
              <w:wordWrap/>
              <w:topLinePunct w:val="0"/>
              <w:bidi w:val="0"/>
              <w:spacing w:line="240" w:lineRule="auto"/>
              <w:jc w:val="center"/>
              <w:rPr>
                <w:sz w:val="28"/>
                <w:szCs w:val="28"/>
              </w:rPr>
            </w:pPr>
            <w:r>
              <w:rPr>
                <w:sz w:val="28"/>
                <w:szCs w:val="28"/>
              </w:rPr>
              <w:t>制</w:t>
            </w:r>
          </w:p>
          <w:p>
            <w:pPr>
              <w:keepNext w:val="0"/>
              <w:keepLines w:val="0"/>
              <w:pageBreakBefore w:val="0"/>
              <w:widowControl w:val="0"/>
              <w:tabs>
                <w:tab w:val="left" w:pos="0"/>
              </w:tabs>
              <w:kinsoku/>
              <w:wordWrap/>
              <w:topLinePunct w:val="0"/>
              <w:bidi w:val="0"/>
              <w:spacing w:line="240" w:lineRule="auto"/>
              <w:jc w:val="center"/>
              <w:rPr>
                <w:sz w:val="28"/>
                <w:szCs w:val="28"/>
              </w:rPr>
            </w:pPr>
            <w:r>
              <w:rPr>
                <w:sz w:val="28"/>
                <w:szCs w:val="28"/>
              </w:rPr>
              <w:t>指</w:t>
            </w:r>
          </w:p>
          <w:p>
            <w:pPr>
              <w:keepNext w:val="0"/>
              <w:keepLines w:val="0"/>
              <w:pageBreakBefore w:val="0"/>
              <w:widowControl w:val="0"/>
              <w:tabs>
                <w:tab w:val="left" w:pos="0"/>
              </w:tabs>
              <w:kinsoku/>
              <w:wordWrap/>
              <w:topLinePunct w:val="0"/>
              <w:bidi w:val="0"/>
              <w:spacing w:line="240" w:lineRule="auto"/>
              <w:jc w:val="center"/>
            </w:pPr>
            <w:r>
              <w:rPr>
                <w:sz w:val="28"/>
                <w:szCs w:val="28"/>
              </w:rPr>
              <w:t>标</w:t>
            </w:r>
          </w:p>
        </w:tc>
        <w:tc>
          <w:tcPr>
            <w:tcW w:w="4635" w:type="pct"/>
            <w:tcBorders>
              <w:top w:val="single" w:color="auto" w:sz="2" w:space="0"/>
              <w:left w:val="single" w:color="auto" w:sz="2" w:space="0"/>
            </w:tcBorders>
            <w:noWrap w:val="0"/>
            <w:vAlign w:val="center"/>
          </w:tcPr>
          <w:p>
            <w:pPr>
              <w:keepNext w:val="0"/>
              <w:keepLines w:val="0"/>
              <w:pageBreakBefore w:val="0"/>
              <w:widowControl w:val="0"/>
              <w:kinsoku/>
              <w:wordWrap/>
              <w:topLinePunct w:val="0"/>
              <w:bidi w:val="0"/>
              <w:ind w:firstLine="480" w:firstLineChars="200"/>
              <w:jc w:val="both"/>
            </w:pPr>
            <w:r>
              <w:t>本</w:t>
            </w:r>
            <w:r>
              <w:rPr>
                <w:rFonts w:hint="eastAsia"/>
                <w:lang w:eastAsia="zh-CN"/>
              </w:rPr>
              <w:t>项目</w:t>
            </w:r>
            <w:r>
              <w:t>无废气排放；无生产废水排放。故无需申请总量控制指标。</w:t>
            </w:r>
          </w:p>
        </w:tc>
      </w:tr>
    </w:tbl>
    <w:p>
      <w:pPr>
        <w:keepNext w:val="0"/>
        <w:keepLines w:val="0"/>
        <w:pageBreakBefore w:val="0"/>
        <w:widowControl w:val="0"/>
        <w:kinsoku/>
        <w:wordWrap/>
        <w:topLinePunct w:val="0"/>
        <w:bidi w:val="0"/>
      </w:pPr>
    </w:p>
    <w:p>
      <w:pPr>
        <w:pStyle w:val="6"/>
        <w:keepNext w:val="0"/>
        <w:keepLines w:val="0"/>
        <w:pageBreakBefore w:val="0"/>
        <w:widowControl w:val="0"/>
        <w:kinsoku/>
        <w:wordWrap/>
        <w:topLinePunct w:val="0"/>
        <w:bidi w:val="0"/>
        <w:spacing w:before="42" w:after="2"/>
        <w:rPr>
          <w:rFonts w:hint="eastAsia"/>
          <w:lang w:val="en-US" w:eastAsia="zh-CN"/>
        </w:rPr>
      </w:pPr>
      <w:r>
        <w:rPr>
          <w:rFonts w:hint="eastAsia"/>
          <w:lang w:val="en-US" w:eastAsia="zh-CN"/>
        </w:rPr>
        <w:t>5建设项目工程分析</w:t>
      </w:r>
    </w:p>
    <w:tbl>
      <w:tblPr>
        <w:tblStyle w:val="17"/>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24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231" w:hRule="atLeast"/>
          <w:jc w:val="center"/>
        </w:trPr>
        <w:tc>
          <w:tcPr>
            <w:tcW w:w="9243" w:type="dxa"/>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textAlignment w:val="auto"/>
            </w:pPr>
            <w:r>
              <w:t>工艺流程简述（图示）：</w:t>
            </w:r>
          </w:p>
          <w:p>
            <w:pPr>
              <w:pStyle w:val="3"/>
              <w:keepNext w:val="0"/>
              <w:keepLines w:val="0"/>
              <w:pageBreakBefore w:val="0"/>
              <w:widowControl w:val="0"/>
              <w:kinsoku/>
              <w:wordWrap/>
              <w:overflowPunct/>
              <w:topLinePunct w:val="0"/>
              <w:autoSpaceDE/>
              <w:autoSpaceDN/>
              <w:bidi w:val="0"/>
              <w:adjustRightInd/>
              <w:snapToGrid/>
              <w:ind w:firstLine="480" w:firstLineChars="200"/>
              <w:textAlignment w:val="auto"/>
              <w:rPr>
                <w:lang w:val="en-US" w:eastAsia="zh-CN"/>
              </w:rPr>
            </w:pPr>
            <w:r>
              <w:rPr>
                <w:lang w:val="en-US" w:eastAsia="zh-CN"/>
              </w:rPr>
              <w:t>本项目工艺流程及产污环节如下图所示：</w:t>
            </w:r>
          </w:p>
          <w:p>
            <w:pPr>
              <w:keepNext w:val="0"/>
              <w:keepLines w:val="0"/>
              <w:pageBreakBefore w:val="0"/>
              <w:widowControl w:val="0"/>
              <w:kinsoku/>
              <w:wordWrap/>
              <w:topLinePunct w:val="0"/>
              <w:bidi w:val="0"/>
              <w:rPr>
                <w:rFonts w:hint="eastAsia"/>
                <w:b/>
                <w:bCs w:val="0"/>
                <w:lang w:val="en-US" w:eastAsia="zh-CN"/>
              </w:rPr>
            </w:pPr>
            <w:r>
              <w:rPr>
                <w:rFonts w:hint="eastAsia"/>
                <w:b/>
                <w:bCs w:val="0"/>
                <w:lang w:val="en-US" w:eastAsia="zh-CN"/>
              </w:rPr>
              <w:t>5.1施工期</w:t>
            </w:r>
          </w:p>
          <w:p>
            <w:pPr>
              <w:keepNext w:val="0"/>
              <w:keepLines w:val="0"/>
              <w:pageBreakBefore w:val="0"/>
              <w:widowControl w:val="0"/>
              <w:kinsoku/>
              <w:wordWrap/>
              <w:topLinePunct w:val="0"/>
              <w:bidi w:val="0"/>
              <w:ind w:firstLine="480" w:firstLineChars="200"/>
              <w:jc w:val="both"/>
            </w:pPr>
            <w:r>
              <w:t>拟建线路全程为架空线路，全长</w:t>
            </w:r>
            <w:r>
              <w:rPr>
                <w:rFonts w:hint="eastAsia"/>
                <w:lang w:val="en-US" w:eastAsia="zh-CN"/>
              </w:rPr>
              <w:t>27.5</w:t>
            </w:r>
            <w:r>
              <w:t>km。工艺流程为开辟路径走廊—塔基基础施工—组立铁塔—牵张引线—运行调试—正式运行等阶段。主要产生植被破坏、施工废水、扬尘、噪声及固废</w:t>
            </w:r>
            <w:r>
              <w:rPr>
                <w:rFonts w:hint="eastAsia"/>
              </w:rPr>
              <w:t>等</w:t>
            </w:r>
            <w:r>
              <w:t>影响。</w:t>
            </w:r>
          </w:p>
          <w:p>
            <w:pPr>
              <w:keepNext w:val="0"/>
              <w:keepLines w:val="0"/>
              <w:pageBreakBefore w:val="0"/>
              <w:widowControl w:val="0"/>
              <w:kinsoku/>
              <w:wordWrap/>
              <w:topLinePunct w:val="0"/>
              <w:bidi w:val="0"/>
              <w:ind w:firstLine="480" w:firstLineChars="200"/>
              <w:jc w:val="both"/>
            </w:pPr>
            <w:r>
              <w:rPr>
                <w:rFonts w:hint="eastAsia"/>
              </w:rPr>
              <w:t>①</w:t>
            </w:r>
            <w:r>
              <w:t xml:space="preserve"> 施工准备阶段主要是施工备料及施工便道开辟。尽量利用现有道路，</w:t>
            </w:r>
            <w:r>
              <w:rPr>
                <w:rFonts w:hint="eastAsia"/>
              </w:rPr>
              <w:t>部分</w:t>
            </w:r>
            <w:r>
              <w:t>塔基需开辟施工便道。</w:t>
            </w:r>
          </w:p>
          <w:p>
            <w:pPr>
              <w:keepNext w:val="0"/>
              <w:keepLines w:val="0"/>
              <w:pageBreakBefore w:val="0"/>
              <w:widowControl w:val="0"/>
              <w:kinsoku/>
              <w:wordWrap/>
              <w:topLinePunct w:val="0"/>
              <w:bidi w:val="0"/>
              <w:ind w:firstLine="480" w:firstLineChars="200"/>
              <w:jc w:val="both"/>
            </w:pPr>
            <w:r>
              <w:rPr>
                <w:rFonts w:hint="eastAsia"/>
              </w:rPr>
              <w:t>②</w:t>
            </w:r>
            <w:r>
              <w:t xml:space="preserve"> 基础施工主要有人工开挖、机械开挖两种。就近开挖的土石方就近堆放，并采取临时防护措施。塔基基础开挖完毕后，采用汽车、人力</w:t>
            </w:r>
            <w:r>
              <w:rPr>
                <w:rFonts w:hint="eastAsia"/>
              </w:rPr>
              <w:t>将</w:t>
            </w:r>
            <w:r>
              <w:t>塔基基础浇注所需的钢材、混凝土运到塔基施工区进行基础浇注、养护。为保证混凝土强度，回填土按要求进行分层夯实，并清除掺杂的草、树根等杂物。</w:t>
            </w:r>
          </w:p>
          <w:p>
            <w:pPr>
              <w:pStyle w:val="28"/>
              <w:keepNext w:val="0"/>
              <w:keepLines w:val="0"/>
              <w:pageBreakBefore w:val="0"/>
              <w:widowControl w:val="0"/>
              <w:kinsoku/>
              <w:wordWrap/>
              <w:topLinePunct w:val="0"/>
              <w:bidi w:val="0"/>
              <w:ind w:firstLine="480"/>
              <w:jc w:val="both"/>
            </w:pPr>
            <w:r>
              <w:rPr>
                <w:rFonts w:hint="eastAsia"/>
              </w:rPr>
              <w:t>③</w:t>
            </w:r>
            <w:r>
              <w:t xml:space="preserve"> 根据铁塔结构特点，采用悬浮摇臂抱杆、吊车或落地通天摇臂抱杆分解组立。</w:t>
            </w:r>
          </w:p>
          <w:p>
            <w:pPr>
              <w:pStyle w:val="28"/>
              <w:keepNext w:val="0"/>
              <w:keepLines w:val="0"/>
              <w:pageBreakBefore w:val="0"/>
              <w:widowControl w:val="0"/>
              <w:kinsoku/>
              <w:wordWrap/>
              <w:topLinePunct w:val="0"/>
              <w:bidi w:val="0"/>
              <w:ind w:left="0" w:leftChars="0" w:firstLine="0" w:firstLineChars="0"/>
              <w:jc w:val="both"/>
              <w:rPr>
                <w:b/>
                <w:bCs/>
              </w:rPr>
            </w:pPr>
            <w:r>
              <w:rPr>
                <w:rFonts w:hint="eastAsia"/>
                <w:b/>
                <w:bCs/>
                <w:lang w:val="en-US" w:eastAsia="zh-CN"/>
              </w:rPr>
              <w:t>5.2</w:t>
            </w:r>
            <w:r>
              <w:rPr>
                <w:b/>
                <w:bCs/>
              </w:rPr>
              <w:t>运行期</w:t>
            </w:r>
          </w:p>
          <w:p>
            <w:pPr>
              <w:pStyle w:val="28"/>
              <w:keepNext w:val="0"/>
              <w:keepLines w:val="0"/>
              <w:pageBreakBefore w:val="0"/>
              <w:widowControl w:val="0"/>
              <w:kinsoku/>
              <w:wordWrap/>
              <w:topLinePunct w:val="0"/>
              <w:bidi w:val="0"/>
              <w:ind w:firstLine="480"/>
              <w:jc w:val="both"/>
            </w:pPr>
            <w:r>
              <w:t>运行期在电能输送过程中，高压线与周围环境存在电位差，在导线的周围空间存在磁场效应，因此在其附近形成工频磁感应场。此外，110kV架空线路还产生一定的可听噪声，对周围环境产生一定影响。架空输电线路工艺流程及产污环节见图</w:t>
            </w:r>
            <w:r>
              <w:rPr>
                <w:rFonts w:hint="eastAsia"/>
                <w:lang w:val="en-US" w:eastAsia="zh-CN"/>
              </w:rPr>
              <w:t>9</w:t>
            </w:r>
            <w:r>
              <w:t>。</w:t>
            </w:r>
          </w:p>
          <w:p>
            <w:pPr>
              <w:pStyle w:val="28"/>
              <w:keepNext w:val="0"/>
              <w:keepLines w:val="0"/>
              <w:pageBreakBefore w:val="0"/>
              <w:widowControl w:val="0"/>
              <w:kinsoku/>
              <w:wordWrap/>
              <w:topLinePunct w:val="0"/>
              <w:bidi w:val="0"/>
              <w:ind w:left="0" w:leftChars="0" w:firstLine="0" w:firstLineChars="0"/>
              <w:jc w:val="both"/>
            </w:pPr>
            <w:r>
              <w:drawing>
                <wp:inline distT="0" distB="0" distL="114300" distR="114300">
                  <wp:extent cx="5375910" cy="1846580"/>
                  <wp:effectExtent l="0" t="0" r="1524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2"/>
                          <a:stretch>
                            <a:fillRect/>
                          </a:stretch>
                        </pic:blipFill>
                        <pic:spPr>
                          <a:xfrm>
                            <a:off x="0" y="0"/>
                            <a:ext cx="5375910" cy="1846580"/>
                          </a:xfrm>
                          <a:prstGeom prst="rect">
                            <a:avLst/>
                          </a:prstGeom>
                          <a:noFill/>
                          <a:ln>
                            <a:noFill/>
                          </a:ln>
                        </pic:spPr>
                      </pic:pic>
                    </a:graphicData>
                  </a:graphic>
                </wp:inline>
              </w:drawing>
            </w:r>
          </w:p>
          <w:p>
            <w:pPr>
              <w:keepNext w:val="0"/>
              <w:keepLines w:val="0"/>
              <w:pageBreakBefore w:val="0"/>
              <w:widowControl w:val="0"/>
              <w:kinsoku/>
              <w:wordWrap/>
              <w:topLinePunct w:val="0"/>
              <w:bidi w:val="0"/>
              <w:spacing w:line="240" w:lineRule="auto"/>
              <w:jc w:val="center"/>
            </w:pPr>
            <w:r>
              <w:rPr>
                <w:b/>
                <w:bCs w:val="0"/>
                <w:sz w:val="21"/>
                <w:szCs w:val="21"/>
              </w:rPr>
              <w:t>图</w:t>
            </w:r>
            <w:r>
              <w:rPr>
                <w:rFonts w:hint="eastAsia"/>
                <w:b/>
                <w:bCs w:val="0"/>
                <w:sz w:val="21"/>
                <w:szCs w:val="21"/>
                <w:lang w:val="en-US" w:eastAsia="zh-CN"/>
              </w:rPr>
              <w:t>9</w:t>
            </w:r>
            <w:r>
              <w:rPr>
                <w:b/>
                <w:bCs w:val="0"/>
                <w:sz w:val="21"/>
                <w:szCs w:val="21"/>
              </w:rPr>
              <w:t xml:space="preserve">    架空线路工艺流程及产污环节示意图</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6" w:hRule="atLeast"/>
          <w:jc w:val="center"/>
        </w:trPr>
        <w:tc>
          <w:tcPr>
            <w:tcW w:w="9243" w:type="dxa"/>
            <w:tcBorders>
              <w:top w:val="single" w:color="auto" w:sz="4" w:space="0"/>
            </w:tcBorders>
            <w:noWrap w:val="0"/>
            <w:vAlign w:val="top"/>
          </w:tcPr>
          <w:p>
            <w:pPr>
              <w:keepNext w:val="0"/>
              <w:keepLines w:val="0"/>
              <w:pageBreakBefore w:val="0"/>
              <w:widowControl w:val="0"/>
              <w:kinsoku/>
              <w:wordWrap/>
              <w:topLinePunct w:val="0"/>
              <w:bidi w:val="0"/>
              <w:spacing w:before="120" w:beforeLines="50"/>
              <w:rPr>
                <w:rFonts w:ascii="Times New Roman" w:hAnsi="Times New Roman" w:cs="Times New Roman"/>
                <w:b/>
                <w:bCs w:val="0"/>
                <w:kern w:val="0"/>
                <w:sz w:val="28"/>
                <w:szCs w:val="28"/>
              </w:rPr>
            </w:pPr>
            <w:r>
              <w:rPr>
                <w:rFonts w:hint="eastAsia" w:cs="Times New Roman"/>
                <w:b/>
                <w:bCs w:val="0"/>
                <w:kern w:val="0"/>
                <w:sz w:val="28"/>
                <w:szCs w:val="28"/>
                <w:lang w:val="en-US" w:eastAsia="zh-CN"/>
              </w:rPr>
              <w:t>5.3</w:t>
            </w:r>
            <w:r>
              <w:rPr>
                <w:rFonts w:ascii="Times New Roman" w:hAnsi="Times New Roman" w:cs="Times New Roman"/>
                <w:b/>
                <w:bCs w:val="0"/>
                <w:kern w:val="0"/>
                <w:sz w:val="28"/>
                <w:szCs w:val="28"/>
              </w:rPr>
              <w:t>主要污染工序：</w:t>
            </w:r>
          </w:p>
          <w:p>
            <w:pPr>
              <w:keepNext w:val="0"/>
              <w:keepLines w:val="0"/>
              <w:pageBreakBefore w:val="0"/>
              <w:widowControl w:val="0"/>
              <w:kinsoku/>
              <w:wordWrap/>
              <w:topLinePunct w:val="0"/>
              <w:bidi w:val="0"/>
              <w:ind w:firstLine="480" w:firstLineChars="200"/>
              <w:jc w:val="both"/>
              <w:rPr>
                <w:rFonts w:hint="eastAsia" w:ascii="Times New Roman" w:hAnsi="Times New Roman" w:cs="Times New Roman"/>
                <w:bCs w:val="0"/>
                <w:kern w:val="24"/>
                <w:lang w:val="en-US" w:eastAsia="zh-CN"/>
              </w:rPr>
            </w:pPr>
            <w:r>
              <w:rPr>
                <w:rFonts w:hint="eastAsia" w:ascii="Times New Roman" w:hAnsi="Times New Roman" w:cs="Times New Roman"/>
                <w:bCs w:val="0"/>
                <w:kern w:val="24"/>
                <w:lang w:val="en-US" w:eastAsia="zh-CN"/>
              </w:rPr>
              <w:t>架空线路是从电站向消耗电能地区输送电能的主要渠道或不同电力网之间互送电能的联网渠道，是电力系统组成网络的必要部分。 架空线路一般由绝缘子、杆塔、架空线以及金具等组成。</w:t>
            </w:r>
          </w:p>
          <w:p>
            <w:pPr>
              <w:keepNext w:val="0"/>
              <w:keepLines w:val="0"/>
              <w:pageBreakBefore w:val="0"/>
              <w:widowControl w:val="0"/>
              <w:kinsoku/>
              <w:wordWrap/>
              <w:topLinePunct w:val="0"/>
              <w:bidi w:val="0"/>
              <w:ind w:firstLine="480" w:firstLineChars="200"/>
              <w:jc w:val="both"/>
              <w:rPr>
                <w:rFonts w:hint="eastAsia" w:cs="Times New Roman"/>
                <w:bCs w:val="0"/>
                <w:kern w:val="24"/>
                <w:lang w:val="en-US" w:eastAsia="zh-CN"/>
              </w:rPr>
            </w:pPr>
            <w:r>
              <w:rPr>
                <w:rFonts w:hint="eastAsia" w:ascii="Times New Roman" w:hAnsi="Times New Roman" w:cs="Times New Roman"/>
                <w:bCs w:val="0"/>
                <w:kern w:val="24"/>
                <w:lang w:val="en-US" w:eastAsia="zh-CN"/>
              </w:rPr>
              <w:t>架空线是架空敷设的用以输送电能的导线和用以防雷的架空地线的统称，架空线具有低电阻、高强度的特性，可以减少运行时的电能损耗和承受线路上动态和静态的机械荷载</w:t>
            </w:r>
            <w:r>
              <w:rPr>
                <w:rFonts w:hint="eastAsia" w:cs="Times New Roman"/>
                <w:bCs w:val="0"/>
                <w:kern w:val="24"/>
                <w:lang w:val="en-US" w:eastAsia="zh-CN"/>
              </w:rPr>
              <w:t>。</w:t>
            </w:r>
          </w:p>
          <w:p>
            <w:pPr>
              <w:keepNext w:val="0"/>
              <w:keepLines w:val="0"/>
              <w:pageBreakBefore w:val="0"/>
              <w:widowControl w:val="0"/>
              <w:kinsoku/>
              <w:wordWrap/>
              <w:topLinePunct w:val="0"/>
              <w:bidi w:val="0"/>
              <w:ind w:firstLine="480" w:firstLineChars="200"/>
              <w:jc w:val="both"/>
              <w:rPr>
                <w:rFonts w:hint="default" w:cs="Times New Roman"/>
                <w:bCs w:val="0"/>
                <w:kern w:val="24"/>
                <w:lang w:val="en-US" w:eastAsia="zh-CN"/>
              </w:rPr>
            </w:pPr>
            <w:r>
              <w:rPr>
                <w:rFonts w:hint="default" w:cs="Times New Roman"/>
                <w:bCs w:val="0"/>
                <w:kern w:val="24"/>
                <w:lang w:val="en-US" w:eastAsia="zh-CN"/>
              </w:rPr>
              <w:t>架空线路施工主要包括：材料运输、基础施工、铁塔组立以及导线架设等。施工期可能产生一定的环境空气、水环境、噪声、固体废物环境影响，但采取相应保护措施后，施工期的部分环境影响是可逆的，可在一定时间内得到恢复。 施工道路、塔基开挖弃土临时堆场不占用生态保护红线。</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ascii="Times New Roman" w:hAnsi="Times New Roman" w:cs="Times New Roman"/>
                <w:b/>
                <w:bCs/>
                <w:kern w:val="24"/>
                <w:szCs w:val="24"/>
              </w:rPr>
            </w:pPr>
            <w:r>
              <w:rPr>
                <w:rFonts w:hint="eastAsia" w:cs="Times New Roman"/>
                <w:b/>
                <w:bCs/>
                <w:kern w:val="24"/>
                <w:szCs w:val="24"/>
                <w:lang w:val="en-US" w:eastAsia="zh-CN"/>
              </w:rPr>
              <w:t>5.3.1</w:t>
            </w:r>
            <w:r>
              <w:rPr>
                <w:rFonts w:ascii="Times New Roman" w:hAnsi="Times New Roman" w:cs="Times New Roman"/>
                <w:b/>
                <w:bCs/>
                <w:kern w:val="24"/>
                <w:szCs w:val="24"/>
              </w:rPr>
              <w:t>施工期</w:t>
            </w:r>
          </w:p>
          <w:p>
            <w:pPr>
              <w:keepNext w:val="0"/>
              <w:keepLines w:val="0"/>
              <w:pageBreakBefore w:val="0"/>
              <w:widowControl w:val="0"/>
              <w:kinsoku/>
              <w:wordWrap/>
              <w:topLinePunct w:val="0"/>
              <w:bidi w:val="0"/>
              <w:ind w:firstLine="480" w:firstLineChars="200"/>
              <w:jc w:val="both"/>
              <w:rPr>
                <w:rFonts w:ascii="Times New Roman" w:hAnsi="Times New Roman" w:cs="Times New Roman"/>
                <w:bCs w:val="0"/>
                <w:kern w:val="24"/>
              </w:rPr>
            </w:pPr>
            <w:r>
              <w:rPr>
                <w:rFonts w:hint="eastAsia" w:cs="Times New Roman"/>
                <w:bCs w:val="0"/>
                <w:kern w:val="24"/>
                <w:lang w:val="en-US" w:eastAsia="zh-CN"/>
              </w:rPr>
              <w:t>（1）</w:t>
            </w:r>
            <w:r>
              <w:rPr>
                <w:rFonts w:ascii="Times New Roman" w:hAnsi="Times New Roman" w:cs="Times New Roman"/>
                <w:bCs w:val="0"/>
                <w:kern w:val="24"/>
              </w:rPr>
              <w:t>施工期废气</w:t>
            </w:r>
          </w:p>
          <w:p>
            <w:pPr>
              <w:keepNext w:val="0"/>
              <w:keepLines w:val="0"/>
              <w:pageBreakBefore w:val="0"/>
              <w:widowControl w:val="0"/>
              <w:kinsoku/>
              <w:wordWrap/>
              <w:topLinePunct w:val="0"/>
              <w:bidi w:val="0"/>
              <w:ind w:firstLine="480" w:firstLineChars="200"/>
              <w:jc w:val="both"/>
              <w:rPr>
                <w:rFonts w:ascii="Times New Roman" w:hAnsi="Times New Roman" w:cs="Times New Roman"/>
                <w:bCs w:val="0"/>
                <w:kern w:val="24"/>
              </w:rPr>
            </w:pPr>
            <w:r>
              <w:rPr>
                <w:rFonts w:ascii="Times New Roman" w:hAnsi="Times New Roman" w:cs="Times New Roman"/>
                <w:bCs w:val="0"/>
                <w:kern w:val="24"/>
              </w:rPr>
              <w:t>施工期废气主要包括施工扬尘</w:t>
            </w:r>
            <w:r>
              <w:rPr>
                <w:rFonts w:hint="eastAsia" w:cs="Times New Roman"/>
                <w:bCs w:val="0"/>
                <w:kern w:val="24"/>
                <w:lang w:eastAsia="zh-CN"/>
              </w:rPr>
              <w:t>、施工</w:t>
            </w:r>
            <w:r>
              <w:rPr>
                <w:rFonts w:ascii="Times New Roman" w:hAnsi="Times New Roman" w:cs="Times New Roman"/>
                <w:bCs w:val="0"/>
                <w:kern w:val="24"/>
              </w:rPr>
              <w:t>机械废气。</w:t>
            </w:r>
          </w:p>
          <w:p>
            <w:pPr>
              <w:keepNext w:val="0"/>
              <w:keepLines w:val="0"/>
              <w:pageBreakBefore w:val="0"/>
              <w:widowControl w:val="0"/>
              <w:kinsoku/>
              <w:wordWrap/>
              <w:topLinePunct w:val="0"/>
              <w:bidi w:val="0"/>
              <w:ind w:firstLine="480" w:firstLineChars="200"/>
              <w:jc w:val="both"/>
              <w:rPr>
                <w:rFonts w:ascii="Times New Roman" w:hAnsi="Times New Roman" w:cs="Times New Roman"/>
                <w:bCs w:val="0"/>
                <w:kern w:val="24"/>
              </w:rPr>
            </w:pPr>
            <w:r>
              <w:rPr>
                <w:rFonts w:hint="eastAsia" w:ascii="Times New Roman" w:hAnsi="Times New Roman" w:cs="Times New Roman"/>
                <w:bCs w:val="0"/>
                <w:kern w:val="24"/>
              </w:rPr>
              <w:t>施工扬尘包括塔基开挖土方、土石方回填、材料运输装卸和搅拌、施工现场清理平整以及施工期车辆行驶导致的二次扬尘等。根据类比分析，由于粉尘颗粒的重力沉降作用，施工场地扬尘的污染影响范围和程度随着距离的不同而有所差异，在扬尘点下风向0</w:t>
            </w:r>
            <w:r>
              <w:rPr>
                <w:rFonts w:hint="eastAsia" w:cs="Times New Roman"/>
                <w:bCs w:val="0"/>
                <w:kern w:val="24"/>
                <w:lang w:val="en-US" w:eastAsia="zh-CN"/>
              </w:rPr>
              <w:t>-</w:t>
            </w:r>
            <w:r>
              <w:rPr>
                <w:rFonts w:hint="eastAsia" w:ascii="Times New Roman" w:hAnsi="Times New Roman" w:cs="Times New Roman"/>
                <w:bCs w:val="0"/>
                <w:kern w:val="24"/>
              </w:rPr>
              <w:t>50m为较重污染带，50</w:t>
            </w:r>
            <w:r>
              <w:rPr>
                <w:rFonts w:hint="eastAsia" w:cs="Times New Roman"/>
                <w:bCs w:val="0"/>
                <w:kern w:val="24"/>
                <w:lang w:val="en-US" w:eastAsia="zh-CN"/>
              </w:rPr>
              <w:t>-</w:t>
            </w:r>
            <w:r>
              <w:rPr>
                <w:rFonts w:hint="eastAsia" w:ascii="Times New Roman" w:hAnsi="Times New Roman" w:cs="Times New Roman"/>
                <w:bCs w:val="0"/>
                <w:kern w:val="24"/>
              </w:rPr>
              <w:t>100m为污染带，100</w:t>
            </w:r>
            <w:r>
              <w:rPr>
                <w:rFonts w:hint="eastAsia" w:cs="Times New Roman"/>
                <w:bCs w:val="0"/>
                <w:kern w:val="24"/>
                <w:lang w:val="en-US" w:eastAsia="zh-CN"/>
              </w:rPr>
              <w:t>-</w:t>
            </w:r>
            <w:r>
              <w:rPr>
                <w:rFonts w:hint="eastAsia" w:ascii="Times New Roman" w:hAnsi="Times New Roman" w:cs="Times New Roman"/>
                <w:bCs w:val="0"/>
                <w:kern w:val="24"/>
              </w:rPr>
              <w:t>200m为轻污染带，200m以外对大气影响轻微。施工期起尘量的多少会随风力的大小、物料的干湿程度、作业的文明程度等因素发生较大的变化，影响范围可达50</w:t>
            </w:r>
            <w:r>
              <w:rPr>
                <w:rFonts w:hint="eastAsia" w:cs="Times New Roman"/>
                <w:bCs w:val="0"/>
                <w:kern w:val="24"/>
                <w:lang w:val="en-US" w:eastAsia="zh-CN"/>
              </w:rPr>
              <w:t>-</w:t>
            </w:r>
            <w:r>
              <w:rPr>
                <w:rFonts w:hint="eastAsia" w:ascii="Times New Roman" w:hAnsi="Times New Roman" w:cs="Times New Roman"/>
                <w:bCs w:val="0"/>
                <w:kern w:val="24"/>
              </w:rPr>
              <w:t>100m。</w:t>
            </w:r>
          </w:p>
          <w:p>
            <w:pPr>
              <w:keepNext w:val="0"/>
              <w:keepLines w:val="0"/>
              <w:pageBreakBefore w:val="0"/>
              <w:widowControl w:val="0"/>
              <w:kinsoku/>
              <w:wordWrap/>
              <w:topLinePunct w:val="0"/>
              <w:bidi w:val="0"/>
              <w:ind w:firstLine="480" w:firstLineChars="200"/>
              <w:jc w:val="both"/>
              <w:rPr>
                <w:rFonts w:ascii="Times New Roman" w:hAnsi="Times New Roman" w:cs="Times New Roman"/>
                <w:bCs w:val="0"/>
                <w:kern w:val="24"/>
              </w:rPr>
            </w:pPr>
            <w:r>
              <w:rPr>
                <w:rFonts w:ascii="Times New Roman" w:hAnsi="Times New Roman" w:cs="Times New Roman"/>
                <w:bCs w:val="0"/>
                <w:kern w:val="24"/>
              </w:rPr>
              <w:t>施工过程中，挖掘机等机械排放一定量的废气，施工机械废气中的污染物主要是NOX、CO、HC。</w:t>
            </w:r>
            <w:r>
              <w:rPr>
                <w:rFonts w:hint="eastAsia" w:ascii="Times New Roman" w:hAnsi="Times New Roman" w:cs="Times New Roman"/>
                <w:bCs w:val="0"/>
                <w:kern w:val="24"/>
              </w:rPr>
              <w:t>废气中污染物浓度及产生量视其使用频率及发动机对燃料的燃烧情况而异。该废气属于低架点源无组织排放废气，具有间断性产生、产生量较小、产生点相对分散、易被稀释扩散等特点，故本次评价不对其进行定量核算。</w:t>
            </w:r>
          </w:p>
          <w:p>
            <w:pPr>
              <w:keepNext w:val="0"/>
              <w:keepLines w:val="0"/>
              <w:pageBreakBefore w:val="0"/>
              <w:widowControl w:val="0"/>
              <w:kinsoku/>
              <w:wordWrap/>
              <w:topLinePunct w:val="0"/>
              <w:bidi w:val="0"/>
              <w:ind w:firstLine="480" w:firstLineChars="200"/>
              <w:jc w:val="both"/>
              <w:rPr>
                <w:rFonts w:ascii="Times New Roman" w:hAnsi="Times New Roman" w:cs="Times New Roman"/>
                <w:b w:val="0"/>
                <w:bCs/>
                <w:kern w:val="24"/>
              </w:rPr>
            </w:pPr>
            <w:r>
              <w:rPr>
                <w:rFonts w:hint="eastAsia" w:cs="Times New Roman"/>
                <w:b w:val="0"/>
                <w:bCs/>
                <w:kern w:val="24"/>
                <w:lang w:eastAsia="zh-CN"/>
              </w:rPr>
              <w:t>（</w:t>
            </w:r>
            <w:r>
              <w:rPr>
                <w:rFonts w:hint="eastAsia" w:cs="Times New Roman"/>
                <w:b w:val="0"/>
                <w:bCs/>
                <w:kern w:val="24"/>
                <w:lang w:val="en-US" w:eastAsia="zh-CN"/>
              </w:rPr>
              <w:t>2</w:t>
            </w:r>
            <w:r>
              <w:rPr>
                <w:rFonts w:hint="eastAsia" w:cs="Times New Roman"/>
                <w:b w:val="0"/>
                <w:bCs/>
                <w:kern w:val="24"/>
                <w:lang w:eastAsia="zh-CN"/>
              </w:rPr>
              <w:t>）</w:t>
            </w:r>
            <w:r>
              <w:rPr>
                <w:rFonts w:ascii="Times New Roman" w:hAnsi="Times New Roman" w:cs="Times New Roman"/>
                <w:b w:val="0"/>
                <w:bCs/>
                <w:kern w:val="24"/>
              </w:rPr>
              <w:t>施工期废水</w:t>
            </w:r>
          </w:p>
          <w:p>
            <w:pPr>
              <w:keepNext w:val="0"/>
              <w:keepLines w:val="0"/>
              <w:pageBreakBefore w:val="0"/>
              <w:widowControl w:val="0"/>
              <w:kinsoku/>
              <w:wordWrap/>
              <w:topLinePunct w:val="0"/>
              <w:bidi w:val="0"/>
              <w:ind w:firstLine="480" w:firstLineChars="200"/>
              <w:jc w:val="both"/>
              <w:rPr>
                <w:rFonts w:ascii="Times New Roman" w:hAnsi="Times New Roman" w:cs="Times New Roman"/>
                <w:bCs w:val="0"/>
                <w:kern w:val="24"/>
              </w:rPr>
            </w:pPr>
            <w:r>
              <w:rPr>
                <w:rFonts w:ascii="Times New Roman" w:hAnsi="Times New Roman" w:cs="Times New Roman"/>
                <w:bCs w:val="0"/>
                <w:kern w:val="24"/>
              </w:rPr>
              <w:t>施工期废水污染源包括施工人员的生活污水和施工废水，施工废水主要为结构阶段混凝土养护排水。</w:t>
            </w:r>
          </w:p>
          <w:p>
            <w:pPr>
              <w:keepNext w:val="0"/>
              <w:keepLines w:val="0"/>
              <w:pageBreakBefore w:val="0"/>
              <w:widowControl w:val="0"/>
              <w:kinsoku/>
              <w:wordWrap/>
              <w:topLinePunct w:val="0"/>
              <w:bidi w:val="0"/>
              <w:ind w:firstLine="480" w:firstLineChars="200"/>
              <w:jc w:val="both"/>
              <w:rPr>
                <w:rFonts w:hint="eastAsia" w:ascii="Times New Roman" w:hAnsi="Times New Roman" w:eastAsia="宋体" w:cs="Times New Roman"/>
                <w:lang w:eastAsia="zh-CN"/>
              </w:rPr>
            </w:pPr>
            <w:r>
              <w:rPr>
                <w:rFonts w:ascii="Times New Roman" w:hAnsi="Times New Roman" w:cs="Times New Roman"/>
                <w:bCs w:val="0"/>
                <w:kern w:val="24"/>
              </w:rPr>
              <w:t>线路施工过程中，结构阶段混凝土养护排水经自然蒸发后基本无余量</w:t>
            </w:r>
            <w:r>
              <w:rPr>
                <w:rFonts w:ascii="Times New Roman" w:hAnsi="Times New Roman" w:cs="Times New Roman"/>
                <w:szCs w:val="22"/>
              </w:rPr>
              <w:t>。</w:t>
            </w:r>
            <w:r>
              <w:rPr>
                <w:rFonts w:ascii="Times New Roman" w:hAnsi="Times New Roman" w:cs="Times New Roman"/>
                <w:bCs w:val="0"/>
                <w:kern w:val="24"/>
              </w:rPr>
              <w:t>生活污水参考</w:t>
            </w:r>
            <w:r>
              <w:rPr>
                <w:rFonts w:ascii="Times New Roman" w:hAnsi="Times New Roman" w:cs="Times New Roman"/>
              </w:rPr>
              <w:t>《行业用水定额》（陕西省地方标准DB61/T943-2014）中“农村居民生活”用水定额（65L/人•d），考虑到施工期</w:t>
            </w:r>
            <w:r>
              <w:t>施工人员租用附近</w:t>
            </w:r>
            <w:r>
              <w:rPr>
                <w:highlight w:val="none"/>
              </w:rPr>
              <w:t>村民房屋</w:t>
            </w:r>
            <w:r>
              <w:t>，</w:t>
            </w:r>
            <w:r>
              <w:rPr>
                <w:rFonts w:ascii="Times New Roman" w:hAnsi="Times New Roman" w:cs="Times New Roman"/>
                <w:bCs w:val="0"/>
              </w:rPr>
              <w:t>不在</w:t>
            </w:r>
            <w:r>
              <w:rPr>
                <w:rFonts w:hint="eastAsia" w:cs="Times New Roman"/>
                <w:bCs w:val="0"/>
                <w:lang w:eastAsia="zh-CN"/>
              </w:rPr>
              <w:t>项目</w:t>
            </w:r>
            <w:r>
              <w:rPr>
                <w:rFonts w:ascii="Times New Roman" w:hAnsi="Times New Roman" w:cs="Times New Roman"/>
                <w:bCs w:val="0"/>
              </w:rPr>
              <w:t>区食宿</w:t>
            </w:r>
            <w:r>
              <w:rPr>
                <w:rFonts w:ascii="Times New Roman" w:hAnsi="Times New Roman" w:cs="Times New Roman"/>
              </w:rPr>
              <w:t>，生活用水量较少，人均用水指标按20L/d计</w:t>
            </w:r>
            <w:r>
              <w:rPr>
                <w:rFonts w:ascii="Times New Roman" w:hAnsi="Times New Roman" w:cs="Times New Roman"/>
                <w:bCs w:val="0"/>
              </w:rPr>
              <w:t>。</w:t>
            </w:r>
            <w:r>
              <w:rPr>
                <w:rFonts w:hint="eastAsia" w:cs="Times New Roman"/>
                <w:bCs w:val="0"/>
                <w:lang w:eastAsia="zh-CN"/>
              </w:rPr>
              <w:t>项目</w:t>
            </w:r>
            <w:r>
              <w:rPr>
                <w:rFonts w:ascii="Times New Roman" w:hAnsi="Times New Roman" w:cs="Times New Roman"/>
                <w:bCs w:val="0"/>
              </w:rPr>
              <w:t>平均施工人员约15人，则施工期施工人员用水量为0.30m</w:t>
            </w:r>
            <w:r>
              <w:rPr>
                <w:rFonts w:ascii="Times New Roman" w:hAnsi="Times New Roman" w:cs="Times New Roman"/>
                <w:bCs w:val="0"/>
                <w:vertAlign w:val="superscript"/>
              </w:rPr>
              <w:t>3</w:t>
            </w:r>
            <w:r>
              <w:rPr>
                <w:rFonts w:ascii="Times New Roman" w:hAnsi="Times New Roman" w:cs="Times New Roman"/>
                <w:bCs w:val="0"/>
              </w:rPr>
              <w:t>/d，废水产生量按0.8计，则产生量为0.24m</w:t>
            </w:r>
            <w:r>
              <w:rPr>
                <w:rFonts w:ascii="Times New Roman" w:hAnsi="Times New Roman" w:cs="Times New Roman"/>
                <w:bCs w:val="0"/>
                <w:vertAlign w:val="superscript"/>
              </w:rPr>
              <w:t>3</w:t>
            </w:r>
            <w:r>
              <w:rPr>
                <w:rFonts w:ascii="Times New Roman" w:hAnsi="Times New Roman" w:cs="Times New Roman"/>
                <w:bCs w:val="0"/>
              </w:rPr>
              <w:t>/d。</w:t>
            </w:r>
            <w:r>
              <w:rPr>
                <w:rFonts w:hint="eastAsia" w:ascii="Times New Roman" w:hAnsi="Times New Roman" w:cs="Times New Roman"/>
                <w:bCs w:val="0"/>
                <w:lang w:eastAsia="zh-CN"/>
              </w:rPr>
              <w:t>生活污水</w:t>
            </w:r>
            <w:r>
              <w:t>依托现有村民污水处理设施处理</w:t>
            </w:r>
            <w:r>
              <w:rPr>
                <w:rFonts w:hint="eastAsia"/>
                <w:lang w:eastAsia="zh-CN"/>
              </w:rPr>
              <w:t>。</w:t>
            </w:r>
          </w:p>
          <w:p>
            <w:pPr>
              <w:keepNext w:val="0"/>
              <w:keepLines w:val="0"/>
              <w:pageBreakBefore w:val="0"/>
              <w:widowControl w:val="0"/>
              <w:kinsoku/>
              <w:wordWrap/>
              <w:topLinePunct w:val="0"/>
              <w:bidi w:val="0"/>
              <w:ind w:firstLine="480" w:firstLineChars="200"/>
              <w:jc w:val="both"/>
              <w:rPr>
                <w:rFonts w:ascii="Times New Roman" w:hAnsi="Times New Roman" w:cs="Times New Roman"/>
                <w:b w:val="0"/>
                <w:bCs/>
                <w:kern w:val="24"/>
              </w:rPr>
            </w:pPr>
            <w:r>
              <w:rPr>
                <w:rFonts w:hint="eastAsia" w:cs="Times New Roman"/>
                <w:b w:val="0"/>
                <w:bCs/>
                <w:kern w:val="24"/>
                <w:lang w:eastAsia="zh-CN"/>
              </w:rPr>
              <w:t>（</w:t>
            </w:r>
            <w:r>
              <w:rPr>
                <w:rFonts w:hint="eastAsia" w:cs="Times New Roman"/>
                <w:b w:val="0"/>
                <w:bCs/>
                <w:kern w:val="24"/>
                <w:lang w:val="en-US" w:eastAsia="zh-CN"/>
              </w:rPr>
              <w:t>3</w:t>
            </w:r>
            <w:r>
              <w:rPr>
                <w:rFonts w:hint="eastAsia" w:cs="Times New Roman"/>
                <w:b w:val="0"/>
                <w:bCs/>
                <w:kern w:val="24"/>
                <w:lang w:eastAsia="zh-CN"/>
              </w:rPr>
              <w:t>）</w:t>
            </w:r>
            <w:r>
              <w:rPr>
                <w:rFonts w:ascii="Times New Roman" w:hAnsi="Times New Roman" w:cs="Times New Roman"/>
                <w:b w:val="0"/>
                <w:bCs/>
                <w:kern w:val="24"/>
              </w:rPr>
              <w:t>施工期噪声</w:t>
            </w:r>
          </w:p>
          <w:p>
            <w:pPr>
              <w:keepNext w:val="0"/>
              <w:keepLines w:val="0"/>
              <w:pageBreakBefore w:val="0"/>
              <w:widowControl w:val="0"/>
              <w:kinsoku/>
              <w:wordWrap/>
              <w:topLinePunct w:val="0"/>
              <w:bidi w:val="0"/>
              <w:ind w:firstLine="480" w:firstLineChars="200"/>
              <w:jc w:val="both"/>
              <w:rPr>
                <w:rFonts w:ascii="Times New Roman" w:hAnsi="Times New Roman" w:cs="Times New Roman"/>
                <w:b/>
                <w:bCs w:val="0"/>
                <w:kern w:val="24"/>
              </w:rPr>
            </w:pPr>
            <w:r>
              <w:rPr>
                <w:rFonts w:ascii="Times New Roman" w:hAnsi="Times New Roman" w:cs="Times New Roman"/>
                <w:kern w:val="24"/>
              </w:rPr>
              <w:t>输电线路在建设期主要噪声源有吊车、挖掘机、混凝土泵车等，这些施工设备运行时会产生较高的噪声，其声级一般小于85～90dB(A)；此外，在架线施工过程中，各牵张场内的牵张机、绞盘机等设备也会产生一定的机械噪声，其声级一般小于70dB(A)。</w:t>
            </w:r>
          </w:p>
          <w:p>
            <w:pPr>
              <w:keepNext w:val="0"/>
              <w:keepLines w:val="0"/>
              <w:pageBreakBefore w:val="0"/>
              <w:widowControl w:val="0"/>
              <w:kinsoku/>
              <w:wordWrap/>
              <w:topLinePunct w:val="0"/>
              <w:bidi w:val="0"/>
              <w:ind w:firstLine="480" w:firstLineChars="200"/>
              <w:jc w:val="both"/>
              <w:rPr>
                <w:rFonts w:ascii="Times New Roman" w:hAnsi="Times New Roman" w:cs="Times New Roman"/>
                <w:b w:val="0"/>
                <w:bCs/>
                <w:kern w:val="24"/>
              </w:rPr>
            </w:pPr>
            <w:r>
              <w:rPr>
                <w:rFonts w:hint="eastAsia" w:cs="Times New Roman"/>
                <w:b w:val="0"/>
                <w:bCs/>
                <w:kern w:val="24"/>
                <w:lang w:eastAsia="zh-CN"/>
              </w:rPr>
              <w:t>（</w:t>
            </w:r>
            <w:r>
              <w:rPr>
                <w:rFonts w:hint="eastAsia" w:cs="Times New Roman"/>
                <w:b w:val="0"/>
                <w:bCs/>
                <w:kern w:val="24"/>
                <w:lang w:val="en-US" w:eastAsia="zh-CN"/>
              </w:rPr>
              <w:t>4</w:t>
            </w:r>
            <w:r>
              <w:rPr>
                <w:rFonts w:hint="eastAsia" w:cs="Times New Roman"/>
                <w:b w:val="0"/>
                <w:bCs/>
                <w:kern w:val="24"/>
                <w:lang w:eastAsia="zh-CN"/>
              </w:rPr>
              <w:t>）</w:t>
            </w:r>
            <w:r>
              <w:rPr>
                <w:rFonts w:ascii="Times New Roman" w:hAnsi="Times New Roman" w:cs="Times New Roman"/>
                <w:b w:val="0"/>
                <w:bCs/>
                <w:kern w:val="24"/>
              </w:rPr>
              <w:t>固体废弃物</w:t>
            </w:r>
          </w:p>
          <w:p>
            <w:pPr>
              <w:keepNext w:val="0"/>
              <w:keepLines w:val="0"/>
              <w:pageBreakBefore w:val="0"/>
              <w:widowControl w:val="0"/>
              <w:kinsoku/>
              <w:wordWrap/>
              <w:topLinePunct w:val="0"/>
              <w:bidi w:val="0"/>
              <w:ind w:firstLine="480" w:firstLineChars="200"/>
              <w:jc w:val="both"/>
              <w:rPr>
                <w:rFonts w:ascii="Times New Roman" w:hAnsi="Times New Roman" w:cs="Times New Roman"/>
                <w:bCs w:val="0"/>
                <w:kern w:val="24"/>
              </w:rPr>
            </w:pPr>
            <w:r>
              <w:rPr>
                <w:rFonts w:ascii="Times New Roman" w:hAnsi="Times New Roman" w:cs="Times New Roman"/>
                <w:kern w:val="24"/>
              </w:rPr>
              <w:t>本</w:t>
            </w:r>
            <w:r>
              <w:rPr>
                <w:rFonts w:hint="eastAsia" w:cs="Times New Roman"/>
                <w:kern w:val="24"/>
                <w:lang w:eastAsia="zh-CN"/>
              </w:rPr>
              <w:t>项目</w:t>
            </w:r>
            <w:r>
              <w:rPr>
                <w:rFonts w:ascii="Times New Roman" w:hAnsi="Times New Roman" w:cs="Times New Roman"/>
                <w:kern w:val="24"/>
              </w:rPr>
              <w:t>施工期固体废弃物主要为施工人员的生活垃圾及损坏或废弃的各种建筑材料。</w:t>
            </w:r>
          </w:p>
          <w:p>
            <w:pPr>
              <w:keepNext w:val="0"/>
              <w:keepLines w:val="0"/>
              <w:pageBreakBefore w:val="0"/>
              <w:widowControl w:val="0"/>
              <w:kinsoku/>
              <w:wordWrap/>
              <w:topLinePunct w:val="0"/>
              <w:bidi w:val="0"/>
              <w:ind w:firstLine="480" w:firstLineChars="200"/>
              <w:jc w:val="both"/>
              <w:rPr>
                <w:rFonts w:ascii="Times New Roman" w:hAnsi="Times New Roman" w:cs="Times New Roman"/>
              </w:rPr>
            </w:pPr>
            <w:r>
              <w:rPr>
                <w:rFonts w:hint="eastAsia" w:cs="Times New Roman"/>
                <w:lang w:eastAsia="zh-CN"/>
              </w:rPr>
              <w:t>①</w:t>
            </w:r>
            <w:r>
              <w:rPr>
                <w:rFonts w:ascii="Times New Roman" w:hAnsi="Times New Roman" w:cs="Times New Roman"/>
              </w:rPr>
              <w:t>建筑垃圾</w:t>
            </w:r>
          </w:p>
          <w:p>
            <w:pPr>
              <w:keepNext w:val="0"/>
              <w:keepLines w:val="0"/>
              <w:pageBreakBefore w:val="0"/>
              <w:widowControl w:val="0"/>
              <w:kinsoku/>
              <w:wordWrap/>
              <w:topLinePunct w:val="0"/>
              <w:bidi w:val="0"/>
              <w:ind w:firstLine="480" w:firstLineChars="200"/>
              <w:jc w:val="both"/>
              <w:rPr>
                <w:rFonts w:ascii="Times New Roman" w:hAnsi="Times New Roman" w:cs="Times New Roman"/>
              </w:rPr>
            </w:pPr>
            <w:r>
              <w:rPr>
                <w:rFonts w:ascii="Times New Roman" w:hAnsi="Times New Roman" w:cs="Times New Roman"/>
              </w:rPr>
              <w:t>本</w:t>
            </w:r>
            <w:r>
              <w:rPr>
                <w:rFonts w:hint="eastAsia" w:cs="Times New Roman"/>
                <w:lang w:eastAsia="zh-CN"/>
              </w:rPr>
              <w:t>项目</w:t>
            </w:r>
            <w:r>
              <w:rPr>
                <w:rFonts w:ascii="Times New Roman" w:hAnsi="Times New Roman" w:cs="Times New Roman"/>
              </w:rPr>
              <w:t>建筑工程内容不多、建设材料较少，产生量不大。</w:t>
            </w:r>
            <w:r>
              <w:rPr>
                <w:rFonts w:hint="eastAsia" w:cs="Times New Roman"/>
                <w:lang w:eastAsia="zh-CN"/>
              </w:rPr>
              <w:t>项目</w:t>
            </w:r>
            <w:r>
              <w:rPr>
                <w:rFonts w:ascii="Times New Roman" w:hAnsi="Times New Roman" w:cs="Times New Roman"/>
              </w:rPr>
              <w:t>产生的建筑垃圾收集后堆放于指定地点，其中可再生利用部分回收出售给废品站，不可再生利用的部分运往</w:t>
            </w:r>
            <w:r>
              <w:rPr>
                <w:rFonts w:hint="eastAsia" w:cs="Times New Roman"/>
                <w:highlight w:val="none"/>
                <w:lang w:eastAsia="zh-CN"/>
              </w:rPr>
              <w:t>当地</w:t>
            </w:r>
            <w:r>
              <w:rPr>
                <w:rFonts w:ascii="Times New Roman" w:hAnsi="Times New Roman" w:cs="Times New Roman"/>
                <w:highlight w:val="none"/>
              </w:rPr>
              <w:t>建</w:t>
            </w:r>
            <w:r>
              <w:rPr>
                <w:rFonts w:ascii="Times New Roman" w:hAnsi="Times New Roman" w:cs="Times New Roman"/>
              </w:rPr>
              <w:t>筑垃圾填埋场。</w:t>
            </w:r>
          </w:p>
          <w:p>
            <w:pPr>
              <w:keepNext w:val="0"/>
              <w:keepLines w:val="0"/>
              <w:pageBreakBefore w:val="0"/>
              <w:widowControl w:val="0"/>
              <w:kinsoku/>
              <w:wordWrap/>
              <w:topLinePunct w:val="0"/>
              <w:bidi w:val="0"/>
              <w:ind w:firstLine="480" w:firstLineChars="200"/>
              <w:jc w:val="both"/>
              <w:rPr>
                <w:rFonts w:ascii="Times New Roman" w:hAnsi="Times New Roman" w:cs="Times New Roman"/>
              </w:rPr>
            </w:pPr>
            <w:r>
              <w:rPr>
                <w:rFonts w:hint="eastAsia" w:cs="Times New Roman"/>
                <w:lang w:eastAsia="zh-CN"/>
              </w:rPr>
              <w:t>②</w:t>
            </w:r>
            <w:r>
              <w:rPr>
                <w:rFonts w:ascii="Times New Roman" w:hAnsi="Times New Roman" w:cs="Times New Roman"/>
              </w:rPr>
              <w:t>施工人员生活垃圾</w:t>
            </w:r>
          </w:p>
          <w:p>
            <w:pPr>
              <w:keepNext w:val="0"/>
              <w:keepLines w:val="0"/>
              <w:pageBreakBefore w:val="0"/>
              <w:widowControl w:val="0"/>
              <w:kinsoku/>
              <w:wordWrap/>
              <w:topLinePunct w:val="0"/>
              <w:bidi w:val="0"/>
              <w:ind w:firstLine="480" w:firstLineChars="200"/>
              <w:jc w:val="both"/>
              <w:rPr>
                <w:rFonts w:ascii="Times New Roman" w:hAnsi="Times New Roman" w:cs="Times New Roman"/>
                <w:bCs w:val="0"/>
                <w:kern w:val="24"/>
              </w:rPr>
            </w:pPr>
            <w:r>
              <w:rPr>
                <w:rFonts w:ascii="Times New Roman" w:hAnsi="Times New Roman" w:cs="Times New Roman"/>
              </w:rPr>
              <w:t>本</w:t>
            </w:r>
            <w:r>
              <w:rPr>
                <w:rFonts w:hint="eastAsia" w:cs="Times New Roman"/>
                <w:lang w:eastAsia="zh-CN"/>
              </w:rPr>
              <w:t>项目</w:t>
            </w:r>
            <w:r>
              <w:rPr>
                <w:rFonts w:ascii="Times New Roman" w:hAnsi="Times New Roman" w:cs="Times New Roman"/>
              </w:rPr>
              <w:t>施工人员依托周边村庄现有生活设施。本</w:t>
            </w:r>
            <w:r>
              <w:rPr>
                <w:rFonts w:hint="eastAsia" w:cs="Times New Roman"/>
                <w:lang w:eastAsia="zh-CN"/>
              </w:rPr>
              <w:t>项目</w:t>
            </w:r>
            <w:r>
              <w:rPr>
                <w:rFonts w:ascii="Times New Roman" w:hAnsi="Times New Roman" w:cs="Times New Roman"/>
              </w:rPr>
              <w:t>平均施工人员约15人，参考《第一次全国污染源普查城镇生活源产排污系数手册》，五区5类区（榆林市）居民生活垃圾产生量，本</w:t>
            </w:r>
            <w:r>
              <w:rPr>
                <w:rFonts w:hint="eastAsia" w:cs="Times New Roman"/>
                <w:lang w:eastAsia="zh-CN"/>
              </w:rPr>
              <w:t>项目</w:t>
            </w:r>
            <w:r>
              <w:rPr>
                <w:rFonts w:ascii="Times New Roman" w:hAnsi="Times New Roman" w:cs="Times New Roman"/>
              </w:rPr>
              <w:t>施工人员生活垃圾产生量按0.34kg/人·d计，即为5.1kg/d。生活垃圾不得随意丢弃，统一纳入当地垃圾清运系统</w:t>
            </w:r>
            <w:r>
              <w:rPr>
                <w:rFonts w:ascii="Times New Roman" w:hAnsi="Times New Roman" w:cs="Times New Roman"/>
                <w:bCs w:val="0"/>
                <w:kern w:val="24"/>
              </w:rPr>
              <w:t>。</w:t>
            </w:r>
          </w:p>
          <w:p>
            <w:pPr>
              <w:pStyle w:val="8"/>
              <w:keepNext w:val="0"/>
              <w:keepLines w:val="0"/>
              <w:pageBreakBefore w:val="0"/>
              <w:widowControl w:val="0"/>
              <w:tabs>
                <w:tab w:val="left" w:pos="6180"/>
              </w:tabs>
              <w:kinsoku/>
              <w:wordWrap/>
              <w:topLinePunct w:val="0"/>
              <w:bidi w:val="0"/>
              <w:adjustRightInd/>
              <w:spacing w:line="360" w:lineRule="auto"/>
              <w:ind w:firstLine="480" w:firstLineChars="200"/>
              <w:rPr>
                <w:rFonts w:ascii="Times New Roman" w:hAnsi="Times New Roman" w:cs="Times New Roman"/>
                <w:b w:val="0"/>
                <w:bCs/>
              </w:rPr>
            </w:pPr>
            <w:r>
              <w:rPr>
                <w:rFonts w:hint="eastAsia" w:cs="Times New Roman"/>
                <w:b w:val="0"/>
                <w:bCs/>
                <w:lang w:eastAsia="zh-CN"/>
              </w:rPr>
              <w:t>（</w:t>
            </w:r>
            <w:r>
              <w:rPr>
                <w:rFonts w:hint="eastAsia" w:cs="Times New Roman"/>
                <w:b w:val="0"/>
                <w:bCs/>
                <w:lang w:val="en-US" w:eastAsia="zh-CN"/>
              </w:rPr>
              <w:t>5</w:t>
            </w:r>
            <w:r>
              <w:rPr>
                <w:rFonts w:hint="eastAsia" w:cs="Times New Roman"/>
                <w:b w:val="0"/>
                <w:bCs/>
                <w:lang w:eastAsia="zh-CN"/>
              </w:rPr>
              <w:t>）</w:t>
            </w:r>
            <w:r>
              <w:rPr>
                <w:rFonts w:ascii="Times New Roman" w:hAnsi="Times New Roman" w:cs="Times New Roman"/>
                <w:b w:val="0"/>
                <w:bCs/>
              </w:rPr>
              <w:t>生态影响</w:t>
            </w:r>
          </w:p>
          <w:p>
            <w:pPr>
              <w:pStyle w:val="8"/>
              <w:keepNext w:val="0"/>
              <w:keepLines w:val="0"/>
              <w:pageBreakBefore w:val="0"/>
              <w:widowControl w:val="0"/>
              <w:tabs>
                <w:tab w:val="left" w:pos="6180"/>
              </w:tabs>
              <w:kinsoku/>
              <w:wordWrap/>
              <w:topLinePunct w:val="0"/>
              <w:bidi w:val="0"/>
              <w:adjustRightInd/>
              <w:spacing w:line="360" w:lineRule="auto"/>
              <w:ind w:firstLine="480" w:firstLineChars="200"/>
              <w:jc w:val="both"/>
              <w:rPr>
                <w:rFonts w:ascii="Times New Roman" w:hAnsi="Times New Roman" w:cs="Times New Roman"/>
                <w:bCs/>
                <w:kern w:val="24"/>
                <w:szCs w:val="24"/>
              </w:rPr>
            </w:pPr>
            <w:r>
              <w:rPr>
                <w:rFonts w:ascii="Times New Roman" w:hAnsi="Times New Roman" w:cs="Times New Roman"/>
                <w:bCs/>
                <w:kern w:val="24"/>
                <w:szCs w:val="24"/>
              </w:rPr>
              <w:t>拟建线路施工期对生态环境的主要影响为线路塔基基础开挖时会</w:t>
            </w:r>
            <w:r>
              <w:rPr>
                <w:rFonts w:hint="eastAsia" w:ascii="Times New Roman" w:hAnsi="Times New Roman" w:cs="Times New Roman"/>
                <w:bCs/>
                <w:kern w:val="24"/>
                <w:szCs w:val="24"/>
                <w:lang w:eastAsia="zh-CN"/>
              </w:rPr>
              <w:t>、</w:t>
            </w:r>
            <w:r>
              <w:rPr>
                <w:rFonts w:ascii="Times New Roman" w:hAnsi="Times New Roman" w:cs="Times New Roman"/>
                <w:bCs/>
                <w:kern w:val="24"/>
                <w:szCs w:val="24"/>
              </w:rPr>
              <w:t>破坏地表植被，同时牵张场、施工场地等临时占地也会破坏植被。在地表植被破坏的同时，土壤被扰动易形成水土流失，施工区的动物生境被破坏，迫使其向周边迁移。</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cs="Times New Roman"/>
                <w:b/>
                <w:bCs/>
                <w:kern w:val="24"/>
                <w:szCs w:val="24"/>
                <w:lang w:val="en-US" w:eastAsia="zh-CN"/>
              </w:rPr>
            </w:pPr>
            <w:r>
              <w:rPr>
                <w:rFonts w:hint="eastAsia" w:cs="Times New Roman"/>
                <w:b/>
                <w:bCs/>
                <w:kern w:val="24"/>
                <w:szCs w:val="24"/>
                <w:lang w:val="en-US" w:eastAsia="zh-CN"/>
              </w:rPr>
              <w:t>5.3.2运行期</w:t>
            </w:r>
          </w:p>
          <w:p>
            <w:pPr>
              <w:keepNext w:val="0"/>
              <w:keepLines w:val="0"/>
              <w:pageBreakBefore w:val="0"/>
              <w:widowControl w:val="0"/>
              <w:kinsoku/>
              <w:wordWrap/>
              <w:topLinePunct w:val="0"/>
              <w:bidi w:val="0"/>
              <w:ind w:firstLine="480" w:firstLineChars="200"/>
              <w:jc w:val="both"/>
              <w:rPr>
                <w:rFonts w:ascii="Times New Roman" w:hAnsi="Times New Roman" w:cs="Times New Roman"/>
                <w:bCs w:val="0"/>
                <w:kern w:val="24"/>
              </w:rPr>
            </w:pPr>
            <w:r>
              <w:rPr>
                <w:rFonts w:ascii="Times New Roman" w:hAnsi="Times New Roman" w:cs="Times New Roman"/>
                <w:bCs w:val="0"/>
                <w:kern w:val="24"/>
              </w:rPr>
              <w:t>本</w:t>
            </w:r>
            <w:r>
              <w:rPr>
                <w:rFonts w:hint="eastAsia" w:cs="Times New Roman"/>
                <w:bCs w:val="0"/>
                <w:kern w:val="24"/>
                <w:lang w:eastAsia="zh-CN"/>
              </w:rPr>
              <w:t>项目</w:t>
            </w:r>
            <w:r>
              <w:rPr>
                <w:rFonts w:ascii="Times New Roman" w:hAnsi="Times New Roman" w:cs="Times New Roman"/>
                <w:bCs w:val="0"/>
                <w:kern w:val="24"/>
              </w:rPr>
              <w:t>运行期主要影响为工频电磁场和噪声，其次为变压器废油。本</w:t>
            </w:r>
            <w:r>
              <w:rPr>
                <w:rFonts w:hint="eastAsia" w:cs="Times New Roman"/>
                <w:bCs w:val="0"/>
                <w:kern w:val="24"/>
                <w:lang w:eastAsia="zh-CN"/>
              </w:rPr>
              <w:t>项目</w:t>
            </w:r>
            <w:r>
              <w:rPr>
                <w:rFonts w:ascii="Times New Roman" w:hAnsi="Times New Roman" w:cs="Times New Roman"/>
                <w:bCs w:val="0"/>
                <w:kern w:val="24"/>
              </w:rPr>
              <w:t>运行期的主要污染工序如下：</w:t>
            </w:r>
          </w:p>
          <w:p>
            <w:pPr>
              <w:pStyle w:val="8"/>
              <w:keepNext w:val="0"/>
              <w:keepLines w:val="0"/>
              <w:pageBreakBefore w:val="0"/>
              <w:widowControl w:val="0"/>
              <w:tabs>
                <w:tab w:val="left" w:pos="6180"/>
              </w:tabs>
              <w:kinsoku/>
              <w:wordWrap/>
              <w:topLinePunct w:val="0"/>
              <w:bidi w:val="0"/>
              <w:adjustRightInd/>
              <w:spacing w:line="360" w:lineRule="auto"/>
              <w:ind w:left="0" w:leftChars="0" w:firstLine="480" w:firstLineChars="200"/>
              <w:rPr>
                <w:rFonts w:ascii="Times New Roman" w:hAnsi="Times New Roman" w:cs="Times New Roman"/>
                <w:b w:val="0"/>
                <w:bCs w:val="0"/>
                <w:kern w:val="24"/>
                <w:szCs w:val="24"/>
              </w:rPr>
            </w:pPr>
            <w:r>
              <w:rPr>
                <w:rFonts w:hint="eastAsia" w:cs="Times New Roman"/>
                <w:b w:val="0"/>
                <w:bCs w:val="0"/>
                <w:kern w:val="24"/>
                <w:szCs w:val="24"/>
                <w:lang w:eastAsia="zh-CN"/>
              </w:rPr>
              <w:t>（</w:t>
            </w:r>
            <w:r>
              <w:rPr>
                <w:rFonts w:hint="eastAsia" w:cs="Times New Roman"/>
                <w:b w:val="0"/>
                <w:bCs w:val="0"/>
                <w:kern w:val="24"/>
                <w:szCs w:val="24"/>
                <w:lang w:val="en-US" w:eastAsia="zh-CN"/>
              </w:rPr>
              <w:t>1</w:t>
            </w:r>
            <w:r>
              <w:rPr>
                <w:rFonts w:hint="eastAsia" w:cs="Times New Roman"/>
                <w:b w:val="0"/>
                <w:bCs w:val="0"/>
                <w:kern w:val="24"/>
                <w:szCs w:val="24"/>
                <w:lang w:eastAsia="zh-CN"/>
              </w:rPr>
              <w:t>）</w:t>
            </w:r>
            <w:r>
              <w:rPr>
                <w:rFonts w:ascii="Times New Roman" w:hAnsi="Times New Roman" w:cs="Times New Roman"/>
                <w:b w:val="0"/>
                <w:bCs w:val="0"/>
                <w:kern w:val="24"/>
                <w:szCs w:val="24"/>
              </w:rPr>
              <w:t>工频电场、工频磁感应强度</w:t>
            </w:r>
          </w:p>
          <w:p>
            <w:pPr>
              <w:pStyle w:val="28"/>
              <w:keepNext w:val="0"/>
              <w:keepLines w:val="0"/>
              <w:pageBreakBefore w:val="0"/>
              <w:widowControl w:val="0"/>
              <w:kinsoku/>
              <w:wordWrap/>
              <w:topLinePunct w:val="0"/>
              <w:bidi w:val="0"/>
              <w:ind w:firstLine="480"/>
              <w:jc w:val="both"/>
              <w:rPr>
                <w:rFonts w:ascii="Times New Roman" w:hAnsi="Times New Roman" w:cs="Times New Roman"/>
                <w:kern w:val="24"/>
              </w:rPr>
            </w:pPr>
            <w:r>
              <w:rPr>
                <w:rFonts w:ascii="Times New Roman" w:hAnsi="Times New Roman" w:cs="Times New Roman"/>
                <w:kern w:val="24"/>
              </w:rPr>
              <w:t>输变电</w:t>
            </w:r>
            <w:r>
              <w:rPr>
                <w:rFonts w:hint="eastAsia" w:cs="Times New Roman"/>
                <w:kern w:val="24"/>
                <w:lang w:eastAsia="zh-CN"/>
              </w:rPr>
              <w:t>项目</w:t>
            </w:r>
            <w:r>
              <w:rPr>
                <w:rFonts w:ascii="Times New Roman" w:hAnsi="Times New Roman" w:cs="Times New Roman"/>
                <w:kern w:val="24"/>
              </w:rPr>
              <w:t>建成运行后，在电能输送或电压转换过程中，高压线、主变压器和高压配电设备与周围环境存在电位差，因此形成工频（50Hz）电场。</w:t>
            </w:r>
          </w:p>
          <w:p>
            <w:pPr>
              <w:pStyle w:val="28"/>
              <w:keepNext w:val="0"/>
              <w:keepLines w:val="0"/>
              <w:pageBreakBefore w:val="0"/>
              <w:widowControl w:val="0"/>
              <w:kinsoku/>
              <w:wordWrap/>
              <w:topLinePunct w:val="0"/>
              <w:bidi w:val="0"/>
              <w:ind w:firstLine="480"/>
              <w:jc w:val="both"/>
              <w:rPr>
                <w:rFonts w:ascii="Times New Roman" w:hAnsi="Times New Roman" w:cs="Times New Roman"/>
                <w:kern w:val="24"/>
              </w:rPr>
            </w:pPr>
            <w:r>
              <w:rPr>
                <w:rFonts w:ascii="Times New Roman" w:hAnsi="Times New Roman" w:cs="Times New Roman"/>
                <w:kern w:val="24"/>
              </w:rPr>
              <w:t>高压输电线导线内有电流通过时，在导线的周围空间还存在磁场效应，因此在其附近形成工频磁感应场。</w:t>
            </w:r>
          </w:p>
          <w:p>
            <w:pPr>
              <w:pStyle w:val="8"/>
              <w:keepNext w:val="0"/>
              <w:keepLines w:val="0"/>
              <w:pageBreakBefore w:val="0"/>
              <w:widowControl w:val="0"/>
              <w:tabs>
                <w:tab w:val="left" w:pos="6180"/>
              </w:tabs>
              <w:kinsoku/>
              <w:wordWrap/>
              <w:topLinePunct w:val="0"/>
              <w:bidi w:val="0"/>
              <w:adjustRightInd/>
              <w:spacing w:line="360" w:lineRule="auto"/>
              <w:ind w:left="0" w:leftChars="0" w:firstLine="480" w:firstLineChars="200"/>
              <w:rPr>
                <w:rFonts w:ascii="Times New Roman" w:hAnsi="Times New Roman" w:cs="Times New Roman"/>
                <w:b w:val="0"/>
                <w:bCs w:val="0"/>
                <w:kern w:val="24"/>
                <w:szCs w:val="24"/>
              </w:rPr>
            </w:pPr>
            <w:r>
              <w:rPr>
                <w:rFonts w:hint="eastAsia" w:cs="Times New Roman"/>
                <w:b w:val="0"/>
                <w:bCs w:val="0"/>
                <w:kern w:val="24"/>
                <w:szCs w:val="24"/>
                <w:lang w:eastAsia="zh-CN"/>
              </w:rPr>
              <w:t>（</w:t>
            </w:r>
            <w:r>
              <w:rPr>
                <w:rFonts w:hint="eastAsia" w:cs="Times New Roman"/>
                <w:b w:val="0"/>
                <w:bCs w:val="0"/>
                <w:kern w:val="24"/>
                <w:szCs w:val="24"/>
                <w:lang w:val="en-US" w:eastAsia="zh-CN"/>
              </w:rPr>
              <w:t>2</w:t>
            </w:r>
            <w:r>
              <w:rPr>
                <w:rFonts w:hint="eastAsia" w:cs="Times New Roman"/>
                <w:b w:val="0"/>
                <w:bCs w:val="0"/>
                <w:kern w:val="24"/>
                <w:szCs w:val="24"/>
                <w:lang w:eastAsia="zh-CN"/>
              </w:rPr>
              <w:t>）</w:t>
            </w:r>
            <w:r>
              <w:rPr>
                <w:rFonts w:ascii="Times New Roman" w:hAnsi="Times New Roman" w:cs="Times New Roman"/>
                <w:b w:val="0"/>
                <w:bCs w:val="0"/>
                <w:kern w:val="24"/>
                <w:szCs w:val="24"/>
              </w:rPr>
              <w:t>运行噪声</w:t>
            </w:r>
          </w:p>
          <w:p>
            <w:pPr>
              <w:pStyle w:val="28"/>
              <w:keepNext w:val="0"/>
              <w:keepLines w:val="0"/>
              <w:pageBreakBefore w:val="0"/>
              <w:widowControl w:val="0"/>
              <w:kinsoku/>
              <w:wordWrap/>
              <w:topLinePunct w:val="0"/>
              <w:bidi w:val="0"/>
              <w:ind w:firstLine="480"/>
              <w:jc w:val="both"/>
              <w:rPr>
                <w:rFonts w:hint="eastAsia" w:ascii="Times New Roman" w:hAnsi="Times New Roman" w:cs="Times New Roman"/>
                <w:kern w:val="24"/>
                <w:lang w:eastAsia="zh-CN"/>
              </w:rPr>
            </w:pPr>
            <w:r>
              <w:rPr>
                <w:rFonts w:hint="eastAsia" w:ascii="Times New Roman" w:hAnsi="Times New Roman" w:cs="Times New Roman"/>
                <w:kern w:val="24"/>
                <w:lang w:eastAsia="zh-CN"/>
              </w:rPr>
              <w:t>输电线路噪声主要是由导线、金具及绝缘子的电晕放电产生。在晴朗干燥天气条件下，导线通常在起晕水平以下运行，很少有电晕放电现象，因而产生的噪声不大。但在湿度较高或下雨天气条件下，由于水滴导致输电线局部电场强度的增加，会产生频繁的电晕放电现象，从而产生噪声。</w:t>
            </w:r>
          </w:p>
          <w:p>
            <w:pPr>
              <w:pStyle w:val="28"/>
              <w:keepNext w:val="0"/>
              <w:keepLines w:val="0"/>
              <w:pageBreakBefore w:val="0"/>
              <w:widowControl w:val="0"/>
              <w:kinsoku/>
              <w:wordWrap/>
              <w:topLinePunct w:val="0"/>
              <w:bidi w:val="0"/>
              <w:ind w:firstLine="480"/>
              <w:jc w:val="both"/>
              <w:rPr>
                <w:rFonts w:ascii="Times New Roman" w:hAnsi="Times New Roman" w:cs="Times New Roman"/>
                <w:b w:val="0"/>
                <w:bCs w:val="0"/>
                <w:kern w:val="24"/>
                <w:szCs w:val="24"/>
              </w:rPr>
            </w:pPr>
            <w:r>
              <w:rPr>
                <w:rFonts w:hint="eastAsia" w:cs="Times New Roman"/>
                <w:b w:val="0"/>
                <w:bCs w:val="0"/>
                <w:kern w:val="24"/>
                <w:szCs w:val="24"/>
                <w:lang w:eastAsia="zh-CN"/>
              </w:rPr>
              <w:t>（</w:t>
            </w:r>
            <w:r>
              <w:rPr>
                <w:rFonts w:hint="eastAsia" w:cs="Times New Roman"/>
                <w:b w:val="0"/>
                <w:bCs w:val="0"/>
                <w:kern w:val="24"/>
                <w:szCs w:val="24"/>
                <w:lang w:val="en-US" w:eastAsia="zh-CN"/>
              </w:rPr>
              <w:t>3</w:t>
            </w:r>
            <w:r>
              <w:rPr>
                <w:rFonts w:hint="eastAsia" w:cs="Times New Roman"/>
                <w:b w:val="0"/>
                <w:bCs w:val="0"/>
                <w:kern w:val="24"/>
                <w:szCs w:val="24"/>
                <w:lang w:eastAsia="zh-CN"/>
              </w:rPr>
              <w:t>）</w:t>
            </w:r>
            <w:r>
              <w:rPr>
                <w:rFonts w:ascii="Times New Roman" w:hAnsi="Times New Roman" w:cs="Times New Roman"/>
                <w:b w:val="0"/>
                <w:bCs w:val="0"/>
                <w:kern w:val="24"/>
                <w:szCs w:val="24"/>
              </w:rPr>
              <w:t>废水</w:t>
            </w:r>
          </w:p>
          <w:p>
            <w:pPr>
              <w:pStyle w:val="8"/>
              <w:keepNext w:val="0"/>
              <w:keepLines w:val="0"/>
              <w:pageBreakBefore w:val="0"/>
              <w:widowControl w:val="0"/>
              <w:tabs>
                <w:tab w:val="left" w:pos="6180"/>
              </w:tabs>
              <w:kinsoku/>
              <w:wordWrap/>
              <w:topLinePunct w:val="0"/>
              <w:bidi w:val="0"/>
              <w:adjustRightInd/>
              <w:spacing w:line="360" w:lineRule="auto"/>
              <w:ind w:firstLine="480" w:firstLineChars="200"/>
              <w:rPr>
                <w:rFonts w:ascii="Times New Roman" w:hAnsi="Times New Roman" w:cs="Times New Roman"/>
                <w:kern w:val="24"/>
              </w:rPr>
            </w:pPr>
            <w:r>
              <w:rPr>
                <w:rFonts w:ascii="Times New Roman" w:hAnsi="Times New Roman" w:cs="Times New Roman"/>
                <w:kern w:val="24"/>
              </w:rPr>
              <w:t>拟建110kV输电线路</w:t>
            </w:r>
            <w:r>
              <w:rPr>
                <w:rFonts w:hint="eastAsia" w:cs="Times New Roman"/>
                <w:kern w:val="24"/>
                <w:lang w:eastAsia="zh-CN"/>
              </w:rPr>
              <w:t>项目</w:t>
            </w:r>
            <w:r>
              <w:rPr>
                <w:rFonts w:ascii="Times New Roman" w:hAnsi="Times New Roman" w:cs="Times New Roman"/>
                <w:kern w:val="24"/>
              </w:rPr>
              <w:t>运行期不产生废水。</w:t>
            </w:r>
          </w:p>
          <w:p>
            <w:pPr>
              <w:pStyle w:val="8"/>
              <w:keepNext w:val="0"/>
              <w:keepLines w:val="0"/>
              <w:pageBreakBefore w:val="0"/>
              <w:widowControl w:val="0"/>
              <w:tabs>
                <w:tab w:val="left" w:pos="6180"/>
              </w:tabs>
              <w:kinsoku/>
              <w:wordWrap/>
              <w:topLinePunct w:val="0"/>
              <w:bidi w:val="0"/>
              <w:adjustRightInd/>
              <w:spacing w:line="360" w:lineRule="auto"/>
              <w:ind w:left="0" w:leftChars="0" w:firstLine="480" w:firstLineChars="200"/>
              <w:rPr>
                <w:rFonts w:ascii="Times New Roman" w:hAnsi="Times New Roman" w:cs="Times New Roman"/>
                <w:b w:val="0"/>
                <w:bCs w:val="0"/>
                <w:kern w:val="24"/>
                <w:szCs w:val="24"/>
              </w:rPr>
            </w:pPr>
            <w:r>
              <w:rPr>
                <w:rFonts w:hint="eastAsia" w:cs="Times New Roman"/>
                <w:b w:val="0"/>
                <w:bCs w:val="0"/>
                <w:kern w:val="24"/>
                <w:szCs w:val="24"/>
                <w:lang w:eastAsia="zh-CN"/>
              </w:rPr>
              <w:t>（</w:t>
            </w:r>
            <w:r>
              <w:rPr>
                <w:rFonts w:hint="eastAsia" w:cs="Times New Roman"/>
                <w:b w:val="0"/>
                <w:bCs w:val="0"/>
                <w:kern w:val="24"/>
                <w:szCs w:val="24"/>
                <w:lang w:val="en-US" w:eastAsia="zh-CN"/>
              </w:rPr>
              <w:t>4</w:t>
            </w:r>
            <w:r>
              <w:rPr>
                <w:rFonts w:hint="eastAsia" w:cs="Times New Roman"/>
                <w:b w:val="0"/>
                <w:bCs w:val="0"/>
                <w:kern w:val="24"/>
                <w:szCs w:val="24"/>
                <w:lang w:eastAsia="zh-CN"/>
              </w:rPr>
              <w:t>）</w:t>
            </w:r>
            <w:r>
              <w:rPr>
                <w:rFonts w:ascii="Times New Roman" w:hAnsi="Times New Roman" w:cs="Times New Roman"/>
                <w:b w:val="0"/>
                <w:bCs w:val="0"/>
                <w:kern w:val="24"/>
                <w:szCs w:val="24"/>
              </w:rPr>
              <w:t>固体废物</w:t>
            </w:r>
          </w:p>
          <w:p>
            <w:pPr>
              <w:pStyle w:val="8"/>
              <w:keepNext w:val="0"/>
              <w:keepLines w:val="0"/>
              <w:pageBreakBefore w:val="0"/>
              <w:widowControl w:val="0"/>
              <w:kinsoku/>
              <w:wordWrap/>
              <w:topLinePunct w:val="0"/>
              <w:bidi w:val="0"/>
              <w:adjustRightInd/>
              <w:spacing w:line="360" w:lineRule="auto"/>
              <w:ind w:firstLine="480" w:firstLineChars="200"/>
              <w:jc w:val="both"/>
              <w:rPr>
                <w:rFonts w:ascii="Times New Roman" w:hAnsi="Times New Roman" w:cs="Times New Roman"/>
              </w:rPr>
            </w:pPr>
            <w:r>
              <w:rPr>
                <w:rFonts w:ascii="Times New Roman" w:hAnsi="Times New Roman" w:cs="Times New Roman"/>
                <w:kern w:val="24"/>
              </w:rPr>
              <w:t>拟建110kV</w:t>
            </w:r>
            <w:r>
              <w:rPr>
                <w:rFonts w:ascii="Times New Roman" w:hAnsi="Times New Roman" w:cs="Times New Roman"/>
              </w:rPr>
              <w:t>输电线路</w:t>
            </w:r>
            <w:r>
              <w:rPr>
                <w:rFonts w:hint="eastAsia" w:cs="Times New Roman"/>
                <w:lang w:eastAsia="zh-CN"/>
              </w:rPr>
              <w:t>项目</w:t>
            </w:r>
            <w:r>
              <w:rPr>
                <w:rFonts w:ascii="Times New Roman" w:hAnsi="Times New Roman" w:cs="Times New Roman"/>
              </w:rPr>
              <w:t>运行期不产生固体废物。</w:t>
            </w:r>
          </w:p>
          <w:p>
            <w:pPr>
              <w:pStyle w:val="8"/>
              <w:keepNext w:val="0"/>
              <w:keepLines w:val="0"/>
              <w:pageBreakBefore w:val="0"/>
              <w:widowControl w:val="0"/>
              <w:tabs>
                <w:tab w:val="left" w:pos="6180"/>
              </w:tabs>
              <w:kinsoku/>
              <w:wordWrap/>
              <w:topLinePunct w:val="0"/>
              <w:bidi w:val="0"/>
              <w:adjustRightInd/>
              <w:spacing w:line="360" w:lineRule="auto"/>
              <w:ind w:left="0" w:leftChars="0" w:firstLine="480" w:firstLineChars="200"/>
              <w:rPr>
                <w:rFonts w:hint="eastAsia" w:ascii="Times New Roman" w:hAnsi="Times New Roman" w:eastAsia="宋体" w:cs="Times New Roman"/>
                <w:b w:val="0"/>
                <w:bCs w:val="0"/>
                <w:kern w:val="24"/>
                <w:szCs w:val="24"/>
                <w:lang w:eastAsia="zh-CN"/>
              </w:rPr>
            </w:pPr>
            <w:r>
              <w:rPr>
                <w:rFonts w:hint="eastAsia" w:cs="Times New Roman"/>
                <w:b w:val="0"/>
                <w:bCs w:val="0"/>
                <w:kern w:val="24"/>
                <w:szCs w:val="24"/>
                <w:lang w:val="en-US" w:eastAsia="zh-CN"/>
              </w:rPr>
              <w:t>（5）</w:t>
            </w:r>
            <w:r>
              <w:rPr>
                <w:rFonts w:hint="eastAsia" w:cs="Times New Roman"/>
                <w:b w:val="0"/>
                <w:bCs w:val="0"/>
                <w:kern w:val="24"/>
                <w:szCs w:val="24"/>
                <w:lang w:eastAsia="zh-CN"/>
              </w:rPr>
              <w:t>生态</w:t>
            </w:r>
          </w:p>
          <w:p>
            <w:pPr>
              <w:pStyle w:val="23"/>
              <w:widowControl/>
              <w:spacing w:line="360" w:lineRule="auto"/>
              <w:ind w:firstLine="480"/>
              <w:rPr>
                <w:rFonts w:ascii="Times New Roman" w:hAnsi="Times New Roman" w:cs="Times New Roman"/>
                <w:kern w:val="24"/>
                <w:szCs w:val="24"/>
              </w:rPr>
            </w:pPr>
            <w:r>
              <w:rPr>
                <w:rFonts w:ascii="Times New Roman"/>
                <w:sz w:val="24"/>
                <w:szCs w:val="22"/>
              </w:rPr>
              <w:t>输电线路</w:t>
            </w:r>
            <w:r>
              <w:rPr>
                <w:rFonts w:hint="eastAsia" w:ascii="Times New Roman"/>
                <w:sz w:val="24"/>
                <w:szCs w:val="22"/>
                <w:lang w:eastAsia="zh-CN"/>
              </w:rPr>
              <w:t>项目</w:t>
            </w:r>
            <w:r>
              <w:rPr>
                <w:rFonts w:ascii="Times New Roman"/>
                <w:sz w:val="24"/>
                <w:szCs w:val="22"/>
              </w:rPr>
              <w:t>运行期不产生占地、不破坏植被，运行过程中不会对生态环境产生影响</w:t>
            </w:r>
            <w:r>
              <w:rPr>
                <w:rFonts w:hint="eastAsia" w:ascii="Times New Roman"/>
                <w:sz w:val="24"/>
                <w:szCs w:val="22"/>
              </w:rPr>
              <w:t>。</w:t>
            </w:r>
          </w:p>
        </w:tc>
      </w:tr>
    </w:tbl>
    <w:p>
      <w:pPr>
        <w:keepNext w:val="0"/>
        <w:keepLines w:val="0"/>
        <w:pageBreakBefore w:val="0"/>
        <w:widowControl w:val="0"/>
        <w:tabs>
          <w:tab w:val="left" w:pos="3780"/>
        </w:tabs>
        <w:kinsoku/>
        <w:wordWrap/>
        <w:topLinePunct w:val="0"/>
        <w:bidi w:val="0"/>
        <w:snapToGrid w:val="0"/>
        <w:spacing w:line="240" w:lineRule="auto"/>
        <w:outlineLvl w:val="0"/>
        <w:rPr>
          <w:rFonts w:ascii="Times New Roman" w:hAnsi="Times New Roman" w:cs="Times New Roman"/>
          <w:b/>
          <w:sz w:val="30"/>
          <w:szCs w:val="30"/>
        </w:rPr>
        <w:sectPr>
          <w:footerReference r:id="rId3" w:type="default"/>
          <w:pgSz w:w="11907" w:h="16840"/>
          <w:pgMar w:top="1440" w:right="1440" w:bottom="1440" w:left="1440"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pStyle w:val="6"/>
        <w:keepNext w:val="0"/>
        <w:keepLines w:val="0"/>
        <w:pageBreakBefore w:val="0"/>
        <w:widowControl w:val="0"/>
        <w:kinsoku/>
        <w:wordWrap/>
        <w:topLinePunct w:val="0"/>
        <w:bidi w:val="0"/>
        <w:spacing w:before="42" w:after="2"/>
        <w:rPr>
          <w:rFonts w:hint="eastAsia"/>
          <w:lang w:val="en-US" w:eastAsia="zh-CN"/>
        </w:rPr>
      </w:pPr>
      <w:r>
        <w:rPr>
          <w:rFonts w:hint="eastAsia"/>
          <w:lang w:val="en-US" w:eastAsia="zh-CN"/>
        </w:rPr>
        <w:t>6项目主要污染物产生及预计排放情况</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5"/>
        <w:gridCol w:w="976"/>
        <w:gridCol w:w="1195"/>
        <w:gridCol w:w="1155"/>
        <w:gridCol w:w="1895"/>
        <w:gridCol w:w="31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457" w:type="pct"/>
            <w:tcBorders>
              <w:tl2br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117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排放源</w:t>
            </w:r>
          </w:p>
        </w:tc>
        <w:tc>
          <w:tcPr>
            <w:tcW w:w="624"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处理前产生浓度及产生量(单位)</w:t>
            </w:r>
          </w:p>
        </w:tc>
        <w:tc>
          <w:tcPr>
            <w:tcW w:w="171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排放浓度及</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4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施工期</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土地平整、开挖，建筑垃圾堆积清理等</w:t>
            </w:r>
          </w:p>
        </w:tc>
        <w:tc>
          <w:tcPr>
            <w:tcW w:w="624"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TSP、NOx</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少量</w:t>
            </w:r>
          </w:p>
        </w:tc>
        <w:tc>
          <w:tcPr>
            <w:tcW w:w="171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4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水污染</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物</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eastAsia="zh-CN"/>
              </w:rPr>
              <w:t>施工期</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eastAsia="zh-CN"/>
              </w:rPr>
              <w:t>施工人员</w:t>
            </w:r>
          </w:p>
        </w:tc>
        <w:tc>
          <w:tcPr>
            <w:tcW w:w="624"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eastAsia="zh-CN"/>
              </w:rPr>
              <w:t>生活污水</w:t>
            </w:r>
          </w:p>
        </w:tc>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少量</w:t>
            </w:r>
          </w:p>
        </w:tc>
        <w:tc>
          <w:tcPr>
            <w:tcW w:w="171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依托现有村民污水处理设施处理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4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固体废弃物</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eastAsia="zh-CN"/>
              </w:rPr>
              <w:t>施工期</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生活垃圾</w:t>
            </w: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eastAsia="zh-CN"/>
              </w:rPr>
              <w:t>生活垃圾</w:t>
            </w:r>
          </w:p>
        </w:tc>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eastAsia="zh-CN"/>
              </w:rPr>
              <w:t>少量</w:t>
            </w:r>
          </w:p>
        </w:tc>
        <w:tc>
          <w:tcPr>
            <w:tcW w:w="171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eastAsia="zh-CN"/>
              </w:rPr>
              <w:t>集中收集，定期请运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4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影响</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运行期</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输电线路</w:t>
            </w: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电磁辐射</w:t>
            </w:r>
          </w:p>
        </w:tc>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71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满足公众曝露：E：4000V/m；B： 100μT。架空输电线路下的耕地、园地、牧草地、畜禽饲养地、 养殖水面、道路等场所，其频率50Hz 的电场强度控制限值为</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10000V/m 的要求。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5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噪声</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施工期</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施工机械</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施工车辆</w:t>
            </w:r>
          </w:p>
        </w:tc>
        <w:tc>
          <w:tcPr>
            <w:tcW w:w="6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噪声</w:t>
            </w:r>
          </w:p>
        </w:tc>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default" w:ascii="Times New Roman" w:hAnsi="Times New Roman" w:cs="Times New Roman"/>
                <w:color w:val="auto"/>
                <w:sz w:val="21"/>
                <w:szCs w:val="21"/>
              </w:rPr>
              <w:t>70~85dB（A）</w:t>
            </w:r>
          </w:p>
        </w:tc>
        <w:tc>
          <w:tcPr>
            <w:tcW w:w="171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施工场界噪声满足</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default" w:ascii="Times New Roman" w:hAnsi="Times New Roman" w:cs="Times New Roman"/>
                <w:color w:val="auto"/>
                <w:sz w:val="21"/>
                <w:szCs w:val="21"/>
              </w:rPr>
              <w:t>GB12523-2011 相关限值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运行期</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输电线路</w:t>
            </w:r>
          </w:p>
        </w:tc>
        <w:tc>
          <w:tcPr>
            <w:tcW w:w="6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eastAsia="zh-CN"/>
              </w:rPr>
            </w:pPr>
          </w:p>
        </w:tc>
        <w:tc>
          <w:tcPr>
            <w:tcW w:w="102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default" w:ascii="Times New Roman" w:hAnsi="Times New Roman" w:cs="Times New Roman"/>
                <w:color w:val="auto"/>
                <w:sz w:val="21"/>
                <w:szCs w:val="21"/>
              </w:rPr>
              <w:t>/</w:t>
            </w:r>
          </w:p>
        </w:tc>
        <w:tc>
          <w:tcPr>
            <w:tcW w:w="171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满足《声环境质量标准》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cs="Times New Roman"/>
                <w:color w:val="auto"/>
                <w:sz w:val="21"/>
                <w:szCs w:val="21"/>
                <w:lang w:val="zh-CN" w:eastAsia="zh-CN"/>
              </w:rPr>
            </w:pPr>
            <w:r>
              <w:rPr>
                <w:rFonts w:hint="default" w:ascii="Times New Roman" w:hAnsi="Times New Roman" w:cs="Times New Roman"/>
                <w:color w:val="auto"/>
                <w:sz w:val="21"/>
                <w:szCs w:val="21"/>
              </w:rPr>
              <w:t xml:space="preserve">（GB3096-2008）中 </w:t>
            </w:r>
            <w:r>
              <w:rPr>
                <w:rFonts w:hint="eastAsia" w:cs="Times New Roman"/>
                <w:color w:val="auto"/>
                <w:sz w:val="21"/>
                <w:szCs w:val="21"/>
                <w:lang w:val="en-US" w:eastAsia="zh-CN"/>
              </w:rPr>
              <w:t>1</w:t>
            </w:r>
            <w:r>
              <w:rPr>
                <w:rFonts w:hint="default" w:ascii="Times New Roman" w:hAnsi="Times New Roman" w:cs="Times New Roman"/>
                <w:color w:val="auto"/>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5000" w:type="pct"/>
            <w:gridSpan w:val="6"/>
            <w:noWrap w:val="0"/>
            <w:vAlign w:val="center"/>
          </w:tcPr>
          <w:p>
            <w:pPr>
              <w:keepNext w:val="0"/>
              <w:keepLines w:val="0"/>
              <w:pageBreakBefore w:val="0"/>
              <w:widowControl w:val="0"/>
              <w:kinsoku/>
              <w:wordWrap/>
              <w:topLinePunct w:val="0"/>
              <w:bidi w:val="0"/>
              <w:adjustRightInd w:val="0"/>
            </w:pPr>
            <w:r>
              <w:t>主要生态影响：</w:t>
            </w:r>
          </w:p>
          <w:p>
            <w:pPr>
              <w:keepNext w:val="0"/>
              <w:keepLines w:val="0"/>
              <w:pageBreakBefore w:val="0"/>
              <w:widowControl w:val="0"/>
              <w:kinsoku/>
              <w:wordWrap/>
              <w:topLinePunct w:val="0"/>
              <w:bidi w:val="0"/>
              <w:ind w:firstLine="480" w:firstLineChars="200"/>
              <w:jc w:val="both"/>
            </w:pPr>
            <w:r>
              <w:t>1、施工期生态环境影响</w:t>
            </w:r>
          </w:p>
          <w:p>
            <w:pPr>
              <w:keepNext w:val="0"/>
              <w:keepLines w:val="0"/>
              <w:pageBreakBefore w:val="0"/>
              <w:widowControl w:val="0"/>
              <w:kinsoku/>
              <w:wordWrap/>
              <w:topLinePunct w:val="0"/>
              <w:bidi w:val="0"/>
              <w:ind w:firstLine="480" w:firstLineChars="200"/>
              <w:jc w:val="both"/>
            </w:pPr>
            <w:r>
              <w:t>输变电建设</w:t>
            </w:r>
            <w:r>
              <w:rPr>
                <w:rFonts w:hint="eastAsia"/>
                <w:lang w:eastAsia="zh-CN"/>
              </w:rPr>
              <w:t>项目</w:t>
            </w:r>
            <w:r>
              <w:t>对生态环境的影响主要表现为施工期的土地占用、地表植被破坏以及由于施工作业而引起的水土流失等。根据实际调查，本</w:t>
            </w:r>
            <w:r>
              <w:rPr>
                <w:rFonts w:hint="eastAsia"/>
                <w:lang w:eastAsia="zh-CN"/>
              </w:rPr>
              <w:t>项目</w:t>
            </w:r>
            <w:r>
              <w:t>线路沿线主要为</w:t>
            </w:r>
            <w:r>
              <w:rPr>
                <w:rFonts w:hint="eastAsia"/>
              </w:rPr>
              <w:t>灌木林地</w:t>
            </w:r>
            <w:r>
              <w:t>、草地。本</w:t>
            </w:r>
            <w:r>
              <w:rPr>
                <w:rFonts w:hint="eastAsia"/>
                <w:lang w:eastAsia="zh-CN"/>
              </w:rPr>
              <w:t>项目</w:t>
            </w:r>
            <w:r>
              <w:t>塔基永久占地约</w:t>
            </w:r>
            <w:r>
              <w:rPr>
                <w:rFonts w:hint="eastAsia"/>
                <w:lang w:val="en-US" w:eastAsia="zh-CN"/>
              </w:rPr>
              <w:t>990</w:t>
            </w:r>
            <w:r>
              <w:t>m</w:t>
            </w:r>
            <w:r>
              <w:rPr>
                <w:vertAlign w:val="superscript"/>
              </w:rPr>
              <w:t>2</w:t>
            </w:r>
            <w:r>
              <w:t>，占地面积不大。此外，本</w:t>
            </w:r>
            <w:r>
              <w:rPr>
                <w:rFonts w:hint="eastAsia"/>
                <w:lang w:eastAsia="zh-CN"/>
              </w:rPr>
              <w:t>项目</w:t>
            </w:r>
            <w:r>
              <w:t>施工具有局部占地面积小、跨距长、点分散等特点，施工期对植被、土壤等的影响相对较小，施工期动物将迁移到周边相似生境，对动物影响也较小。在施工结束后，采取植被恢复等措施，临时占地区将逐渐恢复原状，动物的生境也将得到恢复。</w:t>
            </w:r>
          </w:p>
          <w:p>
            <w:pPr>
              <w:keepNext w:val="0"/>
              <w:keepLines w:val="0"/>
              <w:pageBreakBefore w:val="0"/>
              <w:widowControl w:val="0"/>
              <w:kinsoku/>
              <w:wordWrap/>
              <w:topLinePunct w:val="0"/>
              <w:bidi w:val="0"/>
              <w:ind w:firstLine="480" w:firstLineChars="200"/>
              <w:jc w:val="both"/>
            </w:pPr>
            <w:r>
              <w:t>2、运行期生态环境影响</w:t>
            </w:r>
          </w:p>
          <w:p>
            <w:pPr>
              <w:keepNext w:val="0"/>
              <w:keepLines w:val="0"/>
              <w:pageBreakBefore w:val="0"/>
              <w:widowControl w:val="0"/>
              <w:kinsoku/>
              <w:wordWrap/>
              <w:topLinePunct w:val="0"/>
              <w:bidi w:val="0"/>
              <w:ind w:firstLine="480" w:firstLineChars="200"/>
              <w:jc w:val="both"/>
            </w:pPr>
            <w:r>
              <w:t>输变电</w:t>
            </w:r>
            <w:r>
              <w:rPr>
                <w:rFonts w:hint="eastAsia"/>
                <w:lang w:eastAsia="zh-CN"/>
              </w:rPr>
              <w:t>项目</w:t>
            </w:r>
            <w:r>
              <w:t>运行期不再产生占地、不破坏植被，运行过程中不会对生态环境产生影响。</w:t>
            </w:r>
          </w:p>
          <w:p>
            <w:pPr>
              <w:pStyle w:val="16"/>
              <w:ind w:left="0" w:leftChars="0" w:firstLine="0" w:firstLineChars="0"/>
              <w:rPr>
                <w:rFonts w:hint="default" w:eastAsia="宋体"/>
                <w:lang w:val="en-US" w:eastAsia="zh-CN"/>
              </w:rPr>
            </w:pPr>
            <w:r>
              <w:rPr>
                <w:rFonts w:hint="eastAsia"/>
                <w:lang w:val="en-US" w:eastAsia="zh-CN"/>
              </w:rPr>
              <w:t xml:space="preserve"> </w:t>
            </w:r>
          </w:p>
          <w:p>
            <w:pPr>
              <w:pStyle w:val="16"/>
              <w:ind w:left="0" w:leftChars="0" w:firstLine="0" w:firstLineChars="0"/>
            </w:pPr>
          </w:p>
        </w:tc>
      </w:tr>
    </w:tbl>
    <w:p>
      <w:pPr>
        <w:pStyle w:val="6"/>
        <w:keepNext w:val="0"/>
        <w:keepLines w:val="0"/>
        <w:pageBreakBefore w:val="0"/>
        <w:widowControl w:val="0"/>
        <w:kinsoku/>
        <w:wordWrap/>
        <w:topLinePunct w:val="0"/>
        <w:bidi w:val="0"/>
        <w:spacing w:before="42" w:after="2"/>
        <w:rPr>
          <w:rFonts w:hint="eastAsia"/>
          <w:lang w:val="en-US" w:eastAsia="zh-CN"/>
        </w:rPr>
      </w:pPr>
      <w:r>
        <w:rPr>
          <w:rFonts w:hint="eastAsia"/>
          <w:lang w:val="en-US" w:eastAsia="zh-CN"/>
        </w:rPr>
        <w:t>7环境影响分析</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4" w:hRule="atLeast"/>
          <w:jc w:val="center"/>
        </w:trPr>
        <w:tc>
          <w:tcPr>
            <w:tcW w:w="5000" w:type="pct"/>
            <w:tcBorders>
              <w:tl2br w:val="nil"/>
              <w:tr2bl w:val="nil"/>
            </w:tcBorders>
            <w:noWrap w:val="0"/>
            <w:vAlign w:val="top"/>
          </w:tcPr>
          <w:p>
            <w:pPr>
              <w:keepNext w:val="0"/>
              <w:keepLines w:val="0"/>
              <w:pageBreakBefore w:val="0"/>
              <w:widowControl w:val="0"/>
              <w:kinsoku/>
              <w:wordWrap/>
              <w:topLinePunct w:val="0"/>
              <w:bidi w:val="0"/>
              <w:spacing w:before="120" w:beforeLines="50"/>
              <w:rPr>
                <w:b/>
                <w:bCs w:val="0"/>
                <w:kern w:val="0"/>
                <w:sz w:val="28"/>
                <w:szCs w:val="28"/>
              </w:rPr>
            </w:pPr>
            <w:r>
              <w:rPr>
                <w:rFonts w:hint="eastAsia"/>
                <w:b/>
                <w:bCs w:val="0"/>
                <w:kern w:val="0"/>
                <w:sz w:val="28"/>
                <w:szCs w:val="28"/>
                <w:lang w:val="en-US" w:eastAsia="zh-CN"/>
              </w:rPr>
              <w:t>7.1</w:t>
            </w:r>
            <w:r>
              <w:rPr>
                <w:b/>
                <w:bCs w:val="0"/>
                <w:kern w:val="0"/>
                <w:sz w:val="28"/>
                <w:szCs w:val="28"/>
              </w:rPr>
              <w:t>施工期环境影响简要分析：</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b/>
                <w:bCs/>
                <w:kern w:val="24"/>
                <w:szCs w:val="24"/>
              </w:rPr>
            </w:pPr>
            <w:r>
              <w:rPr>
                <w:rFonts w:hint="eastAsia"/>
                <w:b/>
                <w:bCs/>
                <w:kern w:val="24"/>
                <w:szCs w:val="24"/>
                <w:lang w:val="en-US" w:eastAsia="zh-CN"/>
              </w:rPr>
              <w:t>7.1.1</w:t>
            </w:r>
            <w:r>
              <w:rPr>
                <w:b/>
                <w:bCs/>
                <w:kern w:val="24"/>
                <w:szCs w:val="24"/>
              </w:rPr>
              <w:t>大气环境影响分析</w:t>
            </w:r>
          </w:p>
          <w:p>
            <w:pPr>
              <w:keepNext w:val="0"/>
              <w:keepLines w:val="0"/>
              <w:pageBreakBefore w:val="0"/>
              <w:widowControl w:val="0"/>
              <w:kinsoku/>
              <w:wordWrap/>
              <w:topLinePunct w:val="0"/>
              <w:bidi w:val="0"/>
              <w:ind w:firstLine="480" w:firstLineChars="200"/>
              <w:jc w:val="both"/>
              <w:rPr>
                <w:rFonts w:hint="eastAsia"/>
                <w:lang w:eastAsia="zh-CN"/>
              </w:rPr>
            </w:pPr>
            <w:r>
              <w:rPr>
                <w:rFonts w:hint="eastAsia"/>
                <w:lang w:eastAsia="zh-CN"/>
              </w:rPr>
              <w:t>施工期的大气污染主要来源于材料运输和堆放、车辆行驶、土石方挖掘等产生的扬尘，以及施工机械和机动车辆排出的尾气。</w:t>
            </w:r>
          </w:p>
          <w:p>
            <w:pPr>
              <w:keepNext w:val="0"/>
              <w:keepLines w:val="0"/>
              <w:pageBreakBefore w:val="0"/>
              <w:widowControl w:val="0"/>
              <w:kinsoku/>
              <w:wordWrap/>
              <w:topLinePunct w:val="0"/>
              <w:bidi w:val="0"/>
              <w:ind w:firstLine="480" w:firstLineChars="200"/>
              <w:jc w:val="both"/>
              <w:rPr>
                <w:b w:val="0"/>
                <w:bCs w:val="0"/>
                <w:kern w:val="24"/>
              </w:rPr>
            </w:pPr>
            <w:r>
              <w:rPr>
                <w:rFonts w:hint="eastAsia"/>
                <w:b w:val="0"/>
                <w:bCs w:val="0"/>
                <w:kern w:val="24"/>
                <w:lang w:eastAsia="zh-CN"/>
              </w:rPr>
              <w:t>（</w:t>
            </w:r>
            <w:r>
              <w:rPr>
                <w:rFonts w:hint="eastAsia"/>
                <w:b w:val="0"/>
                <w:bCs w:val="0"/>
                <w:kern w:val="24"/>
                <w:lang w:val="en-US" w:eastAsia="zh-CN"/>
              </w:rPr>
              <w:t>1</w:t>
            </w:r>
            <w:r>
              <w:rPr>
                <w:rFonts w:hint="eastAsia"/>
                <w:b w:val="0"/>
                <w:bCs w:val="0"/>
                <w:kern w:val="24"/>
                <w:lang w:eastAsia="zh-CN"/>
              </w:rPr>
              <w:t>）</w:t>
            </w:r>
            <w:r>
              <w:rPr>
                <w:b w:val="0"/>
                <w:bCs w:val="0"/>
                <w:kern w:val="24"/>
              </w:rPr>
              <w:t>施工扬尘</w:t>
            </w:r>
          </w:p>
          <w:p>
            <w:pPr>
              <w:keepNext w:val="0"/>
              <w:keepLines w:val="0"/>
              <w:pageBreakBefore w:val="0"/>
              <w:widowControl w:val="0"/>
              <w:tabs>
                <w:tab w:val="left" w:pos="3780"/>
              </w:tabs>
              <w:kinsoku/>
              <w:wordWrap/>
              <w:topLinePunct w:val="0"/>
              <w:bidi w:val="0"/>
              <w:ind w:firstLine="480" w:firstLineChars="200"/>
              <w:jc w:val="both"/>
            </w:pPr>
            <w:bookmarkStart w:id="4" w:name="_Toc52097444"/>
            <w:bookmarkStart w:id="5" w:name="_Toc40164820"/>
            <w:r>
              <w:t>输电线路施工扬尘主要来自于塔基基础处理阶段，包括开挖、回填土方等过程形成裸露地面，使各种沉降在地表上的气溶胶粒子等成为扬尘的天然来源，在进行施工建设时极易形成扬尘颗粒物并进入大气环境中，对周围环境空气质量造成影响。施工扬尘粒径较大、沉降快，一般影响范围较小。</w:t>
            </w:r>
          </w:p>
          <w:p>
            <w:pPr>
              <w:keepNext w:val="0"/>
              <w:keepLines w:val="0"/>
              <w:pageBreakBefore w:val="0"/>
              <w:widowControl w:val="0"/>
              <w:tabs>
                <w:tab w:val="left" w:pos="3780"/>
              </w:tabs>
              <w:kinsoku/>
              <w:wordWrap/>
              <w:topLinePunct w:val="0"/>
              <w:bidi w:val="0"/>
              <w:ind w:firstLine="480" w:firstLineChars="200"/>
            </w:pPr>
            <w:r>
              <w:t xml:space="preserve"> </w:t>
            </w:r>
            <w:r>
              <w:rPr>
                <w:rFonts w:hint="eastAsia"/>
                <w:b w:val="0"/>
                <w:bCs w:val="0"/>
                <w:lang w:eastAsia="zh-CN"/>
              </w:rPr>
              <w:t>（</w:t>
            </w:r>
            <w:r>
              <w:rPr>
                <w:rFonts w:hint="eastAsia"/>
                <w:b w:val="0"/>
                <w:bCs w:val="0"/>
                <w:lang w:val="en-US" w:eastAsia="zh-CN"/>
              </w:rPr>
              <w:t>2</w:t>
            </w:r>
            <w:r>
              <w:rPr>
                <w:rFonts w:hint="eastAsia"/>
                <w:b w:val="0"/>
                <w:bCs w:val="0"/>
                <w:lang w:eastAsia="zh-CN"/>
              </w:rPr>
              <w:t>）</w:t>
            </w:r>
            <w:r>
              <w:t>道路扬尘</w:t>
            </w:r>
          </w:p>
          <w:p>
            <w:pPr>
              <w:keepNext w:val="0"/>
              <w:keepLines w:val="0"/>
              <w:pageBreakBefore w:val="0"/>
              <w:widowControl w:val="0"/>
              <w:tabs>
                <w:tab w:val="left" w:pos="3780"/>
              </w:tabs>
              <w:kinsoku/>
              <w:wordWrap/>
              <w:topLinePunct w:val="0"/>
              <w:bidi w:val="0"/>
              <w:ind w:firstLine="480" w:firstLineChars="200"/>
              <w:jc w:val="both"/>
            </w:pPr>
            <w:r>
              <w:t>物料运输过程中车辆沿途洒落于道路上的沙、土、灰、渣和建筑垃圾，以及沉积在道路上其它排放源排放的颗粒物，经来往车辆碾压后也会导致粒径较小的颗粒物进入空气，形成二次扬尘。据调查，一般施工场地内部道路往往为临时道路，如不及时采取路面硬化等措施，在施工物料运输过程会造成路面沉积颗粒物反复扬起、沉降，极易造成新的污染。</w:t>
            </w:r>
          </w:p>
          <w:p>
            <w:pPr>
              <w:keepNext w:val="0"/>
              <w:keepLines w:val="0"/>
              <w:pageBreakBefore w:val="0"/>
              <w:widowControl w:val="0"/>
              <w:tabs>
                <w:tab w:val="left" w:pos="3780"/>
              </w:tabs>
              <w:kinsoku/>
              <w:wordWrap/>
              <w:topLinePunct w:val="0"/>
              <w:bidi w:val="0"/>
              <w:ind w:firstLine="480" w:firstLineChars="200"/>
              <w:jc w:val="both"/>
            </w:pPr>
            <w:r>
              <w:t>在同样路面清洁程度条件下，车速越快，扬尘量越大；而在同样车速情况下，路面越脏，则扬尘量更大。因此对出入施工场地车辆进行冲洗、限速行驶及保持路面清洁是减少和防止汽车扬尘的有效手段。</w:t>
            </w:r>
          </w:p>
          <w:p>
            <w:pPr>
              <w:keepNext w:val="0"/>
              <w:keepLines w:val="0"/>
              <w:pageBreakBefore w:val="0"/>
              <w:widowControl w:val="0"/>
              <w:tabs>
                <w:tab w:val="left" w:pos="1204"/>
              </w:tabs>
              <w:kinsoku/>
              <w:wordWrap/>
              <w:topLinePunct w:val="0"/>
              <w:bidi w:val="0"/>
              <w:ind w:firstLine="480" w:firstLineChars="200"/>
              <w:rPr>
                <w:b w:val="0"/>
                <w:bCs w:val="0"/>
              </w:rPr>
            </w:pPr>
            <w:r>
              <w:fldChar w:fldCharType="begin"/>
            </w:r>
            <w:r>
              <w:instrText xml:space="preserve"> = 3 \* GB2 </w:instrText>
            </w:r>
            <w:r>
              <w:fldChar w:fldCharType="separate"/>
            </w:r>
            <w:r>
              <w:rPr>
                <w:rFonts w:hint="eastAsia" w:ascii="宋体" w:hAnsi="宋体" w:cs="宋体"/>
              </w:rPr>
              <w:t>⑶</w:t>
            </w:r>
            <w:r>
              <w:fldChar w:fldCharType="end"/>
            </w:r>
            <w:r>
              <w:rPr>
                <w:b w:val="0"/>
                <w:bCs w:val="0"/>
              </w:rPr>
              <w:t>机械废气</w:t>
            </w:r>
          </w:p>
          <w:p>
            <w:pPr>
              <w:keepNext w:val="0"/>
              <w:keepLines w:val="0"/>
              <w:pageBreakBefore w:val="0"/>
              <w:widowControl w:val="0"/>
              <w:kinsoku/>
              <w:wordWrap/>
              <w:topLinePunct w:val="0"/>
              <w:bidi w:val="0"/>
              <w:ind w:firstLine="480" w:firstLineChars="200"/>
              <w:jc w:val="both"/>
            </w:pPr>
            <w:r>
              <w:t>项目施工期废气主要为施工机械废气，包括施工机械废气和运输车辆废气，施工机械废气中含有的污染物主要是NO</w:t>
            </w:r>
            <w:r>
              <w:rPr>
                <w:vertAlign w:val="subscript"/>
              </w:rPr>
              <w:t>X</w:t>
            </w:r>
            <w:r>
              <w:t>、CO、HC等，其产生量及废气中污染物浓度视其使用频率及发动机对燃料的燃烧情况而异。施工机械废气属低架点源无组织排放性质，具有间断性产生、产生量较小、产生点相对分散、易被稀释扩散等特点，由于项目所在地较空旷、且产生量不大，影响范围有限，对环境影响较小。</w:t>
            </w:r>
          </w:p>
          <w:p>
            <w:pPr>
              <w:keepNext w:val="0"/>
              <w:keepLines w:val="0"/>
              <w:pageBreakBefore w:val="0"/>
              <w:widowControl w:val="0"/>
              <w:tabs>
                <w:tab w:val="left" w:pos="3780"/>
              </w:tabs>
              <w:kinsoku/>
              <w:wordWrap/>
              <w:topLinePunct w:val="0"/>
              <w:bidi w:val="0"/>
              <w:ind w:firstLine="480" w:firstLineChars="200"/>
              <w:rPr>
                <w:b w:val="0"/>
                <w:bCs w:val="0"/>
              </w:rPr>
            </w:pPr>
            <w:r>
              <w:rPr>
                <w:rFonts w:hint="eastAsia"/>
                <w:b w:val="0"/>
                <w:bCs w:val="0"/>
                <w:lang w:eastAsia="zh-CN"/>
              </w:rPr>
              <w:t>（</w:t>
            </w:r>
            <w:r>
              <w:rPr>
                <w:rFonts w:hint="eastAsia"/>
                <w:b w:val="0"/>
                <w:bCs w:val="0"/>
                <w:lang w:val="en-US" w:eastAsia="zh-CN"/>
              </w:rPr>
              <w:t>4</w:t>
            </w:r>
            <w:r>
              <w:rPr>
                <w:rFonts w:hint="eastAsia"/>
                <w:b w:val="0"/>
                <w:bCs w:val="0"/>
                <w:lang w:eastAsia="zh-CN"/>
              </w:rPr>
              <w:t>）</w:t>
            </w:r>
            <w:r>
              <w:rPr>
                <w:b w:val="0"/>
                <w:bCs w:val="0"/>
              </w:rPr>
              <w:t>扬尘污染防治措施</w:t>
            </w:r>
          </w:p>
          <w:p>
            <w:pPr>
              <w:keepNext w:val="0"/>
              <w:keepLines w:val="0"/>
              <w:pageBreakBefore w:val="0"/>
              <w:widowControl w:val="0"/>
              <w:tabs>
                <w:tab w:val="left" w:pos="3780"/>
              </w:tabs>
              <w:kinsoku/>
              <w:wordWrap/>
              <w:topLinePunct w:val="0"/>
              <w:bidi w:val="0"/>
              <w:ind w:firstLine="480" w:firstLineChars="200"/>
              <w:jc w:val="both"/>
            </w:pPr>
            <w:r>
              <w:rPr>
                <w:bCs w:val="0"/>
              </w:rPr>
              <w:t>根据《陕西省建筑施工扬尘治理行动方案》及《陕西省建筑施工扬尘治理措施16条》、《陕西省人民政府铁腕治霾打赢蓝天保卫战三年行动方案（2018～2020）（修订版）》、《陕西省人民政府办公厅关于印发四大保卫战2019年工作方案的通知》（陕政办发〔2019〕12号）、《榆林市铁腕治霾打赢蓝天保卫战三年行动方案（2018-2020年）（修订版）》</w:t>
            </w:r>
            <w:r>
              <w:t>及其中的相关要求，本</w:t>
            </w:r>
            <w:r>
              <w:rPr>
                <w:rFonts w:hint="eastAsia"/>
                <w:lang w:eastAsia="zh-CN"/>
              </w:rPr>
              <w:t>项目</w:t>
            </w:r>
            <w:r>
              <w:t>施工时应采取以下措施：</w:t>
            </w:r>
          </w:p>
          <w:p>
            <w:pPr>
              <w:keepNext w:val="0"/>
              <w:keepLines w:val="0"/>
              <w:pageBreakBefore w:val="0"/>
              <w:widowControl w:val="0"/>
              <w:tabs>
                <w:tab w:val="left" w:pos="3780"/>
              </w:tabs>
              <w:kinsoku/>
              <w:wordWrap/>
              <w:topLinePunct w:val="0"/>
              <w:bidi w:val="0"/>
              <w:ind w:firstLine="480" w:firstLineChars="200"/>
              <w:jc w:val="both"/>
            </w:pPr>
            <w:r>
              <w:fldChar w:fldCharType="begin"/>
            </w:r>
            <w:r>
              <w:instrText xml:space="preserve"> = 1 \* GB3 </w:instrText>
            </w:r>
            <w:r>
              <w:fldChar w:fldCharType="separate"/>
            </w:r>
            <w:r>
              <w:rPr>
                <w:rFonts w:hint="eastAsia" w:ascii="宋体" w:hAnsi="宋体" w:cs="宋体"/>
              </w:rPr>
              <w:t>①</w:t>
            </w:r>
            <w:r>
              <w:fldChar w:fldCharType="end"/>
            </w:r>
            <w:r>
              <w:t xml:space="preserve"> 建筑工地严格执行工地周边围挡、物料堆放覆盖、土方开挖湿法作业、路面硬化、出入车辆清洗、渣土车辆密闭运输</w:t>
            </w:r>
            <w:r>
              <w:rPr>
                <w:rFonts w:ascii="宋体" w:hAnsi="宋体"/>
              </w:rPr>
              <w:t>“六个百分之百”</w:t>
            </w:r>
            <w:r>
              <w:t>要求；</w:t>
            </w:r>
          </w:p>
          <w:p>
            <w:pPr>
              <w:keepNext w:val="0"/>
              <w:keepLines w:val="0"/>
              <w:pageBreakBefore w:val="0"/>
              <w:widowControl w:val="0"/>
              <w:tabs>
                <w:tab w:val="left" w:pos="3780"/>
              </w:tabs>
              <w:kinsoku/>
              <w:wordWrap/>
              <w:topLinePunct w:val="0"/>
              <w:bidi w:val="0"/>
              <w:ind w:firstLine="480" w:firstLineChars="200"/>
              <w:jc w:val="both"/>
            </w:pPr>
            <w:r>
              <w:rPr>
                <w:rFonts w:hint="eastAsia" w:ascii="宋体" w:hAnsi="宋体" w:cs="宋体"/>
              </w:rPr>
              <w:t>②</w:t>
            </w:r>
            <w:r>
              <w:t xml:space="preserve"> 施工场内非道路移动机械符合国三标准；</w:t>
            </w:r>
          </w:p>
          <w:p>
            <w:pPr>
              <w:keepNext w:val="0"/>
              <w:keepLines w:val="0"/>
              <w:pageBreakBefore w:val="0"/>
              <w:widowControl w:val="0"/>
              <w:tabs>
                <w:tab w:val="left" w:pos="3780"/>
              </w:tabs>
              <w:kinsoku/>
              <w:wordWrap/>
              <w:topLinePunct w:val="0"/>
              <w:bidi w:val="0"/>
              <w:ind w:firstLine="480" w:firstLineChars="200"/>
              <w:jc w:val="both"/>
            </w:pPr>
            <w:r>
              <w:rPr>
                <w:rFonts w:hint="eastAsia" w:ascii="宋体" w:hAnsi="宋体" w:cs="宋体"/>
              </w:rPr>
              <w:t>③</w:t>
            </w:r>
            <w:r>
              <w:t xml:space="preserve"> 严格渣土运输车辆规范化管理，渣土运输车要密闭；</w:t>
            </w:r>
          </w:p>
          <w:p>
            <w:pPr>
              <w:keepNext w:val="0"/>
              <w:keepLines w:val="0"/>
              <w:pageBreakBefore w:val="0"/>
              <w:widowControl w:val="0"/>
              <w:tabs>
                <w:tab w:val="left" w:pos="3780"/>
              </w:tabs>
              <w:kinsoku/>
              <w:wordWrap/>
              <w:topLinePunct w:val="0"/>
              <w:bidi w:val="0"/>
              <w:ind w:firstLine="480" w:firstLineChars="200"/>
              <w:jc w:val="both"/>
            </w:pPr>
            <w:r>
              <w:rPr>
                <w:rFonts w:hint="eastAsia" w:ascii="宋体" w:hAnsi="宋体" w:cs="宋体"/>
              </w:rPr>
              <w:t>④</w:t>
            </w:r>
            <w:r>
              <w:t xml:space="preserve"> 遇有严重污染日时，严禁建筑工地土方作业；</w:t>
            </w:r>
          </w:p>
          <w:p>
            <w:pPr>
              <w:keepNext w:val="0"/>
              <w:keepLines w:val="0"/>
              <w:pageBreakBefore w:val="0"/>
              <w:widowControl w:val="0"/>
              <w:tabs>
                <w:tab w:val="left" w:pos="3780"/>
              </w:tabs>
              <w:kinsoku/>
              <w:wordWrap/>
              <w:topLinePunct w:val="0"/>
              <w:bidi w:val="0"/>
              <w:ind w:firstLine="480" w:firstLineChars="200"/>
              <w:jc w:val="both"/>
            </w:pPr>
            <w:r>
              <w:fldChar w:fldCharType="begin"/>
            </w:r>
            <w:r>
              <w:instrText xml:space="preserve"> = 5 \* GB3 </w:instrText>
            </w:r>
            <w:r>
              <w:fldChar w:fldCharType="separate"/>
            </w:r>
            <w:r>
              <w:rPr>
                <w:rFonts w:hint="eastAsia" w:ascii="宋体" w:hAnsi="宋体" w:cs="宋体"/>
              </w:rPr>
              <w:t>⑤</w:t>
            </w:r>
            <w:r>
              <w:fldChar w:fldCharType="end"/>
            </w:r>
            <w:r>
              <w:t xml:space="preserve"> 气象预报风速达到四级以上或出现重污染天气状况时，严禁土石方、开挖、回填、倒土等可能产生扬尘的施工作业，同时要对现场采取覆盖、洒水等降尘措施。</w:t>
            </w:r>
          </w:p>
          <w:p>
            <w:pPr>
              <w:pStyle w:val="8"/>
              <w:keepNext w:val="0"/>
              <w:keepLines w:val="0"/>
              <w:pageBreakBefore w:val="0"/>
              <w:widowControl w:val="0"/>
              <w:tabs>
                <w:tab w:val="left" w:pos="6180"/>
              </w:tabs>
              <w:kinsoku/>
              <w:wordWrap/>
              <w:topLinePunct w:val="0"/>
              <w:bidi w:val="0"/>
              <w:adjustRightInd/>
              <w:spacing w:line="360" w:lineRule="auto"/>
              <w:ind w:firstLine="480" w:firstLineChars="200"/>
              <w:jc w:val="both"/>
              <w:rPr>
                <w:bCs/>
              </w:rPr>
            </w:pPr>
            <w:r>
              <w:rPr>
                <w:bCs/>
              </w:rPr>
              <w:t>通过切实落实上述措施，施工期扬尘可满足《施工场界扬尘排放限值》（DB61/1078-2017）要求，施工期大气环境影响较小。</w:t>
            </w:r>
            <w:bookmarkEnd w:id="4"/>
            <w:bookmarkEnd w:id="5"/>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7.1.2水环境影响分析</w:t>
            </w:r>
          </w:p>
          <w:p>
            <w:pPr>
              <w:keepNext w:val="0"/>
              <w:keepLines w:val="0"/>
              <w:pageBreakBefore w:val="0"/>
              <w:widowControl w:val="0"/>
              <w:kinsoku/>
              <w:wordWrap/>
              <w:topLinePunct w:val="0"/>
              <w:bidi w:val="0"/>
              <w:adjustRightInd w:val="0"/>
              <w:ind w:firstLine="480"/>
              <w:jc w:val="both"/>
              <w:rPr>
                <w:szCs w:val="20"/>
              </w:rPr>
            </w:pPr>
            <w:r>
              <w:rPr>
                <w:szCs w:val="20"/>
              </w:rPr>
              <w:t>架空线路单塔开挖</w:t>
            </w:r>
            <w:r>
              <w:rPr>
                <w:rFonts w:hint="eastAsia"/>
                <w:szCs w:val="20"/>
                <w:lang w:eastAsia="zh-CN"/>
              </w:rPr>
              <w:t>项目</w:t>
            </w:r>
            <w:r>
              <w:rPr>
                <w:szCs w:val="20"/>
              </w:rPr>
              <w:t>量小，作业点较分散，施工时间较短，影响区域较小。</w:t>
            </w:r>
          </w:p>
          <w:p>
            <w:pPr>
              <w:keepNext w:val="0"/>
              <w:keepLines w:val="0"/>
              <w:pageBreakBefore w:val="0"/>
              <w:widowControl w:val="0"/>
              <w:numPr>
                <w:ilvl w:val="0"/>
                <w:numId w:val="3"/>
              </w:numPr>
              <w:kinsoku/>
              <w:wordWrap/>
              <w:topLinePunct w:val="0"/>
              <w:bidi w:val="0"/>
              <w:adjustRightInd w:val="0"/>
              <w:ind w:firstLine="480"/>
              <w:jc w:val="both"/>
              <w:rPr>
                <w:rFonts w:hint="eastAsia"/>
                <w:szCs w:val="20"/>
                <w:lang w:val="en-US" w:eastAsia="zh-CN"/>
              </w:rPr>
            </w:pPr>
            <w:r>
              <w:rPr>
                <w:szCs w:val="20"/>
              </w:rPr>
              <w:t>施工时生活污水利用附近村庄生活污水处理设施收集处理</w:t>
            </w:r>
            <w:r>
              <w:rPr>
                <w:rFonts w:hint="eastAsia"/>
                <w:szCs w:val="20"/>
                <w:lang w:val="en-US" w:eastAsia="zh-CN"/>
              </w:rPr>
              <w:t>.</w:t>
            </w:r>
          </w:p>
          <w:p>
            <w:pPr>
              <w:keepNext w:val="0"/>
              <w:keepLines w:val="0"/>
              <w:pageBreakBefore w:val="0"/>
              <w:widowControl w:val="0"/>
              <w:numPr>
                <w:ilvl w:val="0"/>
                <w:numId w:val="3"/>
              </w:numPr>
              <w:kinsoku/>
              <w:wordWrap/>
              <w:topLinePunct w:val="0"/>
              <w:bidi w:val="0"/>
              <w:adjustRightInd w:val="0"/>
              <w:ind w:firstLine="480"/>
              <w:jc w:val="both"/>
              <w:rPr>
                <w:szCs w:val="20"/>
              </w:rPr>
            </w:pPr>
            <w:r>
              <w:rPr>
                <w:szCs w:val="20"/>
              </w:rPr>
              <w:t>杆塔基础施工浇筑采用商品混凝土，线路工程施工过程产生的废水量很少，直接用于施工场地及运输道路洒水、喷淋。</w:t>
            </w:r>
          </w:p>
          <w:p>
            <w:pPr>
              <w:keepNext w:val="0"/>
              <w:keepLines w:val="0"/>
              <w:pageBreakBefore w:val="0"/>
              <w:widowControl w:val="0"/>
              <w:numPr>
                <w:ilvl w:val="0"/>
                <w:numId w:val="0"/>
              </w:numPr>
              <w:kinsoku/>
              <w:wordWrap/>
              <w:topLinePunct w:val="0"/>
              <w:bidi w:val="0"/>
              <w:adjustRightInd w:val="0"/>
              <w:ind w:firstLine="480" w:firstLineChars="200"/>
              <w:jc w:val="both"/>
              <w:rPr>
                <w:szCs w:val="20"/>
              </w:rPr>
            </w:pPr>
            <w:r>
              <w:rPr>
                <w:szCs w:val="20"/>
              </w:rPr>
              <w:t>故线路施工废污水对当地水环境影响很小。</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7.1.3 声环境影响分析</w:t>
            </w:r>
          </w:p>
          <w:p>
            <w:pPr>
              <w:keepNext w:val="0"/>
              <w:keepLines w:val="0"/>
              <w:pageBreakBefore w:val="0"/>
              <w:widowControl w:val="0"/>
              <w:kinsoku/>
              <w:wordWrap/>
              <w:topLinePunct w:val="0"/>
              <w:bidi w:val="0"/>
              <w:adjustRightInd w:val="0"/>
              <w:ind w:firstLine="480"/>
              <w:jc w:val="both"/>
              <w:rPr>
                <w:szCs w:val="20"/>
              </w:rPr>
            </w:pPr>
            <w:r>
              <w:rPr>
                <w:szCs w:val="20"/>
              </w:rPr>
              <w:t>输电线路在建设期主要噪声源有挖掘机、混凝土罐车、吊车等，运行时</w:t>
            </w:r>
            <w:r>
              <w:rPr>
                <w:kern w:val="24"/>
              </w:rPr>
              <w:t>声级一般为75～90dB(A)</w:t>
            </w:r>
            <w:r>
              <w:rPr>
                <w:szCs w:val="20"/>
              </w:rPr>
              <w:t>。拟建线路单塔工程量小，施工时间短，避免夜间作业；施工结束，施工噪声影响亦会结束，不会对周围环境产生明显影响。</w:t>
            </w:r>
          </w:p>
          <w:p>
            <w:pPr>
              <w:pStyle w:val="23"/>
              <w:widowControl/>
              <w:spacing w:line="360" w:lineRule="auto"/>
              <w:ind w:firstLine="480"/>
              <w:jc w:val="left"/>
              <w:rPr>
                <w:rFonts w:ascii="Times New Roman"/>
                <w:sz w:val="24"/>
                <w:szCs w:val="22"/>
              </w:rPr>
            </w:pPr>
            <w:r>
              <w:rPr>
                <w:rFonts w:ascii="Times New Roman"/>
                <w:sz w:val="24"/>
                <w:szCs w:val="22"/>
              </w:rPr>
              <w:t>为最大限度减少施工期噪声对其影响，评价要求施工期应采取以下噪声防治</w:t>
            </w:r>
            <w:r>
              <w:rPr>
                <w:rFonts w:hint="eastAsia" w:ascii="Times New Roman"/>
                <w:sz w:val="24"/>
                <w:szCs w:val="22"/>
              </w:rPr>
              <w:t>措施：</w:t>
            </w:r>
          </w:p>
          <w:p>
            <w:pPr>
              <w:pStyle w:val="23"/>
              <w:widowControl/>
              <w:spacing w:line="360" w:lineRule="auto"/>
              <w:ind w:firstLine="480"/>
              <w:jc w:val="left"/>
              <w:rPr>
                <w:rFonts w:ascii="Times New Roman"/>
                <w:sz w:val="24"/>
                <w:szCs w:val="22"/>
              </w:rPr>
            </w:pPr>
            <w:r>
              <w:rPr>
                <w:rFonts w:hint="eastAsia" w:ascii="Times New Roman"/>
                <w:sz w:val="24"/>
                <w:szCs w:val="22"/>
              </w:rPr>
              <w:t>（1）</w:t>
            </w:r>
            <w:r>
              <w:rPr>
                <w:rFonts w:ascii="Times New Roman"/>
                <w:sz w:val="24"/>
                <w:szCs w:val="22"/>
              </w:rPr>
              <w:t>施工前及时做好沟通工作，加大宣传和教育，使工人做到文明施工，绿色施工。合理调配车辆来往行车密度，规范物料车辆进岀场地，</w:t>
            </w:r>
            <w:r>
              <w:rPr>
                <w:rFonts w:hint="eastAsia" w:ascii="Times New Roman"/>
                <w:sz w:val="24"/>
                <w:szCs w:val="22"/>
              </w:rPr>
              <w:t>减</w:t>
            </w:r>
            <w:r>
              <w:rPr>
                <w:rFonts w:ascii="Times New Roman"/>
                <w:sz w:val="24"/>
                <w:szCs w:val="22"/>
              </w:rPr>
              <w:t>速行驶，不鸣笛等</w:t>
            </w:r>
            <w:r>
              <w:rPr>
                <w:rFonts w:hint="eastAsia" w:ascii="Times New Roman"/>
                <w:sz w:val="24"/>
                <w:szCs w:val="22"/>
              </w:rPr>
              <w:t>。</w:t>
            </w:r>
          </w:p>
          <w:p>
            <w:pPr>
              <w:pStyle w:val="23"/>
              <w:widowControl/>
              <w:spacing w:line="360" w:lineRule="auto"/>
              <w:ind w:firstLine="480"/>
              <w:jc w:val="left"/>
              <w:rPr>
                <w:rFonts w:ascii="Times New Roman"/>
                <w:sz w:val="24"/>
                <w:szCs w:val="22"/>
              </w:rPr>
            </w:pPr>
            <w:r>
              <w:rPr>
                <w:rFonts w:hint="eastAsia" w:ascii="Times New Roman"/>
                <w:sz w:val="24"/>
                <w:szCs w:val="22"/>
              </w:rPr>
              <w:t>（2）</w:t>
            </w:r>
            <w:r>
              <w:rPr>
                <w:rFonts w:ascii="Times New Roman"/>
                <w:sz w:val="24"/>
                <w:szCs w:val="22"/>
              </w:rPr>
              <w:t>施工期间严格控制高噪声设备运行时间段，加强施工管理，严格控制施工作业时间，合理安排强噪声施工机械的工作频次，采取降噪措施，事先做好周围群众的工作，避免扰民。确因特殊需要夜间连续作业的，必须到相关部门办理夜间施工审批手续，且必须提前公告附近居民</w:t>
            </w:r>
            <w:r>
              <w:rPr>
                <w:rFonts w:hint="eastAsia" w:ascii="Times New Roman"/>
                <w:sz w:val="24"/>
                <w:szCs w:val="22"/>
              </w:rPr>
              <w:t>。</w:t>
            </w:r>
          </w:p>
          <w:p>
            <w:pPr>
              <w:keepNext w:val="0"/>
              <w:keepLines w:val="0"/>
              <w:pageBreakBefore w:val="0"/>
              <w:widowControl w:val="0"/>
              <w:kinsoku/>
              <w:wordWrap/>
              <w:topLinePunct w:val="0"/>
              <w:bidi w:val="0"/>
              <w:adjustRightInd w:val="0"/>
              <w:ind w:firstLine="480"/>
              <w:jc w:val="both"/>
              <w:rPr>
                <w:szCs w:val="20"/>
              </w:rPr>
            </w:pPr>
            <w:r>
              <w:rPr>
                <w:rFonts w:hint="eastAsia" w:ascii="Times New Roman"/>
                <w:sz w:val="24"/>
                <w:szCs w:val="22"/>
              </w:rPr>
              <w:t>（3）</w:t>
            </w:r>
            <w:r>
              <w:rPr>
                <w:rFonts w:ascii="Times New Roman"/>
                <w:sz w:val="24"/>
                <w:szCs w:val="22"/>
              </w:rPr>
              <w:t>施工设备选型时尽量采用低噪声设备，避免强噪声施工机械在同一区域内同时使用，施工现场的强噪声机械尽量设置在远离环境保护目标的地方</w:t>
            </w:r>
            <w:r>
              <w:rPr>
                <w:rFonts w:hint="eastAsia" w:ascii="Times New Roman"/>
                <w:sz w:val="24"/>
                <w:szCs w:val="22"/>
              </w:rPr>
              <w:t>。</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7.1.4 固体废弃物环境影响分析</w:t>
            </w:r>
          </w:p>
          <w:p>
            <w:pPr>
              <w:keepNext w:val="0"/>
              <w:keepLines w:val="0"/>
              <w:pageBreakBefore w:val="0"/>
              <w:widowControl w:val="0"/>
              <w:kinsoku/>
              <w:wordWrap/>
              <w:topLinePunct w:val="0"/>
              <w:bidi w:val="0"/>
              <w:adjustRightInd w:val="0"/>
              <w:ind w:firstLine="480"/>
              <w:jc w:val="both"/>
              <w:rPr>
                <w:szCs w:val="20"/>
              </w:rPr>
            </w:pPr>
            <w:r>
              <w:rPr>
                <w:szCs w:val="20"/>
              </w:rPr>
              <w:t>本</w:t>
            </w:r>
            <w:r>
              <w:rPr>
                <w:rFonts w:hint="eastAsia"/>
                <w:szCs w:val="20"/>
                <w:lang w:eastAsia="zh-CN"/>
              </w:rPr>
              <w:t>项目</w:t>
            </w:r>
            <w:r>
              <w:rPr>
                <w:szCs w:val="20"/>
              </w:rPr>
              <w:t>施工期产生的固体废物主要为建筑垃圾和生活垃圾等。</w:t>
            </w:r>
          </w:p>
          <w:p>
            <w:pPr>
              <w:keepNext w:val="0"/>
              <w:keepLines w:val="0"/>
              <w:pageBreakBefore w:val="0"/>
              <w:widowControl w:val="0"/>
              <w:kinsoku/>
              <w:wordWrap/>
              <w:topLinePunct w:val="0"/>
              <w:bidi w:val="0"/>
              <w:adjustRightInd w:val="0"/>
              <w:ind w:firstLine="480"/>
              <w:jc w:val="both"/>
              <w:rPr>
                <w:b w:val="0"/>
                <w:bCs w:val="0"/>
                <w:szCs w:val="20"/>
              </w:rPr>
            </w:pPr>
            <w:r>
              <w:rPr>
                <w:rFonts w:hint="eastAsia"/>
                <w:b w:val="0"/>
                <w:bCs w:val="0"/>
                <w:szCs w:val="20"/>
                <w:lang w:eastAsia="zh-CN"/>
              </w:rPr>
              <w:t>（</w:t>
            </w:r>
            <w:r>
              <w:rPr>
                <w:rFonts w:hint="eastAsia"/>
                <w:b w:val="0"/>
                <w:bCs w:val="0"/>
                <w:szCs w:val="20"/>
                <w:lang w:val="en-US" w:eastAsia="zh-CN"/>
              </w:rPr>
              <w:t>1</w:t>
            </w:r>
            <w:r>
              <w:rPr>
                <w:rFonts w:hint="eastAsia"/>
                <w:b w:val="0"/>
                <w:bCs w:val="0"/>
                <w:szCs w:val="20"/>
                <w:lang w:eastAsia="zh-CN"/>
              </w:rPr>
              <w:t>）</w:t>
            </w:r>
            <w:r>
              <w:rPr>
                <w:b w:val="0"/>
                <w:bCs w:val="0"/>
                <w:szCs w:val="20"/>
              </w:rPr>
              <w:t>建筑垃圾</w:t>
            </w:r>
          </w:p>
          <w:p>
            <w:pPr>
              <w:keepNext w:val="0"/>
              <w:keepLines w:val="0"/>
              <w:pageBreakBefore w:val="0"/>
              <w:widowControl w:val="0"/>
              <w:kinsoku/>
              <w:wordWrap/>
              <w:topLinePunct w:val="0"/>
              <w:bidi w:val="0"/>
              <w:adjustRightInd w:val="0"/>
              <w:ind w:firstLine="480"/>
              <w:jc w:val="both"/>
              <w:rPr>
                <w:szCs w:val="20"/>
              </w:rPr>
            </w:pPr>
            <w:r>
              <w:rPr>
                <w:rFonts w:hint="eastAsia"/>
                <w:szCs w:val="20"/>
              </w:rPr>
              <w:t>本项目施工期固体废物主要为建筑垃圾及边角料等，评价要求建筑垃圾及时清理收集后，对于钢筋等可回收利用的回收利用，不能回收利用的定期运至当地环卫部门指定的建筑垃圾填埋场处理；施工期的回填余土就地平整低洼处，并覆表土进行植被恢复。</w:t>
            </w:r>
          </w:p>
          <w:p>
            <w:pPr>
              <w:keepNext w:val="0"/>
              <w:keepLines w:val="0"/>
              <w:pageBreakBefore w:val="0"/>
              <w:widowControl w:val="0"/>
              <w:kinsoku/>
              <w:wordWrap/>
              <w:topLinePunct w:val="0"/>
              <w:bidi w:val="0"/>
              <w:adjustRightInd w:val="0"/>
              <w:ind w:firstLine="480"/>
              <w:jc w:val="both"/>
              <w:rPr>
                <w:b w:val="0"/>
                <w:bCs w:val="0"/>
                <w:szCs w:val="20"/>
              </w:rPr>
            </w:pPr>
            <w:r>
              <w:rPr>
                <w:rFonts w:hint="eastAsia"/>
                <w:b w:val="0"/>
                <w:bCs w:val="0"/>
                <w:szCs w:val="20"/>
                <w:lang w:eastAsia="zh-CN"/>
              </w:rPr>
              <w:t>（</w:t>
            </w:r>
            <w:r>
              <w:rPr>
                <w:rFonts w:hint="eastAsia"/>
                <w:b w:val="0"/>
                <w:bCs w:val="0"/>
                <w:szCs w:val="20"/>
                <w:lang w:val="en-US" w:eastAsia="zh-CN"/>
              </w:rPr>
              <w:t>2</w:t>
            </w:r>
            <w:r>
              <w:rPr>
                <w:rFonts w:hint="eastAsia"/>
                <w:b w:val="0"/>
                <w:bCs w:val="0"/>
                <w:szCs w:val="20"/>
                <w:lang w:eastAsia="zh-CN"/>
              </w:rPr>
              <w:t>）</w:t>
            </w:r>
            <w:r>
              <w:rPr>
                <w:b w:val="0"/>
                <w:bCs w:val="0"/>
                <w:szCs w:val="20"/>
              </w:rPr>
              <w:t>生活垃圾</w:t>
            </w:r>
          </w:p>
          <w:p>
            <w:pPr>
              <w:keepNext w:val="0"/>
              <w:keepLines w:val="0"/>
              <w:pageBreakBefore w:val="0"/>
              <w:widowControl w:val="0"/>
              <w:kinsoku/>
              <w:wordWrap/>
              <w:topLinePunct w:val="0"/>
              <w:bidi w:val="0"/>
              <w:ind w:firstLine="480" w:firstLineChars="200"/>
              <w:jc w:val="both"/>
            </w:pPr>
            <w:r>
              <w:t>项目施工人员依托周边村庄现有生活设施，不在工程区食宿，施工期生活垃圾产生量为10.2kg/d。生活垃圾不得随意丢弃，统一纳入当地垃圾清运系统，不会对周围环境造成明显的影响。</w:t>
            </w:r>
          </w:p>
          <w:p>
            <w:pPr>
              <w:pStyle w:val="29"/>
              <w:keepNext w:val="0"/>
              <w:keepLines w:val="0"/>
              <w:pageBreakBefore w:val="0"/>
              <w:widowControl w:val="0"/>
              <w:kinsoku/>
              <w:wordWrap/>
              <w:topLinePunct w:val="0"/>
              <w:bidi w:val="0"/>
              <w:spacing w:line="360" w:lineRule="auto"/>
              <w:ind w:firstLine="504"/>
              <w:rPr>
                <w:sz w:val="24"/>
              </w:rPr>
            </w:pPr>
            <w:r>
              <w:rPr>
                <w:sz w:val="24"/>
              </w:rPr>
              <w:t>通过上述措施后，本</w:t>
            </w:r>
            <w:r>
              <w:rPr>
                <w:rFonts w:hint="eastAsia"/>
                <w:sz w:val="24"/>
                <w:lang w:eastAsia="zh-CN"/>
              </w:rPr>
              <w:t>项目</w:t>
            </w:r>
            <w:r>
              <w:rPr>
                <w:sz w:val="24"/>
              </w:rPr>
              <w:t>施工期产生固体废弃物均得到合理妥善处置，处置率100%，对环境影响较小。</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7.1.5 生态环境影响分析</w:t>
            </w:r>
          </w:p>
          <w:p>
            <w:pPr>
              <w:keepNext w:val="0"/>
              <w:keepLines w:val="0"/>
              <w:pageBreakBefore w:val="0"/>
              <w:widowControl w:val="0"/>
              <w:kinsoku/>
              <w:wordWrap/>
              <w:topLinePunct w:val="0"/>
              <w:bidi w:val="0"/>
              <w:adjustRightInd w:val="0"/>
              <w:ind w:firstLine="480"/>
              <w:jc w:val="both"/>
              <w:rPr>
                <w:rFonts w:hint="eastAsia"/>
                <w:b w:val="0"/>
                <w:bCs w:val="0"/>
                <w:szCs w:val="20"/>
                <w:lang w:eastAsia="zh-CN"/>
              </w:rPr>
            </w:pPr>
            <w:r>
              <w:rPr>
                <w:rFonts w:hint="eastAsia"/>
                <w:b w:val="0"/>
                <w:bCs w:val="0"/>
                <w:szCs w:val="20"/>
                <w:lang w:eastAsia="zh-CN"/>
              </w:rPr>
              <w:t>（</w:t>
            </w:r>
            <w:r>
              <w:rPr>
                <w:rFonts w:hint="eastAsia"/>
                <w:b w:val="0"/>
                <w:bCs w:val="0"/>
                <w:szCs w:val="20"/>
                <w:lang w:val="en-US" w:eastAsia="zh-CN"/>
              </w:rPr>
              <w:t>1</w:t>
            </w:r>
            <w:r>
              <w:rPr>
                <w:rFonts w:hint="eastAsia"/>
                <w:b w:val="0"/>
                <w:bCs w:val="0"/>
                <w:szCs w:val="20"/>
                <w:lang w:eastAsia="zh-CN"/>
              </w:rPr>
              <w:t>）对土地利用的影响</w:t>
            </w:r>
          </w:p>
          <w:p>
            <w:pPr>
              <w:keepNext w:val="0"/>
              <w:keepLines w:val="0"/>
              <w:pageBreakBefore w:val="0"/>
              <w:widowControl w:val="0"/>
              <w:kinsoku/>
              <w:wordWrap/>
              <w:topLinePunct w:val="0"/>
              <w:autoSpaceDE w:val="0"/>
              <w:autoSpaceDN w:val="0"/>
              <w:bidi w:val="0"/>
              <w:ind w:firstLine="480" w:firstLineChars="200"/>
              <w:jc w:val="both"/>
              <w:rPr>
                <w:kern w:val="0"/>
              </w:rPr>
            </w:pPr>
            <w:r>
              <w:rPr>
                <w:bCs w:val="0"/>
              </w:rPr>
              <w:t>本</w:t>
            </w:r>
            <w:r>
              <w:rPr>
                <w:rFonts w:hint="eastAsia"/>
                <w:bCs w:val="0"/>
                <w:lang w:eastAsia="zh-CN"/>
              </w:rPr>
              <w:t>项目</w:t>
            </w:r>
            <w:r>
              <w:rPr>
                <w:bCs w:val="0"/>
              </w:rPr>
              <w:t>占地包括永久占地和临时占地两部分。</w:t>
            </w:r>
            <w:r>
              <w:rPr>
                <w:rFonts w:hint="eastAsia"/>
                <w:bCs w:val="0"/>
              </w:rPr>
              <w:t>永久</w:t>
            </w:r>
            <w:r>
              <w:rPr>
                <w:bCs w:val="0"/>
              </w:rPr>
              <w:t>占地主要为输电线路塔基占地，总占地面积为</w:t>
            </w:r>
            <w:r>
              <w:rPr>
                <w:rFonts w:hint="eastAsia"/>
                <w:bCs w:val="0"/>
                <w:lang w:val="en-US" w:eastAsia="zh-CN"/>
              </w:rPr>
              <w:t>990</w:t>
            </w:r>
            <w:r>
              <w:rPr>
                <w:kern w:val="0"/>
              </w:rPr>
              <w:t>m</w:t>
            </w:r>
            <w:r>
              <w:rPr>
                <w:kern w:val="0"/>
                <w:vertAlign w:val="superscript"/>
              </w:rPr>
              <w:t>2</w:t>
            </w:r>
            <w:r>
              <w:rPr>
                <w:bCs w:val="0"/>
              </w:rPr>
              <w:t>，临时占地</w:t>
            </w:r>
            <w:r>
              <w:rPr>
                <w:rFonts w:hint="eastAsia"/>
                <w:bCs w:val="0"/>
              </w:rPr>
              <w:t>主要为牵张场</w:t>
            </w:r>
            <w:r>
              <w:rPr>
                <w:bCs w:val="0"/>
              </w:rPr>
              <w:t>、临时施工场地</w:t>
            </w:r>
            <w:r>
              <w:rPr>
                <w:rFonts w:hint="eastAsia"/>
                <w:bCs w:val="0"/>
              </w:rPr>
              <w:t>等占地，</w:t>
            </w:r>
            <w:r>
              <w:rPr>
                <w:bCs w:val="0"/>
              </w:rPr>
              <w:t>总占地</w:t>
            </w:r>
            <w:r>
              <w:rPr>
                <w:rFonts w:hint="eastAsia"/>
                <w:bCs w:val="0"/>
              </w:rPr>
              <w:t>面积</w:t>
            </w:r>
            <w:r>
              <w:rPr>
                <w:rFonts w:hint="eastAsia"/>
                <w:bCs w:val="0"/>
                <w:lang w:val="en-US" w:eastAsia="zh-CN"/>
              </w:rPr>
              <w:t>25800</w:t>
            </w:r>
            <w:r>
              <w:rPr>
                <w:kern w:val="0"/>
              </w:rPr>
              <w:t>m</w:t>
            </w:r>
            <w:r>
              <w:rPr>
                <w:kern w:val="0"/>
                <w:vertAlign w:val="superscript"/>
              </w:rPr>
              <w:t>2</w:t>
            </w:r>
            <w:r>
              <w:rPr>
                <w:bCs w:val="0"/>
              </w:rPr>
              <w:t>。</w:t>
            </w:r>
          </w:p>
          <w:p>
            <w:pPr>
              <w:keepNext w:val="0"/>
              <w:keepLines w:val="0"/>
              <w:pageBreakBefore w:val="0"/>
              <w:widowControl w:val="0"/>
              <w:kinsoku/>
              <w:wordWrap/>
              <w:topLinePunct w:val="0"/>
              <w:bidi w:val="0"/>
              <w:ind w:firstLine="480" w:firstLineChars="200"/>
              <w:jc w:val="both"/>
              <w:rPr>
                <w:rFonts w:hint="eastAsia"/>
                <w:bCs w:val="0"/>
              </w:rPr>
            </w:pPr>
            <w:r>
              <w:rPr>
                <w:rFonts w:hint="eastAsia"/>
                <w:bCs w:val="0"/>
              </w:rPr>
              <w:t>架空线路</w:t>
            </w:r>
            <w:r>
              <w:rPr>
                <w:bCs w:val="0"/>
              </w:rPr>
              <w:t>塔基占地面积较小，</w:t>
            </w:r>
            <w:r>
              <w:rPr>
                <w:rFonts w:hint="eastAsia"/>
                <w:bCs w:val="0"/>
              </w:rPr>
              <w:t>实际占地仅限于4个支撑脚，而施工结束后塔基中间部分仍可恢复植被，对土地利用结构不会产生明显的改变。</w:t>
            </w:r>
          </w:p>
          <w:p>
            <w:pPr>
              <w:keepNext w:val="0"/>
              <w:keepLines w:val="0"/>
              <w:pageBreakBefore w:val="0"/>
              <w:widowControl w:val="0"/>
              <w:kinsoku/>
              <w:wordWrap/>
              <w:topLinePunct w:val="0"/>
              <w:bidi w:val="0"/>
              <w:ind w:firstLine="480" w:firstLineChars="200"/>
              <w:jc w:val="both"/>
              <w:rPr>
                <w:bCs w:val="0"/>
              </w:rPr>
            </w:pPr>
            <w:r>
              <w:rPr>
                <w:rFonts w:hint="eastAsia"/>
                <w:bCs w:val="0"/>
              </w:rPr>
              <w:t>架空</w:t>
            </w:r>
            <w:r>
              <w:rPr>
                <w:bCs w:val="0"/>
              </w:rPr>
              <w:t>线路单塔施工</w:t>
            </w:r>
            <w:r>
              <w:rPr>
                <w:rFonts w:hint="eastAsia"/>
                <w:bCs w:val="0"/>
              </w:rPr>
              <w:t>场地</w:t>
            </w:r>
            <w:r>
              <w:rPr>
                <w:bCs w:val="0"/>
              </w:rPr>
              <w:t>面积较小，</w:t>
            </w:r>
            <w:r>
              <w:rPr>
                <w:rFonts w:hint="eastAsia"/>
                <w:bCs w:val="0"/>
              </w:rPr>
              <w:t>施工期</w:t>
            </w:r>
            <w:r>
              <w:rPr>
                <w:bCs w:val="0"/>
              </w:rPr>
              <w:t>尽量保存开挖处的</w:t>
            </w:r>
            <w:r>
              <w:rPr>
                <w:rFonts w:hint="eastAsia"/>
                <w:bCs w:val="0"/>
              </w:rPr>
              <w:t>熟土</w:t>
            </w:r>
            <w:r>
              <w:rPr>
                <w:bCs w:val="0"/>
              </w:rPr>
              <w:t>和表层土，施工结束后按照土层顺序回填，</w:t>
            </w:r>
            <w:r>
              <w:rPr>
                <w:rFonts w:hint="eastAsia"/>
                <w:bCs w:val="0"/>
              </w:rPr>
              <w:t>并按照</w:t>
            </w:r>
            <w:r>
              <w:rPr>
                <w:bCs w:val="0"/>
              </w:rPr>
              <w:t>原土地利用类型进行</w:t>
            </w:r>
            <w:r>
              <w:rPr>
                <w:rFonts w:hint="eastAsia"/>
                <w:bCs w:val="0"/>
              </w:rPr>
              <w:t>绿化</w:t>
            </w:r>
            <w:r>
              <w:rPr>
                <w:bCs w:val="0"/>
              </w:rPr>
              <w:t>恢复</w:t>
            </w:r>
            <w:r>
              <w:rPr>
                <w:rFonts w:hint="eastAsia"/>
                <w:bCs w:val="0"/>
              </w:rPr>
              <w:t>，占用的林地应依法按照办理</w:t>
            </w:r>
            <w:r>
              <w:rPr>
                <w:bCs w:val="0"/>
              </w:rPr>
              <w:t>相关手续，进行林地补偿</w:t>
            </w:r>
            <w:r>
              <w:rPr>
                <w:rFonts w:hint="eastAsia"/>
                <w:bCs w:val="0"/>
              </w:rPr>
              <w:t>。通过</w:t>
            </w:r>
            <w:r>
              <w:rPr>
                <w:bCs w:val="0"/>
              </w:rPr>
              <w:t>以上措施，临时占地可恢复</w:t>
            </w:r>
            <w:r>
              <w:rPr>
                <w:rFonts w:hint="eastAsia"/>
                <w:bCs w:val="0"/>
              </w:rPr>
              <w:t>为</w:t>
            </w:r>
            <w:r>
              <w:rPr>
                <w:bCs w:val="0"/>
              </w:rPr>
              <w:t>原土地利用类型，</w:t>
            </w:r>
            <w:r>
              <w:rPr>
                <w:rFonts w:hint="eastAsia"/>
                <w:bCs w:val="0"/>
              </w:rPr>
              <w:t>对土地利用结构不会产生明显的改变。</w:t>
            </w:r>
          </w:p>
          <w:p>
            <w:pPr>
              <w:keepNext w:val="0"/>
              <w:keepLines w:val="0"/>
              <w:pageBreakBefore w:val="0"/>
              <w:widowControl w:val="0"/>
              <w:kinsoku/>
              <w:wordWrap/>
              <w:topLinePunct w:val="0"/>
              <w:bidi w:val="0"/>
              <w:adjustRightInd w:val="0"/>
              <w:ind w:firstLine="480"/>
              <w:jc w:val="both"/>
              <w:rPr>
                <w:rFonts w:hint="eastAsia"/>
                <w:b w:val="0"/>
                <w:bCs w:val="0"/>
                <w:szCs w:val="20"/>
                <w:lang w:eastAsia="zh-CN"/>
              </w:rPr>
            </w:pPr>
            <w:r>
              <w:rPr>
                <w:rFonts w:hint="eastAsia"/>
                <w:b w:val="0"/>
                <w:bCs w:val="0"/>
                <w:szCs w:val="20"/>
                <w:lang w:eastAsia="zh-CN"/>
              </w:rPr>
              <w:t>（</w:t>
            </w:r>
            <w:r>
              <w:rPr>
                <w:rFonts w:hint="eastAsia"/>
                <w:b w:val="0"/>
                <w:bCs w:val="0"/>
                <w:szCs w:val="20"/>
                <w:lang w:val="en-US" w:eastAsia="zh-CN"/>
              </w:rPr>
              <w:t>2</w:t>
            </w:r>
            <w:r>
              <w:rPr>
                <w:rFonts w:hint="eastAsia"/>
                <w:b w:val="0"/>
                <w:bCs w:val="0"/>
                <w:szCs w:val="20"/>
                <w:lang w:eastAsia="zh-CN"/>
              </w:rPr>
              <w:t>）对植被的影响</w:t>
            </w:r>
          </w:p>
          <w:p>
            <w:pPr>
              <w:keepNext w:val="0"/>
              <w:keepLines w:val="0"/>
              <w:pageBreakBefore w:val="0"/>
              <w:widowControl w:val="0"/>
              <w:kinsoku/>
              <w:wordWrap/>
              <w:topLinePunct w:val="0"/>
              <w:autoSpaceDE w:val="0"/>
              <w:autoSpaceDN w:val="0"/>
              <w:bidi w:val="0"/>
              <w:adjustRightInd w:val="0"/>
              <w:ind w:firstLine="480" w:firstLineChars="200"/>
              <w:jc w:val="both"/>
              <w:rPr>
                <w:rFonts w:hint="eastAsia"/>
                <w:kern w:val="0"/>
              </w:rPr>
            </w:pPr>
            <w:r>
              <w:rPr>
                <w:rFonts w:hint="eastAsia"/>
                <w:bCs w:val="0"/>
              </w:rPr>
              <w:t>拟建</w:t>
            </w:r>
            <w:r>
              <w:rPr>
                <w:bCs w:val="0"/>
              </w:rPr>
              <w:t>输电线路</w:t>
            </w:r>
            <w:r>
              <w:rPr>
                <w:rFonts w:hint="eastAsia"/>
                <w:bCs w:val="0"/>
              </w:rPr>
              <w:t>现状</w:t>
            </w:r>
            <w:r>
              <w:rPr>
                <w:bCs w:val="0"/>
              </w:rPr>
              <w:t>为</w:t>
            </w:r>
            <w:r>
              <w:rPr>
                <w:rFonts w:hint="eastAsia"/>
                <w:bCs w:val="0"/>
              </w:rPr>
              <w:t>灌木林地、</w:t>
            </w:r>
            <w:r>
              <w:rPr>
                <w:bCs w:val="0"/>
              </w:rPr>
              <w:t>草地，</w:t>
            </w:r>
            <w:r>
              <w:rPr>
                <w:rFonts w:hint="eastAsia"/>
                <w:bCs w:val="0"/>
              </w:rPr>
              <w:t>施工期场地</w:t>
            </w:r>
            <w:r>
              <w:rPr>
                <w:bCs w:val="0"/>
              </w:rPr>
              <w:t>平整和</w:t>
            </w:r>
            <w:r>
              <w:rPr>
                <w:rFonts w:hint="eastAsia"/>
                <w:bCs w:val="0"/>
              </w:rPr>
              <w:t>开辟</w:t>
            </w:r>
            <w:r>
              <w:rPr>
                <w:bCs w:val="0"/>
              </w:rPr>
              <w:t>临时施工场地</w:t>
            </w:r>
            <w:r>
              <w:rPr>
                <w:rFonts w:hint="eastAsia"/>
                <w:bCs w:val="0"/>
              </w:rPr>
              <w:t>需清除</w:t>
            </w:r>
            <w:r>
              <w:rPr>
                <w:bCs w:val="0"/>
              </w:rPr>
              <w:t>地表植被，</w:t>
            </w:r>
            <w:r>
              <w:rPr>
                <w:rFonts w:hint="eastAsia"/>
                <w:bCs w:val="0"/>
              </w:rPr>
              <w:t>将造成区域植被覆盖率降低和生物量减少，施工期</w:t>
            </w:r>
            <w:r>
              <w:rPr>
                <w:bCs w:val="0"/>
              </w:rPr>
              <w:t>机械运行、</w:t>
            </w:r>
            <w:r>
              <w:rPr>
                <w:rFonts w:hint="eastAsia"/>
                <w:bCs w:val="0"/>
              </w:rPr>
              <w:t>车辆运输、人员出入等也可能造成植物个体损伤。</w:t>
            </w:r>
            <w:r>
              <w:rPr>
                <w:bCs w:val="0"/>
                <w:kern w:val="24"/>
              </w:rPr>
              <w:t>根据现场调查，</w:t>
            </w:r>
            <w:r>
              <w:rPr>
                <w:rFonts w:hint="eastAsia"/>
                <w:bCs w:val="0"/>
                <w:kern w:val="24"/>
                <w:lang w:eastAsia="zh-CN"/>
              </w:rPr>
              <w:t>本项目</w:t>
            </w:r>
            <w:r>
              <w:rPr>
                <w:bCs w:val="0"/>
                <w:kern w:val="24"/>
              </w:rPr>
              <w:t>拟建线路</w:t>
            </w:r>
            <w:r>
              <w:rPr>
                <w:rFonts w:hint="eastAsia"/>
                <w:bCs w:val="0"/>
                <w:kern w:val="24"/>
              </w:rPr>
              <w:t>施工区</w:t>
            </w:r>
            <w:r>
              <w:rPr>
                <w:bCs w:val="0"/>
                <w:kern w:val="24"/>
              </w:rPr>
              <w:t>植被</w:t>
            </w:r>
            <w:r>
              <w:rPr>
                <w:rFonts w:hint="eastAsia"/>
                <w:bCs w:val="0"/>
                <w:kern w:val="24"/>
              </w:rPr>
              <w:t>类型</w:t>
            </w:r>
            <w:r>
              <w:rPr>
                <w:bCs w:val="0"/>
                <w:kern w:val="24"/>
              </w:rPr>
              <w:t>主要为</w:t>
            </w:r>
            <w:r>
              <w:rPr>
                <w:rFonts w:hint="eastAsia"/>
                <w:bCs w:val="0"/>
                <w:kern w:val="24"/>
              </w:rPr>
              <w:t>灌木</w:t>
            </w:r>
            <w:r>
              <w:rPr>
                <w:bCs w:val="0"/>
                <w:kern w:val="24"/>
              </w:rPr>
              <w:t>林地</w:t>
            </w:r>
            <w:r>
              <w:rPr>
                <w:rFonts w:hint="eastAsia"/>
                <w:bCs w:val="0"/>
                <w:kern w:val="24"/>
              </w:rPr>
              <w:t>，</w:t>
            </w:r>
            <w:r>
              <w:t>以柠条、</w:t>
            </w:r>
            <w:r>
              <w:rPr>
                <w:rFonts w:hint="eastAsia"/>
              </w:rPr>
              <w:t>黑沙蒿</w:t>
            </w:r>
            <w:r>
              <w:t>、塔落岩黄耆等灌木为主</w:t>
            </w:r>
            <w:r>
              <w:rPr>
                <w:rFonts w:hint="eastAsia"/>
              </w:rPr>
              <w:t>，伴生拂子茅</w:t>
            </w:r>
            <w:r>
              <w:t>、</w:t>
            </w:r>
            <w:r>
              <w:rPr>
                <w:rFonts w:hint="eastAsia"/>
              </w:rPr>
              <w:t>长芒草、甘遂</w:t>
            </w:r>
            <w:r>
              <w:t>等</w:t>
            </w:r>
            <w:r>
              <w:rPr>
                <w:rFonts w:hint="eastAsia"/>
              </w:rPr>
              <w:t>草本</w:t>
            </w:r>
            <w:r>
              <w:rPr>
                <w:rFonts w:hint="eastAsia"/>
                <w:bCs w:val="0"/>
                <w:kern w:val="24"/>
              </w:rPr>
              <w:t>，均为当地常见植物，在</w:t>
            </w:r>
            <w:r>
              <w:rPr>
                <w:rFonts w:hint="eastAsia"/>
                <w:bCs w:val="0"/>
                <w:kern w:val="24"/>
                <w:lang w:eastAsia="zh-CN"/>
              </w:rPr>
              <w:t>项目</w:t>
            </w:r>
            <w:r>
              <w:rPr>
                <w:rFonts w:hint="eastAsia"/>
                <w:bCs w:val="0"/>
                <w:kern w:val="24"/>
              </w:rPr>
              <w:t>周边分布较广。施工期不会对</w:t>
            </w:r>
            <w:r>
              <w:rPr>
                <w:bCs w:val="0"/>
                <w:kern w:val="24"/>
              </w:rPr>
              <w:t>植物多样性</w:t>
            </w:r>
            <w:r>
              <w:rPr>
                <w:rFonts w:hint="eastAsia"/>
                <w:bCs w:val="0"/>
                <w:kern w:val="24"/>
              </w:rPr>
              <w:t>造成</w:t>
            </w:r>
            <w:r>
              <w:rPr>
                <w:bCs w:val="0"/>
                <w:kern w:val="24"/>
              </w:rPr>
              <w:t>影响，</w:t>
            </w:r>
            <w:r>
              <w:t>施工结束后采取植被恢复等措施，</w:t>
            </w:r>
            <w:r>
              <w:rPr>
                <w:rFonts w:hint="eastAsia"/>
              </w:rPr>
              <w:t>临时占地区</w:t>
            </w:r>
            <w:r>
              <w:t>可较快恢复原状。</w:t>
            </w:r>
            <w:r>
              <w:rPr>
                <w:rFonts w:hint="eastAsia"/>
                <w:bCs w:val="0"/>
                <w:lang w:eastAsia="zh-CN"/>
              </w:rPr>
              <w:t>项目</w:t>
            </w:r>
            <w:r>
              <w:rPr>
                <w:rFonts w:hint="eastAsia"/>
                <w:bCs w:val="0"/>
              </w:rPr>
              <w:t>施工过程中如占用林地，应到当地林业部门办理相关手续，施工</w:t>
            </w:r>
            <w:r>
              <w:rPr>
                <w:bCs w:val="0"/>
              </w:rPr>
              <w:t>结束后</w:t>
            </w:r>
            <w:r>
              <w:rPr>
                <w:rFonts w:hint="eastAsia"/>
                <w:bCs w:val="0"/>
              </w:rPr>
              <w:t>应</w:t>
            </w:r>
            <w:r>
              <w:rPr>
                <w:bCs w:val="0"/>
              </w:rPr>
              <w:t>及时采用</w:t>
            </w:r>
            <w:r>
              <w:rPr>
                <w:rFonts w:hint="eastAsia"/>
                <w:bCs w:val="0"/>
              </w:rPr>
              <w:t>乡土树种进行恢复</w:t>
            </w:r>
            <w:r>
              <w:rPr>
                <w:bCs w:val="0"/>
              </w:rPr>
              <w:t>，</w:t>
            </w:r>
            <w:r>
              <w:rPr>
                <w:rFonts w:hint="eastAsia"/>
                <w:bCs w:val="0"/>
              </w:rPr>
              <w:t>通过以上措施，</w:t>
            </w:r>
            <w:r>
              <w:rPr>
                <w:rFonts w:hint="eastAsia"/>
                <w:bCs w:val="0"/>
                <w:lang w:eastAsia="zh-CN"/>
              </w:rPr>
              <w:t>项目</w:t>
            </w:r>
            <w:r>
              <w:rPr>
                <w:bCs w:val="0"/>
              </w:rPr>
              <w:t>对植被影响较小。</w:t>
            </w:r>
          </w:p>
          <w:p>
            <w:pPr>
              <w:keepNext w:val="0"/>
              <w:keepLines w:val="0"/>
              <w:pageBreakBefore w:val="0"/>
              <w:widowControl w:val="0"/>
              <w:kinsoku/>
              <w:wordWrap/>
              <w:topLinePunct w:val="0"/>
              <w:bidi w:val="0"/>
              <w:ind w:firstLine="480" w:firstLineChars="200"/>
              <w:rPr>
                <w:b w:val="0"/>
                <w:bCs w:val="0"/>
              </w:rPr>
            </w:pPr>
            <w:r>
              <w:rPr>
                <w:rFonts w:hint="eastAsia"/>
                <w:b w:val="0"/>
                <w:bCs w:val="0"/>
                <w:lang w:eastAsia="zh-CN"/>
              </w:rPr>
              <w:t>（</w:t>
            </w:r>
            <w:r>
              <w:rPr>
                <w:rFonts w:hint="eastAsia"/>
                <w:b w:val="0"/>
                <w:bCs w:val="0"/>
                <w:lang w:val="en-US" w:eastAsia="zh-CN"/>
              </w:rPr>
              <w:t>3</w:t>
            </w:r>
            <w:r>
              <w:rPr>
                <w:rFonts w:hint="eastAsia"/>
                <w:b w:val="0"/>
                <w:bCs w:val="0"/>
                <w:lang w:eastAsia="zh-CN"/>
              </w:rPr>
              <w:t>）</w:t>
            </w:r>
            <w:r>
              <w:rPr>
                <w:b w:val="0"/>
                <w:bCs w:val="0"/>
              </w:rPr>
              <w:t>对野生动物的影响</w:t>
            </w:r>
          </w:p>
          <w:p>
            <w:pPr>
              <w:keepNext w:val="0"/>
              <w:keepLines w:val="0"/>
              <w:pageBreakBefore w:val="0"/>
              <w:widowControl w:val="0"/>
              <w:kinsoku/>
              <w:wordWrap/>
              <w:topLinePunct w:val="0"/>
              <w:bidi w:val="0"/>
              <w:ind w:firstLine="480" w:firstLineChars="200"/>
            </w:pPr>
            <w:r>
              <w:rPr>
                <w:bCs w:val="0"/>
              </w:rPr>
              <w:t>施工期间施工人员出入、运输车辆的来往、施工机械的运行会对施工场地周边野生动物觅食、迁徙、繁殖和发育等产生干扰，有可能限制其活动区域、觅食范围与栖息空间等，可能会导致野生动物的临时迁徙，对野生动物产生一定影响。夜间运输车辆的灯光会对一些鸟类和夜间活动的兽类产生干扰，影响其正常的活动。</w:t>
            </w:r>
          </w:p>
          <w:p>
            <w:pPr>
              <w:keepNext w:val="0"/>
              <w:keepLines w:val="0"/>
              <w:pageBreakBefore w:val="0"/>
              <w:widowControl w:val="0"/>
              <w:kinsoku/>
              <w:wordWrap/>
              <w:topLinePunct w:val="0"/>
              <w:bidi w:val="0"/>
              <w:ind w:firstLine="480" w:firstLineChars="200"/>
            </w:pPr>
            <w:r>
              <w:t>经本次现场勘查，本</w:t>
            </w:r>
            <w:r>
              <w:rPr>
                <w:rFonts w:hint="eastAsia"/>
                <w:lang w:eastAsia="zh-CN"/>
              </w:rPr>
              <w:t>项目</w:t>
            </w:r>
            <w:r>
              <w:t>评价范围内已无大型野生动物，仅有少量鸟类，故本次</w:t>
            </w:r>
            <w:r>
              <w:rPr>
                <w:rFonts w:hint="eastAsia"/>
                <w:lang w:eastAsia="zh-CN"/>
              </w:rPr>
              <w:t>项目</w:t>
            </w:r>
            <w:r>
              <w:t>的建设及运行期间不会对区域野生动物造成影响。</w:t>
            </w:r>
          </w:p>
          <w:p>
            <w:pPr>
              <w:pStyle w:val="10"/>
              <w:keepNext w:val="0"/>
              <w:keepLines w:val="0"/>
              <w:pageBreakBefore w:val="0"/>
              <w:widowControl w:val="0"/>
              <w:kinsoku/>
              <w:wordWrap/>
              <w:topLinePunct w:val="0"/>
              <w:bidi w:val="0"/>
              <w:rPr>
                <w:rFonts w:ascii="Times New Roman" w:hAnsi="Times New Roman"/>
                <w:color w:val="auto"/>
              </w:rPr>
            </w:pPr>
            <w:r>
              <w:rPr>
                <w:rFonts w:ascii="Times New Roman" w:hAnsi="Times New Roman"/>
                <w:color w:val="auto"/>
              </w:rPr>
              <w:t>综上所述，</w:t>
            </w:r>
            <w:r>
              <w:rPr>
                <w:rFonts w:ascii="Times New Roman" w:hAnsi="Times New Roman"/>
                <w:color w:val="auto"/>
                <w:lang w:bidi="bo-CN"/>
              </w:rPr>
              <w:t>本</w:t>
            </w:r>
            <w:r>
              <w:rPr>
                <w:rFonts w:hint="eastAsia" w:ascii="Times New Roman" w:hAnsi="Times New Roman"/>
                <w:color w:val="auto"/>
                <w:lang w:eastAsia="zh-CN" w:bidi="bo-CN"/>
              </w:rPr>
              <w:t>项目</w:t>
            </w:r>
            <w:r>
              <w:rPr>
                <w:rFonts w:ascii="Times New Roman" w:hAnsi="Times New Roman"/>
                <w:color w:val="auto"/>
              </w:rPr>
              <w:t>随着施工期结束，临时占地植被恢复等作业后生态环境可得到进一步恢复，对环境影响较小。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4" w:hRule="atLeast"/>
          <w:jc w:val="center"/>
        </w:trPr>
        <w:tc>
          <w:tcPr>
            <w:tcW w:w="5000" w:type="pct"/>
            <w:tcBorders>
              <w:tl2br w:val="nil"/>
              <w:tr2bl w:val="nil"/>
            </w:tcBorders>
            <w:noWrap w:val="0"/>
            <w:vAlign w:val="top"/>
          </w:tcPr>
          <w:p>
            <w:pPr>
              <w:keepNext w:val="0"/>
              <w:keepLines w:val="0"/>
              <w:pageBreakBefore w:val="0"/>
              <w:widowControl w:val="0"/>
              <w:kinsoku/>
              <w:wordWrap/>
              <w:topLinePunct w:val="0"/>
              <w:bidi w:val="0"/>
              <w:spacing w:before="120" w:beforeLines="50"/>
              <w:rPr>
                <w:b/>
                <w:bCs w:val="0"/>
                <w:sz w:val="28"/>
                <w:szCs w:val="28"/>
              </w:rPr>
            </w:pPr>
            <w:r>
              <w:rPr>
                <w:rFonts w:hint="eastAsia"/>
                <w:b/>
                <w:bCs w:val="0"/>
                <w:sz w:val="28"/>
                <w:szCs w:val="28"/>
                <w:lang w:val="en-US" w:eastAsia="zh-CN"/>
              </w:rPr>
              <w:t>7.2</w:t>
            </w:r>
            <w:r>
              <w:rPr>
                <w:b/>
                <w:bCs w:val="0"/>
                <w:sz w:val="28"/>
                <w:szCs w:val="28"/>
              </w:rPr>
              <w:t>运行期环境影响分析：</w:t>
            </w:r>
          </w:p>
          <w:p>
            <w:pPr>
              <w:keepNext w:val="0"/>
              <w:keepLines w:val="0"/>
              <w:pageBreakBefore w:val="0"/>
              <w:widowControl w:val="0"/>
              <w:kinsoku/>
              <w:wordWrap/>
              <w:topLinePunct w:val="0"/>
              <w:bidi w:val="0"/>
              <w:ind w:firstLine="480" w:firstLineChars="200"/>
              <w:jc w:val="both"/>
              <w:rPr>
                <w:bCs w:val="0"/>
                <w:kern w:val="24"/>
              </w:rPr>
            </w:pPr>
            <w:r>
              <w:rPr>
                <w:bCs w:val="0"/>
                <w:kern w:val="24"/>
              </w:rPr>
              <w:t>根据工程分析，本工程运行期的主要环境影响为输电线路的电磁环境影响和声环境影响，其次为水环境影响和固体废弃物影响。</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b/>
                <w:bCs/>
                <w:kern w:val="24"/>
                <w:szCs w:val="24"/>
              </w:rPr>
            </w:pPr>
            <w:r>
              <w:rPr>
                <w:rFonts w:hint="eastAsia"/>
                <w:b/>
                <w:bCs/>
                <w:kern w:val="24"/>
                <w:szCs w:val="24"/>
                <w:lang w:val="en-US" w:eastAsia="zh-CN"/>
              </w:rPr>
              <w:t>7.2.1</w:t>
            </w:r>
            <w:r>
              <w:rPr>
                <w:b/>
                <w:bCs/>
                <w:kern w:val="24"/>
                <w:szCs w:val="24"/>
              </w:rPr>
              <w:t>电磁环境影响分析</w:t>
            </w:r>
          </w:p>
          <w:p>
            <w:pPr>
              <w:keepNext w:val="0"/>
              <w:keepLines w:val="0"/>
              <w:pageBreakBefore w:val="0"/>
              <w:widowControl w:val="0"/>
              <w:kinsoku/>
              <w:wordWrap/>
              <w:topLinePunct w:val="0"/>
              <w:bidi w:val="0"/>
              <w:ind w:firstLine="480" w:firstLineChars="200"/>
              <w:jc w:val="both"/>
              <w:rPr>
                <w:kern w:val="24"/>
              </w:rPr>
            </w:pPr>
            <w:r>
              <w:rPr>
                <w:kern w:val="24"/>
              </w:rPr>
              <w:t>按照</w:t>
            </w:r>
            <w:r>
              <w:t>《环境影响评价技术导则 输变电工程》（HJ24-2014）</w:t>
            </w:r>
            <w:r>
              <w:rPr>
                <w:kern w:val="24"/>
              </w:rPr>
              <w:t>的要求，</w:t>
            </w:r>
            <w:r>
              <w:rPr>
                <w:rFonts w:hint="eastAsia"/>
                <w:kern w:val="24"/>
              </w:rPr>
              <w:t>输电线路边导线地面投影外两侧各10m范围内无电磁环境敏感目标，输电线路评价等级为三级。</w:t>
            </w:r>
            <w:r>
              <w:rPr>
                <w:kern w:val="24"/>
              </w:rPr>
              <w:t>输电线路电磁环境影响评价采用模式预测的方式。（详见电磁环境影响评价专题）。</w:t>
            </w:r>
          </w:p>
          <w:p>
            <w:pPr>
              <w:keepNext w:val="0"/>
              <w:keepLines w:val="0"/>
              <w:pageBreakBefore w:val="0"/>
              <w:widowControl w:val="0"/>
              <w:kinsoku/>
              <w:wordWrap/>
              <w:topLinePunct w:val="0"/>
              <w:bidi w:val="0"/>
              <w:ind w:firstLine="480" w:firstLineChars="200"/>
              <w:jc w:val="both"/>
              <w:rPr>
                <w:highlight w:val="none"/>
              </w:rPr>
            </w:pPr>
            <w:r>
              <w:rPr>
                <w:highlight w:val="none"/>
              </w:rPr>
              <w:fldChar w:fldCharType="begin"/>
            </w:r>
            <w:r>
              <w:rPr>
                <w:highlight w:val="none"/>
              </w:rPr>
              <w:instrText xml:space="preserve"> = 1 \* GB2 </w:instrText>
            </w:r>
            <w:r>
              <w:rPr>
                <w:highlight w:val="none"/>
              </w:rPr>
              <w:fldChar w:fldCharType="separate"/>
            </w:r>
            <w:r>
              <w:rPr>
                <w:rFonts w:hint="eastAsia" w:ascii="宋体" w:hAnsi="宋体" w:cs="宋体"/>
                <w:highlight w:val="none"/>
              </w:rPr>
              <w:t>⑴</w:t>
            </w:r>
            <w:r>
              <w:rPr>
                <w:highlight w:val="none"/>
              </w:rPr>
              <w:fldChar w:fldCharType="end"/>
            </w:r>
            <w:r>
              <w:rPr>
                <w:highlight w:val="none"/>
              </w:rPr>
              <w:t xml:space="preserve"> 架空线路电磁环境影响分析</w:t>
            </w:r>
          </w:p>
          <w:p>
            <w:pPr>
              <w:keepNext w:val="0"/>
              <w:keepLines w:val="0"/>
              <w:pageBreakBefore w:val="0"/>
              <w:widowControl w:val="0"/>
              <w:kinsoku/>
              <w:wordWrap/>
              <w:topLinePunct w:val="0"/>
              <w:bidi w:val="0"/>
              <w:ind w:firstLine="480" w:firstLineChars="200"/>
              <w:jc w:val="both"/>
              <w:rPr>
                <w:rFonts w:hint="eastAsia"/>
                <w:bCs w:val="0"/>
                <w:highlight w:val="none"/>
              </w:rPr>
            </w:pPr>
            <w:r>
              <w:rPr>
                <w:bCs w:val="0"/>
                <w:highlight w:val="none"/>
              </w:rPr>
              <w:t>本次评价选择</w:t>
            </w:r>
            <w:r>
              <w:rPr>
                <w:rFonts w:hint="default"/>
                <w:bCs w:val="0"/>
                <w:highlight w:val="none"/>
                <w:lang w:val="en-US" w:eastAsia="zh-CN"/>
              </w:rPr>
              <w:t>1C3-ZM1</w:t>
            </w:r>
            <w:r>
              <w:rPr>
                <w:bCs w:val="0"/>
                <w:highlight w:val="none"/>
              </w:rPr>
              <w:t>直线塔预测塔型，</w:t>
            </w:r>
            <w:r>
              <w:rPr>
                <w:rFonts w:hint="eastAsia"/>
                <w:bCs w:val="0"/>
                <w:highlight w:val="none"/>
              </w:rPr>
              <w:t>对</w:t>
            </w:r>
            <w:r>
              <w:rPr>
                <w:bCs w:val="0"/>
                <w:highlight w:val="none"/>
              </w:rPr>
              <w:t>导线弧垂高度</w:t>
            </w:r>
            <w:r>
              <w:rPr>
                <w:rFonts w:hint="eastAsia"/>
                <w:bCs w:val="0"/>
                <w:highlight w:val="none"/>
              </w:rPr>
              <w:t>为6</w:t>
            </w:r>
            <w:r>
              <w:rPr>
                <w:bCs w:val="0"/>
                <w:highlight w:val="none"/>
              </w:rPr>
              <w:t>m</w:t>
            </w:r>
            <w:r>
              <w:rPr>
                <w:rFonts w:hint="eastAsia"/>
                <w:bCs w:val="0"/>
                <w:highlight w:val="none"/>
              </w:rPr>
              <w:t>、7</w:t>
            </w:r>
            <w:r>
              <w:rPr>
                <w:bCs w:val="0"/>
                <w:highlight w:val="none"/>
              </w:rPr>
              <w:t>m的最不利情况进行预测，其他</w:t>
            </w:r>
            <w:r>
              <w:rPr>
                <w:rFonts w:hint="eastAsia"/>
                <w:bCs w:val="0"/>
                <w:highlight w:val="none"/>
              </w:rPr>
              <w:t>塔型</w:t>
            </w:r>
            <w:r>
              <w:rPr>
                <w:bCs w:val="0"/>
                <w:highlight w:val="none"/>
              </w:rPr>
              <w:t>电磁场分布情况参考以上塔型预测结果，预测参数详见下表。</w:t>
            </w:r>
            <w:r>
              <w:rPr>
                <w:rFonts w:hint="eastAsia"/>
                <w:bCs w:val="0"/>
                <w:highlight w:val="none"/>
              </w:rPr>
              <w:t>经济</w:t>
            </w:r>
            <w:r>
              <w:rPr>
                <w:bCs w:val="0"/>
                <w:highlight w:val="none"/>
              </w:rPr>
              <w:t>电流根据可研报告取</w:t>
            </w:r>
            <w:r>
              <w:rPr>
                <w:rFonts w:hint="eastAsia"/>
                <w:bCs w:val="0"/>
                <w:highlight w:val="none"/>
                <w:lang w:val="en-US" w:eastAsia="zh-CN"/>
              </w:rPr>
              <w:t>1050</w:t>
            </w:r>
            <w:r>
              <w:rPr>
                <w:bCs w:val="0"/>
                <w:highlight w:val="none"/>
              </w:rPr>
              <w:t>A</w:t>
            </w:r>
            <w:r>
              <w:rPr>
                <w:rFonts w:hint="eastAsia"/>
                <w:bCs w:val="0"/>
                <w:highlight w:val="none"/>
              </w:rPr>
              <w:t>。</w:t>
            </w:r>
          </w:p>
          <w:p>
            <w:pPr>
              <w:keepNext w:val="0"/>
              <w:keepLines w:val="0"/>
              <w:pageBreakBefore w:val="0"/>
              <w:widowControl w:val="0"/>
              <w:kinsoku/>
              <w:wordWrap/>
              <w:topLinePunct w:val="0"/>
              <w:bidi w:val="0"/>
              <w:snapToGrid w:val="0"/>
              <w:spacing w:line="240" w:lineRule="auto"/>
              <w:jc w:val="center"/>
              <w:rPr>
                <w:b/>
                <w:bCs w:val="0"/>
                <w:sz w:val="21"/>
                <w:szCs w:val="21"/>
                <w:highlight w:val="none"/>
              </w:rPr>
            </w:pPr>
            <w:r>
              <w:rPr>
                <w:b/>
                <w:bCs w:val="0"/>
                <w:sz w:val="21"/>
                <w:szCs w:val="21"/>
                <w:highlight w:val="none"/>
              </w:rPr>
              <w:t>表</w:t>
            </w:r>
            <w:r>
              <w:rPr>
                <w:rFonts w:hint="eastAsia"/>
                <w:b/>
                <w:bCs w:val="0"/>
                <w:sz w:val="21"/>
                <w:szCs w:val="21"/>
                <w:highlight w:val="none"/>
                <w:lang w:val="en-US" w:eastAsia="zh-CN"/>
              </w:rPr>
              <w:t>7-1</w:t>
            </w:r>
            <w:r>
              <w:rPr>
                <w:b/>
                <w:bCs w:val="0"/>
                <w:sz w:val="21"/>
                <w:szCs w:val="21"/>
                <w:highlight w:val="none"/>
              </w:rPr>
              <w:t xml:space="preserve">    </w:t>
            </w:r>
            <w:r>
              <w:rPr>
                <w:b/>
                <w:sz w:val="21"/>
                <w:szCs w:val="21"/>
                <w:highlight w:val="none"/>
              </w:rPr>
              <w:t>110kV线路模式预</w:t>
            </w:r>
            <w:r>
              <w:rPr>
                <w:b/>
                <w:bCs w:val="0"/>
                <w:sz w:val="21"/>
                <w:szCs w:val="21"/>
                <w:highlight w:val="none"/>
              </w:rPr>
              <w:t>测参数一览表</w:t>
            </w:r>
          </w:p>
          <w:tbl>
            <w:tblPr>
              <w:tblStyle w:val="17"/>
              <w:tblW w:w="4999"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54"/>
              <w:gridCol w:w="2196"/>
              <w:gridCol w:w="1566"/>
              <w:gridCol w:w="735"/>
              <w:gridCol w:w="1824"/>
              <w:gridCol w:w="1850"/>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序号</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参数</w:t>
                  </w:r>
                </w:p>
              </w:tc>
              <w:tc>
                <w:tcPr>
                  <w:tcW w:w="407"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单位</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kern w:val="21"/>
                      <w:sz w:val="21"/>
                      <w:szCs w:val="21"/>
                    </w:rPr>
                  </w:pPr>
                  <w:r>
                    <w:rPr>
                      <w:kern w:val="21"/>
                      <w:sz w:val="21"/>
                      <w:szCs w:val="21"/>
                    </w:rPr>
                    <w:t>数值</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1</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杆塔塔型</w:t>
                  </w:r>
                </w:p>
              </w:tc>
              <w:tc>
                <w:tcPr>
                  <w:tcW w:w="407" w:type="pct"/>
                  <w:tcBorders>
                    <w:tl2br w:val="nil"/>
                    <w:tr2bl w:val="nil"/>
                  </w:tcBorders>
                  <w:noWrap w:val="0"/>
                  <w:vAlign w:val="center"/>
                </w:tcPr>
                <w:p>
                  <w:pPr>
                    <w:spacing w:line="240" w:lineRule="auto"/>
                    <w:jc w:val="center"/>
                    <w:rPr>
                      <w:sz w:val="21"/>
                      <w:szCs w:val="21"/>
                    </w:rPr>
                  </w:pPr>
                  <w:r>
                    <w:rPr>
                      <w:kern w:val="21"/>
                      <w:sz w:val="21"/>
                      <w:szCs w:val="21"/>
                    </w:rPr>
                    <w:t>/</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sz w:val="21"/>
                      <w:szCs w:val="21"/>
                    </w:rPr>
                  </w:pPr>
                  <w:r>
                    <w:rPr>
                      <w:sz w:val="21"/>
                      <w:szCs w:val="21"/>
                    </w:rPr>
                    <w:t>1C3-ZM1</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2</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架设方式</w:t>
                  </w:r>
                </w:p>
              </w:tc>
              <w:tc>
                <w:tcPr>
                  <w:tcW w:w="407" w:type="pct"/>
                  <w:tcBorders>
                    <w:tl2br w:val="nil"/>
                    <w:tr2bl w:val="nil"/>
                  </w:tcBorders>
                  <w:noWrap w:val="0"/>
                  <w:vAlign w:val="center"/>
                </w:tcPr>
                <w:p>
                  <w:pPr>
                    <w:spacing w:line="240" w:lineRule="auto"/>
                    <w:jc w:val="center"/>
                    <w:rPr>
                      <w:sz w:val="21"/>
                      <w:szCs w:val="21"/>
                    </w:rPr>
                  </w:pPr>
                  <w:r>
                    <w:rPr>
                      <w:kern w:val="21"/>
                      <w:sz w:val="21"/>
                      <w:szCs w:val="21"/>
                    </w:rPr>
                    <w:t>/</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sz w:val="21"/>
                      <w:szCs w:val="21"/>
                    </w:rPr>
                  </w:pPr>
                  <w:r>
                    <w:rPr>
                      <w:sz w:val="21"/>
                      <w:szCs w:val="21"/>
                    </w:rPr>
                    <w:t>单回架空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2"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3</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导线排列方式</w:t>
                  </w:r>
                </w:p>
              </w:tc>
              <w:tc>
                <w:tcPr>
                  <w:tcW w:w="407" w:type="pct"/>
                  <w:tcBorders>
                    <w:tl2br w:val="nil"/>
                    <w:tr2bl w:val="nil"/>
                  </w:tcBorders>
                  <w:noWrap w:val="0"/>
                  <w:vAlign w:val="center"/>
                </w:tcPr>
                <w:p>
                  <w:pPr>
                    <w:spacing w:line="240" w:lineRule="auto"/>
                    <w:jc w:val="center"/>
                    <w:rPr>
                      <w:sz w:val="21"/>
                      <w:szCs w:val="21"/>
                    </w:rPr>
                  </w:pPr>
                  <w:r>
                    <w:rPr>
                      <w:kern w:val="21"/>
                      <w:sz w:val="21"/>
                      <w:szCs w:val="21"/>
                    </w:rPr>
                    <w:t>/</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sz w:val="21"/>
                      <w:szCs w:val="21"/>
                    </w:rPr>
                  </w:pPr>
                  <w:r>
                    <w:rPr>
                      <w:sz w:val="21"/>
                      <w:szCs w:val="21"/>
                    </w:rPr>
                    <w:t>三角形排列</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4</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导线型号</w:t>
                  </w:r>
                </w:p>
              </w:tc>
              <w:tc>
                <w:tcPr>
                  <w:tcW w:w="407" w:type="pct"/>
                  <w:tcBorders>
                    <w:tl2br w:val="nil"/>
                    <w:tr2bl w:val="nil"/>
                  </w:tcBorders>
                  <w:noWrap w:val="0"/>
                  <w:vAlign w:val="center"/>
                </w:tcPr>
                <w:p>
                  <w:pPr>
                    <w:spacing w:line="240" w:lineRule="auto"/>
                    <w:jc w:val="center"/>
                    <w:rPr>
                      <w:sz w:val="21"/>
                      <w:szCs w:val="21"/>
                    </w:rPr>
                  </w:pPr>
                  <w:r>
                    <w:rPr>
                      <w:kern w:val="21"/>
                      <w:sz w:val="21"/>
                      <w:szCs w:val="21"/>
                    </w:rPr>
                    <w:t>/</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sz w:val="21"/>
                      <w:szCs w:val="21"/>
                    </w:rPr>
                  </w:pPr>
                  <w:r>
                    <w:rPr>
                      <w:sz w:val="21"/>
                      <w:szCs w:val="21"/>
                    </w:rPr>
                    <w:t>LGJ-300/40钢芯铝绞线</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5</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分裂数</w:t>
                  </w:r>
                </w:p>
              </w:tc>
              <w:tc>
                <w:tcPr>
                  <w:tcW w:w="407"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sz w:val="21"/>
                      <w:szCs w:val="21"/>
                    </w:rPr>
                  </w:pPr>
                  <w:r>
                    <w:rPr>
                      <w:sz w:val="21"/>
                      <w:szCs w:val="21"/>
                    </w:rPr>
                    <w:t>双分裂</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6</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分裂间距</w:t>
                  </w:r>
                </w:p>
              </w:tc>
              <w:tc>
                <w:tcPr>
                  <w:tcW w:w="407"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mm</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sz w:val="21"/>
                      <w:szCs w:val="21"/>
                    </w:rPr>
                  </w:pPr>
                  <w:r>
                    <w:rPr>
                      <w:sz w:val="21"/>
                      <w:szCs w:val="21"/>
                    </w:rPr>
                    <w:t>400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7</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导线直径</w:t>
                  </w:r>
                </w:p>
              </w:tc>
              <w:tc>
                <w:tcPr>
                  <w:tcW w:w="407"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mm</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sz w:val="21"/>
                      <w:szCs w:val="21"/>
                    </w:rPr>
                  </w:pPr>
                  <w:r>
                    <w:rPr>
                      <w:sz w:val="21"/>
                      <w:szCs w:val="21"/>
                    </w:rPr>
                    <w:t>23.94</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8</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计算电压</w:t>
                  </w:r>
                </w:p>
              </w:tc>
              <w:tc>
                <w:tcPr>
                  <w:tcW w:w="407"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kV</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kern w:val="21"/>
                      <w:sz w:val="21"/>
                      <w:szCs w:val="21"/>
                    </w:rPr>
                  </w:pPr>
                  <w:r>
                    <w:rPr>
                      <w:kern w:val="21"/>
                      <w:sz w:val="21"/>
                      <w:szCs w:val="21"/>
                    </w:rPr>
                    <w:t>115.5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9</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计算电流</w:t>
                  </w:r>
                </w:p>
              </w:tc>
              <w:tc>
                <w:tcPr>
                  <w:tcW w:w="407"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A</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kern w:val="21"/>
                      <w:sz w:val="21"/>
                      <w:szCs w:val="21"/>
                    </w:rPr>
                  </w:pPr>
                  <w:r>
                    <w:rPr>
                      <w:rFonts w:hint="eastAsia"/>
                      <w:kern w:val="21"/>
                      <w:sz w:val="21"/>
                      <w:szCs w:val="21"/>
                    </w:rPr>
                    <w:t>1050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3"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10</w:t>
                  </w:r>
                </w:p>
              </w:tc>
              <w:tc>
                <w:tcPr>
                  <w:tcW w:w="2083" w:type="pct"/>
                  <w:gridSpan w:val="2"/>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相序排列方式</w:t>
                  </w:r>
                </w:p>
              </w:tc>
              <w:tc>
                <w:tcPr>
                  <w:tcW w:w="407" w:type="pct"/>
                  <w:tcBorders>
                    <w:tl2br w:val="nil"/>
                    <w:tr2bl w:val="nil"/>
                  </w:tcBorders>
                  <w:noWrap w:val="0"/>
                  <w:vAlign w:val="center"/>
                </w:tcPr>
                <w:p>
                  <w:pPr>
                    <w:adjustRightInd w:val="0"/>
                    <w:snapToGrid w:val="0"/>
                    <w:spacing w:line="240" w:lineRule="auto"/>
                    <w:jc w:val="center"/>
                    <w:rPr>
                      <w:kern w:val="21"/>
                      <w:sz w:val="21"/>
                      <w:szCs w:val="21"/>
                    </w:rPr>
                  </w:pPr>
                  <w:r>
                    <w:rPr>
                      <w:kern w:val="21"/>
                      <w:sz w:val="21"/>
                      <w:szCs w:val="21"/>
                    </w:rPr>
                    <w:t>/</w:t>
                  </w:r>
                </w:p>
              </w:tc>
              <w:tc>
                <w:tcPr>
                  <w:tcW w:w="2034" w:type="pct"/>
                  <w:gridSpan w:val="2"/>
                  <w:tcBorders>
                    <w:tl2br w:val="nil"/>
                    <w:tr2bl w:val="nil"/>
                  </w:tcBorders>
                  <w:noWrap w:val="0"/>
                  <w:vAlign w:val="center"/>
                </w:tcPr>
                <w:p>
                  <w:pPr>
                    <w:adjustRightInd w:val="0"/>
                    <w:snapToGrid w:val="0"/>
                    <w:spacing w:line="240" w:lineRule="auto"/>
                    <w:jc w:val="center"/>
                    <w:textAlignment w:val="baseline"/>
                    <w:rPr>
                      <w:rFonts w:hint="default" w:eastAsia="宋体"/>
                      <w:kern w:val="21"/>
                      <w:sz w:val="21"/>
                      <w:szCs w:val="21"/>
                      <w:lang w:val="en-US" w:eastAsia="zh-CN"/>
                    </w:rPr>
                  </w:pPr>
                  <w:r>
                    <w:rPr>
                      <w:kern w:val="21"/>
                      <w:sz w:val="21"/>
                      <w:szCs w:val="21"/>
                      <w:highlight w:val="none"/>
                    </w:rPr>
                    <w:t>见</w:t>
                  </w:r>
                  <w:r>
                    <w:rPr>
                      <w:rFonts w:hint="eastAsia"/>
                      <w:kern w:val="21"/>
                      <w:sz w:val="21"/>
                      <w:szCs w:val="21"/>
                      <w:highlight w:val="none"/>
                      <w:lang w:val="en-US" w:eastAsia="zh-CN"/>
                    </w:rPr>
                    <w:t>专题图6-1</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3" w:type="pc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11</w:t>
                  </w:r>
                </w:p>
              </w:tc>
              <w:tc>
                <w:tcPr>
                  <w:tcW w:w="2083" w:type="pct"/>
                  <w:gridSpan w:val="2"/>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导线计算高度</w:t>
                  </w:r>
                </w:p>
              </w:tc>
              <w:tc>
                <w:tcPr>
                  <w:tcW w:w="407" w:type="pc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m</w:t>
                  </w:r>
                </w:p>
              </w:tc>
              <w:tc>
                <w:tcPr>
                  <w:tcW w:w="1010" w:type="pct"/>
                  <w:tcBorders>
                    <w:tl2br w:val="nil"/>
                    <w:tr2bl w:val="nil"/>
                  </w:tcBorders>
                  <w:shd w:val="clear" w:color="auto" w:fill="auto"/>
                  <w:noWrap w:val="0"/>
                  <w:vAlign w:val="center"/>
                </w:tcPr>
                <w:p>
                  <w:pPr>
                    <w:widowControl/>
                    <w:spacing w:line="240" w:lineRule="auto"/>
                    <w:jc w:val="center"/>
                    <w:rPr>
                      <w:sz w:val="21"/>
                      <w:szCs w:val="21"/>
                    </w:rPr>
                  </w:pPr>
                  <w:r>
                    <w:rPr>
                      <w:sz w:val="21"/>
                      <w:szCs w:val="21"/>
                    </w:rPr>
                    <w:t>非居民区6m</w:t>
                  </w:r>
                </w:p>
              </w:tc>
              <w:tc>
                <w:tcPr>
                  <w:tcW w:w="1023" w:type="pct"/>
                  <w:tcBorders>
                    <w:tl2br w:val="nil"/>
                    <w:tr2bl w:val="nil"/>
                  </w:tcBorders>
                  <w:shd w:val="clear" w:color="auto" w:fill="auto"/>
                  <w:noWrap w:val="0"/>
                  <w:vAlign w:val="center"/>
                </w:tcPr>
                <w:p>
                  <w:pPr>
                    <w:widowControl/>
                    <w:spacing w:line="240" w:lineRule="auto"/>
                    <w:jc w:val="center"/>
                    <w:rPr>
                      <w:sz w:val="21"/>
                      <w:szCs w:val="21"/>
                    </w:rPr>
                  </w:pPr>
                  <w:r>
                    <w:rPr>
                      <w:sz w:val="21"/>
                      <w:szCs w:val="21"/>
                    </w:rPr>
                    <w:t>居民区7m</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473" w:type="pct"/>
                  <w:vMerge w:val="restar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12</w:t>
                  </w:r>
                </w:p>
              </w:tc>
              <w:tc>
                <w:tcPr>
                  <w:tcW w:w="1216" w:type="pct"/>
                  <w:vMerge w:val="restar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线路各相坐标</w:t>
                  </w:r>
                </w:p>
              </w:tc>
              <w:tc>
                <w:tcPr>
                  <w:tcW w:w="867" w:type="pc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A(x,y)</w:t>
                  </w:r>
                </w:p>
              </w:tc>
              <w:tc>
                <w:tcPr>
                  <w:tcW w:w="407" w:type="pc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m</w:t>
                  </w:r>
                </w:p>
              </w:tc>
              <w:tc>
                <w:tcPr>
                  <w:tcW w:w="1010" w:type="pct"/>
                  <w:tcBorders>
                    <w:tl2br w:val="nil"/>
                    <w:tr2bl w:val="nil"/>
                  </w:tcBorders>
                  <w:shd w:val="clear" w:color="auto" w:fill="auto"/>
                  <w:noWrap w:val="0"/>
                  <w:vAlign w:val="center"/>
                </w:tcPr>
                <w:p>
                  <w:pPr>
                    <w:widowControl/>
                    <w:spacing w:line="240" w:lineRule="auto"/>
                    <w:jc w:val="center"/>
                    <w:rPr>
                      <w:sz w:val="21"/>
                      <w:szCs w:val="21"/>
                    </w:rPr>
                  </w:pPr>
                  <w:r>
                    <w:rPr>
                      <w:sz w:val="21"/>
                      <w:szCs w:val="21"/>
                    </w:rPr>
                    <w:t>（-3.</w:t>
                  </w:r>
                  <w:r>
                    <w:rPr>
                      <w:rFonts w:hint="eastAsia"/>
                      <w:sz w:val="21"/>
                      <w:szCs w:val="21"/>
                    </w:rPr>
                    <w:t>7</w:t>
                  </w:r>
                  <w:r>
                    <w:rPr>
                      <w:sz w:val="21"/>
                      <w:szCs w:val="21"/>
                    </w:rPr>
                    <w:t xml:space="preserve"> , 6.0）</w:t>
                  </w:r>
                </w:p>
              </w:tc>
              <w:tc>
                <w:tcPr>
                  <w:tcW w:w="1023" w:type="pct"/>
                  <w:tcBorders>
                    <w:tl2br w:val="nil"/>
                    <w:tr2bl w:val="nil"/>
                  </w:tcBorders>
                  <w:shd w:val="clear" w:color="auto" w:fill="auto"/>
                  <w:noWrap w:val="0"/>
                  <w:vAlign w:val="center"/>
                </w:tcPr>
                <w:p>
                  <w:pPr>
                    <w:widowControl/>
                    <w:spacing w:line="240" w:lineRule="auto"/>
                    <w:jc w:val="center"/>
                    <w:rPr>
                      <w:sz w:val="21"/>
                      <w:szCs w:val="21"/>
                    </w:rPr>
                  </w:pPr>
                  <w:r>
                    <w:rPr>
                      <w:sz w:val="21"/>
                      <w:szCs w:val="21"/>
                    </w:rPr>
                    <w:t>（-3.</w:t>
                  </w:r>
                  <w:r>
                    <w:rPr>
                      <w:rFonts w:hint="eastAsia"/>
                      <w:sz w:val="21"/>
                      <w:szCs w:val="21"/>
                    </w:rPr>
                    <w:t>7</w:t>
                  </w:r>
                  <w:r>
                    <w:rPr>
                      <w:sz w:val="21"/>
                      <w:szCs w:val="21"/>
                    </w:rPr>
                    <w:t xml:space="preserve"> , 7.0）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473" w:type="pct"/>
                  <w:vMerge w:val="continue"/>
                  <w:tcBorders>
                    <w:tl2br w:val="nil"/>
                    <w:tr2bl w:val="nil"/>
                  </w:tcBorders>
                  <w:shd w:val="clear" w:color="auto" w:fill="auto"/>
                  <w:noWrap w:val="0"/>
                  <w:vAlign w:val="center"/>
                </w:tcPr>
                <w:p>
                  <w:pPr>
                    <w:adjustRightInd w:val="0"/>
                    <w:snapToGrid w:val="0"/>
                    <w:spacing w:line="240" w:lineRule="auto"/>
                    <w:jc w:val="center"/>
                    <w:rPr>
                      <w:kern w:val="21"/>
                      <w:sz w:val="21"/>
                      <w:szCs w:val="21"/>
                    </w:rPr>
                  </w:pPr>
                </w:p>
              </w:tc>
              <w:tc>
                <w:tcPr>
                  <w:tcW w:w="1216" w:type="pct"/>
                  <w:vMerge w:val="continue"/>
                  <w:tcBorders>
                    <w:tl2br w:val="nil"/>
                    <w:tr2bl w:val="nil"/>
                  </w:tcBorders>
                  <w:shd w:val="clear" w:color="auto" w:fill="auto"/>
                  <w:noWrap w:val="0"/>
                  <w:vAlign w:val="center"/>
                </w:tcPr>
                <w:p>
                  <w:pPr>
                    <w:adjustRightInd w:val="0"/>
                    <w:snapToGrid w:val="0"/>
                    <w:spacing w:line="240" w:lineRule="auto"/>
                    <w:jc w:val="center"/>
                    <w:rPr>
                      <w:kern w:val="21"/>
                      <w:sz w:val="21"/>
                      <w:szCs w:val="21"/>
                    </w:rPr>
                  </w:pPr>
                </w:p>
              </w:tc>
              <w:tc>
                <w:tcPr>
                  <w:tcW w:w="867" w:type="pc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B(x,y)</w:t>
                  </w:r>
                </w:p>
              </w:tc>
              <w:tc>
                <w:tcPr>
                  <w:tcW w:w="407" w:type="pc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m</w:t>
                  </w:r>
                </w:p>
              </w:tc>
              <w:tc>
                <w:tcPr>
                  <w:tcW w:w="1010" w:type="pct"/>
                  <w:tcBorders>
                    <w:tl2br w:val="nil"/>
                    <w:tr2bl w:val="nil"/>
                  </w:tcBorders>
                  <w:shd w:val="clear" w:color="auto" w:fill="auto"/>
                  <w:noWrap w:val="0"/>
                  <w:vAlign w:val="center"/>
                </w:tcPr>
                <w:p>
                  <w:pPr>
                    <w:widowControl/>
                    <w:spacing w:line="240" w:lineRule="auto"/>
                    <w:jc w:val="center"/>
                    <w:rPr>
                      <w:sz w:val="21"/>
                      <w:szCs w:val="21"/>
                    </w:rPr>
                  </w:pPr>
                  <w:r>
                    <w:rPr>
                      <w:sz w:val="21"/>
                      <w:szCs w:val="21"/>
                    </w:rPr>
                    <w:t>（0.0 , 10.</w:t>
                  </w:r>
                  <w:r>
                    <w:rPr>
                      <w:rFonts w:hint="eastAsia"/>
                      <w:sz w:val="21"/>
                      <w:szCs w:val="21"/>
                    </w:rPr>
                    <w:t>4</w:t>
                  </w:r>
                  <w:r>
                    <w:rPr>
                      <w:sz w:val="21"/>
                      <w:szCs w:val="21"/>
                    </w:rPr>
                    <w:t>）</w:t>
                  </w:r>
                </w:p>
              </w:tc>
              <w:tc>
                <w:tcPr>
                  <w:tcW w:w="1023" w:type="pct"/>
                  <w:tcBorders>
                    <w:tl2br w:val="nil"/>
                    <w:tr2bl w:val="nil"/>
                  </w:tcBorders>
                  <w:shd w:val="clear" w:color="auto" w:fill="auto"/>
                  <w:noWrap w:val="0"/>
                  <w:vAlign w:val="center"/>
                </w:tcPr>
                <w:p>
                  <w:pPr>
                    <w:widowControl/>
                    <w:spacing w:line="240" w:lineRule="auto"/>
                    <w:jc w:val="center"/>
                    <w:rPr>
                      <w:sz w:val="21"/>
                      <w:szCs w:val="21"/>
                    </w:rPr>
                  </w:pPr>
                  <w:r>
                    <w:rPr>
                      <w:sz w:val="21"/>
                      <w:szCs w:val="21"/>
                    </w:rPr>
                    <w:t>（0.0 , 11.</w:t>
                  </w:r>
                  <w:r>
                    <w:rPr>
                      <w:rFonts w:hint="eastAsia"/>
                      <w:sz w:val="21"/>
                      <w:szCs w:val="21"/>
                    </w:rPr>
                    <w:t>4</w:t>
                  </w:r>
                  <w:r>
                    <w:rPr>
                      <w:sz w:val="21"/>
                      <w:szCs w:val="21"/>
                    </w:rPr>
                    <w:t>）</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473" w:type="pct"/>
                  <w:vMerge w:val="continue"/>
                  <w:tcBorders>
                    <w:tl2br w:val="nil"/>
                    <w:tr2bl w:val="nil"/>
                  </w:tcBorders>
                  <w:shd w:val="clear" w:color="auto" w:fill="auto"/>
                  <w:noWrap w:val="0"/>
                  <w:vAlign w:val="center"/>
                </w:tcPr>
                <w:p>
                  <w:pPr>
                    <w:adjustRightInd w:val="0"/>
                    <w:snapToGrid w:val="0"/>
                    <w:spacing w:line="240" w:lineRule="auto"/>
                    <w:jc w:val="center"/>
                    <w:rPr>
                      <w:kern w:val="21"/>
                      <w:sz w:val="21"/>
                      <w:szCs w:val="21"/>
                    </w:rPr>
                  </w:pPr>
                </w:p>
              </w:tc>
              <w:tc>
                <w:tcPr>
                  <w:tcW w:w="1216" w:type="pct"/>
                  <w:vMerge w:val="continue"/>
                  <w:tcBorders>
                    <w:tl2br w:val="nil"/>
                    <w:tr2bl w:val="nil"/>
                  </w:tcBorders>
                  <w:shd w:val="clear" w:color="auto" w:fill="auto"/>
                  <w:noWrap w:val="0"/>
                  <w:vAlign w:val="center"/>
                </w:tcPr>
                <w:p>
                  <w:pPr>
                    <w:adjustRightInd w:val="0"/>
                    <w:snapToGrid w:val="0"/>
                    <w:spacing w:line="240" w:lineRule="auto"/>
                    <w:jc w:val="center"/>
                    <w:rPr>
                      <w:kern w:val="21"/>
                      <w:sz w:val="21"/>
                      <w:szCs w:val="21"/>
                    </w:rPr>
                  </w:pPr>
                </w:p>
              </w:tc>
              <w:tc>
                <w:tcPr>
                  <w:tcW w:w="867" w:type="pc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C(x,y)</w:t>
                  </w:r>
                </w:p>
              </w:tc>
              <w:tc>
                <w:tcPr>
                  <w:tcW w:w="407" w:type="pct"/>
                  <w:tcBorders>
                    <w:tl2br w:val="nil"/>
                    <w:tr2bl w:val="nil"/>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m</w:t>
                  </w:r>
                </w:p>
              </w:tc>
              <w:tc>
                <w:tcPr>
                  <w:tcW w:w="1010" w:type="pct"/>
                  <w:tcBorders>
                    <w:tl2br w:val="nil"/>
                    <w:tr2bl w:val="nil"/>
                  </w:tcBorders>
                  <w:shd w:val="clear" w:color="auto" w:fill="auto"/>
                  <w:noWrap w:val="0"/>
                  <w:vAlign w:val="center"/>
                </w:tcPr>
                <w:p>
                  <w:pPr>
                    <w:widowControl/>
                    <w:spacing w:line="240" w:lineRule="auto"/>
                    <w:jc w:val="center"/>
                    <w:rPr>
                      <w:sz w:val="21"/>
                      <w:szCs w:val="21"/>
                    </w:rPr>
                  </w:pPr>
                  <w:r>
                    <w:rPr>
                      <w:sz w:val="21"/>
                      <w:szCs w:val="21"/>
                    </w:rPr>
                    <w:t>（3.</w:t>
                  </w:r>
                  <w:r>
                    <w:rPr>
                      <w:rFonts w:hint="eastAsia"/>
                      <w:sz w:val="21"/>
                      <w:szCs w:val="21"/>
                    </w:rPr>
                    <w:t>7</w:t>
                  </w:r>
                  <w:r>
                    <w:rPr>
                      <w:sz w:val="21"/>
                      <w:szCs w:val="21"/>
                    </w:rPr>
                    <w:t xml:space="preserve"> , 6.0）</w:t>
                  </w:r>
                </w:p>
              </w:tc>
              <w:tc>
                <w:tcPr>
                  <w:tcW w:w="1023" w:type="pct"/>
                  <w:tcBorders>
                    <w:tl2br w:val="nil"/>
                    <w:tr2bl w:val="nil"/>
                  </w:tcBorders>
                  <w:shd w:val="clear" w:color="auto" w:fill="auto"/>
                  <w:noWrap w:val="0"/>
                  <w:vAlign w:val="center"/>
                </w:tcPr>
                <w:p>
                  <w:pPr>
                    <w:widowControl/>
                    <w:spacing w:line="240" w:lineRule="auto"/>
                    <w:jc w:val="center"/>
                    <w:rPr>
                      <w:sz w:val="21"/>
                      <w:szCs w:val="21"/>
                    </w:rPr>
                  </w:pPr>
                  <w:r>
                    <w:rPr>
                      <w:sz w:val="21"/>
                      <w:szCs w:val="21"/>
                    </w:rPr>
                    <w:t>（3.</w:t>
                  </w:r>
                  <w:r>
                    <w:rPr>
                      <w:rFonts w:hint="eastAsia"/>
                      <w:sz w:val="21"/>
                      <w:szCs w:val="21"/>
                    </w:rPr>
                    <w:t>7</w:t>
                  </w:r>
                  <w:r>
                    <w:rPr>
                      <w:sz w:val="21"/>
                      <w:szCs w:val="21"/>
                    </w:rPr>
                    <w:t xml:space="preserve"> , 7.0）</w:t>
                  </w:r>
                </w:p>
              </w:tc>
            </w:tr>
          </w:tbl>
          <w:p>
            <w:pPr>
              <w:keepNext w:val="0"/>
              <w:keepLines w:val="0"/>
              <w:pageBreakBefore w:val="0"/>
              <w:widowControl w:val="0"/>
              <w:kinsoku/>
              <w:wordWrap/>
              <w:topLinePunct w:val="0"/>
              <w:bidi w:val="0"/>
              <w:spacing w:before="120" w:beforeLines="50"/>
              <w:ind w:firstLine="482"/>
              <w:jc w:val="both"/>
              <w:rPr>
                <w:highlight w:val="none"/>
              </w:rPr>
            </w:pPr>
            <w:r>
              <w:rPr>
                <w:highlight w:val="none"/>
              </w:rPr>
              <w:t>预测结果表明：导线弧垂高度为6m时，</w:t>
            </w:r>
            <w:r>
              <w:rPr>
                <w:rFonts w:hint="eastAsia"/>
                <w:highlight w:val="none"/>
                <w:lang w:eastAsia="zh-CN"/>
              </w:rPr>
              <w:t>1C3-ZM1</w:t>
            </w:r>
            <w:r>
              <w:rPr>
                <w:highlight w:val="none"/>
              </w:rPr>
              <w:t>型直线塔距走廊中心线0～50m处的工频电场强度范围为</w:t>
            </w:r>
            <w:r>
              <w:rPr>
                <w:rFonts w:hint="eastAsia"/>
                <w:highlight w:val="none"/>
                <w:lang w:val="en-US" w:eastAsia="zh-CN"/>
              </w:rPr>
              <w:t>41.02</w:t>
            </w:r>
            <w:r>
              <w:rPr>
                <w:highlight w:val="none"/>
              </w:rPr>
              <w:t>～</w:t>
            </w:r>
            <w:r>
              <w:rPr>
                <w:rFonts w:hint="eastAsia"/>
                <w:highlight w:val="none"/>
              </w:rPr>
              <w:t xml:space="preserve">3362.699 </w:t>
            </w:r>
            <w:r>
              <w:rPr>
                <w:highlight w:val="none"/>
              </w:rPr>
              <w:t>V/m，变化趋势为先增强（0～4m）后迅速衰减（4～50m）；工频磁感应强度范围为0.</w:t>
            </w:r>
            <w:r>
              <w:rPr>
                <w:rFonts w:hint="eastAsia"/>
                <w:highlight w:val="none"/>
                <w:lang w:val="en-US" w:eastAsia="zh-CN"/>
              </w:rPr>
              <w:t>648</w:t>
            </w:r>
            <w:r>
              <w:rPr>
                <w:highlight w:val="none"/>
              </w:rPr>
              <w:t>～</w:t>
            </w:r>
            <w:r>
              <w:rPr>
                <w:rFonts w:hint="eastAsia"/>
                <w:highlight w:val="none"/>
                <w:lang w:val="en-US" w:eastAsia="zh-CN"/>
              </w:rPr>
              <w:t>34.912</w:t>
            </w:r>
            <w:r>
              <w:rPr>
                <w:highlight w:val="none"/>
              </w:rPr>
              <w:t>μT，变化趋势为先增强（0～</w:t>
            </w:r>
            <w:r>
              <w:rPr>
                <w:rFonts w:hint="eastAsia"/>
                <w:highlight w:val="none"/>
                <w:lang w:val="en-US" w:eastAsia="zh-CN"/>
              </w:rPr>
              <w:t>4</w:t>
            </w:r>
            <w:r>
              <w:rPr>
                <w:highlight w:val="none"/>
              </w:rPr>
              <w:t>m）后迅速衰减（</w:t>
            </w:r>
            <w:r>
              <w:rPr>
                <w:rFonts w:hint="eastAsia"/>
                <w:highlight w:val="none"/>
                <w:lang w:val="en-US" w:eastAsia="zh-CN"/>
              </w:rPr>
              <w:t>4</w:t>
            </w:r>
            <w:r>
              <w:rPr>
                <w:highlight w:val="none"/>
              </w:rPr>
              <w:t>～50m）。</w:t>
            </w:r>
          </w:p>
          <w:p>
            <w:pPr>
              <w:keepNext w:val="0"/>
              <w:keepLines w:val="0"/>
              <w:pageBreakBefore w:val="0"/>
              <w:widowControl w:val="0"/>
              <w:kinsoku/>
              <w:wordWrap/>
              <w:topLinePunct w:val="0"/>
              <w:bidi w:val="0"/>
              <w:ind w:firstLine="480" w:firstLineChars="200"/>
              <w:jc w:val="both"/>
              <w:rPr>
                <w:highlight w:val="none"/>
              </w:rPr>
            </w:pPr>
            <w:r>
              <w:rPr>
                <w:highlight w:val="none"/>
              </w:rPr>
              <w:t>由理论计算结果可知，导线弧垂高度分别为6m和7m时，</w:t>
            </w:r>
            <w:r>
              <w:rPr>
                <w:rFonts w:hint="eastAsia"/>
                <w:highlight w:val="none"/>
              </w:rPr>
              <w:t>拟建</w:t>
            </w:r>
            <w:r>
              <w:rPr>
                <w:highlight w:val="none"/>
              </w:rPr>
              <w:t>线路距地面1.5m处工频电磁场均满足《电磁环境控制限值》（GB8072-2014）中规定的标准限值要求。</w:t>
            </w:r>
          </w:p>
          <w:p>
            <w:pPr>
              <w:keepNext w:val="0"/>
              <w:keepLines w:val="0"/>
              <w:pageBreakBefore w:val="0"/>
              <w:widowControl w:val="0"/>
              <w:kinsoku/>
              <w:wordWrap/>
              <w:topLinePunct w:val="0"/>
              <w:bidi w:val="0"/>
              <w:ind w:firstLine="480" w:firstLineChars="200"/>
              <w:jc w:val="both"/>
              <w:rPr>
                <w:kern w:val="24"/>
                <w:highlight w:val="none"/>
              </w:rPr>
            </w:pPr>
            <w:r>
              <w:rPr>
                <w:kern w:val="24"/>
                <w:highlight w:val="none"/>
              </w:rPr>
              <w:t>综上，由类比监测和理论预测结果可知，本</w:t>
            </w:r>
            <w:r>
              <w:rPr>
                <w:rFonts w:hint="eastAsia"/>
                <w:kern w:val="24"/>
                <w:highlight w:val="none"/>
                <w:lang w:eastAsia="zh-CN"/>
              </w:rPr>
              <w:t>项目</w:t>
            </w:r>
            <w:r>
              <w:rPr>
                <w:kern w:val="24"/>
                <w:highlight w:val="none"/>
              </w:rPr>
              <w:t>输电线路运行期，工频电场和工频磁感应强度均满足评价标准的要求，对电磁环境影响较小。</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7.2.2 声环境影响分析</w:t>
            </w:r>
          </w:p>
          <w:p>
            <w:pPr>
              <w:keepNext w:val="0"/>
              <w:keepLines w:val="0"/>
              <w:pageBreakBefore w:val="0"/>
              <w:widowControl w:val="0"/>
              <w:kinsoku/>
              <w:wordWrap/>
              <w:topLinePunct w:val="0"/>
              <w:bidi w:val="0"/>
              <w:ind w:firstLine="482"/>
              <w:jc w:val="both"/>
              <w:rPr>
                <w:color w:val="auto"/>
                <w:highlight w:val="none"/>
              </w:rPr>
            </w:pPr>
            <w:r>
              <w:rPr>
                <w:highlight w:val="none"/>
              </w:rPr>
              <w:t>根据《环境影响评价技术导则 输变电工程》（HJ24-2014），架空线路的噪声预测可采</w:t>
            </w:r>
            <w:r>
              <w:rPr>
                <w:color w:val="auto"/>
                <w:highlight w:val="none"/>
              </w:rPr>
              <w:t>取类比监测的方式。</w:t>
            </w:r>
          </w:p>
          <w:p>
            <w:pPr>
              <w:keepNext w:val="0"/>
              <w:keepLines w:val="0"/>
              <w:widowControl/>
              <w:suppressLineNumbers w:val="0"/>
              <w:ind w:firstLine="480" w:firstLineChars="200"/>
              <w:jc w:val="left"/>
              <w:rPr>
                <w:rFonts w:hint="eastAsia" w:ascii="Times New Roman"/>
                <w:color w:val="auto"/>
                <w:sz w:val="24"/>
                <w:szCs w:val="22"/>
              </w:rPr>
            </w:pPr>
            <w:r>
              <w:rPr>
                <w:rFonts w:ascii="Times New Roman"/>
                <w:color w:val="auto"/>
                <w:sz w:val="24"/>
                <w:szCs w:val="22"/>
              </w:rPr>
              <w:t>本次110kV单回架空线路类比</w:t>
            </w:r>
            <w:r>
              <w:rPr>
                <w:rFonts w:hint="eastAsia"/>
                <w:color w:val="auto"/>
                <w:sz w:val="24"/>
                <w:szCs w:val="22"/>
                <w:lang w:eastAsia="zh-CN"/>
              </w:rPr>
              <w:t>引用《</w:t>
            </w:r>
            <w:r>
              <w:rPr>
                <w:rFonts w:hint="eastAsia" w:ascii="宋体" w:hAnsi="宋体" w:eastAsia="宋体" w:cs="宋体"/>
                <w:bCs/>
                <w:color w:val="auto"/>
                <w:kern w:val="0"/>
                <w:sz w:val="24"/>
                <w:szCs w:val="24"/>
                <w:lang w:val="en-US" w:eastAsia="zh-CN" w:bidi="ar"/>
              </w:rPr>
              <w:t>榆阳</w:t>
            </w:r>
            <w:r>
              <w:rPr>
                <w:rFonts w:ascii="TimesNewRomanPSMT" w:hAnsi="TimesNewRomanPSMT" w:eastAsia="TimesNewRomanPSMT" w:cs="TimesNewRomanPSMT"/>
                <w:bCs/>
                <w:color w:val="auto"/>
                <w:kern w:val="0"/>
                <w:sz w:val="24"/>
                <w:szCs w:val="24"/>
                <w:lang w:val="en-US" w:eastAsia="zh-CN" w:bidi="ar"/>
              </w:rPr>
              <w:t>110kV</w:t>
            </w:r>
            <w:r>
              <w:rPr>
                <w:rFonts w:hint="eastAsia" w:ascii="宋体" w:hAnsi="宋体" w:eastAsia="宋体" w:cs="宋体"/>
                <w:bCs/>
                <w:color w:val="auto"/>
                <w:kern w:val="0"/>
                <w:sz w:val="24"/>
                <w:szCs w:val="24"/>
                <w:lang w:val="en-US" w:eastAsia="zh-CN" w:bidi="ar"/>
              </w:rPr>
              <w:t>亿鸿风电场上网输电线路工程竣工环境保护验收调查报告表</w:t>
            </w:r>
            <w:r>
              <w:rPr>
                <w:rFonts w:hint="eastAsia"/>
                <w:color w:val="auto"/>
                <w:sz w:val="24"/>
                <w:szCs w:val="22"/>
                <w:lang w:eastAsia="zh-CN"/>
              </w:rPr>
              <w:t>》</w:t>
            </w:r>
            <w:r>
              <w:rPr>
                <w:rFonts w:ascii="Times New Roman"/>
                <w:color w:val="auto"/>
                <w:sz w:val="24"/>
                <w:szCs w:val="22"/>
              </w:rPr>
              <w:t>进行类比监测。该段输电线路采用单回架空架设，导线选用JL/GIA-300</w:t>
            </w:r>
            <w:r>
              <w:rPr>
                <w:rFonts w:hint="eastAsia" w:ascii="Times New Roman"/>
                <w:color w:val="auto"/>
                <w:sz w:val="24"/>
                <w:szCs w:val="22"/>
              </w:rPr>
              <w:t>/</w:t>
            </w:r>
            <w:r>
              <w:rPr>
                <w:rFonts w:ascii="Times New Roman"/>
                <w:color w:val="auto"/>
                <w:sz w:val="24"/>
                <w:szCs w:val="22"/>
              </w:rPr>
              <w:t>40型</w:t>
            </w:r>
            <w:r>
              <w:rPr>
                <w:rFonts w:hint="eastAsia" w:ascii="Times New Roman"/>
                <w:color w:val="auto"/>
                <w:sz w:val="24"/>
                <w:szCs w:val="22"/>
              </w:rPr>
              <w:t>钢芯铝绞线</w:t>
            </w:r>
            <w:r>
              <w:rPr>
                <w:rFonts w:ascii="Times New Roman"/>
                <w:color w:val="auto"/>
                <w:sz w:val="24"/>
                <w:szCs w:val="22"/>
              </w:rPr>
              <w:t>，本工程输电线路单回架空架设，导线型号为</w:t>
            </w:r>
            <w:r>
              <w:rPr>
                <w:rFonts w:hint="eastAsia" w:ascii="Times New Roman"/>
                <w:color w:val="auto"/>
                <w:sz w:val="24"/>
                <w:szCs w:val="22"/>
                <w:lang w:eastAsia="zh-CN"/>
              </w:rPr>
              <w:t>2×LGJ-300/40钢芯铝绞线</w:t>
            </w:r>
            <w:r>
              <w:rPr>
                <w:rFonts w:ascii="Times New Roman"/>
                <w:color w:val="auto"/>
                <w:sz w:val="24"/>
                <w:szCs w:val="22"/>
              </w:rPr>
              <w:t>型钢芯铝绞线</w:t>
            </w:r>
            <w:r>
              <w:rPr>
                <w:rFonts w:hint="eastAsia" w:ascii="Times New Roman"/>
                <w:color w:val="auto"/>
                <w:sz w:val="24"/>
                <w:szCs w:val="22"/>
              </w:rPr>
              <w:t>。类比项目与评价工程从电压等级、出线回数、导线型号、架线型式均相同，因此项目</w:t>
            </w:r>
            <w:r>
              <w:rPr>
                <w:rFonts w:ascii="Times New Roman"/>
                <w:color w:val="auto"/>
                <w:sz w:val="24"/>
                <w:szCs w:val="22"/>
              </w:rPr>
              <w:t>类比可行</w:t>
            </w:r>
            <w:r>
              <w:rPr>
                <w:rFonts w:hint="eastAsia" w:ascii="Times New Roman"/>
                <w:color w:val="auto"/>
                <w:sz w:val="24"/>
                <w:szCs w:val="22"/>
              </w:rPr>
              <w:t>。类比工程与评价工程对比表见7-</w:t>
            </w:r>
            <w:r>
              <w:rPr>
                <w:rFonts w:hint="eastAsia" w:ascii="Times New Roman"/>
                <w:color w:val="auto"/>
                <w:sz w:val="24"/>
                <w:szCs w:val="22"/>
                <w:lang w:val="en-US" w:eastAsia="zh-CN"/>
              </w:rPr>
              <w:t>2</w:t>
            </w:r>
            <w:r>
              <w:rPr>
                <w:rFonts w:hint="eastAsia" w:ascii="Times New Roman"/>
                <w:color w:val="auto"/>
                <w:sz w:val="24"/>
                <w:szCs w:val="22"/>
              </w:rPr>
              <w:t>。</w:t>
            </w:r>
          </w:p>
          <w:p>
            <w:pPr>
              <w:pStyle w:val="23"/>
              <w:widowControl/>
              <w:spacing w:line="360" w:lineRule="auto"/>
              <w:ind w:firstLine="0" w:firstLineChars="0"/>
              <w:jc w:val="center"/>
              <w:rPr>
                <w:rFonts w:ascii="Times New Roman"/>
                <w:b/>
                <w:bCs/>
                <w:color w:val="auto"/>
              </w:rPr>
            </w:pPr>
            <w:r>
              <w:rPr>
                <w:rFonts w:ascii="Times New Roman"/>
                <w:b/>
                <w:bCs/>
                <w:color w:val="auto"/>
              </w:rPr>
              <w:t>表7-</w:t>
            </w:r>
            <w:r>
              <w:rPr>
                <w:rFonts w:hint="eastAsia" w:ascii="Times New Roman"/>
                <w:b/>
                <w:bCs/>
                <w:color w:val="auto"/>
                <w:lang w:val="en-US" w:eastAsia="zh-CN"/>
              </w:rPr>
              <w:t xml:space="preserve">2 </w:t>
            </w:r>
            <w:r>
              <w:rPr>
                <w:rFonts w:ascii="Times New Roman"/>
                <w:b/>
                <w:bCs/>
                <w:color w:val="auto"/>
              </w:rPr>
              <w:t xml:space="preserve"> </w:t>
            </w:r>
            <w:r>
              <w:rPr>
                <w:b/>
                <w:color w:val="auto"/>
                <w:sz w:val="21"/>
                <w:szCs w:val="21"/>
              </w:rPr>
              <w:t>110kV线路模式预</w:t>
            </w:r>
            <w:r>
              <w:rPr>
                <w:b/>
                <w:bCs/>
                <w:color w:val="auto"/>
                <w:sz w:val="21"/>
                <w:szCs w:val="21"/>
              </w:rPr>
              <w:t>测参数一览表</w:t>
            </w:r>
            <w:r>
              <w:rPr>
                <w:rFonts w:ascii="Times New Roman"/>
                <w:b/>
                <w:bCs/>
                <w:color w:val="auto"/>
              </w:rPr>
              <w:t xml:space="preserve">  </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3687"/>
              <w:gridCol w:w="3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pct"/>
                  <w:vAlign w:val="center"/>
                </w:tcPr>
                <w:p>
                  <w:pPr>
                    <w:pStyle w:val="23"/>
                    <w:widowControl/>
                    <w:ind w:firstLine="0" w:firstLineChars="0"/>
                    <w:jc w:val="center"/>
                    <w:rPr>
                      <w:rFonts w:ascii="Times New Roman"/>
                      <w:color w:val="auto"/>
                    </w:rPr>
                  </w:pPr>
                  <w:r>
                    <w:rPr>
                      <w:rFonts w:hint="eastAsia" w:ascii="Times New Roman"/>
                      <w:color w:val="auto"/>
                    </w:rPr>
                    <w:t>类别</w:t>
                  </w:r>
                </w:p>
              </w:tc>
              <w:tc>
                <w:tcPr>
                  <w:tcW w:w="2045" w:type="pct"/>
                  <w:vAlign w:val="center"/>
                </w:tcPr>
                <w:p>
                  <w:pPr>
                    <w:pStyle w:val="23"/>
                    <w:widowControl/>
                    <w:ind w:firstLine="0" w:firstLineChars="0"/>
                    <w:jc w:val="center"/>
                    <w:rPr>
                      <w:rFonts w:ascii="Times New Roman"/>
                      <w:color w:val="auto"/>
                    </w:rPr>
                  </w:pPr>
                  <w:r>
                    <w:rPr>
                      <w:rFonts w:hint="eastAsia" w:ascii="Times New Roman"/>
                      <w:color w:val="auto"/>
                    </w:rPr>
                    <w:t>类比工程</w:t>
                  </w:r>
                </w:p>
              </w:tc>
              <w:tc>
                <w:tcPr>
                  <w:tcW w:w="2046" w:type="pct"/>
                  <w:vAlign w:val="center"/>
                </w:tcPr>
                <w:p>
                  <w:pPr>
                    <w:pStyle w:val="23"/>
                    <w:widowControl/>
                    <w:ind w:firstLine="0" w:firstLineChars="0"/>
                    <w:jc w:val="center"/>
                    <w:rPr>
                      <w:rFonts w:hint="eastAsia" w:ascii="Times New Roman" w:eastAsia="宋体"/>
                      <w:color w:val="auto"/>
                      <w:lang w:eastAsia="zh-CN"/>
                    </w:rPr>
                  </w:pPr>
                  <w:r>
                    <w:rPr>
                      <w:rFonts w:hint="eastAsia" w:ascii="Times New Roman"/>
                      <w:color w:val="auto"/>
                    </w:rPr>
                    <w:t>评价</w:t>
                  </w:r>
                  <w:r>
                    <w:rPr>
                      <w:rFonts w:hint="eastAsia" w:ascii="Times New Roman"/>
                      <w:color w:val="auto"/>
                      <w:lang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pct"/>
                  <w:vAlign w:val="center"/>
                </w:tcPr>
                <w:p>
                  <w:pPr>
                    <w:pStyle w:val="23"/>
                    <w:widowControl/>
                    <w:ind w:firstLine="0" w:firstLineChars="0"/>
                    <w:jc w:val="center"/>
                    <w:rPr>
                      <w:rFonts w:ascii="Times New Roman"/>
                      <w:color w:val="auto"/>
                    </w:rPr>
                  </w:pPr>
                  <w:r>
                    <w:rPr>
                      <w:rFonts w:hint="eastAsia" w:ascii="Times New Roman"/>
                      <w:color w:val="auto"/>
                    </w:rPr>
                    <w:t>项目名称</w:t>
                  </w:r>
                </w:p>
              </w:tc>
              <w:tc>
                <w:tcPr>
                  <w:tcW w:w="2045" w:type="pct"/>
                  <w:vAlign w:val="center"/>
                </w:tcPr>
                <w:p>
                  <w:pPr>
                    <w:pStyle w:val="23"/>
                    <w:widowControl/>
                    <w:ind w:firstLine="0" w:firstLineChars="0"/>
                    <w:jc w:val="center"/>
                    <w:rPr>
                      <w:rFonts w:ascii="Times New Roman"/>
                      <w:color w:val="auto"/>
                      <w:highlight w:val="none"/>
                    </w:rPr>
                  </w:pPr>
                  <w:r>
                    <w:rPr>
                      <w:rFonts w:hint="eastAsia" w:ascii="Times New Roman"/>
                      <w:color w:val="auto"/>
                      <w:highlight w:val="none"/>
                    </w:rPr>
                    <w:t>榆阳110kV亿鸿风电场上网输电线路工程</w:t>
                  </w:r>
                </w:p>
              </w:tc>
              <w:tc>
                <w:tcPr>
                  <w:tcW w:w="2046" w:type="pct"/>
                  <w:vAlign w:val="center"/>
                </w:tcPr>
                <w:p>
                  <w:pPr>
                    <w:pStyle w:val="23"/>
                    <w:widowControl/>
                    <w:ind w:firstLine="0" w:firstLineChars="0"/>
                    <w:jc w:val="center"/>
                    <w:rPr>
                      <w:rFonts w:ascii="Times New Roman"/>
                      <w:color w:val="auto"/>
                      <w:highlight w:val="none"/>
                    </w:rPr>
                  </w:pPr>
                  <w:r>
                    <w:rPr>
                      <w:rFonts w:hint="eastAsia"/>
                      <w:color w:val="auto"/>
                      <w:kern w:val="24"/>
                      <w:sz w:val="21"/>
                      <w:szCs w:val="21"/>
                      <w:highlight w:val="none"/>
                    </w:rPr>
                    <w:t>国华神木墩梁风电场薛家畔、李家畔、槐树峁风电项目110KV送出线路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pct"/>
                  <w:vAlign w:val="center"/>
                </w:tcPr>
                <w:p>
                  <w:pPr>
                    <w:pStyle w:val="23"/>
                    <w:widowControl/>
                    <w:ind w:firstLine="0" w:firstLineChars="0"/>
                    <w:jc w:val="center"/>
                    <w:rPr>
                      <w:rFonts w:ascii="Times New Roman"/>
                    </w:rPr>
                  </w:pPr>
                  <w:r>
                    <w:rPr>
                      <w:rFonts w:hint="eastAsia" w:ascii="Times New Roman"/>
                    </w:rPr>
                    <w:t>电压等级</w:t>
                  </w:r>
                </w:p>
              </w:tc>
              <w:tc>
                <w:tcPr>
                  <w:tcW w:w="2045" w:type="pct"/>
                  <w:vAlign w:val="center"/>
                </w:tcPr>
                <w:p>
                  <w:pPr>
                    <w:pStyle w:val="23"/>
                    <w:widowControl/>
                    <w:ind w:firstLine="0" w:firstLineChars="0"/>
                    <w:jc w:val="center"/>
                    <w:rPr>
                      <w:rFonts w:ascii="Times New Roman"/>
                    </w:rPr>
                  </w:pPr>
                  <w:r>
                    <w:rPr>
                      <w:rFonts w:hint="eastAsia" w:ascii="Times New Roman"/>
                    </w:rPr>
                    <w:t>110</w:t>
                  </w:r>
                  <w:r>
                    <w:rPr>
                      <w:rFonts w:ascii="Times New Roman"/>
                    </w:rPr>
                    <w:t>kV</w:t>
                  </w:r>
                </w:p>
              </w:tc>
              <w:tc>
                <w:tcPr>
                  <w:tcW w:w="2046" w:type="pct"/>
                  <w:vAlign w:val="center"/>
                </w:tcPr>
                <w:p>
                  <w:pPr>
                    <w:pStyle w:val="23"/>
                    <w:widowControl/>
                    <w:ind w:firstLine="0" w:firstLineChars="0"/>
                    <w:jc w:val="center"/>
                    <w:rPr>
                      <w:rFonts w:ascii="Times New Roman"/>
                    </w:rPr>
                  </w:pPr>
                  <w:r>
                    <w:rPr>
                      <w:rFonts w:hint="eastAsia" w:ascii="Times New Roman"/>
                    </w:rPr>
                    <w:t>110</w:t>
                  </w:r>
                  <w:r>
                    <w:rPr>
                      <w:rFonts w:ascii="Times New Roman"/>
                    </w:rPr>
                    <w:t>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pct"/>
                  <w:vAlign w:val="center"/>
                </w:tcPr>
                <w:p>
                  <w:pPr>
                    <w:pStyle w:val="23"/>
                    <w:widowControl/>
                    <w:ind w:firstLine="0" w:firstLineChars="0"/>
                    <w:jc w:val="center"/>
                    <w:rPr>
                      <w:rFonts w:ascii="Times New Roman"/>
                    </w:rPr>
                  </w:pPr>
                  <w:r>
                    <w:rPr>
                      <w:rFonts w:hint="eastAsia" w:ascii="Times New Roman"/>
                    </w:rPr>
                    <w:t>出线回数</w:t>
                  </w:r>
                </w:p>
              </w:tc>
              <w:tc>
                <w:tcPr>
                  <w:tcW w:w="2045" w:type="pct"/>
                  <w:vAlign w:val="center"/>
                </w:tcPr>
                <w:p>
                  <w:pPr>
                    <w:pStyle w:val="23"/>
                    <w:widowControl/>
                    <w:ind w:firstLine="0" w:firstLineChars="0"/>
                    <w:jc w:val="center"/>
                    <w:rPr>
                      <w:rFonts w:ascii="Times New Roman"/>
                    </w:rPr>
                  </w:pPr>
                  <w:r>
                    <w:rPr>
                      <w:rFonts w:hint="eastAsia" w:ascii="Times New Roman"/>
                    </w:rPr>
                    <w:t>1回</w:t>
                  </w:r>
                </w:p>
              </w:tc>
              <w:tc>
                <w:tcPr>
                  <w:tcW w:w="2046" w:type="pct"/>
                  <w:vAlign w:val="center"/>
                </w:tcPr>
                <w:p>
                  <w:pPr>
                    <w:pStyle w:val="23"/>
                    <w:widowControl/>
                    <w:ind w:firstLine="0" w:firstLineChars="0"/>
                    <w:jc w:val="center"/>
                    <w:rPr>
                      <w:rFonts w:ascii="Times New Roman"/>
                    </w:rPr>
                  </w:pPr>
                  <w:r>
                    <w:rPr>
                      <w:rFonts w:hint="eastAsia" w:ascii="Times New Roman"/>
                    </w:rPr>
                    <w:t>1回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pct"/>
                  <w:vAlign w:val="center"/>
                </w:tcPr>
                <w:p>
                  <w:pPr>
                    <w:pStyle w:val="23"/>
                    <w:widowControl/>
                    <w:ind w:firstLine="0" w:firstLineChars="0"/>
                    <w:jc w:val="center"/>
                    <w:rPr>
                      <w:rFonts w:ascii="Times New Roman"/>
                    </w:rPr>
                  </w:pPr>
                  <w:r>
                    <w:rPr>
                      <w:rFonts w:hint="eastAsia" w:ascii="Times New Roman"/>
                    </w:rPr>
                    <w:t>导线型号</w:t>
                  </w:r>
                </w:p>
              </w:tc>
              <w:tc>
                <w:tcPr>
                  <w:tcW w:w="2045" w:type="pct"/>
                  <w:vAlign w:val="center"/>
                </w:tcPr>
                <w:p>
                  <w:pPr>
                    <w:pStyle w:val="23"/>
                    <w:widowControl/>
                    <w:ind w:firstLine="0" w:firstLineChars="0"/>
                    <w:jc w:val="center"/>
                    <w:rPr>
                      <w:rFonts w:ascii="Times New Roman"/>
                    </w:rPr>
                  </w:pPr>
                  <w:r>
                    <w:rPr>
                      <w:rFonts w:ascii="Times New Roman"/>
                    </w:rPr>
                    <w:t>JL/G1A-300/40</w:t>
                  </w:r>
                  <w:r>
                    <w:rPr>
                      <w:rFonts w:hint="eastAsia" w:ascii="Times New Roman"/>
                    </w:rPr>
                    <w:t>0-24/7</w:t>
                  </w:r>
                </w:p>
              </w:tc>
              <w:tc>
                <w:tcPr>
                  <w:tcW w:w="2046" w:type="pct"/>
                  <w:vAlign w:val="center"/>
                </w:tcPr>
                <w:p>
                  <w:pPr>
                    <w:pStyle w:val="23"/>
                    <w:widowControl/>
                    <w:ind w:firstLine="0" w:firstLineChars="0"/>
                    <w:jc w:val="center"/>
                    <w:rPr>
                      <w:rFonts w:ascii="Times New Roman"/>
                    </w:rPr>
                  </w:pPr>
                  <w:r>
                    <w:rPr>
                      <w:rFonts w:ascii="Times New Roman"/>
                    </w:rPr>
                    <w:t>JL/G1A-300/40型钢芯铝绞线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pct"/>
                  <w:vAlign w:val="center"/>
                </w:tcPr>
                <w:p>
                  <w:pPr>
                    <w:pStyle w:val="23"/>
                    <w:widowControl/>
                    <w:ind w:firstLine="0" w:firstLineChars="0"/>
                    <w:jc w:val="center"/>
                    <w:rPr>
                      <w:rFonts w:ascii="Times New Roman"/>
                    </w:rPr>
                  </w:pPr>
                  <w:r>
                    <w:rPr>
                      <w:rFonts w:hint="eastAsia" w:ascii="Times New Roman"/>
                    </w:rPr>
                    <w:t>架线型式</w:t>
                  </w:r>
                </w:p>
              </w:tc>
              <w:tc>
                <w:tcPr>
                  <w:tcW w:w="2045" w:type="pct"/>
                  <w:vAlign w:val="center"/>
                </w:tcPr>
                <w:p>
                  <w:pPr>
                    <w:pStyle w:val="23"/>
                    <w:widowControl/>
                    <w:ind w:firstLine="0" w:firstLineChars="0"/>
                    <w:jc w:val="center"/>
                    <w:rPr>
                      <w:rFonts w:ascii="Times New Roman"/>
                    </w:rPr>
                  </w:pPr>
                  <w:r>
                    <w:rPr>
                      <w:rFonts w:hint="eastAsia" w:ascii="Times New Roman"/>
                    </w:rPr>
                    <w:t>架空</w:t>
                  </w:r>
                </w:p>
              </w:tc>
              <w:tc>
                <w:tcPr>
                  <w:tcW w:w="2046" w:type="pct"/>
                  <w:vAlign w:val="center"/>
                </w:tcPr>
                <w:p>
                  <w:pPr>
                    <w:pStyle w:val="23"/>
                    <w:widowControl/>
                    <w:ind w:firstLine="0" w:firstLineChars="0"/>
                    <w:jc w:val="center"/>
                    <w:rPr>
                      <w:rFonts w:ascii="Times New Roman"/>
                    </w:rPr>
                  </w:pPr>
                  <w:r>
                    <w:rPr>
                      <w:rFonts w:hint="eastAsia" w:ascii="Times New Roman"/>
                    </w:rPr>
                    <w:t>架空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pct"/>
                  <w:vAlign w:val="center"/>
                </w:tcPr>
                <w:p>
                  <w:pPr>
                    <w:pStyle w:val="23"/>
                    <w:widowControl/>
                    <w:ind w:firstLine="0" w:firstLineChars="0"/>
                    <w:jc w:val="center"/>
                    <w:rPr>
                      <w:rFonts w:ascii="Times New Roman"/>
                    </w:rPr>
                  </w:pPr>
                  <w:r>
                    <w:rPr>
                      <w:rFonts w:hint="eastAsia" w:ascii="Times New Roman"/>
                    </w:rPr>
                    <w:t>备注</w:t>
                  </w:r>
                </w:p>
              </w:tc>
              <w:tc>
                <w:tcPr>
                  <w:tcW w:w="2045" w:type="pct"/>
                  <w:vAlign w:val="center"/>
                </w:tcPr>
                <w:p>
                  <w:pPr>
                    <w:pStyle w:val="23"/>
                    <w:widowControl/>
                    <w:ind w:firstLine="0" w:firstLineChars="0"/>
                    <w:jc w:val="center"/>
                    <w:rPr>
                      <w:rFonts w:ascii="Times New Roman"/>
                    </w:rPr>
                  </w:pPr>
                  <w:r>
                    <w:rPr>
                      <w:rFonts w:hint="eastAsia" w:ascii="Times New Roman"/>
                    </w:rPr>
                    <w:t>以中央弧垂投影点为起点，向</w:t>
                  </w:r>
                  <w:r>
                    <w:rPr>
                      <w:rFonts w:hint="eastAsia" w:ascii="Times New Roman"/>
                      <w:lang w:eastAsia="zh-CN"/>
                    </w:rPr>
                    <w:t>西</w:t>
                  </w:r>
                  <w:r>
                    <w:rPr>
                      <w:rFonts w:hint="eastAsia" w:ascii="Times New Roman"/>
                    </w:rPr>
                    <w:t>延伸</w:t>
                  </w:r>
                </w:p>
              </w:tc>
              <w:tc>
                <w:tcPr>
                  <w:tcW w:w="2046" w:type="pct"/>
                  <w:vAlign w:val="center"/>
                </w:tcPr>
                <w:p>
                  <w:pPr>
                    <w:pStyle w:val="23"/>
                    <w:widowControl/>
                    <w:ind w:firstLine="0" w:firstLineChars="0"/>
                    <w:jc w:val="center"/>
                    <w:rPr>
                      <w:rFonts w:ascii="Times New Roman"/>
                    </w:rPr>
                  </w:pPr>
                  <w:r>
                    <w:rPr>
                      <w:rFonts w:hint="eastAsia" w:ascii="Times New Roman"/>
                    </w:rPr>
                    <w:t>/</w:t>
                  </w:r>
                </w:p>
              </w:tc>
            </w:tr>
          </w:tbl>
          <w:p>
            <w:pPr>
              <w:pStyle w:val="23"/>
              <w:widowControl/>
              <w:spacing w:line="360" w:lineRule="auto"/>
              <w:ind w:firstLine="480"/>
              <w:jc w:val="left"/>
              <w:rPr>
                <w:rFonts w:ascii="Times New Roman"/>
                <w:color w:val="auto"/>
                <w:sz w:val="24"/>
                <w:szCs w:val="22"/>
              </w:rPr>
            </w:pPr>
            <w:r>
              <w:rPr>
                <w:rFonts w:hint="eastAsia" w:ascii="Times New Roman"/>
                <w:color w:val="auto"/>
                <w:sz w:val="24"/>
                <w:szCs w:val="22"/>
              </w:rPr>
              <w:t>110</w:t>
            </w:r>
            <w:r>
              <w:rPr>
                <w:rFonts w:ascii="Times New Roman"/>
                <w:color w:val="auto"/>
                <w:sz w:val="24"/>
                <w:szCs w:val="22"/>
              </w:rPr>
              <w:t>kV单回架空线路数据引用自《</w:t>
            </w:r>
            <w:r>
              <w:rPr>
                <w:rFonts w:hint="eastAsia" w:ascii="宋体" w:hAnsi="宋体" w:eastAsia="宋体" w:cs="宋体"/>
                <w:bCs/>
                <w:color w:val="auto"/>
                <w:kern w:val="0"/>
                <w:sz w:val="24"/>
                <w:szCs w:val="24"/>
                <w:lang w:val="en-US" w:eastAsia="zh-CN" w:bidi="ar"/>
              </w:rPr>
              <w:t>榆阳</w:t>
            </w:r>
            <w:r>
              <w:rPr>
                <w:rFonts w:ascii="TimesNewRomanPSMT" w:hAnsi="TimesNewRomanPSMT" w:eastAsia="TimesNewRomanPSMT" w:cs="TimesNewRomanPSMT"/>
                <w:bCs/>
                <w:color w:val="auto"/>
                <w:kern w:val="0"/>
                <w:sz w:val="24"/>
                <w:szCs w:val="24"/>
                <w:lang w:val="en-US" w:eastAsia="zh-CN" w:bidi="ar"/>
              </w:rPr>
              <w:t>110kV</w:t>
            </w:r>
            <w:r>
              <w:rPr>
                <w:rFonts w:hint="eastAsia" w:ascii="宋体" w:hAnsi="宋体" w:eastAsia="宋体" w:cs="宋体"/>
                <w:bCs/>
                <w:color w:val="auto"/>
                <w:kern w:val="0"/>
                <w:sz w:val="24"/>
                <w:szCs w:val="24"/>
                <w:lang w:val="en-US" w:eastAsia="zh-CN" w:bidi="ar"/>
              </w:rPr>
              <w:t>亿鸿风电场上网输电线路工程竣工环境保护验收调查报告表</w:t>
            </w:r>
            <w:r>
              <w:rPr>
                <w:rFonts w:ascii="Times New Roman"/>
                <w:color w:val="auto"/>
                <w:sz w:val="24"/>
                <w:szCs w:val="22"/>
              </w:rPr>
              <w:t>》，具体监测参数及点位见</w:t>
            </w:r>
            <w:r>
              <w:rPr>
                <w:rFonts w:hint="eastAsia" w:ascii="Times New Roman"/>
                <w:color w:val="auto"/>
                <w:sz w:val="24"/>
                <w:szCs w:val="22"/>
              </w:rPr>
              <w:t>表7-</w:t>
            </w:r>
            <w:r>
              <w:rPr>
                <w:rFonts w:hint="eastAsia" w:ascii="Times New Roman"/>
                <w:color w:val="auto"/>
                <w:sz w:val="24"/>
                <w:szCs w:val="22"/>
                <w:lang w:val="en-US" w:eastAsia="zh-CN"/>
              </w:rPr>
              <w:t>3</w:t>
            </w:r>
            <w:r>
              <w:rPr>
                <w:rFonts w:hint="eastAsia" w:ascii="Times New Roman"/>
                <w:color w:val="auto"/>
                <w:sz w:val="24"/>
                <w:szCs w:val="22"/>
              </w:rPr>
              <w:t>和</w:t>
            </w:r>
            <w:r>
              <w:rPr>
                <w:rFonts w:ascii="Times New Roman"/>
                <w:color w:val="auto"/>
                <w:sz w:val="24"/>
                <w:szCs w:val="22"/>
              </w:rPr>
              <w:t>附件</w:t>
            </w:r>
            <w:r>
              <w:rPr>
                <w:rFonts w:hint="eastAsia" w:ascii="Times New Roman"/>
                <w:color w:val="auto"/>
                <w:sz w:val="24"/>
                <w:szCs w:val="22"/>
                <w:lang w:val="en-US" w:eastAsia="zh-CN"/>
              </w:rPr>
              <w:t>7</w:t>
            </w:r>
            <w:r>
              <w:rPr>
                <w:rFonts w:ascii="Times New Roman"/>
                <w:color w:val="auto"/>
                <w:sz w:val="24"/>
                <w:szCs w:val="22"/>
              </w:rPr>
              <w:t>。</w:t>
            </w:r>
          </w:p>
          <w:p>
            <w:pPr>
              <w:pStyle w:val="23"/>
              <w:widowControl/>
              <w:spacing w:line="360" w:lineRule="auto"/>
              <w:ind w:firstLine="0" w:firstLineChars="0"/>
              <w:jc w:val="center"/>
              <w:rPr>
                <w:rFonts w:ascii="Times New Roman"/>
                <w:b/>
                <w:bCs/>
                <w:color w:val="auto"/>
              </w:rPr>
            </w:pPr>
            <w:r>
              <w:rPr>
                <w:rFonts w:ascii="Times New Roman"/>
                <w:b/>
                <w:bCs/>
                <w:color w:val="auto"/>
              </w:rPr>
              <w:t>表7-</w:t>
            </w:r>
            <w:r>
              <w:rPr>
                <w:rFonts w:hint="eastAsia" w:ascii="Times New Roman"/>
                <w:b/>
                <w:bCs/>
                <w:color w:val="auto"/>
                <w:lang w:val="en-US" w:eastAsia="zh-CN"/>
              </w:rPr>
              <w:t xml:space="preserve">3 </w:t>
            </w:r>
            <w:r>
              <w:rPr>
                <w:rFonts w:ascii="Times New Roman"/>
                <w:b/>
                <w:bCs/>
                <w:color w:val="auto"/>
              </w:rPr>
              <w:t xml:space="preserve"> 类比线路噪声断面展开监测结果       单位：dB（A）</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5419"/>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序号</w:t>
                  </w:r>
                </w:p>
              </w:tc>
              <w:tc>
                <w:tcPr>
                  <w:tcW w:w="3005" w:type="pct"/>
                  <w:vAlign w:val="center"/>
                </w:tcPr>
                <w:p>
                  <w:pPr>
                    <w:pStyle w:val="23"/>
                    <w:widowControl/>
                    <w:ind w:firstLine="0" w:firstLineChars="0"/>
                    <w:jc w:val="center"/>
                    <w:rPr>
                      <w:rFonts w:ascii="Times New Roman"/>
                      <w:color w:val="auto"/>
                    </w:rPr>
                  </w:pPr>
                  <w:r>
                    <w:rPr>
                      <w:rFonts w:hint="eastAsia" w:ascii="Times New Roman"/>
                      <w:color w:val="auto"/>
                    </w:rPr>
                    <w:t>距走廊中心线距离</w:t>
                  </w:r>
                </w:p>
              </w:tc>
              <w:tc>
                <w:tcPr>
                  <w:tcW w:w="1367" w:type="pct"/>
                  <w:vAlign w:val="center"/>
                </w:tcPr>
                <w:p>
                  <w:pPr>
                    <w:pStyle w:val="23"/>
                    <w:widowControl/>
                    <w:ind w:firstLine="0" w:firstLineChars="0"/>
                    <w:jc w:val="center"/>
                    <w:rPr>
                      <w:rFonts w:ascii="Times New Roman"/>
                      <w:color w:val="auto"/>
                    </w:rPr>
                  </w:pPr>
                  <w:r>
                    <w:rPr>
                      <w:rFonts w:hint="eastAsia" w:ascii="Times New Roman"/>
                      <w:color w:val="auto"/>
                    </w:rPr>
                    <w:t>昼间（Leq）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1</w:t>
                  </w:r>
                </w:p>
              </w:tc>
              <w:tc>
                <w:tcPr>
                  <w:tcW w:w="3005" w:type="pct"/>
                  <w:vAlign w:val="center"/>
                </w:tcPr>
                <w:p>
                  <w:pPr>
                    <w:pStyle w:val="23"/>
                    <w:widowControl/>
                    <w:tabs>
                      <w:tab w:val="center" w:pos="1733"/>
                      <w:tab w:val="right" w:pos="3346"/>
                    </w:tabs>
                    <w:ind w:firstLine="0" w:firstLineChars="0"/>
                    <w:jc w:val="center"/>
                    <w:rPr>
                      <w:rFonts w:ascii="Times New Roman"/>
                      <w:color w:val="auto"/>
                    </w:rPr>
                  </w:pPr>
                  <w:r>
                    <w:rPr>
                      <w:rFonts w:hint="eastAsia" w:ascii="Times New Roman"/>
                      <w:color w:val="auto"/>
                    </w:rPr>
                    <w:t>距离输电线路中间导线投影0m处</w:t>
                  </w:r>
                </w:p>
              </w:tc>
              <w:tc>
                <w:tcPr>
                  <w:tcW w:w="1367" w:type="pct"/>
                  <w:vAlign w:val="center"/>
                </w:tcPr>
                <w:p>
                  <w:pPr>
                    <w:pStyle w:val="23"/>
                    <w:widowControl/>
                    <w:ind w:firstLine="0" w:firstLineChars="0"/>
                    <w:jc w:val="center"/>
                    <w:rPr>
                      <w:rFonts w:ascii="Times New Roman"/>
                      <w:color w:val="auto"/>
                    </w:rPr>
                  </w:pPr>
                  <w:r>
                    <w:rPr>
                      <w:rFonts w:hint="eastAsia" w:ascii="Times New Roman"/>
                      <w:color w:val="auto"/>
                      <w:lang w:val="en-US" w:eastAsia="zh-CN"/>
                    </w:rPr>
                    <w:t>38</w:t>
                  </w:r>
                  <w:r>
                    <w:rPr>
                      <w:rFonts w:hint="eastAsia" w:ascii="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7" w:type="pct"/>
                  <w:vAlign w:val="center"/>
                </w:tcPr>
                <w:p>
                  <w:pPr>
                    <w:pStyle w:val="23"/>
                    <w:widowControl/>
                    <w:ind w:firstLine="0" w:firstLineChars="0"/>
                    <w:jc w:val="center"/>
                    <w:rPr>
                      <w:rFonts w:ascii="Times New Roman"/>
                      <w:color w:val="auto"/>
                    </w:rPr>
                  </w:pPr>
                  <w:r>
                    <w:rPr>
                      <w:rFonts w:hint="eastAsia" w:ascii="Times New Roman"/>
                      <w:color w:val="auto"/>
                    </w:rPr>
                    <w:t>2</w:t>
                  </w:r>
                </w:p>
              </w:tc>
              <w:tc>
                <w:tcPr>
                  <w:tcW w:w="3005" w:type="pct"/>
                  <w:vAlign w:val="center"/>
                </w:tcPr>
                <w:p>
                  <w:pPr>
                    <w:pStyle w:val="23"/>
                    <w:widowControl/>
                    <w:ind w:firstLine="0" w:firstLineChars="0"/>
                    <w:jc w:val="center"/>
                    <w:rPr>
                      <w:rFonts w:ascii="Times New Roman" w:hAnsi="Times New Roman" w:eastAsia="宋体" w:cs="Times New Roman"/>
                      <w:color w:val="auto"/>
                      <w:sz w:val="21"/>
                      <w:lang w:val="en-US" w:eastAsia="zh-CN" w:bidi="ar-SA"/>
                    </w:rPr>
                  </w:pPr>
                  <w:r>
                    <w:rPr>
                      <w:rFonts w:hint="eastAsia" w:ascii="Times New Roman"/>
                      <w:color w:val="auto"/>
                    </w:rPr>
                    <w:t>距离输电线路中间导线投影5m处</w:t>
                  </w:r>
                </w:p>
              </w:tc>
              <w:tc>
                <w:tcPr>
                  <w:tcW w:w="1367" w:type="pct"/>
                  <w:vAlign w:val="center"/>
                </w:tcPr>
                <w:p>
                  <w:pPr>
                    <w:pStyle w:val="23"/>
                    <w:widowControl/>
                    <w:ind w:firstLine="0" w:firstLineChars="0"/>
                    <w:jc w:val="center"/>
                    <w:rPr>
                      <w:rFonts w:hint="eastAsia" w:ascii="Times New Roman" w:hAnsi="Times New Roman" w:eastAsia="宋体" w:cs="Times New Roman"/>
                      <w:color w:val="auto"/>
                      <w:sz w:val="21"/>
                      <w:lang w:val="en-US" w:eastAsia="zh-CN" w:bidi="ar-SA"/>
                    </w:rPr>
                  </w:pPr>
                  <w:r>
                    <w:rPr>
                      <w:rFonts w:hint="eastAsia" w:ascii="Times New Roman"/>
                      <w:color w:val="auto"/>
                      <w:lang w:val="en-US" w:eastAsia="zh-CN"/>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3</w:t>
                  </w:r>
                </w:p>
              </w:tc>
              <w:tc>
                <w:tcPr>
                  <w:tcW w:w="3005" w:type="pct"/>
                  <w:vAlign w:val="center"/>
                </w:tcPr>
                <w:p>
                  <w:pPr>
                    <w:pStyle w:val="23"/>
                    <w:widowControl/>
                    <w:ind w:firstLine="0" w:firstLineChars="0"/>
                    <w:jc w:val="center"/>
                    <w:rPr>
                      <w:rFonts w:ascii="Times New Roman" w:hAnsi="Times New Roman" w:eastAsia="宋体" w:cs="Times New Roman"/>
                      <w:color w:val="auto"/>
                      <w:sz w:val="21"/>
                      <w:lang w:val="en-US" w:eastAsia="zh-CN" w:bidi="ar-SA"/>
                    </w:rPr>
                  </w:pPr>
                  <w:r>
                    <w:rPr>
                      <w:rFonts w:hint="eastAsia" w:ascii="Times New Roman"/>
                      <w:color w:val="auto"/>
                    </w:rPr>
                    <w:t>距离输电线路中间导线投影10m处</w:t>
                  </w:r>
                </w:p>
              </w:tc>
              <w:tc>
                <w:tcPr>
                  <w:tcW w:w="1367" w:type="pct"/>
                  <w:vAlign w:val="center"/>
                </w:tcPr>
                <w:p>
                  <w:pPr>
                    <w:pStyle w:val="23"/>
                    <w:widowControl/>
                    <w:ind w:firstLine="0" w:firstLineChars="0"/>
                    <w:jc w:val="center"/>
                    <w:rPr>
                      <w:rFonts w:hint="default" w:ascii="Times New Roman" w:hAnsi="Times New Roman" w:eastAsia="宋体" w:cs="Times New Roman"/>
                      <w:color w:val="auto"/>
                      <w:sz w:val="21"/>
                      <w:lang w:val="en-US" w:eastAsia="zh-CN" w:bidi="ar-SA"/>
                    </w:rPr>
                  </w:pPr>
                  <w:r>
                    <w:rPr>
                      <w:rFonts w:hint="eastAsia" w:ascii="Times New Roman"/>
                      <w:color w:val="auto"/>
                      <w:lang w:val="en-US" w:eastAsia="zh-CN"/>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4</w:t>
                  </w:r>
                </w:p>
              </w:tc>
              <w:tc>
                <w:tcPr>
                  <w:tcW w:w="3005" w:type="pct"/>
                  <w:vAlign w:val="center"/>
                </w:tcPr>
                <w:p>
                  <w:pPr>
                    <w:pStyle w:val="23"/>
                    <w:widowControl/>
                    <w:ind w:firstLine="0" w:firstLineChars="0"/>
                    <w:jc w:val="center"/>
                    <w:rPr>
                      <w:rFonts w:ascii="Times New Roman" w:hAnsi="Times New Roman" w:eastAsia="宋体" w:cs="Times New Roman"/>
                      <w:color w:val="auto"/>
                      <w:sz w:val="21"/>
                      <w:lang w:val="en-US" w:eastAsia="zh-CN" w:bidi="ar-SA"/>
                    </w:rPr>
                  </w:pPr>
                  <w:r>
                    <w:rPr>
                      <w:rFonts w:hint="eastAsia" w:ascii="Times New Roman"/>
                      <w:color w:val="auto"/>
                    </w:rPr>
                    <w:t>距离输电线路中间导线投影15m（西梁）</w:t>
                  </w:r>
                </w:p>
              </w:tc>
              <w:tc>
                <w:tcPr>
                  <w:tcW w:w="1367" w:type="pct"/>
                  <w:vAlign w:val="center"/>
                </w:tcPr>
                <w:p>
                  <w:pPr>
                    <w:pStyle w:val="23"/>
                    <w:widowControl/>
                    <w:ind w:firstLine="0" w:firstLineChars="0"/>
                    <w:jc w:val="center"/>
                    <w:rPr>
                      <w:rFonts w:hint="default" w:ascii="Times New Roman" w:hAnsi="Times New Roman" w:eastAsia="宋体" w:cs="Times New Roman"/>
                      <w:color w:val="auto"/>
                      <w:sz w:val="21"/>
                      <w:lang w:val="en-US" w:eastAsia="zh-CN" w:bidi="ar-SA"/>
                    </w:rPr>
                  </w:pPr>
                  <w:r>
                    <w:rPr>
                      <w:rFonts w:hint="eastAsia" w:ascii="Times New Roman"/>
                      <w:color w:val="auto"/>
                      <w:lang w:val="en-US" w:eastAsia="zh-CN"/>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5</w:t>
                  </w:r>
                </w:p>
              </w:tc>
              <w:tc>
                <w:tcPr>
                  <w:tcW w:w="3005" w:type="pct"/>
                  <w:vAlign w:val="center"/>
                </w:tcPr>
                <w:p>
                  <w:pPr>
                    <w:pStyle w:val="23"/>
                    <w:widowControl/>
                    <w:ind w:firstLine="0" w:firstLineChars="0"/>
                    <w:jc w:val="center"/>
                    <w:rPr>
                      <w:rFonts w:ascii="Times New Roman" w:hAnsi="Times New Roman" w:eastAsia="宋体" w:cs="Times New Roman"/>
                      <w:color w:val="auto"/>
                      <w:sz w:val="21"/>
                      <w:lang w:val="en-US" w:eastAsia="zh-CN" w:bidi="ar-SA"/>
                    </w:rPr>
                  </w:pPr>
                  <w:r>
                    <w:rPr>
                      <w:rFonts w:hint="eastAsia" w:ascii="Times New Roman"/>
                      <w:color w:val="auto"/>
                    </w:rPr>
                    <w:t>距离输电线路中间导线投影20m（石涧梁）</w:t>
                  </w:r>
                </w:p>
              </w:tc>
              <w:tc>
                <w:tcPr>
                  <w:tcW w:w="1367" w:type="pct"/>
                  <w:vAlign w:val="center"/>
                </w:tcPr>
                <w:p>
                  <w:pPr>
                    <w:pStyle w:val="23"/>
                    <w:widowControl/>
                    <w:ind w:firstLine="0" w:firstLineChars="0"/>
                    <w:jc w:val="center"/>
                    <w:rPr>
                      <w:rFonts w:hint="default" w:ascii="Times New Roman" w:hAnsi="Times New Roman" w:eastAsia="宋体" w:cs="Times New Roman"/>
                      <w:color w:val="auto"/>
                      <w:sz w:val="21"/>
                      <w:lang w:val="en-US" w:eastAsia="zh-CN" w:bidi="ar-SA"/>
                    </w:rPr>
                  </w:pPr>
                  <w:r>
                    <w:rPr>
                      <w:rFonts w:hint="eastAsia" w:ascii="Times New Roman"/>
                      <w:color w:val="auto"/>
                      <w:lang w:val="en-US" w:eastAsia="zh-CN"/>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6</w:t>
                  </w:r>
                </w:p>
              </w:tc>
              <w:tc>
                <w:tcPr>
                  <w:tcW w:w="3005" w:type="pct"/>
                  <w:vAlign w:val="center"/>
                </w:tcPr>
                <w:p>
                  <w:pPr>
                    <w:pStyle w:val="23"/>
                    <w:widowControl/>
                    <w:tabs>
                      <w:tab w:val="center" w:pos="2045"/>
                      <w:tab w:val="right" w:pos="3971"/>
                    </w:tabs>
                    <w:ind w:firstLine="0" w:firstLineChars="0"/>
                    <w:jc w:val="center"/>
                    <w:rPr>
                      <w:rFonts w:ascii="Times New Roman" w:hAnsi="Times New Roman" w:eastAsia="宋体" w:cs="Times New Roman"/>
                      <w:color w:val="auto"/>
                      <w:sz w:val="21"/>
                      <w:lang w:val="en-US" w:eastAsia="zh-CN" w:bidi="ar-SA"/>
                    </w:rPr>
                  </w:pPr>
                  <w:r>
                    <w:rPr>
                      <w:rFonts w:hint="eastAsia" w:ascii="Times New Roman"/>
                      <w:color w:val="auto"/>
                    </w:rPr>
                    <w:t>距离输电线路中间导线投影25m（下涧）</w:t>
                  </w:r>
                </w:p>
              </w:tc>
              <w:tc>
                <w:tcPr>
                  <w:tcW w:w="1367" w:type="pct"/>
                  <w:vAlign w:val="center"/>
                </w:tcPr>
                <w:p>
                  <w:pPr>
                    <w:pStyle w:val="23"/>
                    <w:widowControl/>
                    <w:ind w:firstLine="0" w:firstLineChars="0"/>
                    <w:jc w:val="center"/>
                    <w:rPr>
                      <w:rFonts w:hint="default" w:ascii="Times New Roman" w:hAnsi="Times New Roman" w:eastAsia="宋体" w:cs="Times New Roman"/>
                      <w:color w:val="auto"/>
                      <w:sz w:val="21"/>
                      <w:lang w:val="en-US" w:eastAsia="zh-CN" w:bidi="ar-SA"/>
                    </w:rPr>
                  </w:pPr>
                  <w:r>
                    <w:rPr>
                      <w:rFonts w:hint="eastAsia" w:ascii="Times New Roman"/>
                      <w:color w:val="auto"/>
                      <w:lang w:val="en-US" w:eastAsia="zh-CN"/>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7</w:t>
                  </w:r>
                </w:p>
              </w:tc>
              <w:tc>
                <w:tcPr>
                  <w:tcW w:w="3005" w:type="pct"/>
                  <w:vAlign w:val="center"/>
                </w:tcPr>
                <w:p>
                  <w:pPr>
                    <w:pStyle w:val="23"/>
                    <w:widowControl/>
                    <w:ind w:firstLine="0" w:firstLineChars="0"/>
                    <w:jc w:val="center"/>
                    <w:rPr>
                      <w:rFonts w:ascii="Times New Roman" w:hAnsi="Times New Roman" w:eastAsia="宋体" w:cs="Times New Roman"/>
                      <w:color w:val="auto"/>
                      <w:sz w:val="21"/>
                      <w:lang w:val="en-US" w:eastAsia="zh-CN" w:bidi="ar-SA"/>
                    </w:rPr>
                  </w:pPr>
                  <w:r>
                    <w:rPr>
                      <w:rFonts w:hint="eastAsia" w:ascii="Times New Roman"/>
                      <w:color w:val="auto"/>
                    </w:rPr>
                    <w:t>距离输电线路中间导线投影30m（刘新庄）</w:t>
                  </w:r>
                </w:p>
              </w:tc>
              <w:tc>
                <w:tcPr>
                  <w:tcW w:w="1367" w:type="pct"/>
                  <w:vAlign w:val="center"/>
                </w:tcPr>
                <w:p>
                  <w:pPr>
                    <w:pStyle w:val="23"/>
                    <w:widowControl/>
                    <w:ind w:firstLine="0" w:firstLineChars="0"/>
                    <w:jc w:val="center"/>
                    <w:rPr>
                      <w:rFonts w:hint="default" w:ascii="Times New Roman" w:hAnsi="Times New Roman" w:eastAsia="宋体" w:cs="Times New Roman"/>
                      <w:color w:val="auto"/>
                      <w:sz w:val="21"/>
                      <w:lang w:val="en-US" w:eastAsia="zh-CN" w:bidi="ar-SA"/>
                    </w:rPr>
                  </w:pPr>
                  <w:r>
                    <w:rPr>
                      <w:rFonts w:hint="eastAsia" w:ascii="Times New Roman"/>
                      <w:color w:val="auto"/>
                      <w:lang w:val="en-US" w:eastAsia="zh-CN"/>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8</w:t>
                  </w:r>
                </w:p>
              </w:tc>
              <w:tc>
                <w:tcPr>
                  <w:tcW w:w="3005" w:type="pct"/>
                  <w:vAlign w:val="center"/>
                </w:tcPr>
                <w:p>
                  <w:pPr>
                    <w:pStyle w:val="23"/>
                    <w:widowControl/>
                    <w:ind w:firstLine="0" w:firstLineChars="0"/>
                    <w:jc w:val="center"/>
                    <w:rPr>
                      <w:rFonts w:ascii="Times New Roman" w:hAnsi="Times New Roman" w:eastAsia="宋体" w:cs="Times New Roman"/>
                      <w:color w:val="auto"/>
                      <w:sz w:val="21"/>
                      <w:lang w:val="en-US" w:eastAsia="zh-CN" w:bidi="ar-SA"/>
                    </w:rPr>
                  </w:pPr>
                  <w:r>
                    <w:rPr>
                      <w:rFonts w:hint="eastAsia" w:ascii="Times New Roman"/>
                      <w:color w:val="auto"/>
                    </w:rPr>
                    <w:t>距离输电线路中间导线投影35m处</w:t>
                  </w:r>
                </w:p>
              </w:tc>
              <w:tc>
                <w:tcPr>
                  <w:tcW w:w="1367" w:type="pct"/>
                  <w:vAlign w:val="center"/>
                </w:tcPr>
                <w:p>
                  <w:pPr>
                    <w:pStyle w:val="23"/>
                    <w:widowControl/>
                    <w:ind w:firstLine="0" w:firstLineChars="0"/>
                    <w:jc w:val="center"/>
                    <w:rPr>
                      <w:rFonts w:hint="default" w:ascii="Times New Roman" w:hAnsi="Times New Roman" w:eastAsia="宋体" w:cs="Times New Roman"/>
                      <w:color w:val="auto"/>
                      <w:sz w:val="21"/>
                      <w:lang w:val="en-US" w:eastAsia="zh-CN" w:bidi="ar-SA"/>
                    </w:rPr>
                  </w:pPr>
                  <w:r>
                    <w:rPr>
                      <w:rFonts w:hint="eastAsia" w:ascii="Times New Roman"/>
                      <w:color w:val="auto"/>
                      <w:lang w:val="en-US" w:eastAsia="zh-CN"/>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9</w:t>
                  </w:r>
                </w:p>
              </w:tc>
              <w:tc>
                <w:tcPr>
                  <w:tcW w:w="3005" w:type="pct"/>
                  <w:vAlign w:val="center"/>
                </w:tcPr>
                <w:p>
                  <w:pPr>
                    <w:pStyle w:val="23"/>
                    <w:widowControl/>
                    <w:ind w:firstLine="0" w:firstLineChars="0"/>
                    <w:jc w:val="center"/>
                    <w:rPr>
                      <w:rFonts w:ascii="Times New Roman" w:hAnsi="Times New Roman" w:eastAsia="宋体" w:cs="Times New Roman"/>
                      <w:color w:val="auto"/>
                      <w:sz w:val="21"/>
                      <w:lang w:val="en-US" w:eastAsia="zh-CN" w:bidi="ar-SA"/>
                    </w:rPr>
                  </w:pPr>
                  <w:r>
                    <w:rPr>
                      <w:rFonts w:hint="eastAsia" w:ascii="Times New Roman"/>
                      <w:color w:val="auto"/>
                    </w:rPr>
                    <w:t>距离输电线路中间导线投影40m</w:t>
                  </w:r>
                </w:p>
              </w:tc>
              <w:tc>
                <w:tcPr>
                  <w:tcW w:w="1367" w:type="pct"/>
                  <w:vAlign w:val="center"/>
                </w:tcPr>
                <w:p>
                  <w:pPr>
                    <w:pStyle w:val="23"/>
                    <w:widowControl/>
                    <w:ind w:firstLine="0" w:firstLineChars="0"/>
                    <w:jc w:val="center"/>
                    <w:rPr>
                      <w:rFonts w:hint="default" w:ascii="Times New Roman" w:hAnsi="Times New Roman" w:eastAsia="宋体" w:cs="Times New Roman"/>
                      <w:color w:val="auto"/>
                      <w:sz w:val="21"/>
                      <w:lang w:val="en-US" w:eastAsia="zh-CN" w:bidi="ar-SA"/>
                    </w:rPr>
                  </w:pPr>
                  <w:r>
                    <w:rPr>
                      <w:rFonts w:hint="eastAsia" w:ascii="Times New Roman"/>
                      <w:color w:val="auto"/>
                      <w:lang w:val="en-US" w:eastAsia="zh-CN"/>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ascii="Times New Roman"/>
                      <w:color w:val="auto"/>
                    </w:rPr>
                  </w:pPr>
                  <w:r>
                    <w:rPr>
                      <w:rFonts w:hint="eastAsia" w:ascii="Times New Roman"/>
                      <w:color w:val="auto"/>
                    </w:rPr>
                    <w:t>10</w:t>
                  </w:r>
                </w:p>
              </w:tc>
              <w:tc>
                <w:tcPr>
                  <w:tcW w:w="3005" w:type="pct"/>
                  <w:vAlign w:val="center"/>
                </w:tcPr>
                <w:p>
                  <w:pPr>
                    <w:pStyle w:val="23"/>
                    <w:widowControl/>
                    <w:ind w:firstLine="0" w:firstLineChars="0"/>
                    <w:jc w:val="center"/>
                    <w:rPr>
                      <w:rFonts w:ascii="Times New Roman"/>
                      <w:color w:val="auto"/>
                    </w:rPr>
                  </w:pPr>
                  <w:r>
                    <w:rPr>
                      <w:rFonts w:hint="eastAsia" w:ascii="Times New Roman"/>
                      <w:color w:val="auto"/>
                    </w:rPr>
                    <w:t>距离输电线路中间导线投影4</w:t>
                  </w:r>
                  <w:r>
                    <w:rPr>
                      <w:rFonts w:hint="eastAsia" w:ascii="Times New Roman"/>
                      <w:color w:val="auto"/>
                      <w:lang w:val="en-US" w:eastAsia="zh-CN"/>
                    </w:rPr>
                    <w:t>5</w:t>
                  </w:r>
                  <w:r>
                    <w:rPr>
                      <w:rFonts w:hint="eastAsia" w:ascii="Times New Roman"/>
                      <w:color w:val="auto"/>
                    </w:rPr>
                    <w:t>m</w:t>
                  </w:r>
                </w:p>
              </w:tc>
              <w:tc>
                <w:tcPr>
                  <w:tcW w:w="1367" w:type="pct"/>
                  <w:vAlign w:val="center"/>
                </w:tcPr>
                <w:p>
                  <w:pPr>
                    <w:pStyle w:val="23"/>
                    <w:widowControl/>
                    <w:ind w:firstLine="0" w:firstLineChars="0"/>
                    <w:jc w:val="center"/>
                    <w:rPr>
                      <w:rFonts w:hint="default" w:ascii="Times New Roman" w:eastAsia="宋体"/>
                      <w:color w:val="auto"/>
                      <w:lang w:val="en-US" w:eastAsia="zh-CN"/>
                    </w:rPr>
                  </w:pPr>
                  <w:r>
                    <w:rPr>
                      <w:rFonts w:hint="eastAsia" w:ascii="Times New Roman"/>
                      <w:color w:val="auto"/>
                      <w:lang w:val="en-US"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23"/>
                    <w:widowControl/>
                    <w:ind w:firstLine="0" w:firstLineChars="0"/>
                    <w:jc w:val="center"/>
                    <w:rPr>
                      <w:rFonts w:hint="default" w:ascii="Times New Roman" w:eastAsia="宋体"/>
                      <w:color w:val="auto"/>
                      <w:lang w:val="en-US" w:eastAsia="zh-CN"/>
                    </w:rPr>
                  </w:pPr>
                  <w:r>
                    <w:rPr>
                      <w:rFonts w:hint="eastAsia" w:ascii="Times New Roman"/>
                      <w:color w:val="auto"/>
                      <w:lang w:val="en-US" w:eastAsia="zh-CN"/>
                    </w:rPr>
                    <w:t>11</w:t>
                  </w:r>
                </w:p>
              </w:tc>
              <w:tc>
                <w:tcPr>
                  <w:tcW w:w="3005" w:type="pct"/>
                  <w:vAlign w:val="center"/>
                </w:tcPr>
                <w:p>
                  <w:pPr>
                    <w:pStyle w:val="23"/>
                    <w:widowControl/>
                    <w:ind w:firstLine="0" w:firstLineChars="0"/>
                    <w:jc w:val="center"/>
                    <w:rPr>
                      <w:rFonts w:hint="eastAsia" w:ascii="Times New Roman"/>
                      <w:color w:val="auto"/>
                    </w:rPr>
                  </w:pPr>
                  <w:r>
                    <w:rPr>
                      <w:rFonts w:hint="eastAsia" w:ascii="Times New Roman"/>
                      <w:color w:val="auto"/>
                    </w:rPr>
                    <w:t>距离输电线路中间导线投影</w:t>
                  </w:r>
                  <w:r>
                    <w:rPr>
                      <w:rFonts w:hint="eastAsia" w:ascii="Times New Roman"/>
                      <w:color w:val="auto"/>
                      <w:lang w:val="en-US" w:eastAsia="zh-CN"/>
                    </w:rPr>
                    <w:t>50</w:t>
                  </w:r>
                  <w:r>
                    <w:rPr>
                      <w:rFonts w:hint="eastAsia" w:ascii="Times New Roman"/>
                      <w:color w:val="auto"/>
                    </w:rPr>
                    <w:t>m</w:t>
                  </w:r>
                </w:p>
              </w:tc>
              <w:tc>
                <w:tcPr>
                  <w:tcW w:w="1367" w:type="pct"/>
                  <w:vAlign w:val="center"/>
                </w:tcPr>
                <w:p>
                  <w:pPr>
                    <w:pStyle w:val="23"/>
                    <w:widowControl/>
                    <w:ind w:firstLine="0" w:firstLineChars="0"/>
                    <w:jc w:val="center"/>
                    <w:rPr>
                      <w:rFonts w:hint="default" w:ascii="Times New Roman" w:eastAsia="宋体"/>
                      <w:color w:val="auto"/>
                      <w:lang w:val="en-US" w:eastAsia="zh-CN"/>
                    </w:rPr>
                  </w:pPr>
                  <w:r>
                    <w:rPr>
                      <w:rFonts w:hint="eastAsia" w:ascii="Times New Roman"/>
                      <w:color w:val="auto"/>
                      <w:lang w:val="en-US" w:eastAsia="zh-CN"/>
                    </w:rPr>
                    <w:t>40.3</w:t>
                  </w:r>
                </w:p>
              </w:tc>
            </w:tr>
          </w:tbl>
          <w:p>
            <w:pPr>
              <w:pStyle w:val="23"/>
              <w:widowControl/>
              <w:spacing w:line="360" w:lineRule="auto"/>
              <w:ind w:firstLine="480"/>
              <w:jc w:val="left"/>
              <w:rPr>
                <w:rFonts w:ascii="Times New Roman"/>
                <w:color w:val="auto"/>
                <w:sz w:val="24"/>
                <w:szCs w:val="22"/>
              </w:rPr>
            </w:pPr>
            <w:r>
              <w:rPr>
                <w:rFonts w:hint="eastAsia" w:ascii="Times New Roman"/>
                <w:color w:val="auto"/>
                <w:sz w:val="24"/>
                <w:szCs w:val="22"/>
              </w:rPr>
              <w:t>类比监测结果表明，线路沿线昼间噪声值为</w:t>
            </w:r>
            <w:r>
              <w:rPr>
                <w:rFonts w:hint="eastAsia" w:ascii="Times New Roman"/>
                <w:color w:val="auto"/>
                <w:sz w:val="24"/>
                <w:szCs w:val="22"/>
                <w:lang w:val="en-US" w:eastAsia="zh-CN"/>
              </w:rPr>
              <w:t>38.1</w:t>
            </w:r>
            <w:r>
              <w:rPr>
                <w:rFonts w:hint="eastAsia" w:ascii="Times New Roman"/>
                <w:color w:val="auto"/>
                <w:sz w:val="24"/>
                <w:szCs w:val="22"/>
              </w:rPr>
              <w:t>~</w:t>
            </w:r>
            <w:r>
              <w:rPr>
                <w:rFonts w:hint="eastAsia" w:ascii="Times New Roman"/>
                <w:color w:val="auto"/>
                <w:sz w:val="24"/>
                <w:szCs w:val="22"/>
                <w:lang w:val="en-US" w:eastAsia="zh-CN"/>
              </w:rPr>
              <w:t>42.1</w:t>
            </w:r>
            <w:r>
              <w:rPr>
                <w:rFonts w:hint="eastAsia" w:ascii="Times New Roman"/>
                <w:color w:val="auto"/>
                <w:sz w:val="24"/>
                <w:szCs w:val="22"/>
              </w:rPr>
              <w:t>dB（A），满足《声环境质量标准》（GB3096-2008）中1类标准。</w:t>
            </w:r>
          </w:p>
          <w:p>
            <w:pPr>
              <w:pStyle w:val="23"/>
              <w:widowControl/>
              <w:spacing w:line="360" w:lineRule="auto"/>
              <w:ind w:firstLine="480"/>
              <w:jc w:val="left"/>
              <w:rPr>
                <w:rFonts w:ascii="Times New Roman"/>
                <w:color w:val="auto"/>
                <w:sz w:val="24"/>
                <w:szCs w:val="22"/>
              </w:rPr>
            </w:pPr>
            <w:r>
              <w:rPr>
                <w:rFonts w:hint="eastAsia" w:ascii="Times New Roman"/>
                <w:color w:val="auto"/>
                <w:sz w:val="24"/>
                <w:szCs w:val="22"/>
              </w:rPr>
              <w:t>类比线路与本期线路电压等级、架线方式相同，可以推测拟建线路运营后，沿线噪声值也可满足《声境质量标准》（GB3096-2008）中</w:t>
            </w:r>
            <w:r>
              <w:rPr>
                <w:rFonts w:hint="eastAsia" w:ascii="Times New Roman"/>
                <w:color w:val="auto"/>
                <w:sz w:val="24"/>
                <w:szCs w:val="22"/>
                <w:lang w:val="en-US" w:eastAsia="zh-CN"/>
              </w:rPr>
              <w:t>1</w:t>
            </w:r>
            <w:r>
              <w:rPr>
                <w:rFonts w:hint="eastAsia" w:ascii="Times New Roman"/>
                <w:color w:val="auto"/>
                <w:sz w:val="24"/>
                <w:szCs w:val="22"/>
              </w:rPr>
              <w:t>类标准，对周围声环境影响较小。</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7.2.3水环境影响分析</w:t>
            </w:r>
          </w:p>
          <w:p>
            <w:pPr>
              <w:keepNext w:val="0"/>
              <w:keepLines w:val="0"/>
              <w:pageBreakBefore w:val="0"/>
              <w:widowControl w:val="0"/>
              <w:kinsoku/>
              <w:wordWrap/>
              <w:topLinePunct w:val="0"/>
              <w:autoSpaceDE w:val="0"/>
              <w:autoSpaceDN w:val="0"/>
              <w:bidi w:val="0"/>
              <w:ind w:firstLine="480" w:firstLineChars="200"/>
              <w:jc w:val="both"/>
              <w:rPr>
                <w:bCs w:val="0"/>
                <w:kern w:val="24"/>
              </w:rPr>
            </w:pPr>
            <w:r>
              <w:rPr>
                <w:bCs w:val="0"/>
                <w:kern w:val="24"/>
              </w:rPr>
              <w:t>110kV输电线路在运行期无生产废水产生，不会对环境产生影响。</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7.2.4固体废物环境影响分析</w:t>
            </w:r>
          </w:p>
          <w:p>
            <w:pPr>
              <w:pStyle w:val="30"/>
              <w:keepNext w:val="0"/>
              <w:keepLines w:val="0"/>
              <w:pageBreakBefore w:val="0"/>
              <w:widowControl w:val="0"/>
              <w:kinsoku/>
              <w:wordWrap/>
              <w:topLinePunct w:val="0"/>
              <w:bidi w:val="0"/>
              <w:ind w:firstLine="480"/>
              <w:rPr>
                <w:rFonts w:hint="eastAsia" w:hAnsi="Times New Roman" w:cs="Times New Roman"/>
              </w:rPr>
            </w:pPr>
            <w:r>
              <w:rPr>
                <w:bCs w:val="0"/>
                <w:kern w:val="24"/>
              </w:rPr>
              <w:t>110kV</w:t>
            </w:r>
            <w:r>
              <w:rPr>
                <w:rFonts w:hint="eastAsia" w:hAnsi="Times New Roman" w:cs="Times New Roman"/>
              </w:rPr>
              <w:t>输电线路工程运行期检修产生的废旧绝缘子、金具等由检修单位回收，不会对环境产生影响。</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7.2.5生态环境影响</w:t>
            </w:r>
          </w:p>
          <w:p>
            <w:pPr>
              <w:pStyle w:val="23"/>
              <w:widowControl/>
              <w:spacing w:line="360" w:lineRule="auto"/>
              <w:ind w:firstLine="480"/>
              <w:jc w:val="left"/>
              <w:rPr>
                <w:rFonts w:ascii="Times New Roman"/>
                <w:sz w:val="24"/>
                <w:szCs w:val="22"/>
              </w:rPr>
            </w:pPr>
            <w:r>
              <w:rPr>
                <w:rFonts w:ascii="Times New Roman"/>
                <w:sz w:val="24"/>
                <w:szCs w:val="22"/>
              </w:rPr>
              <w:t>本项目建成运行后，建设施工对周围生态环境造成的影响基本得到消除。项目运行期可能造成的生态影响主要有以下两个方面：</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7.2.6对植被的影响分析</w:t>
            </w:r>
          </w:p>
          <w:p>
            <w:pPr>
              <w:pStyle w:val="23"/>
              <w:widowControl/>
              <w:spacing w:line="360" w:lineRule="auto"/>
              <w:ind w:firstLine="480"/>
              <w:jc w:val="left"/>
              <w:rPr>
                <w:rFonts w:ascii="Times New Roman"/>
                <w:sz w:val="24"/>
                <w:szCs w:val="22"/>
              </w:rPr>
            </w:pPr>
            <w:r>
              <w:rPr>
                <w:rFonts w:ascii="Times New Roman"/>
                <w:sz w:val="24"/>
                <w:szCs w:val="22"/>
              </w:rPr>
              <w:t>本项目运行后，架空输电线路塔基下方和临时占地采取播撒草籽措施进行生态恢复。随着时间的推移，生态恢复效果逐渐显现。本项目运行期对植被产生的负面影响很小。</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7.2.7对野生动物的影响分析</w:t>
            </w:r>
          </w:p>
          <w:p>
            <w:pPr>
              <w:pStyle w:val="23"/>
              <w:widowControl/>
              <w:spacing w:line="360" w:lineRule="auto"/>
              <w:ind w:firstLine="480"/>
              <w:jc w:val="left"/>
              <w:rPr>
                <w:rFonts w:ascii="Times New Roman"/>
                <w:sz w:val="24"/>
                <w:szCs w:val="22"/>
              </w:rPr>
            </w:pPr>
            <w:r>
              <w:rPr>
                <w:rFonts w:ascii="Times New Roman"/>
                <w:sz w:val="24"/>
                <w:szCs w:val="22"/>
              </w:rPr>
              <w:t>架空输电线路建成后，会成为新的可疑目标而对项目区沿线栖息的野生动物产生微弱的影响，但经过一定时间的逐步适应后，这种影响就会自行消除。可以认为，除维修期间，输电线路在运行期将不会对野生动物产生不利影响。输电线路并未对地面形成彻底分割，对野生动物的迁徙影响很小。因此，本项目运行期对野生动物的影响很小</w:t>
            </w:r>
            <w:r>
              <w:rPr>
                <w:rFonts w:hint="eastAsia" w:ascii="Times New Roman"/>
                <w:sz w:val="24"/>
                <w:szCs w:val="22"/>
              </w:rPr>
              <w:t>。</w:t>
            </w:r>
          </w:p>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7.3环境管理与监测计划</w:t>
            </w:r>
          </w:p>
          <w:p>
            <w:pPr>
              <w:keepNext w:val="0"/>
              <w:keepLines w:val="0"/>
              <w:pageBreakBefore w:val="0"/>
              <w:widowControl w:val="0"/>
              <w:kinsoku/>
              <w:wordWrap/>
              <w:topLinePunct w:val="0"/>
              <w:bidi w:val="0"/>
              <w:ind w:firstLine="480" w:firstLineChars="200"/>
              <w:jc w:val="both"/>
              <w:rPr>
                <w:bCs w:val="0"/>
                <w:kern w:val="24"/>
              </w:rPr>
            </w:pPr>
            <w:r>
              <w:rPr>
                <w:bCs w:val="0"/>
                <w:kern w:val="24"/>
              </w:rPr>
              <w:t>为有效控制</w:t>
            </w:r>
            <w:r>
              <w:rPr>
                <w:rFonts w:hint="eastAsia"/>
                <w:bCs w:val="0"/>
                <w:kern w:val="24"/>
                <w:lang w:eastAsia="zh-CN"/>
              </w:rPr>
              <w:t>项目</w:t>
            </w:r>
            <w:r>
              <w:rPr>
                <w:bCs w:val="0"/>
                <w:kern w:val="24"/>
              </w:rPr>
              <w:t>对环境的影响，根据《中华人民共和国环境保护法》和《电力工业环境保护管理办法》及相关规定，制定本</w:t>
            </w:r>
            <w:r>
              <w:rPr>
                <w:rFonts w:hint="eastAsia"/>
                <w:bCs w:val="0"/>
                <w:kern w:val="24"/>
                <w:lang w:eastAsia="zh-CN"/>
              </w:rPr>
              <w:t>项目</w:t>
            </w:r>
            <w:r>
              <w:rPr>
                <w:bCs w:val="0"/>
                <w:kern w:val="24"/>
              </w:rPr>
              <w:t>环境管理和环境监测计划。</w:t>
            </w:r>
          </w:p>
          <w:p>
            <w:pPr>
              <w:keepNext w:val="0"/>
              <w:keepLines w:val="0"/>
              <w:pageBreakBefore w:val="0"/>
              <w:widowControl w:val="0"/>
              <w:kinsoku/>
              <w:wordWrap/>
              <w:topLinePunct w:val="0"/>
              <w:bidi w:val="0"/>
              <w:ind w:firstLine="480" w:firstLineChars="200"/>
              <w:jc w:val="both"/>
              <w:rPr>
                <w:b w:val="0"/>
                <w:bCs/>
                <w:kern w:val="24"/>
              </w:rPr>
            </w:pPr>
            <w:r>
              <w:rPr>
                <w:rFonts w:hint="eastAsia"/>
                <w:b w:val="0"/>
                <w:bCs/>
                <w:kern w:val="24"/>
                <w:lang w:eastAsia="zh-CN"/>
              </w:rPr>
              <w:t>（</w:t>
            </w:r>
            <w:r>
              <w:rPr>
                <w:rFonts w:hint="eastAsia"/>
                <w:b w:val="0"/>
                <w:bCs/>
                <w:kern w:val="24"/>
                <w:lang w:val="en-US" w:eastAsia="zh-CN"/>
              </w:rPr>
              <w:t>1</w:t>
            </w:r>
            <w:r>
              <w:rPr>
                <w:rFonts w:hint="eastAsia"/>
                <w:b w:val="0"/>
                <w:bCs/>
                <w:kern w:val="24"/>
                <w:lang w:eastAsia="zh-CN"/>
              </w:rPr>
              <w:t>）</w:t>
            </w:r>
            <w:r>
              <w:rPr>
                <w:b w:val="0"/>
                <w:bCs/>
                <w:kern w:val="24"/>
              </w:rPr>
              <w:t>施工期环境管理和监督</w:t>
            </w:r>
          </w:p>
          <w:p>
            <w:pPr>
              <w:keepNext w:val="0"/>
              <w:keepLines w:val="0"/>
              <w:pageBreakBefore w:val="0"/>
              <w:widowControl w:val="0"/>
              <w:kinsoku/>
              <w:wordWrap/>
              <w:topLinePunct w:val="0"/>
              <w:bidi w:val="0"/>
              <w:ind w:firstLine="480" w:firstLineChars="200"/>
              <w:jc w:val="both"/>
              <w:rPr>
                <w:bCs w:val="0"/>
                <w:kern w:val="24"/>
              </w:rPr>
            </w:pPr>
            <w:r>
              <w:rPr>
                <w:rFonts w:hint="eastAsia"/>
                <w:bCs w:val="0"/>
                <w:kern w:val="24"/>
                <w:lang w:eastAsia="zh-CN"/>
              </w:rPr>
              <w:t>①</w:t>
            </w:r>
            <w:r>
              <w:rPr>
                <w:bCs w:val="0"/>
                <w:kern w:val="24"/>
              </w:rPr>
              <w:t>本</w:t>
            </w:r>
            <w:r>
              <w:rPr>
                <w:rFonts w:hint="eastAsia"/>
                <w:bCs w:val="0"/>
                <w:kern w:val="24"/>
                <w:lang w:eastAsia="zh-CN"/>
              </w:rPr>
              <w:t>项目</w:t>
            </w:r>
            <w:r>
              <w:rPr>
                <w:bCs w:val="0"/>
                <w:kern w:val="24"/>
              </w:rPr>
              <w:t>施工单位应按建设单位要求制定环境管理和监督措施，注意施工扬尘</w:t>
            </w:r>
            <w:r>
              <w:rPr>
                <w:rFonts w:hint="eastAsia"/>
                <w:bCs w:val="0"/>
                <w:kern w:val="24"/>
              </w:rPr>
              <w:t>级</w:t>
            </w:r>
            <w:r>
              <w:rPr>
                <w:bCs w:val="0"/>
                <w:kern w:val="24"/>
              </w:rPr>
              <w:t>噪声的防治问题；</w:t>
            </w:r>
          </w:p>
          <w:p>
            <w:pPr>
              <w:keepNext w:val="0"/>
              <w:keepLines w:val="0"/>
              <w:pageBreakBefore w:val="0"/>
              <w:widowControl w:val="0"/>
              <w:kinsoku/>
              <w:wordWrap/>
              <w:topLinePunct w:val="0"/>
              <w:bidi w:val="0"/>
              <w:ind w:firstLine="480" w:firstLineChars="200"/>
              <w:jc w:val="both"/>
              <w:rPr>
                <w:bCs w:val="0"/>
                <w:kern w:val="24"/>
              </w:rPr>
            </w:pPr>
            <w:r>
              <w:rPr>
                <w:rFonts w:hint="eastAsia"/>
                <w:bCs w:val="0"/>
                <w:kern w:val="24"/>
                <w:lang w:eastAsia="zh-CN"/>
              </w:rPr>
              <w:t>②</w:t>
            </w:r>
            <w:r>
              <w:rPr>
                <w:bCs w:val="0"/>
                <w:kern w:val="24"/>
              </w:rPr>
              <w:t xml:space="preserve"> 本</w:t>
            </w:r>
            <w:r>
              <w:rPr>
                <w:rFonts w:hint="eastAsia"/>
                <w:bCs w:val="0"/>
                <w:kern w:val="24"/>
                <w:lang w:eastAsia="zh-CN"/>
              </w:rPr>
              <w:t>项目</w:t>
            </w:r>
            <w:r>
              <w:rPr>
                <w:bCs w:val="0"/>
                <w:kern w:val="24"/>
              </w:rPr>
              <w:t>工程管理部门应设置专门人员进行检查。</w:t>
            </w:r>
          </w:p>
          <w:p>
            <w:pPr>
              <w:pStyle w:val="8"/>
              <w:keepNext w:val="0"/>
              <w:keepLines w:val="0"/>
              <w:pageBreakBefore w:val="0"/>
              <w:widowControl w:val="0"/>
              <w:tabs>
                <w:tab w:val="left" w:pos="6180"/>
              </w:tabs>
              <w:kinsoku/>
              <w:wordWrap/>
              <w:topLinePunct w:val="0"/>
              <w:bidi w:val="0"/>
              <w:adjustRightInd/>
              <w:spacing w:line="360" w:lineRule="auto"/>
              <w:ind w:firstLine="480" w:firstLineChars="200"/>
              <w:rPr>
                <w:b w:val="0"/>
                <w:bCs w:val="0"/>
                <w:kern w:val="24"/>
                <w:szCs w:val="24"/>
              </w:rPr>
            </w:pPr>
            <w:r>
              <w:rPr>
                <w:rFonts w:hint="eastAsia"/>
                <w:b w:val="0"/>
                <w:bCs w:val="0"/>
                <w:kern w:val="24"/>
                <w:szCs w:val="24"/>
                <w:lang w:eastAsia="zh-CN"/>
              </w:rPr>
              <w:t>（</w:t>
            </w:r>
            <w:r>
              <w:rPr>
                <w:rFonts w:hint="eastAsia"/>
                <w:b w:val="0"/>
                <w:bCs w:val="0"/>
                <w:kern w:val="24"/>
                <w:szCs w:val="24"/>
                <w:lang w:val="en-US" w:eastAsia="zh-CN"/>
              </w:rPr>
              <w:t>2</w:t>
            </w:r>
            <w:r>
              <w:rPr>
                <w:rFonts w:hint="eastAsia"/>
                <w:b w:val="0"/>
                <w:bCs w:val="0"/>
                <w:kern w:val="24"/>
                <w:szCs w:val="24"/>
                <w:lang w:eastAsia="zh-CN"/>
              </w:rPr>
              <w:t>）</w:t>
            </w:r>
            <w:r>
              <w:rPr>
                <w:b w:val="0"/>
                <w:bCs w:val="0"/>
                <w:kern w:val="24"/>
                <w:szCs w:val="24"/>
              </w:rPr>
              <w:t>运行期的环境管理和监督</w:t>
            </w:r>
          </w:p>
          <w:p>
            <w:pPr>
              <w:keepNext w:val="0"/>
              <w:keepLines w:val="0"/>
              <w:pageBreakBefore w:val="0"/>
              <w:widowControl w:val="0"/>
              <w:kinsoku/>
              <w:wordWrap/>
              <w:topLinePunct w:val="0"/>
              <w:bidi w:val="0"/>
              <w:ind w:firstLine="480" w:firstLineChars="200"/>
              <w:jc w:val="both"/>
              <w:rPr>
                <w:bCs w:val="0"/>
                <w:kern w:val="24"/>
              </w:rPr>
            </w:pPr>
            <w:r>
              <w:rPr>
                <w:bCs w:val="0"/>
                <w:kern w:val="24"/>
              </w:rPr>
              <w:t>根据</w:t>
            </w:r>
            <w:r>
              <w:rPr>
                <w:rFonts w:hint="eastAsia"/>
                <w:bCs w:val="0"/>
                <w:kern w:val="24"/>
                <w:lang w:eastAsia="zh-CN"/>
              </w:rPr>
              <w:t>项目</w:t>
            </w:r>
            <w:r>
              <w:rPr>
                <w:bCs w:val="0"/>
                <w:kern w:val="24"/>
              </w:rPr>
              <w:t>所在区域的环境特点，必须在运行主管单位设环境管理部门，配备相应的专业管理人员不少于1人，该部门的职能为：</w:t>
            </w:r>
          </w:p>
          <w:p>
            <w:pPr>
              <w:keepNext w:val="0"/>
              <w:keepLines w:val="0"/>
              <w:pageBreakBefore w:val="0"/>
              <w:widowControl w:val="0"/>
              <w:kinsoku/>
              <w:wordWrap/>
              <w:topLinePunct w:val="0"/>
              <w:bidi w:val="0"/>
              <w:ind w:firstLine="480" w:firstLineChars="200"/>
              <w:jc w:val="both"/>
              <w:rPr>
                <w:bCs w:val="0"/>
                <w:kern w:val="24"/>
              </w:rPr>
            </w:pPr>
            <w:r>
              <w:rPr>
                <w:rFonts w:hint="eastAsia"/>
                <w:bCs w:val="0"/>
                <w:kern w:val="24"/>
                <w:lang w:eastAsia="zh-CN"/>
              </w:rPr>
              <w:t>①</w:t>
            </w:r>
            <w:r>
              <w:rPr>
                <w:bCs w:val="0"/>
                <w:kern w:val="24"/>
              </w:rPr>
              <w:t xml:space="preserve"> 制定和实施各项环境监督管理计划；</w:t>
            </w:r>
          </w:p>
          <w:p>
            <w:pPr>
              <w:keepNext w:val="0"/>
              <w:keepLines w:val="0"/>
              <w:pageBreakBefore w:val="0"/>
              <w:widowControl w:val="0"/>
              <w:kinsoku/>
              <w:wordWrap/>
              <w:topLinePunct w:val="0"/>
              <w:bidi w:val="0"/>
              <w:ind w:firstLine="480" w:firstLineChars="200"/>
              <w:jc w:val="both"/>
              <w:rPr>
                <w:bCs w:val="0"/>
                <w:kern w:val="24"/>
              </w:rPr>
            </w:pPr>
            <w:r>
              <w:rPr>
                <w:rFonts w:hint="eastAsia"/>
                <w:bCs w:val="0"/>
                <w:kern w:val="24"/>
                <w:lang w:eastAsia="zh-CN"/>
              </w:rPr>
              <w:t>②</w:t>
            </w:r>
            <w:r>
              <w:rPr>
                <w:bCs w:val="0"/>
                <w:kern w:val="24"/>
              </w:rPr>
              <w:t>建立线路电磁环境影响监测的数据档案，并定期与当地环境保护行政主管部门进行数据沟通；</w:t>
            </w:r>
          </w:p>
          <w:p>
            <w:pPr>
              <w:keepNext w:val="0"/>
              <w:keepLines w:val="0"/>
              <w:pageBreakBefore w:val="0"/>
              <w:widowControl w:val="0"/>
              <w:kinsoku/>
              <w:wordWrap/>
              <w:topLinePunct w:val="0"/>
              <w:bidi w:val="0"/>
              <w:ind w:firstLine="480" w:firstLineChars="200"/>
              <w:jc w:val="both"/>
              <w:rPr>
                <w:bCs w:val="0"/>
                <w:kern w:val="24"/>
              </w:rPr>
            </w:pPr>
            <w:r>
              <w:rPr>
                <w:rFonts w:hint="eastAsia"/>
                <w:bCs w:val="0"/>
                <w:kern w:val="24"/>
                <w:lang w:eastAsia="zh-CN"/>
              </w:rPr>
              <w:t>③</w:t>
            </w:r>
            <w:r>
              <w:rPr>
                <w:bCs w:val="0"/>
                <w:kern w:val="24"/>
              </w:rPr>
              <w:t>经常检查环保治理设施的运行情况，及时处理出现的问题；</w:t>
            </w:r>
          </w:p>
          <w:p>
            <w:pPr>
              <w:keepNext w:val="0"/>
              <w:keepLines w:val="0"/>
              <w:pageBreakBefore w:val="0"/>
              <w:widowControl w:val="0"/>
              <w:kinsoku/>
              <w:wordWrap/>
              <w:topLinePunct w:val="0"/>
              <w:bidi w:val="0"/>
              <w:ind w:firstLine="480" w:firstLineChars="200"/>
              <w:jc w:val="both"/>
              <w:rPr>
                <w:bCs w:val="0"/>
                <w:kern w:val="24"/>
              </w:rPr>
            </w:pPr>
            <w:r>
              <w:rPr>
                <w:rFonts w:hint="eastAsia"/>
                <w:bCs w:val="0"/>
                <w:kern w:val="24"/>
                <w:lang w:eastAsia="zh-CN"/>
              </w:rPr>
              <w:t>④</w:t>
            </w:r>
            <w:r>
              <w:rPr>
                <w:bCs w:val="0"/>
                <w:kern w:val="24"/>
              </w:rPr>
              <w:t xml:space="preserve"> 协调配合上级环保主管部门进行的环境调查等活动。</w:t>
            </w:r>
          </w:p>
          <w:p>
            <w:pPr>
              <w:keepNext w:val="0"/>
              <w:keepLines w:val="0"/>
              <w:pageBreakBefore w:val="0"/>
              <w:widowControl w:val="0"/>
              <w:kinsoku/>
              <w:wordWrap/>
              <w:topLinePunct w:val="0"/>
              <w:bidi w:val="0"/>
              <w:ind w:firstLine="480" w:firstLineChars="200"/>
              <w:rPr>
                <w:b w:val="0"/>
                <w:bCs w:val="0"/>
              </w:rPr>
            </w:pPr>
            <w:r>
              <w:rPr>
                <w:rFonts w:hint="eastAsia"/>
                <w:b w:val="0"/>
                <w:bCs w:val="0"/>
                <w:lang w:eastAsia="zh-CN"/>
              </w:rPr>
              <w:t>（</w:t>
            </w:r>
            <w:r>
              <w:rPr>
                <w:rFonts w:hint="eastAsia"/>
                <w:b w:val="0"/>
                <w:bCs w:val="0"/>
                <w:lang w:val="en-US" w:eastAsia="zh-CN"/>
              </w:rPr>
              <w:t>3</w:t>
            </w:r>
            <w:r>
              <w:rPr>
                <w:rFonts w:hint="eastAsia"/>
                <w:b w:val="0"/>
                <w:bCs w:val="0"/>
                <w:lang w:eastAsia="zh-CN"/>
              </w:rPr>
              <w:t>）</w:t>
            </w:r>
            <w:r>
              <w:rPr>
                <w:b w:val="0"/>
                <w:bCs w:val="0"/>
              </w:rPr>
              <w:t>社会公开信息内容</w:t>
            </w:r>
          </w:p>
          <w:p>
            <w:pPr>
              <w:keepNext w:val="0"/>
              <w:keepLines w:val="0"/>
              <w:pageBreakBefore w:val="0"/>
              <w:widowControl w:val="0"/>
              <w:kinsoku/>
              <w:wordWrap/>
              <w:topLinePunct w:val="0"/>
              <w:bidi w:val="0"/>
              <w:ind w:firstLine="480" w:firstLineChars="200"/>
            </w:pPr>
            <w:r>
              <w:t>根据《企业事业单位环境信息公开办法》（环保部令第31号）的相关要求，企业事业单位应当建立健全本单位环境信息公开制度，指定机构负责本单位环境信息公开日常工作。</w:t>
            </w:r>
          </w:p>
          <w:p>
            <w:pPr>
              <w:keepNext w:val="0"/>
              <w:keepLines w:val="0"/>
              <w:pageBreakBefore w:val="0"/>
              <w:widowControl w:val="0"/>
              <w:kinsoku/>
              <w:wordWrap/>
              <w:topLinePunct w:val="0"/>
              <w:bidi w:val="0"/>
              <w:ind w:firstLine="480" w:firstLineChars="200"/>
            </w:pPr>
            <w:r>
              <w:fldChar w:fldCharType="begin"/>
            </w:r>
            <w:r>
              <w:instrText xml:space="preserve"> = 1 \* GB2 </w:instrText>
            </w:r>
            <w:r>
              <w:fldChar w:fldCharType="separate"/>
            </w:r>
            <w:r>
              <w:rPr>
                <w:rFonts w:hint="eastAsia" w:ascii="宋体" w:hAnsi="宋体" w:cs="宋体"/>
              </w:rPr>
              <w:t>⑴</w:t>
            </w:r>
            <w:r>
              <w:fldChar w:fldCharType="end"/>
            </w:r>
            <w:r>
              <w:t xml:space="preserve"> 环境信息公开方式</w:t>
            </w:r>
          </w:p>
          <w:p>
            <w:pPr>
              <w:keepNext w:val="0"/>
              <w:keepLines w:val="0"/>
              <w:pageBreakBefore w:val="0"/>
              <w:widowControl w:val="0"/>
              <w:kinsoku/>
              <w:wordWrap/>
              <w:topLinePunct w:val="0"/>
              <w:bidi w:val="0"/>
              <w:ind w:firstLine="480" w:firstLineChars="200"/>
            </w:pPr>
            <w:r>
              <w:fldChar w:fldCharType="begin"/>
            </w:r>
            <w:r>
              <w:instrText xml:space="preserve"> = 1 \* GB3 </w:instrText>
            </w:r>
            <w:r>
              <w:fldChar w:fldCharType="separate"/>
            </w:r>
            <w:r>
              <w:rPr>
                <w:rFonts w:hint="eastAsia" w:ascii="宋体" w:hAnsi="宋体" w:cs="宋体"/>
              </w:rPr>
              <w:t>①</w:t>
            </w:r>
            <w:r>
              <w:fldChar w:fldCharType="end"/>
            </w:r>
            <w:r>
              <w:t xml:space="preserve"> 建设单位可通过采取以下一种或者几种方式予以公开：</w:t>
            </w:r>
          </w:p>
          <w:p>
            <w:pPr>
              <w:keepNext w:val="0"/>
              <w:keepLines w:val="0"/>
              <w:pageBreakBefore w:val="0"/>
              <w:widowControl w:val="0"/>
              <w:kinsoku/>
              <w:wordWrap/>
              <w:topLinePunct w:val="0"/>
              <w:bidi w:val="0"/>
              <w:ind w:firstLine="480" w:firstLineChars="200"/>
            </w:pPr>
            <w:r>
              <w:fldChar w:fldCharType="begin"/>
            </w:r>
            <w:r>
              <w:instrText xml:space="preserve"> = 2 \* GB3 </w:instrText>
            </w:r>
            <w:r>
              <w:fldChar w:fldCharType="separate"/>
            </w:r>
            <w:r>
              <w:rPr>
                <w:rFonts w:hint="eastAsia" w:ascii="宋体" w:hAnsi="宋体" w:cs="宋体"/>
              </w:rPr>
              <w:t>②</w:t>
            </w:r>
            <w:r>
              <w:fldChar w:fldCharType="end"/>
            </w:r>
            <w:r>
              <w:t xml:space="preserve"> 公告或者公开发行的信息专刊；</w:t>
            </w:r>
          </w:p>
          <w:p>
            <w:pPr>
              <w:keepNext w:val="0"/>
              <w:keepLines w:val="0"/>
              <w:pageBreakBefore w:val="0"/>
              <w:widowControl w:val="0"/>
              <w:kinsoku/>
              <w:wordWrap/>
              <w:topLinePunct w:val="0"/>
              <w:bidi w:val="0"/>
              <w:ind w:firstLine="480" w:firstLineChars="200"/>
            </w:pPr>
            <w:r>
              <w:fldChar w:fldCharType="begin"/>
            </w:r>
            <w:r>
              <w:instrText xml:space="preserve"> = 3 \* GB3 </w:instrText>
            </w:r>
            <w:r>
              <w:fldChar w:fldCharType="separate"/>
            </w:r>
            <w:r>
              <w:rPr>
                <w:rFonts w:hint="eastAsia" w:ascii="宋体" w:hAnsi="宋体" w:cs="宋体"/>
              </w:rPr>
              <w:t>③</w:t>
            </w:r>
            <w:r>
              <w:fldChar w:fldCharType="end"/>
            </w:r>
            <w:r>
              <w:t xml:space="preserve"> 广播、电视、网站等新闻媒体；</w:t>
            </w:r>
          </w:p>
          <w:p>
            <w:pPr>
              <w:keepNext w:val="0"/>
              <w:keepLines w:val="0"/>
              <w:pageBreakBefore w:val="0"/>
              <w:widowControl w:val="0"/>
              <w:kinsoku/>
              <w:wordWrap/>
              <w:topLinePunct w:val="0"/>
              <w:bidi w:val="0"/>
              <w:ind w:firstLine="480" w:firstLineChars="200"/>
            </w:pPr>
            <w:r>
              <w:fldChar w:fldCharType="begin"/>
            </w:r>
            <w:r>
              <w:instrText xml:space="preserve"> = 4 \* GB3 </w:instrText>
            </w:r>
            <w:r>
              <w:fldChar w:fldCharType="separate"/>
            </w:r>
            <w:r>
              <w:rPr>
                <w:rFonts w:hint="eastAsia" w:ascii="宋体" w:hAnsi="宋体" w:cs="宋体"/>
              </w:rPr>
              <w:t>④</w:t>
            </w:r>
            <w:r>
              <w:fldChar w:fldCharType="end"/>
            </w:r>
            <w:r>
              <w:t xml:space="preserve"> 信息公开服务、监督热线电话；</w:t>
            </w:r>
          </w:p>
          <w:p>
            <w:pPr>
              <w:keepNext w:val="0"/>
              <w:keepLines w:val="0"/>
              <w:pageBreakBefore w:val="0"/>
              <w:widowControl w:val="0"/>
              <w:kinsoku/>
              <w:wordWrap/>
              <w:topLinePunct w:val="0"/>
              <w:bidi w:val="0"/>
              <w:ind w:firstLine="480" w:firstLineChars="200"/>
            </w:pPr>
            <w:r>
              <w:fldChar w:fldCharType="begin"/>
            </w:r>
            <w:r>
              <w:instrText xml:space="preserve"> = 5 \* GB3 </w:instrText>
            </w:r>
            <w:r>
              <w:fldChar w:fldCharType="separate"/>
            </w:r>
            <w:r>
              <w:rPr>
                <w:rFonts w:hint="eastAsia" w:ascii="宋体" w:hAnsi="宋体" w:cs="宋体"/>
              </w:rPr>
              <w:t>⑤</w:t>
            </w:r>
            <w:r>
              <w:fldChar w:fldCharType="end"/>
            </w:r>
            <w:r>
              <w:t xml:space="preserve"> 单位的资料索取点、信息公开栏、信息亭、电子屏幕、电子触摸屏等场所或者设施；其他便于公众及时、准确获得信息的方式。</w:t>
            </w:r>
          </w:p>
          <w:p>
            <w:pPr>
              <w:keepNext w:val="0"/>
              <w:keepLines w:val="0"/>
              <w:pageBreakBefore w:val="0"/>
              <w:widowControl w:val="0"/>
              <w:kinsoku/>
              <w:wordWrap/>
              <w:topLinePunct w:val="0"/>
              <w:bidi w:val="0"/>
              <w:ind w:firstLine="480" w:firstLineChars="200"/>
            </w:pPr>
            <w:r>
              <w:fldChar w:fldCharType="begin"/>
            </w:r>
            <w:r>
              <w:instrText xml:space="preserve"> = 2 \* GB2 </w:instrText>
            </w:r>
            <w:r>
              <w:fldChar w:fldCharType="separate"/>
            </w:r>
            <w:r>
              <w:rPr>
                <w:rFonts w:hint="eastAsia" w:ascii="宋体" w:hAnsi="宋体" w:cs="宋体"/>
              </w:rPr>
              <w:t>⑵</w:t>
            </w:r>
            <w:r>
              <w:fldChar w:fldCharType="end"/>
            </w:r>
            <w:r>
              <w:t xml:space="preserve"> 环境信息公开内容</w:t>
            </w:r>
          </w:p>
          <w:p>
            <w:pPr>
              <w:keepNext w:val="0"/>
              <w:keepLines w:val="0"/>
              <w:pageBreakBefore w:val="0"/>
              <w:widowControl w:val="0"/>
              <w:kinsoku/>
              <w:wordWrap/>
              <w:topLinePunct w:val="0"/>
              <w:bidi w:val="0"/>
              <w:ind w:firstLine="480" w:firstLineChars="200"/>
            </w:pPr>
            <w:r>
              <w:rPr>
                <w:rFonts w:hint="eastAsia" w:ascii="宋体" w:hAnsi="宋体" w:cs="宋体"/>
              </w:rPr>
              <w:t>①</w:t>
            </w:r>
            <w:r>
              <w:t xml:space="preserve"> 基础信息，包括单位名称、组织机构代码、法定代表人、生产地址、联系方式，以及生产经营和管理服务的主要内容、产品及规模；</w:t>
            </w:r>
          </w:p>
          <w:p>
            <w:pPr>
              <w:keepNext w:val="0"/>
              <w:keepLines w:val="0"/>
              <w:pageBreakBefore w:val="0"/>
              <w:widowControl w:val="0"/>
              <w:kinsoku/>
              <w:wordWrap/>
              <w:topLinePunct w:val="0"/>
              <w:bidi w:val="0"/>
              <w:ind w:firstLine="480" w:firstLineChars="200"/>
            </w:pPr>
            <w:r>
              <w:rPr>
                <w:rFonts w:hint="eastAsia" w:ascii="宋体" w:hAnsi="宋体" w:cs="宋体"/>
              </w:rPr>
              <w:t>②</w:t>
            </w:r>
            <w:r>
              <w:t xml:space="preserve"> 排污信息，包括主要污染物及特征污染物的名称、排放方式、排放口数量和分布情况、排放浓度和总量、超标情况，以及执行的污染物排放标准、核定的排放总量；</w:t>
            </w:r>
          </w:p>
          <w:p>
            <w:pPr>
              <w:keepNext w:val="0"/>
              <w:keepLines w:val="0"/>
              <w:pageBreakBefore w:val="0"/>
              <w:widowControl w:val="0"/>
              <w:kinsoku/>
              <w:wordWrap/>
              <w:topLinePunct w:val="0"/>
              <w:bidi w:val="0"/>
              <w:ind w:firstLine="480" w:firstLineChars="200"/>
            </w:pPr>
            <w:r>
              <w:rPr>
                <w:rFonts w:hint="eastAsia" w:ascii="宋体" w:hAnsi="宋体" w:cs="宋体"/>
              </w:rPr>
              <w:t>③</w:t>
            </w:r>
            <w:r>
              <w:t xml:space="preserve"> 防治污染设施的建设和运行情况；</w:t>
            </w:r>
          </w:p>
          <w:p>
            <w:pPr>
              <w:keepNext w:val="0"/>
              <w:keepLines w:val="0"/>
              <w:pageBreakBefore w:val="0"/>
              <w:widowControl w:val="0"/>
              <w:kinsoku/>
              <w:wordWrap/>
              <w:topLinePunct w:val="0"/>
              <w:bidi w:val="0"/>
              <w:ind w:firstLine="480" w:firstLineChars="200"/>
            </w:pPr>
            <w:r>
              <w:rPr>
                <w:rFonts w:hint="eastAsia" w:ascii="宋体" w:hAnsi="宋体" w:cs="宋体"/>
              </w:rPr>
              <w:t>④</w:t>
            </w:r>
            <w:r>
              <w:t xml:space="preserve"> 建设项目环境影响评价及其他环境保护行政许可情况；</w:t>
            </w:r>
          </w:p>
          <w:p>
            <w:pPr>
              <w:keepNext w:val="0"/>
              <w:keepLines w:val="0"/>
              <w:pageBreakBefore w:val="0"/>
              <w:widowControl w:val="0"/>
              <w:kinsoku/>
              <w:wordWrap/>
              <w:topLinePunct w:val="0"/>
              <w:bidi w:val="0"/>
              <w:ind w:firstLine="480" w:firstLineChars="200"/>
            </w:pPr>
            <w:r>
              <w:rPr>
                <w:rFonts w:hint="eastAsia" w:ascii="宋体" w:hAnsi="宋体" w:cs="宋体"/>
              </w:rPr>
              <w:t>⑤</w:t>
            </w:r>
            <w:r>
              <w:t xml:space="preserve"> 其他应当公开的环境信息。</w:t>
            </w:r>
          </w:p>
          <w:p>
            <w:pPr>
              <w:pStyle w:val="8"/>
              <w:keepNext w:val="0"/>
              <w:keepLines w:val="0"/>
              <w:pageBreakBefore w:val="0"/>
              <w:widowControl w:val="0"/>
              <w:tabs>
                <w:tab w:val="left" w:pos="6180"/>
              </w:tabs>
              <w:kinsoku/>
              <w:wordWrap/>
              <w:topLinePunct w:val="0"/>
              <w:bidi w:val="0"/>
              <w:adjustRightInd/>
              <w:spacing w:line="360" w:lineRule="auto"/>
              <w:ind w:firstLine="480" w:firstLineChars="200"/>
              <w:rPr>
                <w:b w:val="0"/>
                <w:bCs w:val="0"/>
                <w:kern w:val="24"/>
                <w:szCs w:val="24"/>
              </w:rPr>
            </w:pPr>
            <w:r>
              <w:rPr>
                <w:rFonts w:hint="eastAsia"/>
                <w:b w:val="0"/>
                <w:bCs w:val="0"/>
                <w:kern w:val="24"/>
                <w:szCs w:val="24"/>
                <w:lang w:eastAsia="zh-CN"/>
              </w:rPr>
              <w:t>（</w:t>
            </w:r>
            <w:r>
              <w:rPr>
                <w:rFonts w:hint="eastAsia"/>
                <w:b w:val="0"/>
                <w:bCs w:val="0"/>
                <w:kern w:val="24"/>
                <w:szCs w:val="24"/>
                <w:lang w:val="en-US" w:eastAsia="zh-CN"/>
              </w:rPr>
              <w:t>4</w:t>
            </w:r>
            <w:r>
              <w:rPr>
                <w:rFonts w:hint="eastAsia"/>
                <w:b w:val="0"/>
                <w:bCs w:val="0"/>
                <w:kern w:val="24"/>
                <w:szCs w:val="24"/>
                <w:lang w:eastAsia="zh-CN"/>
              </w:rPr>
              <w:t>）</w:t>
            </w:r>
            <w:r>
              <w:rPr>
                <w:b w:val="0"/>
                <w:bCs w:val="0"/>
                <w:kern w:val="24"/>
                <w:szCs w:val="24"/>
              </w:rPr>
              <w:t>环境监测计划</w:t>
            </w:r>
          </w:p>
          <w:p>
            <w:pPr>
              <w:keepNext w:val="0"/>
              <w:keepLines w:val="0"/>
              <w:pageBreakBefore w:val="0"/>
              <w:widowControl w:val="0"/>
              <w:kinsoku/>
              <w:wordWrap/>
              <w:topLinePunct w:val="0"/>
              <w:bidi w:val="0"/>
              <w:ind w:firstLine="480" w:firstLineChars="200"/>
              <w:jc w:val="both"/>
              <w:rPr>
                <w:bCs w:val="0"/>
                <w:kern w:val="24"/>
              </w:rPr>
            </w:pPr>
            <w:r>
              <w:rPr>
                <w:bCs w:val="0"/>
                <w:kern w:val="24"/>
              </w:rPr>
              <w:t>为建立本</w:t>
            </w:r>
            <w:r>
              <w:rPr>
                <w:rFonts w:hint="eastAsia"/>
                <w:bCs w:val="0"/>
                <w:kern w:val="24"/>
                <w:lang w:eastAsia="zh-CN"/>
              </w:rPr>
              <w:t>项目</w:t>
            </w:r>
            <w:r>
              <w:rPr>
                <w:bCs w:val="0"/>
                <w:kern w:val="24"/>
              </w:rPr>
              <w:t>对环境影响情况的档案，应对输电线路对周围环境的影响进行监测或调查。监测内容</w:t>
            </w:r>
            <w:r>
              <w:rPr>
                <w:rFonts w:hint="eastAsia"/>
                <w:bCs w:val="0"/>
                <w:kern w:val="24"/>
                <w:lang w:eastAsia="zh-CN"/>
              </w:rPr>
              <w:t>见表</w:t>
            </w:r>
            <w:r>
              <w:rPr>
                <w:rFonts w:hint="eastAsia"/>
                <w:bCs w:val="0"/>
                <w:kern w:val="24"/>
                <w:lang w:val="en-US" w:eastAsia="zh-CN"/>
              </w:rPr>
              <w:t>7-4</w:t>
            </w:r>
            <w:r>
              <w:rPr>
                <w:bCs w:val="0"/>
                <w:kern w:val="24"/>
              </w:rPr>
              <w:t>：</w:t>
            </w:r>
          </w:p>
          <w:p>
            <w:pPr>
              <w:keepNext w:val="0"/>
              <w:keepLines w:val="0"/>
              <w:pageBreakBefore w:val="0"/>
              <w:widowControl w:val="0"/>
              <w:kinsoku/>
              <w:wordWrap/>
              <w:topLinePunct w:val="0"/>
              <w:bidi w:val="0"/>
              <w:spacing w:line="240" w:lineRule="auto"/>
              <w:jc w:val="center"/>
              <w:rPr>
                <w:b/>
                <w:bCs w:val="0"/>
                <w:kern w:val="24"/>
                <w:sz w:val="21"/>
                <w:szCs w:val="21"/>
              </w:rPr>
            </w:pPr>
            <w:r>
              <w:rPr>
                <w:b/>
                <w:bCs w:val="0"/>
                <w:kern w:val="24"/>
                <w:sz w:val="21"/>
                <w:szCs w:val="21"/>
              </w:rPr>
              <w:t>表</w:t>
            </w:r>
            <w:r>
              <w:rPr>
                <w:rFonts w:hint="eastAsia"/>
                <w:b/>
                <w:bCs w:val="0"/>
                <w:kern w:val="24"/>
                <w:sz w:val="21"/>
                <w:szCs w:val="21"/>
                <w:lang w:val="en-US" w:eastAsia="zh-CN"/>
              </w:rPr>
              <w:t>7-4</w:t>
            </w:r>
            <w:r>
              <w:rPr>
                <w:b/>
                <w:bCs w:val="0"/>
                <w:kern w:val="24"/>
                <w:sz w:val="21"/>
                <w:szCs w:val="21"/>
              </w:rPr>
              <w:t xml:space="preserve">    定期监测计划表</w:t>
            </w:r>
          </w:p>
          <w:tbl>
            <w:tblPr>
              <w:tblStyle w:val="17"/>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908"/>
              <w:gridCol w:w="1257"/>
              <w:gridCol w:w="1508"/>
              <w:gridCol w:w="37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序号</w:t>
                  </w:r>
                </w:p>
              </w:tc>
              <w:tc>
                <w:tcPr>
                  <w:tcW w:w="105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监测项目</w:t>
                  </w:r>
                </w:p>
              </w:tc>
              <w:tc>
                <w:tcPr>
                  <w:tcW w:w="69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监测点位</w:t>
                  </w:r>
                </w:p>
              </w:tc>
              <w:tc>
                <w:tcPr>
                  <w:tcW w:w="8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监测时间</w:t>
                  </w:r>
                </w:p>
              </w:tc>
              <w:tc>
                <w:tcPr>
                  <w:tcW w:w="204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控制目标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3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1</w:t>
                  </w:r>
                </w:p>
              </w:tc>
              <w:tc>
                <w:tcPr>
                  <w:tcW w:w="105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工频电场强度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工频磁感应强度</w:t>
                  </w:r>
                </w:p>
              </w:tc>
              <w:tc>
                <w:tcPr>
                  <w:tcW w:w="69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输电线路沿线</w:t>
                  </w:r>
                </w:p>
              </w:tc>
              <w:tc>
                <w:tcPr>
                  <w:tcW w:w="83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竣工验收及有投诉时</w:t>
                  </w:r>
                </w:p>
              </w:tc>
              <w:tc>
                <w:tcPr>
                  <w:tcW w:w="204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《电磁环境控制限值》（GB 8702-2014）中标准限值要求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2</w:t>
                  </w:r>
                </w:p>
              </w:tc>
              <w:tc>
                <w:tcPr>
                  <w:tcW w:w="1057"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等效连续A声级</w:t>
                  </w:r>
                </w:p>
              </w:tc>
              <w:tc>
                <w:tcPr>
                  <w:tcW w:w="696"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输电线路沿线</w:t>
                  </w:r>
                </w:p>
              </w:tc>
              <w:tc>
                <w:tcPr>
                  <w:tcW w:w="835"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竣工验收及有投诉时</w:t>
                  </w:r>
                </w:p>
              </w:tc>
              <w:tc>
                <w:tcPr>
                  <w:tcW w:w="204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《声环境质量标准》（GB3096-2008）中</w:t>
                  </w:r>
                  <w:r>
                    <w:rPr>
                      <w:rFonts w:hint="eastAsia" w:eastAsia="宋体" w:cs="Times New Roman"/>
                      <w:bCs/>
                      <w:kern w:val="24"/>
                      <w:sz w:val="21"/>
                      <w:szCs w:val="21"/>
                      <w:lang w:val="en-US" w:eastAsia="zh-CN"/>
                    </w:rPr>
                    <w:t>1</w:t>
                  </w:r>
                  <w:r>
                    <w:rPr>
                      <w:rFonts w:ascii="Times New Roman" w:hAnsi="Times New Roman" w:eastAsia="Calibri" w:cs="Times New Roman"/>
                      <w:bCs/>
                      <w:kern w:val="24"/>
                      <w:sz w:val="21"/>
                      <w:szCs w:val="21"/>
                    </w:rPr>
                    <w:t>类标准限值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p>
              </w:tc>
              <w:tc>
                <w:tcPr>
                  <w:tcW w:w="10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p>
              </w:tc>
              <w:tc>
                <w:tcPr>
                  <w:tcW w:w="696"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Calibri" w:cs="Times New Roman"/>
                      <w:bCs/>
                      <w:kern w:val="24"/>
                      <w:sz w:val="21"/>
                      <w:szCs w:val="21"/>
                    </w:rPr>
                  </w:pPr>
                </w:p>
              </w:tc>
              <w:tc>
                <w:tcPr>
                  <w:tcW w:w="835"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p>
              </w:tc>
              <w:tc>
                <w:tcPr>
                  <w:tcW w:w="204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Calibri" w:cs="Times New Roman"/>
                      <w:bCs/>
                      <w:kern w:val="24"/>
                      <w:sz w:val="21"/>
                      <w:szCs w:val="21"/>
                    </w:rPr>
                  </w:pPr>
                  <w:r>
                    <w:rPr>
                      <w:rFonts w:ascii="Times New Roman" w:hAnsi="Times New Roman" w:eastAsia="Calibri" w:cs="Times New Roman"/>
                      <w:bCs/>
                      <w:kern w:val="24"/>
                      <w:sz w:val="21"/>
                      <w:szCs w:val="21"/>
                    </w:rPr>
                    <w:t>《工业企业厂界环境噪声排放标准》（GB 12348-2008）中2类标准限值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shd w:val="clear" w:color="auto" w:fill="auto"/>
                  <w:noWrap w:val="0"/>
                  <w:vAlign w:val="center"/>
                </w:tcPr>
                <w:p>
                  <w:pPr>
                    <w:keepNext w:val="0"/>
                    <w:keepLines w:val="0"/>
                    <w:pageBreakBefore w:val="0"/>
                    <w:widowControl w:val="0"/>
                    <w:kinsoku/>
                    <w:wordWrap/>
                    <w:topLinePunct w:val="0"/>
                    <w:bidi w:val="0"/>
                    <w:spacing w:line="240" w:lineRule="auto"/>
                    <w:rPr>
                      <w:bCs w:val="0"/>
                      <w:kern w:val="24"/>
                      <w:sz w:val="21"/>
                      <w:szCs w:val="21"/>
                    </w:rPr>
                  </w:pPr>
                  <w:r>
                    <w:rPr>
                      <w:bCs w:val="0"/>
                      <w:kern w:val="24"/>
                      <w:sz w:val="21"/>
                      <w:szCs w:val="21"/>
                    </w:rPr>
                    <w:t>备注：监测点应选择在地势平坦</w:t>
                  </w:r>
                  <w:r>
                    <w:rPr>
                      <w:sz w:val="21"/>
                      <w:szCs w:val="21"/>
                    </w:rPr>
                    <w:t>、远离树木且没有其他电力线路、通信线路及广播线路的空地上。</w:t>
                  </w:r>
                </w:p>
              </w:tc>
            </w:tr>
          </w:tbl>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7.4环保设施竣工验收内容及要求</w:t>
            </w:r>
          </w:p>
          <w:p>
            <w:pPr>
              <w:keepNext w:val="0"/>
              <w:keepLines w:val="0"/>
              <w:pageBreakBefore w:val="0"/>
              <w:widowControl w:val="0"/>
              <w:kinsoku/>
              <w:wordWrap/>
              <w:topLinePunct w:val="0"/>
              <w:bidi w:val="0"/>
              <w:ind w:firstLine="480" w:firstLineChars="200"/>
              <w:jc w:val="both"/>
              <w:rPr>
                <w:bCs w:val="0"/>
                <w:color w:val="auto"/>
                <w:kern w:val="24"/>
              </w:rPr>
            </w:pPr>
            <w:r>
              <w:rPr>
                <w:bCs w:val="0"/>
                <w:kern w:val="24"/>
              </w:rPr>
              <w:t>根据《建设项目环境保护管理条例》（国务院第682号令，2017年10月1日起实施），本</w:t>
            </w:r>
            <w:r>
              <w:rPr>
                <w:rFonts w:hint="eastAsia"/>
                <w:bCs w:val="0"/>
                <w:kern w:val="24"/>
                <w:lang w:eastAsia="zh-CN"/>
              </w:rPr>
              <w:t>项目</w:t>
            </w:r>
            <w:r>
              <w:rPr>
                <w:bCs w:val="0"/>
                <w:kern w:val="24"/>
              </w:rPr>
              <w:t>竣工后，建设单位应按照国务院环境保护行政主管部门规定的标准和程序，对本</w:t>
            </w:r>
            <w:r>
              <w:rPr>
                <w:rFonts w:hint="eastAsia"/>
                <w:bCs w:val="0"/>
                <w:kern w:val="24"/>
                <w:lang w:eastAsia="zh-CN"/>
              </w:rPr>
              <w:t>项目</w:t>
            </w:r>
            <w:r>
              <w:rPr>
                <w:bCs w:val="0"/>
                <w:kern w:val="24"/>
              </w:rPr>
              <w:t>配套建设的环境保护设施进行验收，编制验收报告并进行公示；验收报告应当如实查验、监测、记载建设</w:t>
            </w:r>
            <w:r>
              <w:rPr>
                <w:rFonts w:hint="eastAsia"/>
                <w:bCs w:val="0"/>
                <w:kern w:val="24"/>
                <w:lang w:eastAsia="zh-CN"/>
              </w:rPr>
              <w:t>项目</w:t>
            </w:r>
            <w:r>
              <w:rPr>
                <w:bCs w:val="0"/>
                <w:kern w:val="24"/>
              </w:rPr>
              <w:t>环境保护设施的建设和调试情况，不得弄虚作假。验收合格</w:t>
            </w:r>
            <w:r>
              <w:rPr>
                <w:bCs w:val="0"/>
                <w:color w:val="auto"/>
                <w:kern w:val="24"/>
              </w:rPr>
              <w:t>后，方可投入生产或使用。</w:t>
            </w:r>
          </w:p>
          <w:p>
            <w:pPr>
              <w:pStyle w:val="23"/>
              <w:widowControl/>
              <w:spacing w:line="360" w:lineRule="auto"/>
              <w:ind w:firstLine="480"/>
              <w:jc w:val="left"/>
              <w:rPr>
                <w:rFonts w:ascii="Times New Roman"/>
                <w:color w:val="auto"/>
                <w:sz w:val="24"/>
                <w:szCs w:val="22"/>
              </w:rPr>
            </w:pPr>
            <w:r>
              <w:rPr>
                <w:rFonts w:ascii="Times New Roman"/>
                <w:color w:val="auto"/>
                <w:sz w:val="24"/>
                <w:szCs w:val="22"/>
              </w:rPr>
              <w:t>项目竣工环境保护验收清单见表</w:t>
            </w:r>
            <w:r>
              <w:rPr>
                <w:rFonts w:hint="eastAsia" w:ascii="Times New Roman"/>
                <w:color w:val="auto"/>
                <w:sz w:val="24"/>
                <w:szCs w:val="22"/>
              </w:rPr>
              <w:t>7-</w:t>
            </w:r>
            <w:r>
              <w:rPr>
                <w:rFonts w:hint="eastAsia" w:ascii="Times New Roman"/>
                <w:color w:val="auto"/>
                <w:sz w:val="24"/>
                <w:szCs w:val="22"/>
                <w:lang w:val="en-US" w:eastAsia="zh-CN"/>
              </w:rPr>
              <w:t>5</w:t>
            </w:r>
            <w:r>
              <w:rPr>
                <w:rFonts w:hint="eastAsia" w:ascii="Times New Roman"/>
                <w:color w:val="auto"/>
                <w:sz w:val="24"/>
                <w:szCs w:val="22"/>
              </w:rPr>
              <w:t>。</w:t>
            </w:r>
          </w:p>
          <w:p>
            <w:pPr>
              <w:pStyle w:val="23"/>
              <w:widowControl/>
              <w:spacing w:line="360" w:lineRule="auto"/>
              <w:ind w:firstLine="0" w:firstLineChars="0"/>
              <w:jc w:val="center"/>
              <w:rPr>
                <w:rFonts w:hint="eastAsia" w:ascii="Times New Roman" w:eastAsia="宋体"/>
                <w:b/>
                <w:bCs/>
                <w:color w:val="auto"/>
                <w:lang w:eastAsia="zh-CN"/>
              </w:rPr>
            </w:pPr>
            <w:r>
              <w:rPr>
                <w:rFonts w:hint="eastAsia" w:ascii="Times New Roman"/>
                <w:b/>
                <w:bCs/>
                <w:color w:val="auto"/>
              </w:rPr>
              <w:t>表7-</w:t>
            </w:r>
            <w:r>
              <w:rPr>
                <w:rFonts w:hint="eastAsia" w:ascii="Times New Roman"/>
                <w:b/>
                <w:bCs/>
                <w:color w:val="auto"/>
                <w:lang w:val="en-US" w:eastAsia="zh-CN"/>
              </w:rPr>
              <w:t>5</w:t>
            </w:r>
            <w:r>
              <w:rPr>
                <w:rFonts w:hint="eastAsia" w:ascii="Times New Roman"/>
                <w:b/>
                <w:bCs/>
                <w:color w:val="auto"/>
              </w:rPr>
              <w:t xml:space="preserve">  环保设施竣工验收清单</w:t>
            </w:r>
            <w:r>
              <w:rPr>
                <w:rFonts w:hint="eastAsia" w:ascii="Times New Roman"/>
                <w:b/>
                <w:bCs/>
                <w:color w:val="auto"/>
                <w:lang w:eastAsia="zh-CN"/>
              </w:rPr>
              <w:t>（建议）</w:t>
            </w:r>
          </w:p>
          <w:tbl>
            <w:tblPr>
              <w:tblStyle w:val="18"/>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841"/>
              <w:gridCol w:w="2568"/>
              <w:gridCol w:w="1552"/>
              <w:gridCol w:w="31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0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类别</w:t>
                  </w:r>
                </w:p>
              </w:tc>
              <w:tc>
                <w:tcPr>
                  <w:tcW w:w="46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项目</w:t>
                  </w:r>
                </w:p>
              </w:tc>
              <w:tc>
                <w:tcPr>
                  <w:tcW w:w="228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验收清单</w:t>
                  </w:r>
                </w:p>
              </w:tc>
              <w:tc>
                <w:tcPr>
                  <w:tcW w:w="174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验收标准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p>
              </w:tc>
              <w:tc>
                <w:tcPr>
                  <w:tcW w:w="46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p>
              </w:tc>
              <w:tc>
                <w:tcPr>
                  <w:tcW w:w="1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zh-CN" w:eastAsia="zh-CN" w:bidi="ar-SA"/>
                    </w:rPr>
                  </w:pPr>
                  <w:r>
                    <w:rPr>
                      <w:rFonts w:hint="eastAsia" w:asciiTheme="minorEastAsia" w:hAnsiTheme="minorEastAsia" w:eastAsiaTheme="minorEastAsia" w:cstheme="minorEastAsia"/>
                      <w:bCs/>
                      <w:kern w:val="24"/>
                      <w:sz w:val="21"/>
                      <w:szCs w:val="21"/>
                      <w:lang w:val="en-US" w:eastAsia="zh-CN" w:bidi="ar-SA"/>
                    </w:rPr>
                    <w:t>污染防治设施名称</w:t>
                  </w:r>
                </w:p>
              </w:tc>
              <w:tc>
                <w:tcPr>
                  <w:tcW w:w="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zh-CN" w:eastAsia="zh-CN" w:bidi="ar-SA"/>
                    </w:rPr>
                  </w:pPr>
                  <w:r>
                    <w:rPr>
                      <w:rFonts w:hint="eastAsia" w:asciiTheme="minorEastAsia" w:hAnsiTheme="minorEastAsia" w:eastAsiaTheme="minorEastAsia" w:cstheme="minorEastAsia"/>
                      <w:bCs/>
                      <w:kern w:val="24"/>
                      <w:sz w:val="21"/>
                      <w:szCs w:val="21"/>
                      <w:lang w:val="en-US" w:eastAsia="zh-CN" w:bidi="ar-SA"/>
                    </w:rPr>
                    <w:t>位置</w:t>
                  </w:r>
                </w:p>
              </w:tc>
              <w:tc>
                <w:tcPr>
                  <w:tcW w:w="174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噪声</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架空线路</w:t>
                  </w:r>
                </w:p>
              </w:tc>
              <w:tc>
                <w:tcPr>
                  <w:tcW w:w="1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选用合格导线、满足导线对地距离</w:t>
                  </w:r>
                </w:p>
              </w:tc>
              <w:tc>
                <w:tcPr>
                  <w:tcW w:w="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架空线路边导线外30m 范围</w:t>
                  </w:r>
                </w:p>
              </w:tc>
              <w:tc>
                <w:tcPr>
                  <w:tcW w:w="1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符合《声环境质量标准》（GB30962008）中1类标准限值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电场强度和磁感应强度</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架空线路</w:t>
                  </w:r>
                </w:p>
              </w:tc>
              <w:tc>
                <w:tcPr>
                  <w:tcW w:w="1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选用合格导线及设 备、满足导线对地距离，加强运行管理， 加强维护，保证电磁影响符合国家要求</w:t>
                  </w:r>
                </w:p>
              </w:tc>
              <w:tc>
                <w:tcPr>
                  <w:tcW w:w="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架空线路边导线外30m 范围</w:t>
                  </w:r>
                </w:p>
              </w:tc>
              <w:tc>
                <w:tcPr>
                  <w:tcW w:w="1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符合《电磁环境控制限值》</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（GB8702-2014）中规定的标准限值，即电场强度：（居民区）≤4kV/m，（非居民区）</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≤10kV/m，磁感应强度：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≤100μT。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生态恢复</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临时占地</w:t>
                  </w:r>
                </w:p>
              </w:tc>
              <w:tc>
                <w:tcPr>
                  <w:tcW w:w="14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植被恢复</w:t>
                  </w:r>
                </w:p>
              </w:tc>
              <w:tc>
                <w:tcPr>
                  <w:tcW w:w="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塔基、牵张场等临时占地25800m</w:t>
                  </w:r>
                  <w:r>
                    <w:rPr>
                      <w:rFonts w:hint="eastAsia" w:asciiTheme="minorEastAsia" w:hAnsiTheme="minorEastAsia" w:eastAsiaTheme="minorEastAsia" w:cstheme="minorEastAsia"/>
                      <w:bCs/>
                      <w:kern w:val="24"/>
                      <w:sz w:val="21"/>
                      <w:szCs w:val="21"/>
                      <w:vertAlign w:val="superscript"/>
                      <w:lang w:val="en-US" w:eastAsia="zh-CN" w:bidi="ar-SA"/>
                    </w:rPr>
                    <w:t>2</w:t>
                  </w:r>
                </w:p>
              </w:tc>
              <w:tc>
                <w:tcPr>
                  <w:tcW w:w="1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sz w:val="21"/>
                    </w:rPr>
                    <w:t>所有临时用地恢复原有土地功能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gridSpan w:val="2"/>
                  <w:tcBorders>
                    <w:tl2br w:val="nil"/>
                    <w:tr2bl w:val="nil"/>
                  </w:tcBorders>
                  <w:vAlign w:val="top"/>
                </w:tcPr>
                <w:p>
                  <w:pPr>
                    <w:pStyle w:val="27"/>
                    <w:ind w:left="509" w:leftChars="0"/>
                    <w:jc w:val="left"/>
                    <w:rPr>
                      <w:rFonts w:hint="eastAsia" w:asciiTheme="minorEastAsia" w:hAnsiTheme="minorEastAsia" w:eastAsiaTheme="minorEastAsia" w:cstheme="minorEastAsia"/>
                      <w:bCs/>
                      <w:kern w:val="24"/>
                      <w:sz w:val="21"/>
                      <w:szCs w:val="21"/>
                      <w:lang w:val="zh-CN" w:eastAsia="zh-CN" w:bidi="ar-SA"/>
                    </w:rPr>
                  </w:pPr>
                  <w:r>
                    <w:rPr>
                      <w:rFonts w:hint="eastAsia" w:asciiTheme="minorEastAsia" w:hAnsiTheme="minorEastAsia" w:eastAsiaTheme="minorEastAsia" w:cstheme="minorEastAsia"/>
                      <w:bCs/>
                      <w:kern w:val="24"/>
                      <w:sz w:val="21"/>
                      <w:szCs w:val="21"/>
                      <w:lang w:val="en-US" w:eastAsia="zh-CN" w:bidi="ar-SA"/>
                    </w:rPr>
                    <w:t>环境管理</w:t>
                  </w:r>
                </w:p>
              </w:tc>
              <w:tc>
                <w:tcPr>
                  <w:tcW w:w="4030" w:type="pct"/>
                  <w:gridSpan w:val="3"/>
                  <w:tcBorders>
                    <w:tl2br w:val="nil"/>
                    <w:tr2bl w:val="nil"/>
                  </w:tcBorders>
                  <w:vAlign w:val="top"/>
                </w:tcPr>
                <w:p>
                  <w:pPr>
                    <w:pStyle w:val="27"/>
                    <w:numPr>
                      <w:ilvl w:val="0"/>
                      <w:numId w:val="0"/>
                    </w:numPr>
                    <w:tabs>
                      <w:tab w:val="left" w:pos="644"/>
                    </w:tabs>
                    <w:spacing w:before="73" w:after="0" w:line="240" w:lineRule="auto"/>
                    <w:ind w:right="0" w:rightChars="0"/>
                    <w:jc w:val="left"/>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（1）设环保管理人员，定期环境监测；</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Cs/>
                      <w:kern w:val="24"/>
                      <w:sz w:val="21"/>
                      <w:szCs w:val="21"/>
                      <w:lang w:val="en-US" w:eastAsia="zh-CN" w:bidi="ar-SA"/>
                    </w:rPr>
                  </w:pPr>
                  <w:r>
                    <w:rPr>
                      <w:rFonts w:hint="eastAsia" w:asciiTheme="minorEastAsia" w:hAnsiTheme="minorEastAsia" w:eastAsiaTheme="minorEastAsia" w:cstheme="minorEastAsia"/>
                      <w:bCs/>
                      <w:kern w:val="24"/>
                      <w:sz w:val="21"/>
                      <w:szCs w:val="21"/>
                      <w:lang w:val="en-US" w:eastAsia="zh-CN" w:bidi="ar-SA"/>
                    </w:rPr>
                    <w:t>（2）建立环保设施档案和环境管理规章制度。</w:t>
                  </w:r>
                </w:p>
              </w:tc>
            </w:tr>
          </w:tbl>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kern w:val="24"/>
                <w:szCs w:val="24"/>
                <w:lang w:val="en-US" w:eastAsia="zh-CN"/>
              </w:rPr>
            </w:pPr>
            <w:r>
              <w:rPr>
                <w:rFonts w:hint="eastAsia"/>
                <w:b/>
                <w:bCs/>
                <w:kern w:val="24"/>
                <w:szCs w:val="24"/>
                <w:lang w:val="en-US" w:eastAsia="zh-CN"/>
              </w:rPr>
              <w:t>7.5污染物排放清单</w:t>
            </w:r>
          </w:p>
          <w:p>
            <w:pPr>
              <w:keepNext w:val="0"/>
              <w:keepLines w:val="0"/>
              <w:pageBreakBefore w:val="0"/>
              <w:widowControl w:val="0"/>
              <w:kinsoku/>
              <w:wordWrap/>
              <w:topLinePunct w:val="0"/>
              <w:bidi w:val="0"/>
              <w:ind w:firstLine="480" w:firstLineChars="200"/>
              <w:jc w:val="both"/>
              <w:rPr>
                <w:bCs w:val="0"/>
                <w:color w:val="auto"/>
                <w:kern w:val="24"/>
              </w:rPr>
            </w:pPr>
            <w:r>
              <w:rPr>
                <w:bCs w:val="0"/>
                <w:color w:val="auto"/>
                <w:kern w:val="24"/>
              </w:rPr>
              <w:t>污染物排放清单见表</w:t>
            </w:r>
            <w:r>
              <w:rPr>
                <w:rFonts w:hint="eastAsia"/>
                <w:bCs w:val="0"/>
                <w:color w:val="auto"/>
                <w:kern w:val="24"/>
                <w:lang w:val="en-US" w:eastAsia="zh-CN"/>
              </w:rPr>
              <w:t>7-6</w:t>
            </w:r>
            <w:r>
              <w:rPr>
                <w:bCs w:val="0"/>
                <w:color w:val="auto"/>
                <w:kern w:val="24"/>
              </w:rPr>
              <w:t>。</w:t>
            </w:r>
          </w:p>
          <w:p>
            <w:pPr>
              <w:keepNext w:val="0"/>
              <w:keepLines w:val="0"/>
              <w:pageBreakBefore w:val="0"/>
              <w:widowControl w:val="0"/>
              <w:kinsoku/>
              <w:wordWrap/>
              <w:topLinePunct w:val="0"/>
              <w:bidi w:val="0"/>
              <w:spacing w:line="240" w:lineRule="auto"/>
              <w:jc w:val="center"/>
              <w:rPr>
                <w:b/>
                <w:color w:val="auto"/>
              </w:rPr>
            </w:pPr>
            <w:r>
              <w:rPr>
                <w:b/>
                <w:color w:val="auto"/>
                <w:sz w:val="21"/>
                <w:szCs w:val="21"/>
              </w:rPr>
              <w:t>表</w:t>
            </w:r>
            <w:r>
              <w:rPr>
                <w:rFonts w:hint="eastAsia"/>
                <w:b/>
                <w:color w:val="auto"/>
                <w:sz w:val="21"/>
                <w:szCs w:val="21"/>
                <w:lang w:val="en-US" w:eastAsia="zh-CN"/>
              </w:rPr>
              <w:t>7-6</w:t>
            </w:r>
            <w:r>
              <w:rPr>
                <w:b/>
                <w:color w:val="auto"/>
                <w:sz w:val="21"/>
                <w:szCs w:val="21"/>
              </w:rPr>
              <w:t xml:space="preserve">    运行期污染物排放清单</w:t>
            </w:r>
          </w:p>
          <w:tbl>
            <w:tblPr>
              <w:tblStyle w:val="17"/>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56"/>
              <w:gridCol w:w="2522"/>
              <w:gridCol w:w="1413"/>
              <w:gridCol w:w="29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tcBorders>
                    <w:tl2br w:val="nil"/>
                    <w:tr2bl w:val="nil"/>
                  </w:tcBorders>
                  <w:shd w:val="clear" w:color="auto" w:fill="auto"/>
                  <w:noWrap w:val="0"/>
                  <w:vAlign w:val="center"/>
                </w:tcPr>
                <w:p>
                  <w:pPr>
                    <w:keepNext w:val="0"/>
                    <w:keepLines w:val="0"/>
                    <w:pageBreakBefore w:val="0"/>
                    <w:widowControl w:val="0"/>
                    <w:kinsoku/>
                    <w:wordWrap/>
                    <w:topLinePunct w:val="0"/>
                    <w:bidi w:val="0"/>
                    <w:adjustRightInd w:val="0"/>
                    <w:snapToGrid w:val="0"/>
                    <w:spacing w:line="240" w:lineRule="auto"/>
                    <w:jc w:val="center"/>
                    <w:rPr>
                      <w:color w:val="auto"/>
                      <w:sz w:val="21"/>
                      <w:szCs w:val="21"/>
                    </w:rPr>
                  </w:pPr>
                  <w:r>
                    <w:rPr>
                      <w:color w:val="auto"/>
                      <w:sz w:val="21"/>
                      <w:szCs w:val="21"/>
                    </w:rPr>
                    <w:t>类别</w:t>
                  </w:r>
                </w:p>
              </w:tc>
              <w:tc>
                <w:tcPr>
                  <w:tcW w:w="806" w:type="pct"/>
                  <w:tcBorders>
                    <w:tl2br w:val="nil"/>
                    <w:tr2bl w:val="nil"/>
                  </w:tcBorders>
                  <w:shd w:val="clear" w:color="auto" w:fill="auto"/>
                  <w:noWrap w:val="0"/>
                  <w:vAlign w:val="center"/>
                </w:tcPr>
                <w:p>
                  <w:pPr>
                    <w:keepNext w:val="0"/>
                    <w:keepLines w:val="0"/>
                    <w:pageBreakBefore w:val="0"/>
                    <w:widowControl w:val="0"/>
                    <w:kinsoku/>
                    <w:wordWrap/>
                    <w:topLinePunct w:val="0"/>
                    <w:bidi w:val="0"/>
                    <w:adjustRightInd w:val="0"/>
                    <w:snapToGrid w:val="0"/>
                    <w:spacing w:line="240" w:lineRule="auto"/>
                    <w:jc w:val="center"/>
                    <w:rPr>
                      <w:color w:val="auto"/>
                      <w:sz w:val="21"/>
                      <w:szCs w:val="21"/>
                    </w:rPr>
                  </w:pPr>
                  <w:r>
                    <w:rPr>
                      <w:color w:val="auto"/>
                      <w:sz w:val="21"/>
                      <w:szCs w:val="21"/>
                    </w:rPr>
                    <w:t>污染源</w:t>
                  </w:r>
                </w:p>
              </w:tc>
              <w:tc>
                <w:tcPr>
                  <w:tcW w:w="1396" w:type="pct"/>
                  <w:tcBorders>
                    <w:tl2br w:val="nil"/>
                    <w:tr2bl w:val="nil"/>
                  </w:tcBorders>
                  <w:shd w:val="clear" w:color="auto" w:fill="auto"/>
                  <w:noWrap w:val="0"/>
                  <w:vAlign w:val="center"/>
                </w:tcPr>
                <w:p>
                  <w:pPr>
                    <w:pStyle w:val="6"/>
                    <w:bidi w:val="0"/>
                    <w:rPr>
                      <w:color w:val="auto"/>
                    </w:rPr>
                  </w:pPr>
                  <w:r>
                    <w:rPr>
                      <w:rFonts w:ascii="Times New Roman" w:hAnsi="Times New Roman" w:eastAsia="宋体" w:cs="Times New Roman"/>
                      <w:b w:val="0"/>
                      <w:bCs/>
                      <w:color w:val="auto"/>
                      <w:kern w:val="2"/>
                      <w:sz w:val="21"/>
                      <w:szCs w:val="21"/>
                      <w:lang w:val="en-US" w:eastAsia="zh-CN" w:bidi="ar-SA"/>
                    </w:rPr>
                    <w:t>防治措施</w:t>
                  </w:r>
                </w:p>
              </w:tc>
              <w:tc>
                <w:tcPr>
                  <w:tcW w:w="782" w:type="pct"/>
                  <w:tcBorders>
                    <w:tl2br w:val="nil"/>
                    <w:tr2bl w:val="nil"/>
                  </w:tcBorders>
                  <w:shd w:val="clear" w:color="auto" w:fill="auto"/>
                  <w:noWrap w:val="0"/>
                  <w:vAlign w:val="center"/>
                </w:tcPr>
                <w:p>
                  <w:pPr>
                    <w:keepNext w:val="0"/>
                    <w:keepLines w:val="0"/>
                    <w:pageBreakBefore w:val="0"/>
                    <w:widowControl w:val="0"/>
                    <w:kinsoku/>
                    <w:wordWrap/>
                    <w:topLinePunct w:val="0"/>
                    <w:bidi w:val="0"/>
                    <w:adjustRightInd w:val="0"/>
                    <w:snapToGrid w:val="0"/>
                    <w:spacing w:line="240" w:lineRule="auto"/>
                    <w:jc w:val="center"/>
                    <w:rPr>
                      <w:color w:val="auto"/>
                      <w:sz w:val="21"/>
                      <w:szCs w:val="21"/>
                    </w:rPr>
                  </w:pPr>
                  <w:r>
                    <w:rPr>
                      <w:color w:val="auto"/>
                      <w:sz w:val="21"/>
                      <w:szCs w:val="21"/>
                    </w:rPr>
                    <w:t>治理要求</w:t>
                  </w:r>
                </w:p>
              </w:tc>
              <w:tc>
                <w:tcPr>
                  <w:tcW w:w="1629" w:type="pct"/>
                  <w:tcBorders>
                    <w:tl2br w:val="nil"/>
                    <w:tr2bl w:val="nil"/>
                  </w:tcBorders>
                  <w:shd w:val="clear" w:color="auto" w:fill="auto"/>
                  <w:noWrap w:val="0"/>
                  <w:vAlign w:val="center"/>
                </w:tcPr>
                <w:p>
                  <w:pPr>
                    <w:keepNext w:val="0"/>
                    <w:keepLines w:val="0"/>
                    <w:pageBreakBefore w:val="0"/>
                    <w:widowControl w:val="0"/>
                    <w:kinsoku/>
                    <w:wordWrap/>
                    <w:topLinePunct w:val="0"/>
                    <w:bidi w:val="0"/>
                    <w:adjustRightInd w:val="0"/>
                    <w:snapToGrid w:val="0"/>
                    <w:spacing w:line="240" w:lineRule="auto"/>
                    <w:jc w:val="center"/>
                    <w:rPr>
                      <w:color w:val="auto"/>
                      <w:sz w:val="21"/>
                      <w:szCs w:val="21"/>
                    </w:rPr>
                  </w:pPr>
                  <w:r>
                    <w:rPr>
                      <w:color w:val="auto"/>
                      <w:sz w:val="21"/>
                      <w:szCs w:val="21"/>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tcBorders>
                    <w:tl2br w:val="nil"/>
                    <w:tr2bl w:val="nil"/>
                  </w:tcBorders>
                  <w:shd w:val="clear" w:color="auto" w:fill="auto"/>
                  <w:noWrap w:val="0"/>
                  <w:vAlign w:val="center"/>
                </w:tcPr>
                <w:p>
                  <w:pPr>
                    <w:keepNext w:val="0"/>
                    <w:keepLines w:val="0"/>
                    <w:pageBreakBefore w:val="0"/>
                    <w:widowControl w:val="0"/>
                    <w:kinsoku/>
                    <w:wordWrap/>
                    <w:topLinePunct w:val="0"/>
                    <w:bidi w:val="0"/>
                    <w:spacing w:line="240" w:lineRule="auto"/>
                    <w:jc w:val="center"/>
                    <w:rPr>
                      <w:rFonts w:hint="eastAsia" w:eastAsia="宋体"/>
                      <w:color w:val="auto"/>
                      <w:sz w:val="21"/>
                      <w:szCs w:val="21"/>
                      <w:lang w:eastAsia="zh-CN"/>
                    </w:rPr>
                  </w:pPr>
                  <w:r>
                    <w:rPr>
                      <w:rFonts w:hint="eastAsia"/>
                      <w:color w:val="auto"/>
                      <w:sz w:val="21"/>
                      <w:szCs w:val="21"/>
                      <w:lang w:eastAsia="zh-CN"/>
                    </w:rPr>
                    <w:t>噪声</w:t>
                  </w:r>
                </w:p>
              </w:tc>
              <w:tc>
                <w:tcPr>
                  <w:tcW w:w="806" w:type="pct"/>
                  <w:tcBorders>
                    <w:tl2br w:val="nil"/>
                    <w:tr2bl w:val="nil"/>
                  </w:tcBorders>
                  <w:shd w:val="clear" w:color="auto" w:fill="auto"/>
                  <w:noWrap w:val="0"/>
                  <w:vAlign w:val="center"/>
                </w:tcPr>
                <w:p>
                  <w:pPr>
                    <w:keepNext w:val="0"/>
                    <w:keepLines w:val="0"/>
                    <w:pageBreakBefore w:val="0"/>
                    <w:widowControl w:val="0"/>
                    <w:kinsoku/>
                    <w:wordWrap/>
                    <w:topLinePunct w:val="0"/>
                    <w:bidi w:val="0"/>
                    <w:spacing w:line="240" w:lineRule="auto"/>
                    <w:jc w:val="center"/>
                    <w:rPr>
                      <w:color w:val="auto"/>
                      <w:sz w:val="21"/>
                      <w:szCs w:val="21"/>
                    </w:rPr>
                  </w:pPr>
                  <w:r>
                    <w:rPr>
                      <w:color w:val="auto"/>
                      <w:sz w:val="21"/>
                      <w:szCs w:val="21"/>
                    </w:rPr>
                    <w:t>输电线路等</w:t>
                  </w:r>
                </w:p>
              </w:tc>
              <w:tc>
                <w:tcPr>
                  <w:tcW w:w="1396" w:type="pct"/>
                  <w:tcBorders>
                    <w:tl2br w:val="nil"/>
                    <w:tr2bl w:val="nil"/>
                  </w:tcBorders>
                  <w:shd w:val="clear" w:color="auto" w:fill="auto"/>
                  <w:noWrap w:val="0"/>
                  <w:vAlign w:val="center"/>
                </w:tcPr>
                <w:p>
                  <w:pPr>
                    <w:keepNext w:val="0"/>
                    <w:keepLines w:val="0"/>
                    <w:pageBreakBefore w:val="0"/>
                    <w:widowControl w:val="0"/>
                    <w:kinsoku/>
                    <w:wordWrap/>
                    <w:topLinePunct w:val="0"/>
                    <w:bidi w:val="0"/>
                    <w:spacing w:line="240" w:lineRule="auto"/>
                    <w:jc w:val="center"/>
                    <w:rPr>
                      <w:color w:val="auto"/>
                      <w:sz w:val="21"/>
                      <w:szCs w:val="21"/>
                    </w:rPr>
                  </w:pPr>
                  <w:r>
                    <w:rPr>
                      <w:color w:val="auto"/>
                      <w:sz w:val="21"/>
                      <w:szCs w:val="21"/>
                    </w:rPr>
                    <w:t>加大杆塔的线间距离、增加导线离地高度等</w:t>
                  </w:r>
                </w:p>
              </w:tc>
              <w:tc>
                <w:tcPr>
                  <w:tcW w:w="782" w:type="pct"/>
                  <w:tcBorders>
                    <w:tl2br w:val="nil"/>
                    <w:tr2bl w:val="nil"/>
                  </w:tcBorders>
                  <w:shd w:val="clear" w:color="auto" w:fill="auto"/>
                  <w:noWrap w:val="0"/>
                  <w:vAlign w:val="center"/>
                </w:tcPr>
                <w:p>
                  <w:pPr>
                    <w:keepNext w:val="0"/>
                    <w:keepLines w:val="0"/>
                    <w:pageBreakBefore w:val="0"/>
                    <w:widowControl w:val="0"/>
                    <w:kinsoku/>
                    <w:wordWrap/>
                    <w:topLinePunct w:val="0"/>
                    <w:bidi w:val="0"/>
                    <w:spacing w:line="240" w:lineRule="auto"/>
                    <w:jc w:val="center"/>
                    <w:rPr>
                      <w:color w:val="auto"/>
                      <w:sz w:val="21"/>
                      <w:szCs w:val="21"/>
                    </w:rPr>
                  </w:pPr>
                  <w:r>
                    <w:rPr>
                      <w:color w:val="auto"/>
                      <w:sz w:val="21"/>
                      <w:szCs w:val="21"/>
                    </w:rPr>
                    <w:t>达标排放</w:t>
                  </w:r>
                </w:p>
              </w:tc>
              <w:tc>
                <w:tcPr>
                  <w:tcW w:w="1629" w:type="pct"/>
                  <w:tcBorders>
                    <w:tl2br w:val="nil"/>
                    <w:tr2bl w:val="nil"/>
                  </w:tcBorders>
                  <w:shd w:val="clear" w:color="auto" w:fill="auto"/>
                  <w:noWrap w:val="0"/>
                  <w:vAlign w:val="center"/>
                </w:tcPr>
                <w:p>
                  <w:pPr>
                    <w:keepNext w:val="0"/>
                    <w:keepLines w:val="0"/>
                    <w:pageBreakBefore w:val="0"/>
                    <w:widowControl w:val="0"/>
                    <w:kinsoku/>
                    <w:wordWrap/>
                    <w:topLinePunct w:val="0"/>
                    <w:bidi w:val="0"/>
                    <w:spacing w:line="240" w:lineRule="auto"/>
                    <w:jc w:val="center"/>
                    <w:rPr>
                      <w:color w:val="auto"/>
                      <w:sz w:val="21"/>
                      <w:szCs w:val="21"/>
                    </w:rPr>
                  </w:pPr>
                  <w:r>
                    <w:rPr>
                      <w:color w:val="auto"/>
                      <w:sz w:val="21"/>
                      <w:szCs w:val="21"/>
                    </w:rPr>
                    <w:t>《声环境质量标准》（GB3096-2008）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tcBorders>
                    <w:tl2br w:val="nil"/>
                    <w:tr2bl w:val="nil"/>
                  </w:tcBorders>
                  <w:shd w:val="clear" w:color="auto" w:fill="auto"/>
                  <w:noWrap w:val="0"/>
                  <w:vAlign w:val="center"/>
                </w:tcPr>
                <w:p>
                  <w:pPr>
                    <w:keepNext w:val="0"/>
                    <w:keepLines w:val="0"/>
                    <w:pageBreakBefore w:val="0"/>
                    <w:widowControl w:val="0"/>
                    <w:kinsoku/>
                    <w:wordWrap/>
                    <w:topLinePunct w:val="0"/>
                    <w:bidi w:val="0"/>
                    <w:adjustRightInd w:val="0"/>
                    <w:snapToGrid w:val="0"/>
                    <w:spacing w:line="240" w:lineRule="auto"/>
                    <w:jc w:val="center"/>
                    <w:rPr>
                      <w:b/>
                      <w:color w:val="auto"/>
                      <w:sz w:val="21"/>
                      <w:szCs w:val="21"/>
                    </w:rPr>
                  </w:pPr>
                  <w:r>
                    <w:rPr>
                      <w:color w:val="auto"/>
                      <w:sz w:val="21"/>
                      <w:szCs w:val="21"/>
                    </w:rPr>
                    <w:t>电磁环境</w:t>
                  </w:r>
                </w:p>
              </w:tc>
              <w:tc>
                <w:tcPr>
                  <w:tcW w:w="806" w:type="pct"/>
                  <w:tcBorders>
                    <w:tl2br w:val="nil"/>
                    <w:tr2bl w:val="nil"/>
                  </w:tcBorders>
                  <w:shd w:val="clear" w:color="auto" w:fill="auto"/>
                  <w:noWrap w:val="0"/>
                  <w:vAlign w:val="center"/>
                </w:tcPr>
                <w:p>
                  <w:pPr>
                    <w:keepNext w:val="0"/>
                    <w:keepLines w:val="0"/>
                    <w:pageBreakBefore w:val="0"/>
                    <w:widowControl w:val="0"/>
                    <w:kinsoku/>
                    <w:wordWrap/>
                    <w:topLinePunct w:val="0"/>
                    <w:bidi w:val="0"/>
                    <w:spacing w:line="240" w:lineRule="auto"/>
                    <w:jc w:val="center"/>
                    <w:rPr>
                      <w:color w:val="auto"/>
                      <w:sz w:val="21"/>
                      <w:szCs w:val="21"/>
                    </w:rPr>
                  </w:pPr>
                  <w:r>
                    <w:rPr>
                      <w:color w:val="auto"/>
                      <w:sz w:val="21"/>
                      <w:szCs w:val="21"/>
                    </w:rPr>
                    <w:t>输电线路沿线</w:t>
                  </w:r>
                </w:p>
              </w:tc>
              <w:tc>
                <w:tcPr>
                  <w:tcW w:w="1396" w:type="pct"/>
                  <w:tcBorders>
                    <w:tl2br w:val="nil"/>
                    <w:tr2bl w:val="nil"/>
                  </w:tcBorders>
                  <w:shd w:val="clear" w:color="auto" w:fill="auto"/>
                  <w:noWrap w:val="0"/>
                  <w:vAlign w:val="center"/>
                </w:tcPr>
                <w:p>
                  <w:pPr>
                    <w:pStyle w:val="8"/>
                    <w:keepNext w:val="0"/>
                    <w:keepLines w:val="0"/>
                    <w:pageBreakBefore w:val="0"/>
                    <w:widowControl w:val="0"/>
                    <w:kinsoku/>
                    <w:wordWrap/>
                    <w:topLinePunct w:val="0"/>
                    <w:bidi w:val="0"/>
                    <w:adjustRightInd/>
                    <w:ind w:firstLine="0"/>
                    <w:jc w:val="center"/>
                    <w:rPr>
                      <w:color w:val="auto"/>
                      <w:sz w:val="21"/>
                      <w:szCs w:val="21"/>
                    </w:rPr>
                  </w:pPr>
                  <w:r>
                    <w:rPr>
                      <w:rFonts w:ascii="Times New Roman" w:hAnsi="Times New Roman" w:eastAsia="宋体" w:cs="Times New Roman"/>
                      <w:bCs/>
                      <w:color w:val="auto"/>
                      <w:kern w:val="2"/>
                      <w:sz w:val="21"/>
                      <w:szCs w:val="21"/>
                      <w:lang w:val="en-US" w:eastAsia="zh-CN" w:bidi="ar-SA"/>
                    </w:rPr>
                    <w:t>设计优化路径，远离居民点，提升架空线路架设高度</w:t>
                  </w:r>
                </w:p>
              </w:tc>
              <w:tc>
                <w:tcPr>
                  <w:tcW w:w="782" w:type="pct"/>
                  <w:tcBorders>
                    <w:tl2br w:val="nil"/>
                    <w:tr2bl w:val="nil"/>
                  </w:tcBorders>
                  <w:shd w:val="clear" w:color="auto" w:fill="auto"/>
                  <w:noWrap w:val="0"/>
                  <w:vAlign w:val="center"/>
                </w:tcPr>
                <w:p>
                  <w:pPr>
                    <w:keepNext w:val="0"/>
                    <w:keepLines w:val="0"/>
                    <w:pageBreakBefore w:val="0"/>
                    <w:widowControl w:val="0"/>
                    <w:kinsoku/>
                    <w:wordWrap/>
                    <w:topLinePunct w:val="0"/>
                    <w:bidi w:val="0"/>
                    <w:spacing w:line="240" w:lineRule="auto"/>
                    <w:jc w:val="center"/>
                    <w:rPr>
                      <w:color w:val="auto"/>
                      <w:sz w:val="21"/>
                      <w:szCs w:val="21"/>
                    </w:rPr>
                  </w:pPr>
                  <w:r>
                    <w:rPr>
                      <w:color w:val="auto"/>
                      <w:sz w:val="21"/>
                      <w:szCs w:val="21"/>
                    </w:rPr>
                    <w:t>达标排放</w:t>
                  </w:r>
                </w:p>
              </w:tc>
              <w:tc>
                <w:tcPr>
                  <w:tcW w:w="1629" w:type="pct"/>
                  <w:tcBorders>
                    <w:tl2br w:val="nil"/>
                    <w:tr2bl w:val="nil"/>
                  </w:tcBorders>
                  <w:shd w:val="clear" w:color="auto" w:fill="auto"/>
                  <w:noWrap w:val="0"/>
                  <w:vAlign w:val="center"/>
                </w:tcPr>
                <w:p>
                  <w:pPr>
                    <w:keepNext w:val="0"/>
                    <w:keepLines w:val="0"/>
                    <w:pageBreakBefore w:val="0"/>
                    <w:widowControl w:val="0"/>
                    <w:kinsoku/>
                    <w:wordWrap/>
                    <w:topLinePunct w:val="0"/>
                    <w:bidi w:val="0"/>
                    <w:spacing w:line="240" w:lineRule="auto"/>
                    <w:jc w:val="center"/>
                    <w:rPr>
                      <w:b/>
                      <w:color w:val="auto"/>
                      <w:sz w:val="21"/>
                      <w:szCs w:val="21"/>
                    </w:rPr>
                  </w:pPr>
                  <w:r>
                    <w:rPr>
                      <w:color w:val="auto"/>
                      <w:kern w:val="24"/>
                      <w:sz w:val="21"/>
                      <w:szCs w:val="21"/>
                    </w:rPr>
                    <w:t>《电磁环境控制限值》（GB8702-2014）</w:t>
                  </w:r>
                </w:p>
              </w:tc>
            </w:tr>
          </w:tbl>
          <w:p>
            <w:pPr>
              <w:pStyle w:val="8"/>
              <w:keepNext w:val="0"/>
              <w:keepLines w:val="0"/>
              <w:pageBreakBefore w:val="0"/>
              <w:widowControl w:val="0"/>
              <w:tabs>
                <w:tab w:val="left" w:pos="6180"/>
              </w:tabs>
              <w:kinsoku/>
              <w:wordWrap/>
              <w:topLinePunct w:val="0"/>
              <w:bidi w:val="0"/>
              <w:adjustRightInd/>
              <w:spacing w:line="360" w:lineRule="auto"/>
              <w:ind w:left="0" w:leftChars="0" w:firstLine="0" w:firstLineChars="0"/>
              <w:rPr>
                <w:rFonts w:hint="eastAsia"/>
                <w:b/>
                <w:bCs/>
                <w:color w:val="auto"/>
                <w:kern w:val="24"/>
                <w:szCs w:val="24"/>
                <w:lang w:val="en-US" w:eastAsia="zh-CN"/>
              </w:rPr>
            </w:pPr>
            <w:r>
              <w:rPr>
                <w:rFonts w:hint="eastAsia"/>
                <w:b/>
                <w:bCs/>
                <w:color w:val="auto"/>
                <w:kern w:val="24"/>
                <w:szCs w:val="24"/>
                <w:lang w:val="en-US" w:eastAsia="zh-CN"/>
              </w:rPr>
              <w:t>7.6环保投资</w:t>
            </w:r>
          </w:p>
          <w:p>
            <w:pPr>
              <w:pStyle w:val="23"/>
              <w:widowControl/>
              <w:spacing w:line="360" w:lineRule="auto"/>
              <w:ind w:firstLine="480"/>
              <w:jc w:val="left"/>
              <w:rPr>
                <w:rFonts w:hint="eastAsia" w:ascii="Times New Roman"/>
                <w:color w:val="auto"/>
                <w:sz w:val="24"/>
                <w:szCs w:val="22"/>
              </w:rPr>
            </w:pPr>
            <w:r>
              <w:rPr>
                <w:rFonts w:ascii="Times New Roman"/>
                <w:color w:val="auto"/>
                <w:sz w:val="24"/>
                <w:szCs w:val="22"/>
              </w:rPr>
              <w:t>本项目总投资</w:t>
            </w:r>
            <w:r>
              <w:rPr>
                <w:rFonts w:hint="eastAsia" w:ascii="Times New Roman"/>
                <w:color w:val="auto"/>
                <w:sz w:val="24"/>
                <w:szCs w:val="22"/>
                <w:lang w:val="en-US" w:eastAsia="zh-CN"/>
              </w:rPr>
              <w:t>3460</w:t>
            </w:r>
            <w:r>
              <w:rPr>
                <w:rFonts w:ascii="Times New Roman"/>
                <w:color w:val="auto"/>
                <w:sz w:val="24"/>
                <w:szCs w:val="22"/>
              </w:rPr>
              <w:t>万元</w:t>
            </w:r>
            <w:r>
              <w:rPr>
                <w:rFonts w:hint="eastAsia" w:ascii="Times New Roman"/>
                <w:color w:val="auto"/>
                <w:sz w:val="24"/>
                <w:szCs w:val="22"/>
                <w:lang w:val="en-US" w:eastAsia="zh-CN"/>
              </w:rPr>
              <w:t>，</w:t>
            </w:r>
            <w:r>
              <w:rPr>
                <w:rFonts w:ascii="Times New Roman"/>
                <w:color w:val="auto"/>
                <w:sz w:val="24"/>
                <w:szCs w:val="22"/>
              </w:rPr>
              <w:t>项目环保</w:t>
            </w:r>
            <w:r>
              <w:rPr>
                <w:rFonts w:hint="eastAsia" w:ascii="Times New Roman"/>
                <w:color w:val="auto"/>
                <w:sz w:val="24"/>
                <w:szCs w:val="22"/>
              </w:rPr>
              <w:t>投资</w:t>
            </w:r>
            <w:r>
              <w:rPr>
                <w:rFonts w:hint="eastAsia" w:ascii="Times New Roman"/>
                <w:color w:val="auto"/>
                <w:sz w:val="24"/>
                <w:szCs w:val="22"/>
                <w:lang w:val="en-US" w:eastAsia="zh-CN"/>
              </w:rPr>
              <w:t>90.5</w:t>
            </w:r>
            <w:r>
              <w:rPr>
                <w:rFonts w:ascii="Times New Roman"/>
                <w:color w:val="auto"/>
                <w:sz w:val="24"/>
                <w:szCs w:val="22"/>
              </w:rPr>
              <w:t>万元，占总投资的</w:t>
            </w:r>
            <w:r>
              <w:rPr>
                <w:rFonts w:hint="eastAsia" w:ascii="Times New Roman"/>
                <w:color w:val="auto"/>
                <w:sz w:val="24"/>
                <w:szCs w:val="22"/>
                <w:lang w:val="en-US" w:eastAsia="zh-CN"/>
              </w:rPr>
              <w:t>2.6</w:t>
            </w:r>
            <w:r>
              <w:rPr>
                <w:rFonts w:ascii="Times New Roman"/>
                <w:color w:val="auto"/>
                <w:sz w:val="24"/>
                <w:szCs w:val="22"/>
              </w:rPr>
              <w:t>%</w:t>
            </w:r>
            <w:r>
              <w:rPr>
                <w:rFonts w:hint="eastAsia" w:ascii="Times New Roman"/>
                <w:color w:val="auto"/>
                <w:sz w:val="24"/>
                <w:szCs w:val="22"/>
              </w:rPr>
              <w:t>。</w:t>
            </w:r>
            <w:r>
              <w:rPr>
                <w:rFonts w:ascii="Times New Roman"/>
                <w:color w:val="auto"/>
                <w:sz w:val="24"/>
                <w:szCs w:val="22"/>
              </w:rPr>
              <w:t>环保投资一览表见表</w:t>
            </w:r>
            <w:r>
              <w:rPr>
                <w:rFonts w:hint="eastAsia" w:ascii="Times New Roman"/>
                <w:color w:val="auto"/>
                <w:sz w:val="24"/>
                <w:szCs w:val="22"/>
              </w:rPr>
              <w:t>7-</w:t>
            </w:r>
            <w:r>
              <w:rPr>
                <w:rFonts w:hint="eastAsia" w:ascii="Times New Roman"/>
                <w:color w:val="auto"/>
                <w:sz w:val="24"/>
                <w:szCs w:val="22"/>
                <w:lang w:val="en-US" w:eastAsia="zh-CN"/>
              </w:rPr>
              <w:t>7</w:t>
            </w:r>
            <w:r>
              <w:rPr>
                <w:rFonts w:ascii="Times New Roman"/>
                <w:color w:val="auto"/>
                <w:sz w:val="24"/>
                <w:szCs w:val="22"/>
              </w:rPr>
              <w:t>（最终环境保护投入情况以工实际核算为主）</w:t>
            </w:r>
            <w:r>
              <w:rPr>
                <w:rFonts w:hint="eastAsia" w:ascii="Times New Roman"/>
                <w:color w:val="auto"/>
                <w:sz w:val="24"/>
                <w:szCs w:val="22"/>
              </w:rPr>
              <w:t>。</w:t>
            </w:r>
          </w:p>
          <w:p>
            <w:pPr>
              <w:pStyle w:val="23"/>
              <w:widowControl/>
              <w:spacing w:line="360" w:lineRule="auto"/>
              <w:ind w:firstLine="0" w:firstLineChars="0"/>
              <w:jc w:val="center"/>
              <w:rPr>
                <w:rFonts w:ascii="Times New Roman"/>
                <w:b/>
                <w:bCs/>
                <w:color w:val="auto"/>
              </w:rPr>
            </w:pPr>
            <w:r>
              <w:rPr>
                <w:rFonts w:hint="eastAsia" w:ascii="Times New Roman"/>
                <w:b/>
                <w:bCs/>
                <w:color w:val="auto"/>
              </w:rPr>
              <w:t>表7-</w:t>
            </w:r>
            <w:r>
              <w:rPr>
                <w:rFonts w:hint="eastAsia" w:ascii="Times New Roman"/>
                <w:b/>
                <w:bCs/>
                <w:color w:val="auto"/>
                <w:lang w:val="en-US" w:eastAsia="zh-CN"/>
              </w:rPr>
              <w:t>7</w:t>
            </w:r>
            <w:r>
              <w:rPr>
                <w:rFonts w:hint="eastAsia" w:ascii="Times New Roman"/>
                <w:b/>
                <w:bCs/>
                <w:color w:val="auto"/>
              </w:rPr>
              <w:t xml:space="preserve">  环保投资估算一览表         单位：万元</w:t>
            </w:r>
          </w:p>
          <w:tbl>
            <w:tblPr>
              <w:tblStyle w:val="18"/>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845"/>
              <w:gridCol w:w="3744"/>
              <w:gridCol w:w="22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时段</w:t>
                  </w:r>
                </w:p>
              </w:tc>
              <w:tc>
                <w:tcPr>
                  <w:tcW w:w="1022"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类别</w:t>
                  </w:r>
                </w:p>
              </w:tc>
              <w:tc>
                <w:tcPr>
                  <w:tcW w:w="2074"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环保设施</w:t>
                  </w:r>
                </w:p>
              </w:tc>
              <w:tc>
                <w:tcPr>
                  <w:tcW w:w="1250"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投资额（万元）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准备阶段</w:t>
                  </w:r>
                </w:p>
              </w:tc>
              <w:tc>
                <w:tcPr>
                  <w:tcW w:w="1022"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环境咨询</w:t>
                  </w:r>
                </w:p>
              </w:tc>
              <w:tc>
                <w:tcPr>
                  <w:tcW w:w="2074"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w:t>
                  </w:r>
                </w:p>
              </w:tc>
              <w:tc>
                <w:tcPr>
                  <w:tcW w:w="1250" w:type="pct"/>
                  <w:tcBorders>
                    <w:tl2br w:val="nil"/>
                    <w:tr2bl w:val="nil"/>
                  </w:tcBorders>
                  <w:vAlign w:val="center"/>
                </w:tcPr>
                <w:p>
                  <w:pPr>
                    <w:pStyle w:val="23"/>
                    <w:widowControl/>
                    <w:ind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restar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施工期</w:t>
                  </w:r>
                </w:p>
              </w:tc>
              <w:tc>
                <w:tcPr>
                  <w:tcW w:w="1022"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废气</w:t>
                  </w:r>
                </w:p>
              </w:tc>
              <w:tc>
                <w:tcPr>
                  <w:tcW w:w="2074"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洒水降尘等</w:t>
                  </w:r>
                </w:p>
              </w:tc>
              <w:tc>
                <w:tcPr>
                  <w:tcW w:w="1250" w:type="pct"/>
                  <w:tcBorders>
                    <w:tl2br w:val="nil"/>
                    <w:tr2bl w:val="nil"/>
                  </w:tcBorders>
                  <w:vAlign w:val="center"/>
                </w:tcPr>
                <w:p>
                  <w:pPr>
                    <w:pStyle w:val="23"/>
                    <w:widowControl/>
                    <w:ind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tcBorders>
                    <w:tl2br w:val="nil"/>
                    <w:tr2bl w:val="nil"/>
                  </w:tcBorders>
                  <w:vAlign w:val="center"/>
                </w:tcPr>
                <w:p>
                  <w:pPr>
                    <w:pStyle w:val="23"/>
                    <w:widowControl/>
                    <w:ind w:firstLine="0" w:firstLineChars="0"/>
                    <w:jc w:val="center"/>
                    <w:rPr>
                      <w:rFonts w:ascii="Times New Roman"/>
                      <w:color w:val="auto"/>
                      <w:sz w:val="21"/>
                      <w:szCs w:val="21"/>
                    </w:rPr>
                  </w:pPr>
                </w:p>
              </w:tc>
              <w:tc>
                <w:tcPr>
                  <w:tcW w:w="1022"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固体废物</w:t>
                  </w:r>
                </w:p>
              </w:tc>
              <w:tc>
                <w:tcPr>
                  <w:tcW w:w="2074"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边角料、包装材料及生活垃圾清理</w:t>
                  </w:r>
                </w:p>
              </w:tc>
              <w:tc>
                <w:tcPr>
                  <w:tcW w:w="1250" w:type="pct"/>
                  <w:tcBorders>
                    <w:tl2br w:val="nil"/>
                    <w:tr2bl w:val="nil"/>
                  </w:tcBorders>
                  <w:vAlign w:val="center"/>
                </w:tcPr>
                <w:p>
                  <w:pPr>
                    <w:pStyle w:val="23"/>
                    <w:widowControl/>
                    <w:ind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运营期</w:t>
                  </w:r>
                </w:p>
              </w:tc>
              <w:tc>
                <w:tcPr>
                  <w:tcW w:w="1022"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生态</w:t>
                  </w:r>
                </w:p>
              </w:tc>
              <w:tc>
                <w:tcPr>
                  <w:tcW w:w="2074"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绿化恢复措施</w:t>
                  </w:r>
                </w:p>
              </w:tc>
              <w:tc>
                <w:tcPr>
                  <w:tcW w:w="1250" w:type="pct"/>
                  <w:tcBorders>
                    <w:tl2br w:val="nil"/>
                    <w:tr2bl w:val="nil"/>
                  </w:tcBorders>
                  <w:vAlign w:val="center"/>
                </w:tcPr>
                <w:p>
                  <w:pPr>
                    <w:pStyle w:val="23"/>
                    <w:widowControl/>
                    <w:ind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53"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验收阶段</w:t>
                  </w:r>
                </w:p>
              </w:tc>
              <w:tc>
                <w:tcPr>
                  <w:tcW w:w="1022"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w:t>
                  </w:r>
                </w:p>
              </w:tc>
              <w:tc>
                <w:tcPr>
                  <w:tcW w:w="2074"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w:t>
                  </w:r>
                </w:p>
              </w:tc>
              <w:tc>
                <w:tcPr>
                  <w:tcW w:w="1250" w:type="pct"/>
                  <w:tcBorders>
                    <w:tl2br w:val="nil"/>
                    <w:tr2bl w:val="nil"/>
                  </w:tcBorders>
                  <w:vAlign w:val="center"/>
                </w:tcPr>
                <w:p>
                  <w:pPr>
                    <w:pStyle w:val="23"/>
                    <w:widowControl/>
                    <w:ind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其他</w:t>
                  </w:r>
                </w:p>
              </w:tc>
              <w:tc>
                <w:tcPr>
                  <w:tcW w:w="3096" w:type="pct"/>
                  <w:gridSpan w:val="2"/>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监测费用纳入环境咨询、验收主题</w:t>
                  </w:r>
                </w:p>
              </w:tc>
              <w:tc>
                <w:tcPr>
                  <w:tcW w:w="1250" w:type="pct"/>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9" w:type="pct"/>
                  <w:gridSpan w:val="3"/>
                  <w:tcBorders>
                    <w:tl2br w:val="nil"/>
                    <w:tr2bl w:val="nil"/>
                  </w:tcBorders>
                  <w:vAlign w:val="center"/>
                </w:tcPr>
                <w:p>
                  <w:pPr>
                    <w:pStyle w:val="23"/>
                    <w:widowControl/>
                    <w:ind w:firstLine="0" w:firstLineChars="0"/>
                    <w:jc w:val="center"/>
                    <w:rPr>
                      <w:rFonts w:ascii="Times New Roman"/>
                      <w:color w:val="auto"/>
                      <w:sz w:val="21"/>
                      <w:szCs w:val="21"/>
                    </w:rPr>
                  </w:pPr>
                  <w:r>
                    <w:rPr>
                      <w:rFonts w:hint="eastAsia" w:ascii="Times New Roman"/>
                      <w:color w:val="auto"/>
                      <w:sz w:val="21"/>
                      <w:szCs w:val="21"/>
                    </w:rPr>
                    <w:t>总投资</w:t>
                  </w:r>
                </w:p>
              </w:tc>
              <w:tc>
                <w:tcPr>
                  <w:tcW w:w="1250" w:type="pct"/>
                  <w:tcBorders>
                    <w:tl2br w:val="nil"/>
                    <w:tr2bl w:val="nil"/>
                  </w:tcBorders>
                  <w:vAlign w:val="center"/>
                </w:tcPr>
                <w:p>
                  <w:pPr>
                    <w:pStyle w:val="23"/>
                    <w:widowControl/>
                    <w:ind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90.5</w:t>
                  </w:r>
                </w:p>
              </w:tc>
            </w:tr>
          </w:tbl>
          <w:p>
            <w:pPr>
              <w:pStyle w:val="10"/>
              <w:keepNext w:val="0"/>
              <w:keepLines w:val="0"/>
              <w:pageBreakBefore w:val="0"/>
              <w:widowControl w:val="0"/>
              <w:kinsoku/>
              <w:wordWrap/>
              <w:topLinePunct w:val="0"/>
              <w:bidi w:val="0"/>
              <w:ind w:left="0" w:leftChars="0" w:firstLine="0" w:firstLineChars="0"/>
              <w:rPr>
                <w:rFonts w:ascii="Times New Roman" w:hAnsi="Times New Roman"/>
                <w:color w:val="auto"/>
              </w:rPr>
            </w:pPr>
          </w:p>
        </w:tc>
      </w:tr>
    </w:tbl>
    <w:p>
      <w:pPr>
        <w:tabs>
          <w:tab w:val="left" w:pos="3780"/>
        </w:tabs>
        <w:snapToGrid w:val="0"/>
        <w:spacing w:line="240" w:lineRule="auto"/>
        <w:outlineLvl w:val="0"/>
        <w:rPr>
          <w:rFonts w:hint="eastAsia"/>
          <w:b/>
          <w:sz w:val="30"/>
          <w:szCs w:val="30"/>
          <w:lang w:val="en-US" w:eastAsia="zh-CN"/>
        </w:rPr>
      </w:pPr>
    </w:p>
    <w:p>
      <w:pPr>
        <w:pStyle w:val="2"/>
        <w:rPr>
          <w:rFonts w:hint="eastAsia"/>
          <w:b/>
          <w:sz w:val="30"/>
          <w:szCs w:val="30"/>
          <w:lang w:val="en-US" w:eastAsia="zh-CN"/>
        </w:rPr>
      </w:pPr>
    </w:p>
    <w:p>
      <w:pPr>
        <w:pStyle w:val="2"/>
        <w:rPr>
          <w:rFonts w:hint="eastAsia"/>
          <w:b/>
          <w:sz w:val="30"/>
          <w:szCs w:val="30"/>
          <w:lang w:val="en-US" w:eastAsia="zh-CN"/>
        </w:rPr>
      </w:pPr>
    </w:p>
    <w:p>
      <w:pPr>
        <w:pStyle w:val="2"/>
        <w:rPr>
          <w:rFonts w:hint="eastAsia"/>
          <w:b/>
          <w:sz w:val="30"/>
          <w:szCs w:val="30"/>
          <w:lang w:val="en-US" w:eastAsia="zh-CN"/>
        </w:rPr>
      </w:pPr>
    </w:p>
    <w:p>
      <w:pPr>
        <w:pStyle w:val="2"/>
        <w:rPr>
          <w:rFonts w:hint="eastAsia"/>
          <w:b/>
          <w:sz w:val="30"/>
          <w:szCs w:val="30"/>
          <w:lang w:val="en-US" w:eastAsia="zh-CN"/>
        </w:rPr>
      </w:pPr>
    </w:p>
    <w:p>
      <w:pPr>
        <w:pStyle w:val="2"/>
        <w:rPr>
          <w:rFonts w:hint="eastAsia"/>
          <w:b/>
          <w:sz w:val="30"/>
          <w:szCs w:val="30"/>
          <w:lang w:val="en-US" w:eastAsia="zh-CN"/>
        </w:rPr>
      </w:pPr>
    </w:p>
    <w:p>
      <w:pPr>
        <w:pStyle w:val="2"/>
        <w:rPr>
          <w:rFonts w:hint="eastAsia"/>
          <w:b/>
          <w:sz w:val="30"/>
          <w:szCs w:val="30"/>
          <w:lang w:val="en-US" w:eastAsia="zh-CN"/>
        </w:rPr>
      </w:pPr>
    </w:p>
    <w:p>
      <w:pPr>
        <w:pStyle w:val="2"/>
        <w:rPr>
          <w:rFonts w:hint="eastAsia"/>
          <w:b/>
          <w:sz w:val="30"/>
          <w:szCs w:val="30"/>
          <w:lang w:val="en-US" w:eastAsia="zh-CN"/>
        </w:rPr>
      </w:pPr>
    </w:p>
    <w:p>
      <w:pPr>
        <w:pStyle w:val="2"/>
        <w:rPr>
          <w:rFonts w:hint="eastAsia"/>
          <w:b/>
          <w:sz w:val="30"/>
          <w:szCs w:val="30"/>
          <w:lang w:val="en-US" w:eastAsia="zh-CN"/>
        </w:rPr>
      </w:pPr>
    </w:p>
    <w:p>
      <w:pPr>
        <w:pStyle w:val="6"/>
        <w:keepNext w:val="0"/>
        <w:keepLines w:val="0"/>
        <w:pageBreakBefore w:val="0"/>
        <w:widowControl w:val="0"/>
        <w:kinsoku/>
        <w:wordWrap/>
        <w:topLinePunct w:val="0"/>
        <w:bidi w:val="0"/>
        <w:spacing w:before="42" w:after="2"/>
        <w:rPr>
          <w:rFonts w:hint="eastAsia"/>
          <w:lang w:val="en-US" w:eastAsia="zh-CN"/>
        </w:rPr>
      </w:pPr>
      <w:r>
        <w:rPr>
          <w:rFonts w:hint="eastAsia"/>
          <w:lang w:val="en-US" w:eastAsia="zh-CN"/>
        </w:rPr>
        <w:t>8建设项目拟采取的防治措施及治理效果</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
        <w:gridCol w:w="903"/>
        <w:gridCol w:w="1081"/>
        <w:gridCol w:w="1329"/>
        <w:gridCol w:w="2498"/>
        <w:gridCol w:w="2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tcBorders>
              <w:tl2br w:val="nil"/>
              <w:tr2bl w:val="nil"/>
            </w:tcBorders>
            <w:noWrap w:val="0"/>
            <w:vAlign w:val="top"/>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内容</w:t>
            </w:r>
          </w:p>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类型</w:t>
            </w:r>
          </w:p>
        </w:tc>
        <w:tc>
          <w:tcPr>
            <w:tcW w:w="1984" w:type="dxa"/>
            <w:gridSpan w:val="2"/>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排放源</w:t>
            </w:r>
          </w:p>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(编号)</w:t>
            </w: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污染物</w:t>
            </w:r>
          </w:p>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名称</w:t>
            </w:r>
          </w:p>
        </w:tc>
        <w:tc>
          <w:tcPr>
            <w:tcW w:w="2498"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防治措施</w:t>
            </w:r>
          </w:p>
        </w:tc>
        <w:tc>
          <w:tcPr>
            <w:tcW w:w="2410"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大气</w:t>
            </w:r>
          </w:p>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污染</w:t>
            </w:r>
          </w:p>
        </w:tc>
        <w:tc>
          <w:tcPr>
            <w:tcW w:w="903"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施工期</w:t>
            </w:r>
          </w:p>
        </w:tc>
        <w:tc>
          <w:tcPr>
            <w:tcW w:w="1081"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施工扬尘</w:t>
            </w: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TSP</w:t>
            </w:r>
          </w:p>
        </w:tc>
        <w:tc>
          <w:tcPr>
            <w:tcW w:w="2498"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物料运输车辆加盖篷布遮盖及时喷洒和清扫运输道路、避开不利施工天气、等措施</w:t>
            </w:r>
          </w:p>
        </w:tc>
        <w:tc>
          <w:tcPr>
            <w:tcW w:w="2410"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满足《施工场界扬尘排放限值》DB61/1078-2017中表1浓度限值要求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p>
        </w:tc>
        <w:tc>
          <w:tcPr>
            <w:tcW w:w="903"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p>
        </w:tc>
        <w:tc>
          <w:tcPr>
            <w:tcW w:w="1081"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机械废气</w:t>
            </w: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rPr>
              <w:t>NOx、CO、THC</w:t>
            </w:r>
          </w:p>
        </w:tc>
        <w:tc>
          <w:tcPr>
            <w:tcW w:w="2498"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rPr>
              <w:t>无组织排放</w:t>
            </w:r>
          </w:p>
        </w:tc>
        <w:tc>
          <w:tcPr>
            <w:tcW w:w="2410"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水污</w:t>
            </w:r>
          </w:p>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染物</w:t>
            </w:r>
          </w:p>
        </w:tc>
        <w:tc>
          <w:tcPr>
            <w:tcW w:w="903"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lang w:eastAsia="zh-CN"/>
              </w:rPr>
              <w:t>施工期</w:t>
            </w:r>
          </w:p>
        </w:tc>
        <w:tc>
          <w:tcPr>
            <w:tcW w:w="1081"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lang w:eastAsia="zh-CN"/>
              </w:rPr>
              <w:t>施工</w:t>
            </w:r>
            <w:r>
              <w:rPr>
                <w:rFonts w:hint="eastAsia" w:asciiTheme="minorEastAsia" w:hAnsiTheme="minorEastAsia" w:eastAsiaTheme="minorEastAsia" w:cstheme="minorEastAsia"/>
                <w:bCs w:val="0"/>
                <w:sz w:val="21"/>
                <w:szCs w:val="21"/>
              </w:rPr>
              <w:t>人员产生的生活污水</w:t>
            </w: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COD、BOD5、SS、氨氮</w:t>
            </w:r>
          </w:p>
        </w:tc>
        <w:tc>
          <w:tcPr>
            <w:tcW w:w="2498"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sz w:val="21"/>
                <w:szCs w:val="21"/>
              </w:rPr>
              <w:t>利用附近村庄生活污水处理设施</w:t>
            </w:r>
          </w:p>
        </w:tc>
        <w:tc>
          <w:tcPr>
            <w:tcW w:w="2410"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p>
        </w:tc>
        <w:tc>
          <w:tcPr>
            <w:tcW w:w="903"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p>
        </w:tc>
        <w:tc>
          <w:tcPr>
            <w:tcW w:w="1081"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施工废水</w:t>
            </w: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val="en-US" w:eastAsia="zh-CN"/>
              </w:rPr>
              <w:t>/</w:t>
            </w:r>
          </w:p>
        </w:tc>
        <w:tc>
          <w:tcPr>
            <w:tcW w:w="2498"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塔基养护废水自然蒸发</w:t>
            </w:r>
          </w:p>
        </w:tc>
        <w:tc>
          <w:tcPr>
            <w:tcW w:w="2410"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固体废物</w:t>
            </w:r>
          </w:p>
        </w:tc>
        <w:tc>
          <w:tcPr>
            <w:tcW w:w="903" w:type="dxa"/>
            <w:tcBorders>
              <w:tl2br w:val="nil"/>
              <w:tr2bl w:val="nil"/>
            </w:tcBorders>
            <w:noWrap w:val="0"/>
            <w:vAlign w:val="center"/>
          </w:tcPr>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施工期</w:t>
            </w:r>
          </w:p>
        </w:tc>
        <w:tc>
          <w:tcPr>
            <w:tcW w:w="1081"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施工过程、施工人员</w:t>
            </w: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sz w:val="21"/>
                <w:szCs w:val="21"/>
                <w:lang w:eastAsia="zh-CN"/>
              </w:rPr>
              <w:t>建筑垃圾、</w:t>
            </w:r>
            <w:r>
              <w:rPr>
                <w:rFonts w:hint="eastAsia" w:asciiTheme="minorEastAsia" w:hAnsiTheme="minorEastAsia" w:eastAsiaTheme="minorEastAsia" w:cstheme="minorEastAsia"/>
                <w:bCs w:val="0"/>
                <w:sz w:val="21"/>
                <w:szCs w:val="21"/>
              </w:rPr>
              <w:t>生活垃圾</w:t>
            </w:r>
          </w:p>
        </w:tc>
        <w:tc>
          <w:tcPr>
            <w:tcW w:w="2498" w:type="dxa"/>
            <w:tcBorders>
              <w:tl2br w:val="nil"/>
              <w:tr2bl w:val="nil"/>
            </w:tcBorders>
            <w:noWrap w:val="0"/>
            <w:vAlign w:val="center"/>
          </w:tcPr>
          <w:p>
            <w:pPr>
              <w:pStyle w:val="23"/>
              <w:widowControl/>
              <w:ind w:firstLine="0" w:firstLineChars="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eastAsia="zh-CN"/>
              </w:rPr>
              <w:t>建筑垃圾</w:t>
            </w:r>
            <w:r>
              <w:rPr>
                <w:rFonts w:hint="eastAsia" w:asciiTheme="minorEastAsia" w:hAnsiTheme="minorEastAsia" w:eastAsiaTheme="minorEastAsia" w:cstheme="minorEastAsia"/>
                <w:sz w:val="21"/>
                <w:szCs w:val="21"/>
              </w:rPr>
              <w:t>可再生部分回收出售给废品站，不可再生利用部分清运至指定地点填埋</w:t>
            </w:r>
            <w:r>
              <w:rPr>
                <w:rFonts w:hint="eastAsia" w:asciiTheme="minorEastAsia" w:hAnsiTheme="minorEastAsia" w:eastAsiaTheme="minorEastAsia" w:cstheme="minorEastAsia"/>
                <w:sz w:val="21"/>
                <w:szCs w:val="21"/>
                <w:lang w:eastAsia="zh-CN"/>
              </w:rPr>
              <w:t>；生活垃圾依托当地居民生活垃圾收集装置</w:t>
            </w:r>
          </w:p>
        </w:tc>
        <w:tc>
          <w:tcPr>
            <w:tcW w:w="2410"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sz w:val="21"/>
                <w:szCs w:val="21"/>
              </w:rPr>
              <w:t>妥善处置，不会对周围环境造成危害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p>
        </w:tc>
        <w:tc>
          <w:tcPr>
            <w:tcW w:w="903"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运行期</w:t>
            </w:r>
          </w:p>
        </w:tc>
        <w:tc>
          <w:tcPr>
            <w:tcW w:w="1081"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巡回检查和维修人员</w:t>
            </w: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生活垃圾</w:t>
            </w:r>
          </w:p>
        </w:tc>
        <w:tc>
          <w:tcPr>
            <w:tcW w:w="2498"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eastAsia="zh-CN"/>
              </w:rPr>
              <w:t>自身携带到环卫部门指定的垃圾处置点</w:t>
            </w:r>
          </w:p>
        </w:tc>
        <w:tc>
          <w:tcPr>
            <w:tcW w:w="2410"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电磁环境</w:t>
            </w:r>
          </w:p>
        </w:tc>
        <w:tc>
          <w:tcPr>
            <w:tcW w:w="903"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eastAsia="zh-CN"/>
              </w:rPr>
              <w:t>运行期</w:t>
            </w:r>
          </w:p>
        </w:tc>
        <w:tc>
          <w:tcPr>
            <w:tcW w:w="1081"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eastAsia="zh-CN"/>
              </w:rPr>
              <w:t>输电线路</w:t>
            </w: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工频电场</w:t>
            </w:r>
          </w:p>
        </w:tc>
        <w:tc>
          <w:tcPr>
            <w:tcW w:w="2498"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合理选择电气设备、优化设计、保证安全距离</w:t>
            </w:r>
          </w:p>
        </w:tc>
        <w:tc>
          <w:tcPr>
            <w:tcW w:w="2410"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≤4000V/m，公众曝露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p>
        </w:tc>
        <w:tc>
          <w:tcPr>
            <w:tcW w:w="903"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p>
        </w:tc>
        <w:tc>
          <w:tcPr>
            <w:tcW w:w="1081"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r>
              <w:rPr>
                <w:rFonts w:hint="eastAsia" w:asciiTheme="minorEastAsia" w:hAnsiTheme="minorEastAsia" w:eastAsiaTheme="minorEastAsia" w:cstheme="minorEastAsia"/>
                <w:bCs w:val="0"/>
                <w:sz w:val="21"/>
                <w:szCs w:val="21"/>
                <w:lang w:eastAsia="zh-CN"/>
              </w:rPr>
              <w:t>工频磁场</w:t>
            </w:r>
          </w:p>
        </w:tc>
        <w:tc>
          <w:tcPr>
            <w:tcW w:w="2498" w:type="dxa"/>
            <w:vMerge w:val="continue"/>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eastAsia="zh-CN"/>
              </w:rPr>
            </w:pPr>
          </w:p>
        </w:tc>
        <w:tc>
          <w:tcPr>
            <w:tcW w:w="2410"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≤100</w:t>
            </w:r>
            <w:r>
              <w:rPr>
                <w:rFonts w:hint="eastAsia" w:asciiTheme="minorEastAsia" w:hAnsiTheme="minorEastAsia" w:eastAsiaTheme="minorEastAsia" w:cstheme="minorEastAsia"/>
                <w:bCs w:val="0"/>
                <w:sz w:val="21"/>
                <w:szCs w:val="21"/>
              </w:rPr>
              <w:sym w:font="Symbol" w:char="F06D"/>
            </w:r>
            <w:r>
              <w:rPr>
                <w:rFonts w:hint="eastAsia" w:asciiTheme="minorEastAsia" w:hAnsiTheme="minorEastAsia" w:eastAsiaTheme="minorEastAsia" w:cstheme="minorEastAsia"/>
                <w:bCs w:val="0"/>
                <w:sz w:val="21"/>
                <w:szCs w:val="21"/>
              </w:rPr>
              <w:t>T，公众曝露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dxa"/>
            <w:vMerge w:val="restart"/>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val="en-US" w:eastAsia="zh-CN"/>
              </w:rPr>
              <w:t>噪</w:t>
            </w:r>
          </w:p>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val="en-US" w:eastAsia="zh-CN"/>
              </w:rPr>
              <w:t>声</w:t>
            </w:r>
          </w:p>
        </w:tc>
        <w:tc>
          <w:tcPr>
            <w:tcW w:w="903"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val="en-US" w:eastAsia="zh-CN"/>
              </w:rPr>
              <w:t>施工期</w:t>
            </w:r>
          </w:p>
        </w:tc>
        <w:tc>
          <w:tcPr>
            <w:tcW w:w="1081"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val="en-US" w:eastAsia="zh-CN"/>
              </w:rPr>
              <w:t>施工机械及运输车辆</w:t>
            </w:r>
          </w:p>
        </w:tc>
        <w:tc>
          <w:tcPr>
            <w:tcW w:w="1329"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val="en-US" w:eastAsia="zh-CN"/>
              </w:rPr>
              <w:t>噪声</w:t>
            </w:r>
          </w:p>
        </w:tc>
        <w:tc>
          <w:tcPr>
            <w:tcW w:w="2498"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lang w:val="en-US" w:eastAsia="zh-CN"/>
              </w:rPr>
            </w:pPr>
            <w:r>
              <w:rPr>
                <w:rFonts w:hint="eastAsia" w:asciiTheme="minorEastAsia" w:hAnsiTheme="minorEastAsia" w:eastAsiaTheme="minorEastAsia" w:cstheme="minorEastAsia"/>
                <w:bCs w:val="0"/>
                <w:sz w:val="21"/>
                <w:szCs w:val="21"/>
                <w:lang w:val="en-US" w:eastAsia="zh-CN"/>
              </w:rPr>
              <w:t>采用低噪声设备合理安排施工时间，禁止夜间施工</w:t>
            </w:r>
          </w:p>
        </w:tc>
        <w:tc>
          <w:tcPr>
            <w:tcW w:w="2410" w:type="dxa"/>
            <w:tcBorders>
              <w:tl2br w:val="nil"/>
              <w:tr2bl w:val="nil"/>
            </w:tcBorders>
            <w:noWrap w:val="0"/>
            <w:vAlign w:val="center"/>
          </w:tcPr>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满足《建筑施工场界环境噪声排放标准》（GBl2523-2011）</w:t>
            </w:r>
          </w:p>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dxa"/>
            <w:vMerge w:val="continue"/>
            <w:tcBorders>
              <w:tl2br w:val="nil"/>
              <w:tr2bl w:val="nil"/>
            </w:tcBorders>
            <w:noWrap w:val="0"/>
            <w:vAlign w:val="center"/>
          </w:tcPr>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p>
        </w:tc>
        <w:tc>
          <w:tcPr>
            <w:tcW w:w="903" w:type="dxa"/>
            <w:tcBorders>
              <w:tl2br w:val="nil"/>
              <w:tr2bl w:val="nil"/>
            </w:tcBorders>
            <w:noWrap w:val="0"/>
            <w:vAlign w:val="center"/>
          </w:tcPr>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运行期</w:t>
            </w:r>
          </w:p>
        </w:tc>
        <w:tc>
          <w:tcPr>
            <w:tcW w:w="1081" w:type="dxa"/>
            <w:tcBorders>
              <w:tl2br w:val="nil"/>
              <w:tr2bl w:val="nil"/>
            </w:tcBorders>
            <w:noWrap w:val="0"/>
            <w:vAlign w:val="center"/>
          </w:tcPr>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输电线路</w:t>
            </w:r>
          </w:p>
        </w:tc>
        <w:tc>
          <w:tcPr>
            <w:tcW w:w="1329" w:type="dxa"/>
            <w:tcBorders>
              <w:tl2br w:val="nil"/>
              <w:tr2bl w:val="nil"/>
            </w:tcBorders>
            <w:noWrap w:val="0"/>
            <w:vAlign w:val="center"/>
          </w:tcPr>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噪声</w:t>
            </w:r>
          </w:p>
        </w:tc>
        <w:tc>
          <w:tcPr>
            <w:tcW w:w="2498" w:type="dxa"/>
            <w:tcBorders>
              <w:tl2br w:val="nil"/>
              <w:tr2bl w:val="nil"/>
            </w:tcBorders>
            <w:noWrap w:val="0"/>
            <w:vAlign w:val="center"/>
          </w:tcPr>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设计优化路径，远离居民点，提升架空线路架设高度</w:t>
            </w:r>
          </w:p>
        </w:tc>
        <w:tc>
          <w:tcPr>
            <w:tcW w:w="2410" w:type="dxa"/>
            <w:tcBorders>
              <w:tl2br w:val="nil"/>
              <w:tr2bl w:val="nil"/>
            </w:tcBorders>
            <w:noWrap w:val="0"/>
            <w:vAlign w:val="center"/>
          </w:tcPr>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满足《声环境质量标准》</w:t>
            </w:r>
          </w:p>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（GB3096-2008）</w:t>
            </w:r>
          </w:p>
          <w:p>
            <w:pPr>
              <w:pStyle w:val="23"/>
              <w:widowControl/>
              <w:ind w:firstLine="0" w:firstLineChars="0"/>
              <w:jc w:val="both"/>
              <w:rPr>
                <w:rFonts w:hint="eastAsia" w:asciiTheme="minorEastAsia" w:hAnsiTheme="minorEastAsia" w:eastAsiaTheme="minorEastAsia" w:cstheme="minorEastAsia"/>
                <w:bCs w:val="0"/>
                <w:kern w:val="2"/>
                <w:sz w:val="21"/>
                <w:szCs w:val="21"/>
                <w:lang w:val="en-US" w:eastAsia="zh-CN" w:bidi="ar-SA"/>
              </w:rPr>
            </w:pPr>
            <w:r>
              <w:rPr>
                <w:rFonts w:hint="eastAsia" w:asciiTheme="minorEastAsia" w:hAnsiTheme="minorEastAsia" w:eastAsiaTheme="minorEastAsia" w:cstheme="minorEastAsia"/>
                <w:bCs w:val="0"/>
                <w:kern w:val="2"/>
                <w:sz w:val="21"/>
                <w:szCs w:val="21"/>
                <w:lang w:val="en-US" w:eastAsia="zh-CN" w:bidi="ar-SA"/>
              </w:rPr>
              <w:t>中1类标准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 w:type="dxa"/>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其他</w:t>
            </w:r>
          </w:p>
        </w:tc>
        <w:tc>
          <w:tcPr>
            <w:tcW w:w="8221" w:type="dxa"/>
            <w:gridSpan w:val="5"/>
            <w:tcBorders>
              <w:tl2br w:val="nil"/>
              <w:tr2bl w:val="nil"/>
            </w:tcBorders>
            <w:noWrap w:val="0"/>
            <w:vAlign w:val="center"/>
          </w:tcPr>
          <w:p>
            <w:pPr>
              <w:spacing w:line="240" w:lineRule="auto"/>
              <w:contextualSpacing/>
              <w:jc w:val="both"/>
              <w:rPr>
                <w:rFonts w:hint="eastAsia" w:asciiTheme="minorEastAsia" w:hAnsiTheme="minorEastAsia" w:eastAsiaTheme="minorEastAsia" w:cstheme="minorEastAsia"/>
                <w:bCs w:val="0"/>
                <w:sz w:val="21"/>
                <w:szCs w:val="21"/>
              </w:rPr>
            </w:pPr>
            <w:r>
              <w:rPr>
                <w:rFonts w:hint="eastAsia" w:asciiTheme="minorEastAsia" w:hAnsiTheme="minorEastAsia" w:eastAsiaTheme="minorEastAsia" w:cstheme="minorEastAsia"/>
                <w:bCs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3" w:type="dxa"/>
            <w:gridSpan w:val="6"/>
            <w:tcBorders>
              <w:tl2br w:val="nil"/>
              <w:tr2bl w:val="nil"/>
            </w:tcBorders>
            <w:noWrap w:val="0"/>
            <w:vAlign w:val="center"/>
          </w:tcPr>
          <w:p>
            <w:pPr>
              <w:spacing w:line="276" w:lineRule="auto"/>
              <w:contextualSpacing/>
              <w:rPr>
                <w:b/>
                <w:bCs w:val="0"/>
                <w:color w:val="auto"/>
              </w:rPr>
            </w:pPr>
            <w:r>
              <w:rPr>
                <w:rFonts w:hint="eastAsia"/>
                <w:b/>
                <w:bCs w:val="0"/>
                <w:color w:val="auto"/>
                <w:lang w:val="en-US" w:eastAsia="zh-CN"/>
              </w:rPr>
              <w:t>8.1</w:t>
            </w:r>
            <w:r>
              <w:rPr>
                <w:b/>
                <w:bCs w:val="0"/>
                <w:color w:val="auto"/>
              </w:rPr>
              <w:t>生态保护措施及预期效果</w:t>
            </w:r>
            <w:r>
              <w:rPr>
                <w:rFonts w:hint="eastAsia"/>
                <w:b/>
                <w:bCs w:val="0"/>
                <w:color w:val="auto"/>
              </w:rPr>
              <w:t>：</w:t>
            </w:r>
          </w:p>
          <w:p>
            <w:pPr>
              <w:rPr>
                <w:b/>
                <w:bCs w:val="0"/>
                <w:color w:val="auto"/>
              </w:rPr>
            </w:pPr>
            <w:r>
              <w:rPr>
                <w:rFonts w:hint="eastAsia"/>
                <w:b/>
                <w:bCs w:val="0"/>
                <w:color w:val="auto"/>
                <w:lang w:val="en-US" w:eastAsia="zh-CN"/>
              </w:rPr>
              <w:t>8.1.1替代方案与避让措施</w:t>
            </w:r>
          </w:p>
          <w:p>
            <w:pPr>
              <w:tabs>
                <w:tab w:val="left" w:pos="720"/>
              </w:tabs>
              <w:spacing w:line="360" w:lineRule="auto"/>
              <w:ind w:firstLine="480" w:firstLineChars="200"/>
              <w:rPr>
                <w:color w:val="auto"/>
              </w:rPr>
            </w:pPr>
            <w:r>
              <w:rPr>
                <w:rFonts w:hint="eastAsia"/>
                <w:color w:val="auto"/>
              </w:rPr>
              <w:t>⑴</w:t>
            </w:r>
            <w:r>
              <w:rPr>
                <w:rFonts w:hint="eastAsia"/>
                <w:color w:val="auto"/>
                <w:lang w:eastAsia="zh-CN"/>
              </w:rPr>
              <w:t>塔基</w:t>
            </w:r>
            <w:r>
              <w:rPr>
                <w:color w:val="auto"/>
              </w:rPr>
              <w:t>和道路工程在设计时，应对选址、选线进行多方案比选，合理选址、选线。</w:t>
            </w:r>
          </w:p>
          <w:p>
            <w:pPr>
              <w:tabs>
                <w:tab w:val="left" w:pos="720"/>
              </w:tabs>
              <w:spacing w:line="360" w:lineRule="auto"/>
              <w:ind w:firstLine="480" w:firstLineChars="200"/>
              <w:rPr>
                <w:color w:val="auto"/>
              </w:rPr>
            </w:pPr>
            <w:r>
              <w:rPr>
                <w:rFonts w:hint="eastAsia"/>
                <w:color w:val="auto"/>
              </w:rPr>
              <w:t>⑵</w:t>
            </w:r>
            <w:r>
              <w:rPr>
                <w:color w:val="auto"/>
              </w:rPr>
              <w:t>合理选择</w:t>
            </w:r>
            <w:r>
              <w:rPr>
                <w:rFonts w:hint="eastAsia"/>
                <w:color w:val="auto"/>
                <w:lang w:eastAsia="zh-CN"/>
              </w:rPr>
              <w:t>输电</w:t>
            </w:r>
            <w:r>
              <w:rPr>
                <w:color w:val="auto"/>
              </w:rPr>
              <w:t>线路走向，避开不良地质、特殊地质和水土流失严重地段。</w:t>
            </w:r>
          </w:p>
          <w:p>
            <w:pPr>
              <w:tabs>
                <w:tab w:val="left" w:pos="720"/>
              </w:tabs>
              <w:spacing w:line="360" w:lineRule="auto"/>
              <w:ind w:firstLine="480" w:firstLineChars="200"/>
              <w:rPr>
                <w:color w:val="auto"/>
              </w:rPr>
            </w:pPr>
            <w:r>
              <w:rPr>
                <w:rFonts w:hint="eastAsia"/>
                <w:color w:val="auto"/>
              </w:rPr>
              <w:t>⑶</w:t>
            </w:r>
            <w:r>
              <w:rPr>
                <w:rFonts w:hint="eastAsia"/>
                <w:color w:val="auto"/>
                <w:lang w:eastAsia="zh-CN"/>
              </w:rPr>
              <w:t>输电线路</w:t>
            </w:r>
            <w:r>
              <w:rPr>
                <w:color w:val="auto"/>
              </w:rPr>
              <w:t>走向尽量利用荒草地等贫瘠地段，避开农田、避开人口稠密区。</w:t>
            </w:r>
            <w:r>
              <w:rPr>
                <w:rFonts w:hint="eastAsia"/>
                <w:color w:val="auto"/>
              </w:rPr>
              <w:t>避让集中林区，以减少林木砍伐，保护生态环境。</w:t>
            </w:r>
          </w:p>
          <w:p>
            <w:pPr>
              <w:tabs>
                <w:tab w:val="left" w:pos="720"/>
              </w:tabs>
              <w:spacing w:line="360" w:lineRule="auto"/>
              <w:ind w:firstLine="480" w:firstLineChars="200"/>
              <w:rPr>
                <w:color w:val="auto"/>
              </w:rPr>
            </w:pPr>
            <w:r>
              <w:rPr>
                <w:rFonts w:hint="eastAsia"/>
                <w:color w:val="auto"/>
              </w:rPr>
              <w:t>⑷</w:t>
            </w:r>
            <w:r>
              <w:rPr>
                <w:color w:val="auto"/>
              </w:rPr>
              <w:t>尽量利用已有道路和生活设施，减少施工临时用地，尤其是少占农田、林地；施工便道的选线应避免和尽量减少对地表植被的破坏和影响</w:t>
            </w:r>
          </w:p>
          <w:p>
            <w:pPr>
              <w:tabs>
                <w:tab w:val="left" w:pos="720"/>
              </w:tabs>
              <w:spacing w:line="360" w:lineRule="auto"/>
              <w:ind w:firstLine="480" w:firstLineChars="200"/>
              <w:rPr>
                <w:color w:val="auto"/>
              </w:rPr>
            </w:pPr>
            <w:r>
              <w:rPr>
                <w:rFonts w:hint="eastAsia"/>
                <w:color w:val="auto"/>
              </w:rPr>
              <w:t>⑸</w:t>
            </w:r>
            <w:r>
              <w:rPr>
                <w:color w:val="auto"/>
              </w:rPr>
              <w:t>为减少农业损失，合理安排施工时间，尽量避开农作物生长和收获季节。</w:t>
            </w:r>
          </w:p>
          <w:p>
            <w:pPr>
              <w:ind w:firstLine="480" w:firstLineChars="200"/>
              <w:rPr>
                <w:color w:val="auto"/>
              </w:rPr>
            </w:pPr>
            <w:r>
              <w:rPr>
                <w:rFonts w:hint="eastAsia"/>
                <w:color w:val="auto"/>
              </w:rPr>
              <w:t>⑹</w:t>
            </w:r>
            <w:r>
              <w:rPr>
                <w:color w:val="auto"/>
              </w:rPr>
              <w:t>严格遵守当地发展规划要求，输电线路路径的确定按照规划部门的要求执行。</w:t>
            </w:r>
          </w:p>
          <w:p>
            <w:pPr>
              <w:ind w:firstLine="480" w:firstLineChars="200"/>
              <w:rPr>
                <w:color w:val="auto"/>
              </w:rPr>
            </w:pPr>
            <w:r>
              <w:rPr>
                <w:rFonts w:hint="eastAsia"/>
                <w:color w:val="auto"/>
              </w:rPr>
              <w:t>⑺</w:t>
            </w:r>
            <w:r>
              <w:rPr>
                <w:color w:val="auto"/>
              </w:rPr>
              <w:t>充分听取当地规划部门、交通城建部门和当地受影响群众的意见，优化设计，尽可能减少</w:t>
            </w:r>
            <w:r>
              <w:rPr>
                <w:rFonts w:hint="eastAsia"/>
                <w:color w:val="auto"/>
                <w:lang w:eastAsia="zh-CN"/>
              </w:rPr>
              <w:t>项目</w:t>
            </w:r>
            <w:r>
              <w:rPr>
                <w:color w:val="auto"/>
              </w:rPr>
              <w:t>的环境影响。</w:t>
            </w:r>
          </w:p>
          <w:p>
            <w:pPr>
              <w:ind w:firstLine="480" w:firstLineChars="200"/>
              <w:rPr>
                <w:color w:val="auto"/>
              </w:rPr>
            </w:pPr>
            <w:r>
              <w:rPr>
                <w:rFonts w:hint="eastAsia"/>
                <w:color w:val="auto"/>
              </w:rPr>
              <w:t>⑻</w:t>
            </w:r>
            <w:r>
              <w:rPr>
                <w:color w:val="auto"/>
              </w:rPr>
              <w:t>架空线路与公路、通讯线、电力线交叉跨越时，严格按规范要求留有足够净空距离。</w:t>
            </w:r>
          </w:p>
          <w:p>
            <w:pPr>
              <w:rPr>
                <w:b/>
                <w:bCs w:val="0"/>
                <w:color w:val="auto"/>
              </w:rPr>
            </w:pPr>
            <w:r>
              <w:rPr>
                <w:rFonts w:hint="eastAsia"/>
                <w:b/>
                <w:bCs w:val="0"/>
                <w:color w:val="auto"/>
                <w:lang w:val="en-US" w:eastAsia="zh-CN"/>
              </w:rPr>
              <w:t>8.1.2</w:t>
            </w:r>
            <w:r>
              <w:rPr>
                <w:b/>
                <w:bCs w:val="0"/>
                <w:color w:val="auto"/>
              </w:rPr>
              <w:t>施工期生态防治与减缓措施</w:t>
            </w:r>
          </w:p>
          <w:p>
            <w:pPr>
              <w:rPr>
                <w:rFonts w:hint="eastAsia"/>
                <w:b/>
                <w:bCs w:val="0"/>
                <w:color w:val="auto"/>
                <w:lang w:val="en-US" w:eastAsia="zh-CN"/>
              </w:rPr>
            </w:pPr>
            <w:r>
              <w:rPr>
                <w:rFonts w:hint="eastAsia"/>
                <w:b/>
                <w:bCs w:val="0"/>
                <w:color w:val="auto"/>
                <w:lang w:val="en-US" w:eastAsia="zh-CN"/>
              </w:rPr>
              <w:t>8.1.2.1塔基生态保护恢复措施</w:t>
            </w:r>
          </w:p>
          <w:p>
            <w:pPr>
              <w:pStyle w:val="9"/>
              <w:keepNext w:val="0"/>
              <w:keepLines w:val="0"/>
              <w:pageBreakBefore w:val="0"/>
              <w:widowControl w:val="0"/>
              <w:kinsoku/>
              <w:wordWrap/>
              <w:topLinePunct w:val="0"/>
              <w:bidi w:val="0"/>
              <w:spacing w:line="360" w:lineRule="auto"/>
              <w:ind w:firstLine="480" w:firstLineChars="200"/>
              <w:rPr>
                <w:rFonts w:hint="default"/>
                <w:color w:val="auto"/>
              </w:rPr>
            </w:pPr>
            <w:r>
              <w:rPr>
                <w:color w:val="auto"/>
              </w:rPr>
              <w:t>根据</w:t>
            </w:r>
            <w:r>
              <w:rPr>
                <w:rFonts w:hint="eastAsia"/>
                <w:color w:val="auto"/>
                <w:lang w:eastAsia="zh-CN"/>
              </w:rPr>
              <w:t>初步设计</w:t>
            </w:r>
            <w:r>
              <w:rPr>
                <w:color w:val="auto"/>
              </w:rPr>
              <w:t>方案，本项目共建设</w:t>
            </w:r>
            <w:r>
              <w:rPr>
                <w:rFonts w:hint="eastAsia"/>
                <w:color w:val="auto"/>
                <w:lang w:eastAsia="zh-CN"/>
              </w:rPr>
              <w:t>塔基</w:t>
            </w:r>
            <w:r>
              <w:rPr>
                <w:rFonts w:hint="eastAsia"/>
                <w:color w:val="auto"/>
                <w:lang w:val="en-US" w:eastAsia="zh-CN"/>
              </w:rPr>
              <w:t>55座</w:t>
            </w:r>
            <w:r>
              <w:rPr>
                <w:color w:val="auto"/>
              </w:rPr>
              <w:t>，</w:t>
            </w:r>
            <w:r>
              <w:rPr>
                <w:rFonts w:hint="default"/>
                <w:color w:val="auto"/>
              </w:rPr>
              <w:t>其中直线塔2</w:t>
            </w:r>
            <w:r>
              <w:rPr>
                <w:rFonts w:hint="default"/>
                <w:color w:val="auto"/>
                <w:lang w:val="en-US" w:eastAsia="zh-CN"/>
              </w:rPr>
              <w:t>5</w:t>
            </w:r>
            <w:r>
              <w:rPr>
                <w:rFonts w:hint="default"/>
                <w:color w:val="auto"/>
              </w:rPr>
              <w:t>基，</w:t>
            </w:r>
            <w:r>
              <w:rPr>
                <w:rFonts w:hint="default"/>
                <w:color w:val="auto"/>
                <w:lang w:eastAsia="zh-CN"/>
              </w:rPr>
              <w:t>转角塔</w:t>
            </w:r>
            <w:r>
              <w:rPr>
                <w:rFonts w:hint="default"/>
                <w:color w:val="auto"/>
                <w:lang w:val="en-US" w:eastAsia="zh-CN"/>
              </w:rPr>
              <w:t>30</w:t>
            </w:r>
            <w:r>
              <w:rPr>
                <w:rFonts w:hint="default"/>
                <w:color w:val="auto"/>
              </w:rPr>
              <w:t>基，</w:t>
            </w:r>
            <w:r>
              <w:rPr>
                <w:color w:val="auto"/>
              </w:rPr>
              <w:t>临时占地</w:t>
            </w:r>
            <w:r>
              <w:rPr>
                <w:rFonts w:hint="default"/>
                <w:color w:val="auto"/>
              </w:rPr>
              <w:t>0.</w:t>
            </w:r>
            <w:r>
              <w:rPr>
                <w:rFonts w:hint="default"/>
                <w:color w:val="auto"/>
                <w:lang w:val="en-US" w:eastAsia="zh-CN"/>
              </w:rPr>
              <w:t>5</w:t>
            </w:r>
            <w:r>
              <w:rPr>
                <w:rFonts w:hint="default"/>
                <w:color w:val="auto"/>
              </w:rPr>
              <w:t>hm2</w:t>
            </w:r>
            <w:r>
              <w:rPr>
                <w:color w:val="auto"/>
              </w:rPr>
              <w:t>，</w:t>
            </w:r>
            <w:r>
              <w:rPr>
                <w:rFonts w:hint="default"/>
                <w:color w:val="auto"/>
              </w:rPr>
              <w:t>永久占地为</w:t>
            </w:r>
            <w:r>
              <w:rPr>
                <w:rFonts w:hint="default"/>
                <w:color w:val="auto"/>
                <w:lang w:val="en-US" w:eastAsia="zh-CN"/>
              </w:rPr>
              <w:t>0.099h</w:t>
            </w:r>
            <w:r>
              <w:rPr>
                <w:rFonts w:hint="default"/>
                <w:color w:val="auto"/>
              </w:rPr>
              <w:t>m2。</w:t>
            </w:r>
            <w:r>
              <w:rPr>
                <w:color w:val="auto"/>
              </w:rPr>
              <w:t>且占地类型主要为</w:t>
            </w:r>
            <w:r>
              <w:rPr>
                <w:rFonts w:hint="eastAsia"/>
                <w:color w:val="auto"/>
                <w:lang w:eastAsia="zh-CN"/>
              </w:rPr>
              <w:t>荒</w:t>
            </w:r>
            <w:r>
              <w:rPr>
                <w:color w:val="auto"/>
              </w:rPr>
              <w:t>草地，施工期对于</w:t>
            </w:r>
            <w:r>
              <w:rPr>
                <w:rFonts w:hint="eastAsia"/>
                <w:color w:val="auto"/>
                <w:lang w:eastAsia="zh-CN"/>
              </w:rPr>
              <w:t>塔基</w:t>
            </w:r>
            <w:r>
              <w:rPr>
                <w:color w:val="auto"/>
              </w:rPr>
              <w:t>周边生态保护及</w:t>
            </w:r>
            <w:r>
              <w:rPr>
                <w:rFonts w:hint="eastAsia"/>
                <w:color w:val="auto"/>
                <w:lang w:eastAsia="zh-CN"/>
              </w:rPr>
              <w:t>塔基</w:t>
            </w:r>
            <w:r>
              <w:rPr>
                <w:color w:val="auto"/>
              </w:rPr>
              <w:t>生态恢复提出以下措施：</w:t>
            </w:r>
          </w:p>
          <w:p>
            <w:pPr>
              <w:spacing w:line="360" w:lineRule="auto"/>
              <w:ind w:firstLine="523" w:firstLineChars="218"/>
              <w:rPr>
                <w:rFonts w:hint="eastAsia"/>
                <w:color w:val="auto"/>
                <w:lang w:eastAsia="zh-CN"/>
              </w:rPr>
            </w:pPr>
            <w:r>
              <w:rPr>
                <w:rFonts w:hint="eastAsia"/>
                <w:color w:val="auto"/>
              </w:rPr>
              <w:t>⑴</w:t>
            </w:r>
            <w:r>
              <w:rPr>
                <w:color w:val="auto"/>
              </w:rPr>
              <w:t xml:space="preserve"> 控制</w:t>
            </w:r>
            <w:r>
              <w:rPr>
                <w:rFonts w:hint="eastAsia"/>
                <w:color w:val="auto"/>
                <w:lang w:eastAsia="zh-CN"/>
              </w:rPr>
              <w:t>塔基</w:t>
            </w:r>
            <w:r>
              <w:rPr>
                <w:color w:val="auto"/>
              </w:rPr>
              <w:t>作业面范围，地面工程设施建设应尽量减少临时占地和水久占地</w:t>
            </w:r>
            <w:r>
              <w:rPr>
                <w:rFonts w:hint="eastAsia"/>
                <w:color w:val="auto"/>
                <w:lang w:eastAsia="zh-CN"/>
              </w:rPr>
              <w:t>；</w:t>
            </w:r>
          </w:p>
          <w:p>
            <w:pPr>
              <w:spacing w:line="360" w:lineRule="auto"/>
              <w:ind w:firstLine="523" w:firstLineChars="218"/>
              <w:rPr>
                <w:color w:val="auto"/>
              </w:rPr>
            </w:pPr>
            <w:r>
              <w:rPr>
                <w:rFonts w:hint="eastAsia"/>
                <w:color w:val="auto"/>
              </w:rPr>
              <w:t>⑵</w:t>
            </w:r>
            <w:r>
              <w:rPr>
                <w:color w:val="auto"/>
              </w:rPr>
              <w:t xml:space="preserve"> 对</w:t>
            </w:r>
            <w:r>
              <w:rPr>
                <w:rFonts w:hint="eastAsia"/>
                <w:color w:val="auto"/>
                <w:lang w:eastAsia="zh-CN"/>
              </w:rPr>
              <w:t>塔基</w:t>
            </w:r>
            <w:r>
              <w:rPr>
                <w:color w:val="auto"/>
              </w:rPr>
              <w:t>建设必须砍伐的树木，应首先考虑异地移栽；无法异地移栽的，必须在其周围或附近地区等面积补种。</w:t>
            </w:r>
          </w:p>
          <w:p>
            <w:pPr>
              <w:pStyle w:val="10"/>
              <w:rPr>
                <w:color w:val="auto"/>
              </w:rPr>
            </w:pPr>
            <w:r>
              <w:rPr>
                <w:rFonts w:hint="eastAsia"/>
                <w:color w:val="auto"/>
              </w:rPr>
              <w:t>⑶</w:t>
            </w:r>
            <w:r>
              <w:rPr>
                <w:color w:val="auto"/>
              </w:rPr>
              <w:t>施工过程中，应严格按照设计要求进行施工基面清理，杜绝不必要的植被破坏，将施工造成的环境影响降低到最小程度；对施工用地和基坑及时回填平整，为植被恢复创造条件。</w:t>
            </w:r>
          </w:p>
          <w:p>
            <w:pPr>
              <w:ind w:firstLine="480" w:firstLineChars="200"/>
              <w:rPr>
                <w:color w:val="auto"/>
              </w:rPr>
            </w:pPr>
            <w:r>
              <w:rPr>
                <w:rFonts w:hint="eastAsia"/>
                <w:color w:val="auto"/>
              </w:rPr>
              <w:t>⑷</w:t>
            </w:r>
            <w:r>
              <w:rPr>
                <w:color w:val="auto"/>
              </w:rPr>
              <w:t>塔基施工过程中严格控制地表剥离程度，并保护好原状表土，每个塔基施工完毕后，及时回填表土，进行地表植被恢复。</w:t>
            </w:r>
          </w:p>
          <w:p>
            <w:pPr>
              <w:pStyle w:val="10"/>
              <w:rPr>
                <w:color w:val="auto"/>
              </w:rPr>
            </w:pPr>
            <w:r>
              <w:rPr>
                <w:rFonts w:hint="eastAsia"/>
                <w:color w:val="auto"/>
              </w:rPr>
              <w:t>⑸</w:t>
            </w:r>
            <w:r>
              <w:rPr>
                <w:color w:val="auto"/>
              </w:rPr>
              <w:t>施工中对临时材料堆放场地、塔基开挖面和人员频繁活动区域进行围挡、遮蔽，防止起风沙；大风天气和干燥天气进行必要的洒水抑尘、遮蔽和围挡，降低水土流失、土地沙化的影响；必要时对沙化较严重的开挖面应采取铺设秸秆、篷布等进行固定防风。</w:t>
            </w:r>
          </w:p>
          <w:p>
            <w:pPr>
              <w:pStyle w:val="10"/>
              <w:rPr>
                <w:color w:val="auto"/>
              </w:rPr>
            </w:pPr>
            <w:r>
              <w:rPr>
                <w:rFonts w:hint="eastAsia"/>
                <w:color w:val="auto"/>
              </w:rPr>
              <w:t>⑹</w:t>
            </w:r>
            <w:r>
              <w:rPr>
                <w:color w:val="auto"/>
              </w:rPr>
              <w:t>在施工过程中，严格控制施工作业范围、减少临时占地，应根据各种施工作业的要求和环境保护要求，确定场地的占地面积控制标准</w:t>
            </w:r>
            <w:r>
              <w:rPr>
                <w:rFonts w:hint="eastAsia"/>
                <w:color w:val="auto"/>
                <w:lang w:eastAsia="zh-CN"/>
              </w:rPr>
              <w:t>，</w:t>
            </w:r>
            <w:r>
              <w:rPr>
                <w:color w:val="auto"/>
              </w:rPr>
              <w:t>尽量减少施工人员对土地的践踏，合理堆放施工材料及土方料等，施工后及时清理施工现场，恢复临时占地原有功能。</w:t>
            </w:r>
          </w:p>
          <w:p>
            <w:pPr>
              <w:ind w:firstLine="480" w:firstLineChars="200"/>
              <w:jc w:val="both"/>
              <w:rPr>
                <w:color w:val="auto"/>
              </w:rPr>
            </w:pPr>
            <w:r>
              <w:rPr>
                <w:rFonts w:hint="eastAsia"/>
                <w:color w:val="auto"/>
              </w:rPr>
              <w:t>⑺</w:t>
            </w:r>
            <w:r>
              <w:rPr>
                <w:color w:val="auto"/>
              </w:rPr>
              <w:t>在施工过程中，严格控制施工作业范围</w:t>
            </w:r>
            <w:r>
              <w:rPr>
                <w:rFonts w:hint="eastAsia"/>
                <w:color w:val="auto"/>
                <w:lang w:eastAsia="zh-CN"/>
              </w:rPr>
              <w:t>，在靠近明长城、秦长城的</w:t>
            </w:r>
            <w:r>
              <w:rPr>
                <w:rFonts w:hint="eastAsia"/>
                <w:color w:val="auto"/>
                <w:lang w:val="en-US" w:eastAsia="zh-CN"/>
              </w:rPr>
              <w:t>4处</w:t>
            </w:r>
            <w:r>
              <w:rPr>
                <w:rFonts w:hint="eastAsia"/>
                <w:color w:val="auto"/>
                <w:lang w:eastAsia="zh-CN"/>
              </w:rPr>
              <w:t>塔基施工时，</w:t>
            </w:r>
            <w:r>
              <w:rPr>
                <w:color w:val="auto"/>
              </w:rPr>
              <w:t>堆放施工材料及土方料等</w:t>
            </w:r>
            <w:r>
              <w:rPr>
                <w:rFonts w:hint="eastAsia"/>
                <w:color w:val="auto"/>
                <w:lang w:eastAsia="zh-CN"/>
              </w:rPr>
              <w:t>的场地控制在施工范围内</w:t>
            </w:r>
            <w:r>
              <w:rPr>
                <w:color w:val="auto"/>
              </w:rPr>
              <w:t>，</w:t>
            </w:r>
            <w:r>
              <w:rPr>
                <w:rFonts w:hint="eastAsia"/>
                <w:color w:val="auto"/>
                <w:lang w:eastAsia="zh-CN"/>
              </w:rPr>
              <w:t>开辟施工便道远离秦长城、明长城遗址</w:t>
            </w:r>
            <w:r>
              <w:rPr>
                <w:color w:val="auto"/>
              </w:rPr>
              <w:t>，</w:t>
            </w:r>
            <w:r>
              <w:rPr>
                <w:rFonts w:hint="eastAsia"/>
                <w:color w:val="auto"/>
                <w:lang w:eastAsia="zh-CN"/>
              </w:rPr>
              <w:t>对施工人员进行文物保护知识的教育</w:t>
            </w:r>
            <w:r>
              <w:rPr>
                <w:color w:val="auto"/>
              </w:rPr>
              <w:t>。</w:t>
            </w:r>
          </w:p>
          <w:p>
            <w:pPr>
              <w:ind w:firstLine="480" w:firstLineChars="200"/>
              <w:jc w:val="both"/>
              <w:rPr>
                <w:color w:val="auto"/>
              </w:rPr>
            </w:pPr>
            <w:r>
              <w:rPr>
                <w:rFonts w:hint="eastAsia"/>
                <w:color w:val="auto"/>
              </w:rPr>
              <w:t>⑻</w:t>
            </w:r>
            <w:r>
              <w:rPr>
                <w:color w:val="auto"/>
              </w:rPr>
              <w:t>施工过程中减少施工噪声及人为活动对动物的惊扰。野生鸟类和兽类大多是晨昏外出觅食，正午休息。为了减少</w:t>
            </w:r>
            <w:r>
              <w:rPr>
                <w:rFonts w:hint="eastAsia"/>
                <w:color w:val="auto"/>
                <w:lang w:eastAsia="zh-CN"/>
              </w:rPr>
              <w:t>项目</w:t>
            </w:r>
            <w:r>
              <w:rPr>
                <w:color w:val="auto"/>
              </w:rPr>
              <w:t>施工噪声对野生动物的惊扰，应做好施工方式和时间的计划，尽量避免在晨昏和正午进行噪声较大的施工活动。</w:t>
            </w:r>
          </w:p>
          <w:p>
            <w:pPr>
              <w:ind w:firstLine="480" w:firstLineChars="200"/>
              <w:jc w:val="both"/>
              <w:rPr>
                <w:color w:val="auto"/>
              </w:rPr>
            </w:pPr>
            <w:r>
              <w:rPr>
                <w:rFonts w:hint="eastAsia"/>
                <w:color w:val="auto"/>
              </w:rPr>
              <w:t>⑼</w:t>
            </w:r>
            <w:r>
              <w:rPr>
                <w:color w:val="auto"/>
              </w:rPr>
              <w:t>制定严格的施工操作规范，建立施工期生态环境监理制度，严禁施工车辆随意开辟施工便道，严禁随意砍伐植被。提高施工人员的保护意识，发放宣传手册</w:t>
            </w:r>
            <w:r>
              <w:rPr>
                <w:rFonts w:hint="eastAsia"/>
                <w:color w:val="auto"/>
              </w:rPr>
              <w:t>，</w:t>
            </w:r>
            <w:r>
              <w:rPr>
                <w:color w:val="auto"/>
              </w:rPr>
              <w:t>严禁猎捕动物。</w:t>
            </w:r>
          </w:p>
          <w:p>
            <w:pPr>
              <w:rPr>
                <w:rFonts w:hint="eastAsia"/>
                <w:b/>
                <w:bCs w:val="0"/>
                <w:color w:val="auto"/>
                <w:lang w:val="en-US" w:eastAsia="zh-CN"/>
              </w:rPr>
            </w:pPr>
            <w:r>
              <w:rPr>
                <w:rFonts w:hint="eastAsia"/>
                <w:b/>
                <w:bCs w:val="0"/>
                <w:color w:val="auto"/>
                <w:lang w:val="en-US" w:eastAsia="zh-CN"/>
              </w:rPr>
              <w:t>8.1.2.2牵张场生态保护恢复措施</w:t>
            </w:r>
          </w:p>
          <w:p>
            <w:pPr>
              <w:pStyle w:val="9"/>
              <w:keepNext w:val="0"/>
              <w:keepLines w:val="0"/>
              <w:pageBreakBefore w:val="0"/>
              <w:widowControl w:val="0"/>
              <w:kinsoku/>
              <w:wordWrap/>
              <w:topLinePunct w:val="0"/>
              <w:bidi w:val="0"/>
              <w:spacing w:line="360" w:lineRule="auto"/>
              <w:ind w:firstLine="480" w:firstLineChars="200"/>
              <w:jc w:val="both"/>
              <w:rPr>
                <w:color w:val="auto"/>
              </w:rPr>
            </w:pPr>
            <w:r>
              <w:rPr>
                <w:rFonts w:hint="default"/>
                <w:color w:val="auto"/>
                <w:lang w:val="en-US" w:eastAsia="zh-CN"/>
              </w:rPr>
              <w:t>本项目根据沿线实际情况各施工标段内每隔5km～10km设置一处牵张场地，每处占地面积约为800m</w:t>
            </w:r>
            <w:r>
              <w:rPr>
                <w:rFonts w:hint="default"/>
                <w:color w:val="auto"/>
                <w:vertAlign w:val="superscript"/>
                <w:lang w:val="en-US" w:eastAsia="zh-CN"/>
              </w:rPr>
              <w:t>2</w:t>
            </w:r>
            <w:r>
              <w:rPr>
                <w:rFonts w:hint="default"/>
                <w:color w:val="auto"/>
                <w:lang w:val="en-US" w:eastAsia="zh-CN"/>
              </w:rPr>
              <w:t>，线路沿线共设置牵张场2处，牵张场总计占地面积0.16hm</w:t>
            </w:r>
            <w:r>
              <w:rPr>
                <w:rFonts w:hint="default"/>
                <w:color w:val="auto"/>
                <w:vertAlign w:val="subscript"/>
                <w:lang w:val="en-US" w:eastAsia="zh-CN"/>
              </w:rPr>
              <w:t>2</w:t>
            </w:r>
            <w:r>
              <w:rPr>
                <w:rFonts w:hint="default"/>
                <w:color w:val="auto"/>
                <w:lang w:val="en-US" w:eastAsia="zh-CN"/>
              </w:rPr>
              <w:t>，占地类型主要为荒地。</w:t>
            </w:r>
            <w:r>
              <w:rPr>
                <w:color w:val="auto"/>
              </w:rPr>
              <w:t>施工期对于</w:t>
            </w:r>
            <w:r>
              <w:rPr>
                <w:rFonts w:hint="eastAsia"/>
                <w:color w:val="auto"/>
                <w:lang w:eastAsia="zh-CN"/>
              </w:rPr>
              <w:t>牵张场</w:t>
            </w:r>
            <w:r>
              <w:rPr>
                <w:color w:val="auto"/>
              </w:rPr>
              <w:t>周边生态保护及</w:t>
            </w:r>
            <w:r>
              <w:rPr>
                <w:rFonts w:hint="eastAsia"/>
                <w:color w:val="auto"/>
                <w:lang w:eastAsia="zh-CN"/>
              </w:rPr>
              <w:t>塔基</w:t>
            </w:r>
            <w:r>
              <w:rPr>
                <w:color w:val="auto"/>
              </w:rPr>
              <w:t>生态恢复提出以下措施：</w:t>
            </w:r>
          </w:p>
          <w:p>
            <w:pPr>
              <w:topLinePunct/>
              <w:spacing w:line="360" w:lineRule="auto"/>
              <w:ind w:firstLine="480" w:firstLineChars="200"/>
              <w:rPr>
                <w:color w:val="auto"/>
              </w:rPr>
            </w:pPr>
            <w:r>
              <w:rPr>
                <w:rFonts w:hint="eastAsia"/>
                <w:color w:val="auto"/>
              </w:rPr>
              <w:t>⑴</w:t>
            </w:r>
            <w:r>
              <w:rPr>
                <w:color w:val="auto"/>
              </w:rPr>
              <w:t>施工过程中，加强施工管理，控制施工活动范围，严格控制施工车辆、机械及施工人员活动范围，应根据各种施工作业的要求和环境保护要求，确定场地的占地面积控制标准；</w:t>
            </w:r>
          </w:p>
          <w:p>
            <w:pPr>
              <w:pStyle w:val="9"/>
              <w:keepNext w:val="0"/>
              <w:keepLines w:val="0"/>
              <w:pageBreakBefore w:val="0"/>
              <w:widowControl w:val="0"/>
              <w:kinsoku/>
              <w:wordWrap/>
              <w:topLinePunct w:val="0"/>
              <w:bidi w:val="0"/>
              <w:spacing w:line="360" w:lineRule="auto"/>
              <w:ind w:firstLine="480" w:firstLineChars="200"/>
              <w:jc w:val="both"/>
              <w:rPr>
                <w:rFonts w:hint="eastAsia"/>
                <w:color w:val="auto"/>
              </w:rPr>
            </w:pPr>
            <w:r>
              <w:rPr>
                <w:rFonts w:hint="eastAsia"/>
                <w:color w:val="auto"/>
              </w:rPr>
              <w:t>⑵</w:t>
            </w:r>
            <w:r>
              <w:rPr>
                <w:color w:val="auto"/>
              </w:rPr>
              <w:t>建设</w:t>
            </w:r>
            <w:r>
              <w:rPr>
                <w:rFonts w:hint="eastAsia"/>
                <w:color w:val="auto"/>
                <w:lang w:eastAsia="zh-CN"/>
              </w:rPr>
              <w:t>牵张场</w:t>
            </w:r>
            <w:r>
              <w:rPr>
                <w:color w:val="auto"/>
              </w:rPr>
              <w:t>时，在施工前应注意表土与底层土分开堆放，表层0.3m的土壤单独堆放，在风大的季节采取适当覆盖和浇灌等措施，保护土壤成分利结构；在施工结束恢复地貌时，分层回填，尽可能保持植物原有的生存环境，以利于植被恢复。回填时，还应留足适宜的堆积层，防止因降水、径流造成地表下陷和水土流失。回填后及时补种草类植物，以免植被覆盖度下降</w:t>
            </w:r>
            <w:r>
              <w:rPr>
                <w:rFonts w:hint="eastAsia"/>
                <w:color w:val="auto"/>
                <w:lang w:eastAsia="zh-CN"/>
              </w:rPr>
              <w:t>。</w:t>
            </w:r>
          </w:p>
          <w:p>
            <w:pPr>
              <w:topLinePunct/>
              <w:spacing w:line="360" w:lineRule="auto"/>
              <w:ind w:firstLine="480" w:firstLineChars="200"/>
              <w:rPr>
                <w:color w:val="auto"/>
              </w:rPr>
            </w:pPr>
            <w:r>
              <w:rPr>
                <w:rFonts w:hint="eastAsia"/>
                <w:color w:val="auto"/>
              </w:rPr>
              <w:t>⑶</w:t>
            </w:r>
            <w:r>
              <w:rPr>
                <w:color w:val="auto"/>
              </w:rPr>
              <w:t>根据地表植被特征，因地制宜地选择施工季节，尽可能避开植物生长期，以对生态环境的影响较少到最小；</w:t>
            </w:r>
          </w:p>
          <w:p>
            <w:pPr>
              <w:rPr>
                <w:rFonts w:hint="eastAsia"/>
                <w:b/>
                <w:bCs w:val="0"/>
                <w:color w:val="auto"/>
                <w:lang w:val="en-US" w:eastAsia="zh-CN"/>
              </w:rPr>
            </w:pPr>
            <w:r>
              <w:rPr>
                <w:rFonts w:hint="eastAsia"/>
                <w:b/>
                <w:bCs w:val="0"/>
                <w:color w:val="auto"/>
                <w:lang w:val="en-US" w:eastAsia="zh-CN"/>
              </w:rPr>
              <w:t>8.1.2.3道路生态保护恢复措施</w:t>
            </w:r>
          </w:p>
          <w:p>
            <w:pPr>
              <w:topLinePunct/>
              <w:spacing w:line="360" w:lineRule="auto"/>
              <w:ind w:firstLine="480" w:firstLineChars="200"/>
              <w:rPr>
                <w:color w:val="auto"/>
              </w:rPr>
            </w:pPr>
            <w:r>
              <w:rPr>
                <w:color w:val="auto"/>
              </w:rPr>
              <w:t>本项目道路合计</w:t>
            </w:r>
            <w:r>
              <w:rPr>
                <w:rFonts w:hint="eastAsia"/>
                <w:color w:val="auto"/>
                <w:lang w:val="en-US" w:eastAsia="zh-CN"/>
              </w:rPr>
              <w:t>6.4</w:t>
            </w:r>
            <w:r>
              <w:rPr>
                <w:color w:val="auto"/>
              </w:rPr>
              <w:t>km，</w:t>
            </w:r>
            <w:r>
              <w:rPr>
                <w:rFonts w:hint="default"/>
                <w:color w:val="auto"/>
              </w:rPr>
              <w:t>施工临时道路平均宽度3m，施工便道临时占地面积为</w:t>
            </w:r>
            <w:r>
              <w:rPr>
                <w:rFonts w:hint="default"/>
                <w:color w:val="auto"/>
                <w:lang w:val="en-US" w:eastAsia="zh-CN"/>
              </w:rPr>
              <w:t>1.92</w:t>
            </w:r>
            <w:r>
              <w:rPr>
                <w:rFonts w:hint="default"/>
                <w:color w:val="auto"/>
              </w:rPr>
              <w:t>hm</w:t>
            </w:r>
            <w:r>
              <w:rPr>
                <w:rFonts w:hint="default"/>
                <w:color w:val="auto"/>
                <w:vertAlign w:val="superscript"/>
              </w:rPr>
              <w:t>2</w:t>
            </w:r>
            <w:r>
              <w:rPr>
                <w:rFonts w:hint="default"/>
                <w:color w:val="auto"/>
              </w:rPr>
              <w:t>。</w:t>
            </w:r>
            <w:r>
              <w:rPr>
                <w:color w:val="auto"/>
              </w:rPr>
              <w:t>其采取的生态保护措施有：</w:t>
            </w:r>
          </w:p>
          <w:p>
            <w:pPr>
              <w:topLinePunct/>
              <w:spacing w:line="360" w:lineRule="auto"/>
              <w:ind w:firstLine="480" w:firstLineChars="200"/>
              <w:rPr>
                <w:rFonts w:hint="eastAsia"/>
                <w:color w:val="auto"/>
                <w:lang w:eastAsia="zh-CN"/>
              </w:rPr>
            </w:pPr>
            <w:r>
              <w:rPr>
                <w:rFonts w:hint="eastAsia"/>
                <w:color w:val="auto"/>
                <w:lang w:eastAsia="zh-CN"/>
              </w:rPr>
              <w:t>⑴</w:t>
            </w:r>
            <w:r>
              <w:rPr>
                <w:color w:val="auto"/>
              </w:rPr>
              <w:t>严格控制施工车辆、机械及施工人员活动范围，尽可能减少原有植被和土壤的破坏。</w:t>
            </w:r>
            <w:r>
              <w:rPr>
                <w:rFonts w:hint="eastAsia"/>
                <w:color w:val="auto"/>
                <w:lang w:eastAsia="zh-CN"/>
              </w:rPr>
              <w:t>临时</w:t>
            </w:r>
            <w:r>
              <w:rPr>
                <w:color w:val="auto"/>
              </w:rPr>
              <w:t>道路施工作业面宽度控制在10m范围内</w:t>
            </w:r>
            <w:r>
              <w:rPr>
                <w:rFonts w:hint="eastAsia"/>
                <w:color w:val="auto"/>
                <w:lang w:eastAsia="zh-CN"/>
              </w:rPr>
              <w:t>。</w:t>
            </w:r>
          </w:p>
          <w:p>
            <w:pPr>
              <w:topLinePunct/>
              <w:spacing w:line="360" w:lineRule="auto"/>
              <w:ind w:firstLine="480" w:firstLineChars="200"/>
              <w:rPr>
                <w:color w:val="auto"/>
              </w:rPr>
            </w:pPr>
            <w:r>
              <w:rPr>
                <w:rFonts w:hint="eastAsia"/>
                <w:color w:val="auto"/>
                <w:lang w:eastAsia="zh-CN"/>
              </w:rPr>
              <w:t>⑵</w:t>
            </w:r>
            <w:r>
              <w:rPr>
                <w:color w:val="auto"/>
              </w:rPr>
              <w:t>施工便道、道路临时占地在施工结束后，属草地和荒地的撒播草种或种植当地适生的品种，尽快复垦并于周围生态景观协调一致；</w:t>
            </w:r>
          </w:p>
          <w:p>
            <w:pPr>
              <w:topLinePunct/>
              <w:spacing w:line="360" w:lineRule="auto"/>
              <w:ind w:firstLine="480" w:firstLineChars="200"/>
              <w:rPr>
                <w:color w:val="auto"/>
              </w:rPr>
            </w:pPr>
            <w:r>
              <w:rPr>
                <w:rFonts w:hint="eastAsia"/>
                <w:color w:val="auto"/>
                <w:lang w:eastAsia="zh-CN"/>
              </w:rPr>
              <w:t>⑶</w:t>
            </w:r>
            <w:r>
              <w:rPr>
                <w:color w:val="auto"/>
              </w:rPr>
              <w:t>加强道路边坡防护，边坡植物宜选择种植生长快、郁闭早、根系发达、耐干旱、耐贫瘠、防护作用持久的优良灌木，形成边坡防护体系，防止暴雨冲刷。</w:t>
            </w:r>
          </w:p>
          <w:p>
            <w:pPr>
              <w:ind w:firstLine="480" w:firstLineChars="200"/>
              <w:jc w:val="both"/>
              <w:rPr>
                <w:rFonts w:hint="eastAsia"/>
                <w:color w:val="auto"/>
              </w:rPr>
            </w:pPr>
            <w:r>
              <w:rPr>
                <w:rFonts w:hint="eastAsia"/>
                <w:color w:val="auto"/>
              </w:rPr>
              <w:t>⑷</w:t>
            </w:r>
            <w:r>
              <w:rPr>
                <w:color w:val="auto"/>
              </w:rPr>
              <w:t>对道路尚未硬化易产生扬尘的路段，采取洒水抑尘、设限速标示等措施，减少道路的无组织扬尘产生量，以保护道路两侧生态环境；主要道路设置截排水沟，减轻对道路路基的冲刷，减少水土流失量；定期对路基边坡进行维护，提高其防护能留，</w:t>
            </w:r>
            <w:r>
              <w:rPr>
                <w:rFonts w:hint="eastAsia"/>
                <w:color w:val="auto"/>
              </w:rPr>
              <w:t>防止土壤受到侵蚀。</w:t>
            </w:r>
          </w:p>
          <w:p>
            <w:pPr>
              <w:spacing w:line="360" w:lineRule="auto"/>
              <w:ind w:firstLine="523" w:firstLineChars="218"/>
              <w:rPr>
                <w:rFonts w:hint="eastAsia"/>
                <w:color w:val="auto"/>
                <w:lang w:eastAsia="zh-CN"/>
              </w:rPr>
            </w:pPr>
            <w:r>
              <w:rPr>
                <w:rFonts w:hint="eastAsia"/>
                <w:color w:val="auto"/>
              </w:rPr>
              <w:t>⒁</w:t>
            </w:r>
            <w:r>
              <w:rPr>
                <w:rFonts w:hint="eastAsia"/>
                <w:color w:val="auto"/>
                <w:lang w:eastAsia="zh-CN"/>
              </w:rPr>
              <w:t>建设单位应编制生态恢复方案，设置生态恢复专项资金，专款专用。</w:t>
            </w:r>
          </w:p>
          <w:p>
            <w:pPr>
              <w:rPr>
                <w:rFonts w:hint="eastAsia"/>
                <w:b/>
                <w:bCs w:val="0"/>
                <w:color w:val="auto"/>
                <w:lang w:val="en-US" w:eastAsia="zh-CN"/>
              </w:rPr>
            </w:pPr>
            <w:bookmarkStart w:id="6" w:name="_Toc512531699"/>
            <w:r>
              <w:rPr>
                <w:rFonts w:hint="eastAsia"/>
                <w:b/>
                <w:bCs w:val="0"/>
                <w:color w:val="auto"/>
                <w:lang w:val="en-US" w:eastAsia="zh-CN"/>
              </w:rPr>
              <w:t>8.1.2.4生态补偿恢复措施</w:t>
            </w:r>
            <w:bookmarkEnd w:id="6"/>
          </w:p>
          <w:p>
            <w:pPr>
              <w:topLinePunct/>
              <w:spacing w:line="360" w:lineRule="auto"/>
              <w:ind w:firstLine="480" w:firstLineChars="200"/>
              <w:rPr>
                <w:color w:val="auto"/>
              </w:rPr>
            </w:pPr>
            <w:r>
              <w:rPr>
                <w:color w:val="auto"/>
              </w:rPr>
              <w:t>为了弥补因工程建设引起的植被占用和破坏导致的生态损失，评价要求按占多少补多少的原则进行生态补偿，由建设单位出资，</w:t>
            </w:r>
            <w:r>
              <w:rPr>
                <w:rFonts w:hint="eastAsia"/>
                <w:color w:val="auto"/>
                <w:lang w:eastAsia="zh-CN"/>
              </w:rPr>
              <w:t>神木市</w:t>
            </w:r>
            <w:r>
              <w:rPr>
                <w:color w:val="auto"/>
              </w:rPr>
              <w:t>有关部门具体实施。对临时占地进行植被恢复，生态恢复措施要在紧邻施工完成的生长季节进行。</w:t>
            </w:r>
          </w:p>
          <w:p>
            <w:pPr>
              <w:topLinePunct/>
              <w:spacing w:line="360" w:lineRule="auto"/>
              <w:ind w:firstLine="480" w:firstLineChars="200"/>
              <w:rPr>
                <w:color w:val="auto"/>
              </w:rPr>
            </w:pPr>
            <w:r>
              <w:rPr>
                <w:color w:val="auto"/>
              </w:rPr>
              <w:t>根据评价区的环境特征、立地条件、气候等环境因素，结合类比工程资料，推荐评价区植被恢复以灌草为主、林木为辅，植物种类应选择当地易生长的物种。</w:t>
            </w:r>
          </w:p>
          <w:p>
            <w:pPr>
              <w:topLinePunct/>
              <w:spacing w:line="360" w:lineRule="auto"/>
              <w:ind w:firstLine="480" w:firstLineChars="200"/>
              <w:rPr>
                <w:color w:val="auto"/>
              </w:rPr>
            </w:pPr>
            <w:r>
              <w:rPr>
                <w:color w:val="auto"/>
              </w:rPr>
              <w:t>评价区生态恢复的具体措施分述如下：</w:t>
            </w:r>
          </w:p>
          <w:p>
            <w:pPr>
              <w:topLinePunct/>
              <w:spacing w:line="360" w:lineRule="auto"/>
              <w:ind w:firstLine="480" w:firstLineChars="200"/>
              <w:rPr>
                <w:color w:val="auto"/>
              </w:rPr>
            </w:pPr>
            <w:r>
              <w:rPr>
                <w:rFonts w:hint="eastAsia"/>
                <w:color w:val="auto"/>
              </w:rPr>
              <w:t>⑴</w:t>
            </w:r>
            <w:r>
              <w:rPr>
                <w:color w:val="auto"/>
              </w:rPr>
              <w:t>对于不再使用的</w:t>
            </w:r>
            <w:r>
              <w:rPr>
                <w:rFonts w:hint="eastAsia"/>
                <w:color w:val="auto"/>
                <w:lang w:eastAsia="zh-CN"/>
              </w:rPr>
              <w:t>牵张场</w:t>
            </w:r>
            <w:r>
              <w:rPr>
                <w:color w:val="auto"/>
              </w:rPr>
              <w:t>，要及时将土回填，平整地面，覆土植树（草），栽植树种应保持与勘探前植物种类一致；</w:t>
            </w:r>
          </w:p>
          <w:p>
            <w:pPr>
              <w:topLinePunct/>
              <w:spacing w:line="360" w:lineRule="auto"/>
              <w:ind w:firstLine="480" w:firstLineChars="200"/>
              <w:rPr>
                <w:color w:val="auto"/>
              </w:rPr>
            </w:pPr>
            <w:r>
              <w:rPr>
                <w:rFonts w:hint="eastAsia"/>
                <w:color w:val="auto"/>
              </w:rPr>
              <w:t>⑵</w:t>
            </w:r>
            <w:r>
              <w:rPr>
                <w:color w:val="auto"/>
              </w:rPr>
              <w:t>施工结束后，临时占地属荒地的，撒播草种或种植紫花苜蓿等生长快、耐干旱的品种；</w:t>
            </w:r>
          </w:p>
          <w:p>
            <w:pPr>
              <w:spacing w:line="360" w:lineRule="auto"/>
              <w:ind w:firstLine="480" w:firstLineChars="200"/>
              <w:rPr>
                <w:color w:val="auto"/>
              </w:rPr>
            </w:pPr>
            <w:r>
              <w:rPr>
                <w:color w:val="auto"/>
              </w:rPr>
              <w:fldChar w:fldCharType="begin"/>
            </w:r>
            <w:r>
              <w:rPr>
                <w:color w:val="auto"/>
              </w:rPr>
              <w:instrText xml:space="preserve"> = 3 \* GB2 </w:instrText>
            </w:r>
            <w:r>
              <w:rPr>
                <w:color w:val="auto"/>
              </w:rPr>
              <w:fldChar w:fldCharType="separate"/>
            </w:r>
            <w:r>
              <w:rPr>
                <w:rFonts w:hint="eastAsia"/>
                <w:color w:val="auto"/>
              </w:rPr>
              <w:t>⑶</w:t>
            </w:r>
            <w:r>
              <w:rPr>
                <w:color w:val="auto"/>
              </w:rPr>
              <w:fldChar w:fldCharType="end"/>
            </w:r>
            <w:r>
              <w:rPr>
                <w:color w:val="auto"/>
              </w:rPr>
              <w:t>在其它受破坏和干扰的区域，要及时修整，恢复原貌，植被（自然的、人工的）破坏应在施工结束后的半年或来年予以恢复。</w:t>
            </w:r>
          </w:p>
          <w:p>
            <w:pPr>
              <w:spacing w:line="360" w:lineRule="auto"/>
              <w:ind w:firstLine="480" w:firstLineChars="200"/>
              <w:rPr>
                <w:color w:val="auto"/>
              </w:rPr>
            </w:pPr>
            <w:r>
              <w:rPr>
                <w:color w:val="auto"/>
              </w:rPr>
              <w:t>相对应的，各工程类型地面工程植被恢复措施如下：</w:t>
            </w:r>
          </w:p>
          <w:p>
            <w:pPr>
              <w:spacing w:line="360" w:lineRule="auto"/>
              <w:ind w:firstLine="480" w:firstLineChars="200"/>
              <w:rPr>
                <w:color w:val="auto"/>
              </w:rPr>
            </w:pPr>
            <w:r>
              <w:rPr>
                <w:rFonts w:hint="eastAsia"/>
                <w:color w:val="auto"/>
              </w:rPr>
              <w:t>①</w:t>
            </w:r>
            <w:r>
              <w:rPr>
                <w:rFonts w:hint="eastAsia"/>
                <w:color w:val="auto"/>
                <w:lang w:eastAsia="zh-CN"/>
              </w:rPr>
              <w:t>塔基处</w:t>
            </w:r>
            <w:r>
              <w:rPr>
                <w:color w:val="auto"/>
              </w:rPr>
              <w:t>植被恢复：</w:t>
            </w:r>
          </w:p>
          <w:p>
            <w:pPr>
              <w:spacing w:line="360" w:lineRule="auto"/>
              <w:ind w:firstLine="480" w:firstLineChars="200"/>
              <w:rPr>
                <w:color w:val="auto"/>
              </w:rPr>
            </w:pPr>
            <w:r>
              <w:rPr>
                <w:color w:val="auto"/>
              </w:rPr>
              <w:t>将</w:t>
            </w:r>
            <w:r>
              <w:rPr>
                <w:rFonts w:hint="eastAsia"/>
                <w:color w:val="auto"/>
                <w:lang w:eastAsia="zh-CN"/>
              </w:rPr>
              <w:t>塔基</w:t>
            </w:r>
            <w:r>
              <w:rPr>
                <w:color w:val="auto"/>
              </w:rPr>
              <w:t>永久占地内的表层0.3m厚的表土分开堆放，建</w:t>
            </w:r>
            <w:r>
              <w:rPr>
                <w:rFonts w:hint="eastAsia"/>
                <w:color w:val="auto"/>
                <w:lang w:eastAsia="zh-CN"/>
              </w:rPr>
              <w:t>塔</w:t>
            </w:r>
            <w:r>
              <w:rPr>
                <w:color w:val="auto"/>
              </w:rPr>
              <w:t>后回填在地表植被破坏较严重的地方。条件允许的情况下，在</w:t>
            </w:r>
            <w:r>
              <w:rPr>
                <w:rFonts w:hint="eastAsia"/>
                <w:color w:val="auto"/>
                <w:lang w:eastAsia="zh-CN"/>
              </w:rPr>
              <w:t>塔基</w:t>
            </w:r>
            <w:r>
              <w:rPr>
                <w:color w:val="auto"/>
              </w:rPr>
              <w:t>周围20～40m荒草地范围内2m×3m的行株距种植灌木，灌木主要为柠条、胡枝子等周围已有的植物种类。</w:t>
            </w:r>
          </w:p>
          <w:p>
            <w:pPr>
              <w:spacing w:line="360" w:lineRule="auto"/>
              <w:ind w:firstLine="480" w:firstLineChars="200"/>
              <w:rPr>
                <w:color w:val="auto"/>
              </w:rPr>
            </w:pPr>
            <w:r>
              <w:rPr>
                <w:rFonts w:hint="eastAsia"/>
                <w:color w:val="auto"/>
              </w:rPr>
              <w:t>②</w:t>
            </w:r>
            <w:r>
              <w:rPr>
                <w:color w:val="auto"/>
              </w:rPr>
              <w:t>道路植被恢复：道路两侧种植行道树，并修建排水沟及护坡工程。</w:t>
            </w:r>
          </w:p>
          <w:p>
            <w:pPr>
              <w:spacing w:line="360" w:lineRule="auto"/>
              <w:ind w:firstLine="480" w:firstLineChars="200"/>
              <w:rPr>
                <w:color w:val="auto"/>
              </w:rPr>
            </w:pPr>
            <w:r>
              <w:rPr>
                <w:color w:val="auto"/>
              </w:rPr>
              <w:t>针对以上地面工程的植被恢复措施，坚持“因地制宜，适地适树”原则，以适生常绿树种为主、阔叶乡土树种为辅，突出绿化效果，不断改善</w:t>
            </w:r>
            <w:r>
              <w:rPr>
                <w:rFonts w:hint="eastAsia"/>
                <w:color w:val="auto"/>
                <w:lang w:eastAsia="zh-CN"/>
              </w:rPr>
              <w:t>评价区</w:t>
            </w:r>
            <w:r>
              <w:rPr>
                <w:color w:val="auto"/>
              </w:rPr>
              <w:t>绿化环境，树种的选择与种植管理措施如下：</w:t>
            </w:r>
          </w:p>
          <w:p>
            <w:pPr>
              <w:spacing w:line="360" w:lineRule="auto"/>
              <w:ind w:firstLine="480" w:firstLineChars="200"/>
              <w:rPr>
                <w:color w:val="auto"/>
              </w:rPr>
            </w:pPr>
            <w:r>
              <w:rPr>
                <w:rFonts w:hint="eastAsia"/>
                <w:color w:val="auto"/>
              </w:rPr>
              <w:t>①</w:t>
            </w:r>
            <w:r>
              <w:rPr>
                <w:color w:val="auto"/>
              </w:rPr>
              <w:t>树种。</w:t>
            </w:r>
            <w:r>
              <w:rPr>
                <w:rFonts w:hint="eastAsia"/>
                <w:color w:val="auto"/>
                <w:lang w:eastAsia="zh-CN"/>
              </w:rPr>
              <w:t>评价区塔基</w:t>
            </w:r>
            <w:r>
              <w:rPr>
                <w:color w:val="auto"/>
              </w:rPr>
              <w:t>和道路坡面下压绿化树种以乔木为主，实行针阔混交，针叶树种比例不得低于10%，造林密度为1m×1.5m；道路绿化树种以柳树、杨树、中槐为主，株距4m，要求行列整齐、合理布局，宜单行则单行，宜多行则多行；</w:t>
            </w:r>
            <w:r>
              <w:rPr>
                <w:rFonts w:hint="eastAsia"/>
                <w:color w:val="auto"/>
                <w:lang w:eastAsia="zh-CN"/>
              </w:rPr>
              <w:t>塔基</w:t>
            </w:r>
            <w:r>
              <w:rPr>
                <w:color w:val="auto"/>
              </w:rPr>
              <w:t>绿化以针阔乔木为主，要因地制宜，合理搭配，达到绿化和美化效果；</w:t>
            </w:r>
          </w:p>
          <w:p>
            <w:pPr>
              <w:spacing w:line="360" w:lineRule="auto"/>
              <w:ind w:firstLine="480" w:firstLineChars="200"/>
              <w:rPr>
                <w:color w:val="auto"/>
              </w:rPr>
            </w:pPr>
            <w:r>
              <w:rPr>
                <w:rFonts w:hint="eastAsia"/>
                <w:color w:val="auto"/>
              </w:rPr>
              <w:t>②</w:t>
            </w:r>
            <w:r>
              <w:rPr>
                <w:color w:val="auto"/>
              </w:rPr>
              <w:t>苗木。绿化所用苗木必须为Ⅰ、Ⅱ级优质壮苗，坚决杜绝使用病、虫、弱等不合格苗木。具体苗木标准为：中槐、杨树、柳树胸径5cm以上、高度2.6m以上；刺槐地径0.8cm以上；油松、侧柏苗高为0.6m以上的容器苗。</w:t>
            </w:r>
          </w:p>
          <w:p>
            <w:pPr>
              <w:tabs>
                <w:tab w:val="left" w:pos="720"/>
              </w:tabs>
              <w:spacing w:line="360" w:lineRule="auto"/>
              <w:ind w:firstLine="480" w:firstLineChars="200"/>
              <w:rPr>
                <w:color w:val="auto"/>
              </w:rPr>
            </w:pPr>
            <w:r>
              <w:rPr>
                <w:rFonts w:hint="eastAsia"/>
                <w:color w:val="auto"/>
              </w:rPr>
              <w:t>③</w:t>
            </w:r>
            <w:r>
              <w:rPr>
                <w:color w:val="auto"/>
              </w:rPr>
              <w:t>栽植。实施过程中，要严格按照有关技术要求进行施工，严把整地、植苗、浇水等环节，采取蘸浆栽植，大力推广和引用生根粉、保水剂、保水膜等先进技术，努力提高造林成活率。要坚决杜绝在</w:t>
            </w:r>
            <w:r>
              <w:rPr>
                <w:rFonts w:hint="eastAsia"/>
                <w:color w:val="auto"/>
                <w:lang w:eastAsia="zh-CN"/>
              </w:rPr>
              <w:t>塔基</w:t>
            </w:r>
            <w:r>
              <w:rPr>
                <w:color w:val="auto"/>
              </w:rPr>
              <w:t>建设中大开大挖的现象，必须严格按照批复的设计线路、坐标、大小进行施工，将植被破坏程度降到最低。</w:t>
            </w:r>
          </w:p>
          <w:p>
            <w:pPr>
              <w:pStyle w:val="10"/>
              <w:rPr>
                <w:rFonts w:hint="eastAsia"/>
                <w:color w:val="auto"/>
                <w:lang w:eastAsia="zh-CN"/>
              </w:rPr>
            </w:pPr>
            <w:r>
              <w:rPr>
                <w:rFonts w:hint="eastAsia"/>
                <w:color w:val="auto"/>
              </w:rPr>
              <w:t>④</w:t>
            </w:r>
            <w:r>
              <w:rPr>
                <w:color w:val="auto"/>
              </w:rPr>
              <w:t>管护。绿化结束后，各实施单位要认真做好管护工作，确保绿化取得实际效果。</w:t>
            </w:r>
          </w:p>
          <w:p>
            <w:pPr>
              <w:rPr>
                <w:b/>
                <w:bCs w:val="0"/>
                <w:color w:val="auto"/>
              </w:rPr>
            </w:pPr>
            <w:r>
              <w:rPr>
                <w:rFonts w:hint="eastAsia"/>
                <w:b/>
                <w:bCs w:val="0"/>
                <w:color w:val="auto"/>
                <w:lang w:val="en-US" w:eastAsia="zh-CN"/>
              </w:rPr>
              <w:t>8.1.3</w:t>
            </w:r>
            <w:r>
              <w:rPr>
                <w:b/>
                <w:bCs w:val="0"/>
                <w:color w:val="auto"/>
              </w:rPr>
              <w:t>运营期生态环境恢复与补偿措施</w:t>
            </w:r>
          </w:p>
          <w:p>
            <w:pPr>
              <w:rPr>
                <w:rFonts w:hint="eastAsia"/>
                <w:color w:val="auto"/>
                <w:lang w:val="en-US" w:eastAsia="zh-CN"/>
              </w:rPr>
            </w:pPr>
            <w:bookmarkStart w:id="7" w:name="_Toc512531701"/>
            <w:r>
              <w:rPr>
                <w:rFonts w:hint="eastAsia"/>
                <w:b/>
                <w:bCs w:val="0"/>
                <w:color w:val="auto"/>
                <w:lang w:val="en-US" w:eastAsia="zh-CN"/>
              </w:rPr>
              <w:t>8.1.3.1 塔基生态保护措施</w:t>
            </w:r>
            <w:bookmarkEnd w:id="7"/>
            <w:r>
              <w:rPr>
                <w:rFonts w:hint="eastAsia"/>
                <w:color w:val="auto"/>
                <w:lang w:val="en-US" w:eastAsia="zh-CN"/>
              </w:rPr>
              <w:tab/>
            </w:r>
          </w:p>
          <w:p>
            <w:pPr>
              <w:spacing w:line="360" w:lineRule="auto"/>
              <w:ind w:firstLine="480" w:firstLineChars="200"/>
              <w:rPr>
                <w:color w:val="auto"/>
              </w:rPr>
            </w:pPr>
            <w:r>
              <w:rPr>
                <w:rFonts w:hint="eastAsia"/>
                <w:color w:val="auto"/>
              </w:rPr>
              <w:t>⑴</w:t>
            </w:r>
            <w:r>
              <w:rPr>
                <w:rFonts w:hint="eastAsia"/>
                <w:color w:val="auto"/>
                <w:lang w:eastAsia="zh-CN"/>
              </w:rPr>
              <w:t>对塔基四周绿化进行养护，补栽</w:t>
            </w:r>
            <w:r>
              <w:rPr>
                <w:color w:val="auto"/>
              </w:rPr>
              <w:t>；</w:t>
            </w:r>
          </w:p>
          <w:p>
            <w:pPr>
              <w:topLinePunct/>
              <w:spacing w:line="360" w:lineRule="auto"/>
              <w:ind w:firstLine="480" w:firstLineChars="200"/>
              <w:rPr>
                <w:color w:val="auto"/>
              </w:rPr>
            </w:pPr>
            <w:r>
              <w:rPr>
                <w:rFonts w:hint="eastAsia"/>
                <w:color w:val="auto"/>
              </w:rPr>
              <w:t>⑵</w:t>
            </w:r>
            <w:r>
              <w:rPr>
                <w:color w:val="auto"/>
              </w:rPr>
              <w:t>加强对绿化植物的管理和维护，减少运行初期因植被未恢复而造成的水土流失；</w:t>
            </w:r>
          </w:p>
          <w:p>
            <w:pPr>
              <w:rPr>
                <w:rFonts w:hint="eastAsia"/>
                <w:b/>
                <w:bCs w:val="0"/>
                <w:color w:val="auto"/>
                <w:lang w:val="en-US" w:eastAsia="zh-CN"/>
              </w:rPr>
            </w:pPr>
            <w:r>
              <w:rPr>
                <w:rFonts w:hint="eastAsia"/>
                <w:b/>
                <w:bCs w:val="0"/>
                <w:color w:val="auto"/>
                <w:lang w:val="en-US" w:eastAsia="zh-CN"/>
              </w:rPr>
              <w:t>8.1.3.2道路及牵张场生态保护措施</w:t>
            </w:r>
          </w:p>
          <w:p>
            <w:pPr>
              <w:topLinePunct/>
              <w:spacing w:line="360" w:lineRule="auto"/>
              <w:ind w:firstLine="480" w:firstLineChars="200"/>
              <w:rPr>
                <w:color w:val="auto"/>
              </w:rPr>
            </w:pPr>
            <w:r>
              <w:rPr>
                <w:rFonts w:hint="eastAsia"/>
                <w:color w:val="auto"/>
              </w:rPr>
              <w:t>⑴</w:t>
            </w:r>
            <w:r>
              <w:rPr>
                <w:color w:val="auto"/>
              </w:rPr>
              <w:t>对道路尚未硬化易产生扬尘的路段，采取洒水抑尘、设限速标示等措施，减少道路的无组织扬尘产生量，以保护道路两侧生态环境；</w:t>
            </w:r>
          </w:p>
          <w:p>
            <w:pPr>
              <w:topLinePunct/>
              <w:spacing w:line="360" w:lineRule="auto"/>
              <w:ind w:firstLine="480" w:firstLineChars="200"/>
              <w:rPr>
                <w:color w:val="auto"/>
              </w:rPr>
            </w:pPr>
            <w:r>
              <w:rPr>
                <w:rFonts w:hint="eastAsia"/>
                <w:color w:val="auto"/>
              </w:rPr>
              <w:t>⑵</w:t>
            </w:r>
            <w:r>
              <w:rPr>
                <w:color w:val="auto"/>
              </w:rPr>
              <w:t>主要道路设置截排水沟，减轻对道路路基的冲刷，减少水土流失量；</w:t>
            </w:r>
          </w:p>
          <w:p>
            <w:pPr>
              <w:topLinePunct/>
              <w:spacing w:line="360" w:lineRule="auto"/>
              <w:ind w:firstLine="480" w:firstLineChars="200"/>
              <w:rPr>
                <w:color w:val="auto"/>
              </w:rPr>
            </w:pPr>
            <w:r>
              <w:rPr>
                <w:rFonts w:hint="eastAsia"/>
                <w:color w:val="auto"/>
              </w:rPr>
              <w:t>⑶</w:t>
            </w:r>
            <w:r>
              <w:rPr>
                <w:color w:val="auto"/>
              </w:rPr>
              <w:t>定期对路基边坡进行维护，提高其防护能留，防止土壤受到侵蚀。</w:t>
            </w:r>
          </w:p>
          <w:p>
            <w:pPr>
              <w:topLinePunct/>
              <w:spacing w:line="360" w:lineRule="auto"/>
              <w:ind w:firstLine="480" w:firstLineChars="200"/>
              <w:rPr>
                <w:color w:val="auto"/>
              </w:rPr>
            </w:pPr>
            <w:r>
              <w:rPr>
                <w:rFonts w:hint="eastAsia"/>
                <w:color w:val="auto"/>
              </w:rPr>
              <w:t>⑷</w:t>
            </w:r>
            <w:r>
              <w:rPr>
                <w:color w:val="auto"/>
              </w:rPr>
              <w:t>加强对</w:t>
            </w:r>
            <w:r>
              <w:rPr>
                <w:rFonts w:hint="eastAsia"/>
                <w:color w:val="auto"/>
                <w:lang w:eastAsia="zh-CN"/>
              </w:rPr>
              <w:t>牵张场</w:t>
            </w:r>
            <w:r>
              <w:rPr>
                <w:color w:val="auto"/>
              </w:rPr>
              <w:t>绿化植物的管理和维护，减少运行初期因植被未恢复而造成的水土流失；</w:t>
            </w:r>
          </w:p>
          <w:p>
            <w:pPr>
              <w:topLinePunct/>
              <w:spacing w:line="360" w:lineRule="auto"/>
              <w:ind w:firstLine="480" w:firstLineChars="200"/>
              <w:rPr>
                <w:color w:val="auto"/>
              </w:rPr>
            </w:pPr>
            <w:r>
              <w:rPr>
                <w:color w:val="auto"/>
              </w:rPr>
              <w:t>综上所述，运行期通过采取相应的生态保护与恢复措施后，本项目的开发建设对生态环境的影响可以得到有效减缓，对生态环境的影响小，在生态系统可接受范围内。</w:t>
            </w:r>
          </w:p>
          <w:p>
            <w:pPr>
              <w:ind w:firstLine="480" w:firstLineChars="200"/>
              <w:jc w:val="both"/>
              <w:rPr>
                <w:color w:val="auto"/>
              </w:rPr>
            </w:pPr>
          </w:p>
          <w:p>
            <w:pPr>
              <w:pStyle w:val="2"/>
              <w:rPr>
                <w:sz w:val="24"/>
              </w:rPr>
            </w:pPr>
          </w:p>
          <w:p>
            <w:pPr>
              <w:pStyle w:val="2"/>
              <w:rPr>
                <w:sz w:val="24"/>
              </w:rPr>
            </w:pPr>
          </w:p>
          <w:p>
            <w:pPr>
              <w:pStyle w:val="2"/>
              <w:rPr>
                <w:sz w:val="24"/>
              </w:rPr>
            </w:pPr>
          </w:p>
          <w:p>
            <w:pPr>
              <w:pStyle w:val="2"/>
              <w:rPr>
                <w:sz w:val="24"/>
              </w:rPr>
            </w:pPr>
          </w:p>
          <w:p>
            <w:pPr>
              <w:pStyle w:val="2"/>
              <w:ind w:left="0" w:leftChars="0" w:firstLine="0" w:firstLineChars="0"/>
              <w:rPr>
                <w:sz w:val="24"/>
              </w:rPr>
            </w:pPr>
          </w:p>
        </w:tc>
      </w:tr>
    </w:tbl>
    <w:p>
      <w:pPr>
        <w:pStyle w:val="6"/>
        <w:keepNext w:val="0"/>
        <w:keepLines w:val="0"/>
        <w:pageBreakBefore w:val="0"/>
        <w:widowControl w:val="0"/>
        <w:kinsoku/>
        <w:wordWrap/>
        <w:topLinePunct w:val="0"/>
        <w:bidi w:val="0"/>
        <w:spacing w:before="42" w:after="2"/>
        <w:rPr>
          <w:rFonts w:hint="eastAsia"/>
          <w:lang w:val="en-US" w:eastAsia="zh-CN"/>
        </w:rPr>
      </w:pPr>
      <w:r>
        <w:rPr>
          <w:rFonts w:hint="eastAsia"/>
          <w:lang w:val="en-US" w:eastAsia="zh-CN"/>
        </w:rPr>
        <w:t>9结论和建议</w:t>
      </w:r>
    </w:p>
    <w:tbl>
      <w:tblPr>
        <w:tblStyle w:val="17"/>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24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000" w:type="pct"/>
            <w:noWrap w:val="0"/>
            <w:vAlign w:val="center"/>
          </w:tcPr>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rFonts w:hint="eastAsia"/>
                <w:b/>
                <w:bCs/>
                <w:kern w:val="24"/>
                <w:szCs w:val="24"/>
                <w:lang w:val="en-US" w:eastAsia="zh-CN"/>
              </w:rPr>
            </w:pPr>
            <w:r>
              <w:rPr>
                <w:rFonts w:hint="eastAsia"/>
                <w:b/>
                <w:bCs/>
                <w:kern w:val="24"/>
                <w:szCs w:val="24"/>
                <w:lang w:val="en-US" w:eastAsia="zh-CN"/>
              </w:rPr>
              <w:t>9.1结论</w:t>
            </w:r>
          </w:p>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b/>
                <w:bCs/>
                <w:kern w:val="24"/>
                <w:szCs w:val="24"/>
              </w:rPr>
            </w:pPr>
            <w:r>
              <w:rPr>
                <w:rFonts w:hint="eastAsia"/>
                <w:b/>
                <w:bCs/>
                <w:kern w:val="24"/>
                <w:szCs w:val="24"/>
                <w:lang w:val="en-US" w:eastAsia="zh-CN"/>
              </w:rPr>
              <w:t>9.1.1</w:t>
            </w:r>
            <w:r>
              <w:rPr>
                <w:b/>
                <w:bCs/>
                <w:kern w:val="24"/>
                <w:szCs w:val="24"/>
              </w:rPr>
              <w:t>工程概况</w:t>
            </w:r>
          </w:p>
          <w:p>
            <w:pPr>
              <w:pStyle w:val="23"/>
              <w:spacing w:line="360" w:lineRule="auto"/>
              <w:ind w:firstLine="480"/>
              <w:jc w:val="left"/>
              <w:rPr>
                <w:rFonts w:ascii="Times New Roman" w:eastAsiaTheme="minorEastAsia"/>
                <w:kern w:val="2"/>
                <w:sz w:val="24"/>
                <w:szCs w:val="24"/>
              </w:rPr>
            </w:pPr>
            <w:r>
              <w:rPr>
                <w:rFonts w:hint="eastAsia" w:ascii="Times New Roman" w:hAnsi="Times New Roman" w:cs="Times New Roman"/>
                <w:color w:val="auto"/>
                <w:sz w:val="24"/>
                <w:lang w:eastAsia="zh-CN"/>
              </w:rPr>
              <w:t>本项目</w:t>
            </w:r>
            <w:r>
              <w:rPr>
                <w:rFonts w:hint="default" w:ascii="Times New Roman" w:hAnsi="Times New Roman" w:cs="Times New Roman"/>
                <w:color w:val="auto"/>
                <w:sz w:val="24"/>
                <w:lang w:eastAsia="zh-CN"/>
              </w:rPr>
              <w:t>为薛家畔</w:t>
            </w:r>
            <w:r>
              <w:rPr>
                <w:rFonts w:hint="eastAsia" w:cs="Times New Roman"/>
                <w:color w:val="auto"/>
                <w:sz w:val="24"/>
                <w:lang w:eastAsia="zh-CN"/>
              </w:rPr>
              <w:t>、</w:t>
            </w:r>
            <w:r>
              <w:rPr>
                <w:rFonts w:hint="default" w:ascii="Times New Roman" w:hAnsi="Times New Roman" w:cs="Times New Roman"/>
                <w:color w:val="auto"/>
                <w:sz w:val="24"/>
                <w:lang w:eastAsia="zh-CN"/>
              </w:rPr>
              <w:t>李家畔、</w:t>
            </w:r>
            <w:r>
              <w:rPr>
                <w:rFonts w:hint="eastAsia" w:cs="Times New Roman"/>
                <w:color w:val="auto"/>
                <w:sz w:val="24"/>
                <w:lang w:eastAsia="zh-CN"/>
              </w:rPr>
              <w:t>槐树峁</w:t>
            </w:r>
            <w:r>
              <w:rPr>
                <w:rFonts w:hint="default" w:ascii="Times New Roman" w:hAnsi="Times New Roman" w:cs="Times New Roman"/>
                <w:color w:val="auto"/>
                <w:sz w:val="24"/>
                <w:lang w:eastAsia="zh-CN"/>
              </w:rPr>
              <w:t>风电场送出</w:t>
            </w:r>
            <w:r>
              <w:rPr>
                <w:rFonts w:hint="eastAsia" w:cs="Times New Roman"/>
                <w:color w:val="auto"/>
                <w:sz w:val="24"/>
                <w:lang w:eastAsia="zh-CN"/>
              </w:rPr>
              <w:t>项目</w:t>
            </w:r>
            <w:r>
              <w:rPr>
                <w:rFonts w:hint="default" w:ascii="Times New Roman" w:hAnsi="Times New Roman" w:cs="Times New Roman"/>
                <w:color w:val="auto"/>
                <w:sz w:val="24"/>
                <w:lang w:eastAsia="zh-CN"/>
              </w:rPr>
              <w:t>。</w:t>
            </w:r>
            <w:r>
              <w:rPr>
                <w:rFonts w:hint="eastAsia" w:ascii="Times New Roman" w:eastAsiaTheme="minorEastAsia"/>
                <w:kern w:val="2"/>
                <w:sz w:val="24"/>
                <w:szCs w:val="24"/>
              </w:rPr>
              <w:t>线路起于老爷庙李家畔110kV升压站，</w:t>
            </w:r>
            <w:r>
              <w:rPr>
                <w:rFonts w:hint="eastAsia" w:ascii="Times New Roman" w:eastAsiaTheme="minorEastAsia"/>
                <w:kern w:val="2"/>
                <w:sz w:val="24"/>
                <w:szCs w:val="24"/>
                <w:lang w:eastAsia="zh-CN"/>
              </w:rPr>
              <w:t>前期</w:t>
            </w:r>
            <w:r>
              <w:rPr>
                <w:rFonts w:hint="eastAsia" w:ascii="Times New Roman" w:eastAsiaTheme="minorEastAsia"/>
                <w:kern w:val="2"/>
                <w:sz w:val="24"/>
                <w:szCs w:val="24"/>
              </w:rPr>
              <w:t>接入国电投110V升压站</w:t>
            </w:r>
            <w:r>
              <w:rPr>
                <w:rFonts w:hint="eastAsia" w:ascii="Times New Roman" w:eastAsiaTheme="minorEastAsia"/>
                <w:kern w:val="2"/>
                <w:sz w:val="24"/>
                <w:szCs w:val="24"/>
                <w:lang w:eastAsia="zh-CN"/>
              </w:rPr>
              <w:t>。</w:t>
            </w:r>
            <w:r>
              <w:rPr>
                <w:rFonts w:hint="eastAsia" w:ascii="Times New Roman" w:eastAsiaTheme="minorEastAsia"/>
                <w:kern w:val="2"/>
                <w:sz w:val="24"/>
                <w:szCs w:val="24"/>
              </w:rPr>
              <w:t>锦界330kV变电站</w:t>
            </w:r>
            <w:r>
              <w:rPr>
                <w:rFonts w:hint="eastAsia" w:ascii="Times New Roman" w:eastAsiaTheme="minorEastAsia"/>
                <w:kern w:val="2"/>
                <w:sz w:val="24"/>
                <w:szCs w:val="24"/>
                <w:lang w:eastAsia="zh-CN"/>
              </w:rPr>
              <w:t>建成后</w:t>
            </w:r>
            <w:r>
              <w:rPr>
                <w:rFonts w:hint="eastAsia" w:ascii="Times New Roman" w:eastAsiaTheme="minorEastAsia"/>
                <w:kern w:val="2"/>
                <w:sz w:val="24"/>
                <w:szCs w:val="24"/>
              </w:rPr>
              <w:t>接入锦界330kV变电站</w:t>
            </w:r>
            <w:r>
              <w:rPr>
                <w:rFonts w:hint="eastAsia" w:ascii="Times New Roman" w:eastAsiaTheme="minorEastAsia"/>
                <w:kern w:val="2"/>
                <w:sz w:val="24"/>
                <w:szCs w:val="24"/>
                <w:lang w:eastAsia="zh-CN"/>
              </w:rPr>
              <w:t>建成后</w:t>
            </w:r>
            <w:r>
              <w:rPr>
                <w:rFonts w:hint="eastAsia" w:ascii="Times New Roman" w:eastAsiaTheme="minorEastAsia"/>
                <w:kern w:val="2"/>
                <w:sz w:val="24"/>
                <w:szCs w:val="24"/>
              </w:rPr>
              <w:t>。李家畔110kV升压站</w:t>
            </w:r>
            <w:r>
              <w:rPr>
                <w:rFonts w:hint="eastAsia" w:ascii="Times New Roman" w:eastAsiaTheme="minorEastAsia"/>
                <w:kern w:val="2"/>
                <w:sz w:val="24"/>
                <w:szCs w:val="24"/>
                <w:lang w:eastAsia="zh-CN"/>
              </w:rPr>
              <w:t>至国电投</w:t>
            </w:r>
            <w:r>
              <w:rPr>
                <w:rFonts w:hint="eastAsia" w:ascii="Times New Roman" w:eastAsiaTheme="minorEastAsia"/>
                <w:kern w:val="2"/>
                <w:sz w:val="24"/>
                <w:szCs w:val="24"/>
                <w:lang w:val="en-US" w:eastAsia="zh-CN"/>
              </w:rPr>
              <w:t>110kv</w:t>
            </w:r>
            <w:r>
              <w:rPr>
                <w:rFonts w:hint="eastAsia" w:ascii="Times New Roman" w:eastAsiaTheme="minorEastAsia"/>
                <w:kern w:val="2"/>
                <w:sz w:val="24"/>
                <w:szCs w:val="24"/>
              </w:rPr>
              <w:t>升压站线路路径长约19.61m，国电投110kv升压站</w:t>
            </w:r>
            <w:r>
              <w:rPr>
                <w:rFonts w:hint="eastAsia" w:ascii="Times New Roman" w:eastAsiaTheme="minorEastAsia"/>
                <w:kern w:val="2"/>
                <w:sz w:val="24"/>
                <w:szCs w:val="24"/>
                <w:lang w:eastAsia="zh-CN"/>
              </w:rPr>
              <w:t>至</w:t>
            </w:r>
            <w:r>
              <w:rPr>
                <w:rFonts w:hint="eastAsia" w:ascii="Times New Roman" w:eastAsiaTheme="minorEastAsia"/>
                <w:kern w:val="2"/>
                <w:sz w:val="24"/>
                <w:szCs w:val="24"/>
              </w:rPr>
              <w:t>330kV变电站线路路径长约7.9km。路径总长约27.5km。本项目线路采用单回架空出线，导线采用2×LGJ-300/40钢芯铝绞线。项目总投资3460万元，项目环保投资90.5万元，占总投资的2.6%。</w:t>
            </w:r>
          </w:p>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rFonts w:hint="eastAsia"/>
                <w:b/>
                <w:bCs/>
                <w:kern w:val="24"/>
                <w:szCs w:val="24"/>
                <w:lang w:val="en-US" w:eastAsia="zh-CN"/>
              </w:rPr>
            </w:pPr>
            <w:r>
              <w:rPr>
                <w:rFonts w:hint="eastAsia"/>
                <w:b/>
                <w:bCs/>
                <w:kern w:val="24"/>
                <w:szCs w:val="24"/>
                <w:lang w:val="en-US" w:eastAsia="zh-CN"/>
              </w:rPr>
              <w:t>9.1.2主要环境保护目标</w:t>
            </w:r>
          </w:p>
          <w:p>
            <w:pPr>
              <w:ind w:firstLine="480" w:firstLineChars="200"/>
              <w:jc w:val="both"/>
              <w:rPr>
                <w:kern w:val="24"/>
                <w:highlight w:val="yellow"/>
              </w:rPr>
            </w:pPr>
            <w:r>
              <w:rPr>
                <w:bCs w:val="0"/>
                <w:kern w:val="24"/>
              </w:rPr>
              <w:t>根据现场踏勘，输电线路电磁环境、声环境及生态环境评价范围内无环境保护目标。</w:t>
            </w:r>
          </w:p>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rFonts w:hint="eastAsia"/>
                <w:b/>
                <w:bCs/>
                <w:kern w:val="24"/>
                <w:szCs w:val="24"/>
                <w:lang w:val="en-US" w:eastAsia="zh-CN"/>
              </w:rPr>
            </w:pPr>
            <w:r>
              <w:rPr>
                <w:rFonts w:hint="eastAsia"/>
                <w:b/>
                <w:bCs/>
                <w:kern w:val="24"/>
                <w:szCs w:val="24"/>
                <w:lang w:val="en-US" w:eastAsia="zh-CN"/>
              </w:rPr>
              <w:t>9.1.3工程可行性分析</w:t>
            </w:r>
          </w:p>
          <w:p>
            <w:pPr>
              <w:pStyle w:val="8"/>
              <w:tabs>
                <w:tab w:val="left" w:pos="6180"/>
              </w:tabs>
              <w:adjustRightInd/>
              <w:spacing w:line="360" w:lineRule="auto"/>
              <w:ind w:firstLine="480" w:firstLineChars="200"/>
              <w:rPr>
                <w:bCs/>
                <w:kern w:val="24"/>
                <w:szCs w:val="24"/>
              </w:rPr>
            </w:pPr>
            <w:r>
              <w:rPr>
                <w:bCs/>
                <w:kern w:val="24"/>
                <w:szCs w:val="24"/>
              </w:rPr>
              <w:fldChar w:fldCharType="begin"/>
            </w:r>
            <w:r>
              <w:rPr>
                <w:bCs/>
                <w:kern w:val="24"/>
                <w:szCs w:val="24"/>
              </w:rPr>
              <w:instrText xml:space="preserve"> = 1 \* GB2 </w:instrText>
            </w:r>
            <w:r>
              <w:rPr>
                <w:bCs/>
                <w:kern w:val="24"/>
                <w:szCs w:val="24"/>
              </w:rPr>
              <w:fldChar w:fldCharType="separate"/>
            </w:r>
            <w:r>
              <w:rPr>
                <w:rFonts w:hint="eastAsia" w:ascii="宋体" w:hAnsi="宋体" w:cs="宋体"/>
                <w:bCs/>
                <w:kern w:val="24"/>
                <w:szCs w:val="24"/>
              </w:rPr>
              <w:t>⑴</w:t>
            </w:r>
            <w:r>
              <w:rPr>
                <w:bCs/>
                <w:kern w:val="24"/>
                <w:szCs w:val="24"/>
              </w:rPr>
              <w:fldChar w:fldCharType="end"/>
            </w:r>
            <w:r>
              <w:rPr>
                <w:bCs/>
                <w:kern w:val="24"/>
                <w:szCs w:val="24"/>
              </w:rPr>
              <w:t xml:space="preserve"> 产业政策符合性分析</w:t>
            </w:r>
          </w:p>
          <w:p>
            <w:pPr>
              <w:pStyle w:val="27"/>
              <w:keepNext w:val="0"/>
              <w:keepLines w:val="0"/>
              <w:pageBreakBefore w:val="0"/>
              <w:widowControl w:val="0"/>
              <w:kinsoku/>
              <w:wordWrap/>
              <w:topLinePunct w:val="0"/>
              <w:bidi w:val="0"/>
              <w:spacing w:before="3" w:line="364" w:lineRule="auto"/>
              <w:ind w:left="107" w:right="75" w:firstLine="480"/>
              <w:jc w:val="both"/>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本项目为风力发电配套</w:t>
            </w:r>
            <w:r>
              <w:rPr>
                <w:rFonts w:hint="eastAsia" w:ascii="Times New Roman" w:hAnsi="Times New Roman" w:cs="Times New Roman" w:eastAsiaTheme="minorEastAsia"/>
                <w:color w:val="auto"/>
                <w:sz w:val="24"/>
                <w:lang w:eastAsia="zh-CN"/>
              </w:rPr>
              <w:t>项目</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eastAsia="zh-CN"/>
              </w:rPr>
              <w:t>对照</w:t>
            </w:r>
            <w:r>
              <w:rPr>
                <w:rFonts w:hint="default" w:ascii="Times New Roman" w:hAnsi="Times New Roman" w:cs="Times New Roman" w:eastAsiaTheme="minorEastAsia"/>
                <w:color w:val="auto"/>
                <w:kern w:val="2"/>
              </w:rPr>
              <w:t>《产业结构调整指导目录（2019年本）》（2019年10月30日国家发展和改革委员会第29号令），该</w:t>
            </w:r>
            <w:r>
              <w:rPr>
                <w:rFonts w:hint="eastAsia" w:ascii="Times New Roman" w:hAnsi="Times New Roman" w:cs="Times New Roman" w:eastAsiaTheme="minorEastAsia"/>
                <w:color w:val="auto"/>
                <w:kern w:val="2"/>
                <w:lang w:eastAsia="zh-CN"/>
              </w:rPr>
              <w:t>项目</w:t>
            </w:r>
            <w:r>
              <w:rPr>
                <w:rFonts w:hint="default" w:ascii="Times New Roman" w:hAnsi="Times New Roman" w:cs="Times New Roman" w:eastAsiaTheme="minorEastAsia"/>
                <w:color w:val="auto"/>
                <w:kern w:val="2"/>
              </w:rPr>
              <w:t>属于“四、电力 10、电网改造与建设，增量配电网建设”，为鼓励类项目</w:t>
            </w:r>
            <w:r>
              <w:rPr>
                <w:rFonts w:hint="default" w:ascii="Times New Roman" w:hAnsi="Times New Roman" w:cs="Times New Roman" w:eastAsiaTheme="minorEastAsia"/>
                <w:color w:val="auto"/>
                <w:sz w:val="24"/>
              </w:rPr>
              <w:t>，因此本项目的建设符合国家产业政策。</w:t>
            </w:r>
          </w:p>
          <w:p>
            <w:pPr>
              <w:pStyle w:val="8"/>
              <w:tabs>
                <w:tab w:val="left" w:pos="6180"/>
              </w:tabs>
              <w:adjustRightInd/>
              <w:spacing w:line="360" w:lineRule="auto"/>
              <w:ind w:firstLine="480" w:firstLineChars="200"/>
              <w:rPr>
                <w:bCs/>
                <w:kern w:val="24"/>
                <w:szCs w:val="24"/>
              </w:rPr>
            </w:pPr>
            <w:r>
              <w:rPr>
                <w:bCs/>
                <w:kern w:val="24"/>
                <w:szCs w:val="24"/>
              </w:rPr>
              <w:fldChar w:fldCharType="begin"/>
            </w:r>
            <w:r>
              <w:rPr>
                <w:bCs/>
                <w:kern w:val="24"/>
                <w:szCs w:val="24"/>
              </w:rPr>
              <w:instrText xml:space="preserve"> = 2 \* GB2 </w:instrText>
            </w:r>
            <w:r>
              <w:rPr>
                <w:bCs/>
                <w:kern w:val="24"/>
                <w:szCs w:val="24"/>
              </w:rPr>
              <w:fldChar w:fldCharType="separate"/>
            </w:r>
            <w:r>
              <w:rPr>
                <w:rFonts w:hint="eastAsia" w:ascii="宋体" w:hAnsi="宋体" w:cs="宋体"/>
                <w:bCs/>
                <w:kern w:val="24"/>
                <w:szCs w:val="24"/>
              </w:rPr>
              <w:t>⑵</w:t>
            </w:r>
            <w:r>
              <w:rPr>
                <w:bCs/>
                <w:kern w:val="24"/>
                <w:szCs w:val="24"/>
              </w:rPr>
              <w:fldChar w:fldCharType="end"/>
            </w:r>
            <w:r>
              <w:rPr>
                <w:bCs/>
                <w:kern w:val="24"/>
                <w:szCs w:val="24"/>
              </w:rPr>
              <w:t xml:space="preserve"> 与规划的符合性分析</w:t>
            </w:r>
          </w:p>
          <w:p>
            <w:pPr>
              <w:ind w:firstLine="560"/>
              <w:jc w:val="both"/>
            </w:pPr>
            <w:r>
              <w:t>本</w:t>
            </w:r>
            <w:r>
              <w:rPr>
                <w:rFonts w:hint="eastAsia"/>
                <w:lang w:eastAsia="zh-CN"/>
              </w:rPr>
              <w:t>项目</w:t>
            </w:r>
            <w:r>
              <w:t>建设符合《榆林市经济社会发展总体规划（2016～2030年）》、</w:t>
            </w:r>
            <w:r>
              <w:rPr>
                <w:bCs w:val="0"/>
              </w:rPr>
              <w:t>《神木县国民经济和社会发展第十三个五年规划纲要（2016</w:t>
            </w:r>
            <w:r>
              <w:rPr>
                <w:kern w:val="24"/>
              </w:rPr>
              <w:t>～2020年</w:t>
            </w:r>
            <w:r>
              <w:rPr>
                <w:bCs w:val="0"/>
              </w:rPr>
              <w:t>）》</w:t>
            </w:r>
            <w:r>
              <w:t>等区域发展规划，符合榆林市</w:t>
            </w:r>
            <w:r>
              <w:rPr>
                <w:rFonts w:hint="eastAsia" w:ascii="宋体" w:hAnsi="宋体"/>
              </w:rPr>
              <w:t>生态红线</w:t>
            </w:r>
            <w:r>
              <w:rPr>
                <w:rFonts w:ascii="宋体" w:hAnsi="宋体"/>
              </w:rPr>
              <w:t>及“三线一单”</w:t>
            </w:r>
            <w:r>
              <w:t>等相关规划及要求。本</w:t>
            </w:r>
            <w:r>
              <w:rPr>
                <w:rFonts w:hint="eastAsia"/>
                <w:lang w:eastAsia="zh-CN"/>
              </w:rPr>
              <w:t>项目</w:t>
            </w:r>
            <w:r>
              <w:t>建成后，可提高该区域的供电质量，优化电网结构，符合周边电网规划。</w:t>
            </w:r>
          </w:p>
          <w:p>
            <w:pPr>
              <w:pStyle w:val="8"/>
              <w:tabs>
                <w:tab w:val="left" w:pos="6180"/>
              </w:tabs>
              <w:adjustRightInd/>
              <w:spacing w:line="360" w:lineRule="auto"/>
              <w:ind w:firstLine="480" w:firstLineChars="200"/>
              <w:rPr>
                <w:szCs w:val="22"/>
              </w:rPr>
            </w:pPr>
            <w:r>
              <w:rPr>
                <w:bCs/>
                <w:kern w:val="24"/>
                <w:szCs w:val="24"/>
              </w:rPr>
              <w:fldChar w:fldCharType="begin"/>
            </w:r>
            <w:r>
              <w:rPr>
                <w:bCs/>
                <w:kern w:val="24"/>
                <w:szCs w:val="24"/>
              </w:rPr>
              <w:instrText xml:space="preserve"> = 3 \* GB2 </w:instrText>
            </w:r>
            <w:r>
              <w:rPr>
                <w:bCs/>
                <w:kern w:val="24"/>
                <w:szCs w:val="24"/>
              </w:rPr>
              <w:fldChar w:fldCharType="separate"/>
            </w:r>
            <w:r>
              <w:rPr>
                <w:rFonts w:hint="eastAsia" w:ascii="宋体" w:hAnsi="宋体" w:cs="宋体"/>
                <w:bCs/>
                <w:kern w:val="24"/>
                <w:szCs w:val="24"/>
              </w:rPr>
              <w:t>⑶</w:t>
            </w:r>
            <w:r>
              <w:rPr>
                <w:bCs/>
                <w:kern w:val="24"/>
                <w:szCs w:val="24"/>
              </w:rPr>
              <w:fldChar w:fldCharType="end"/>
            </w:r>
            <w:r>
              <w:rPr>
                <w:bCs/>
                <w:kern w:val="24"/>
                <w:szCs w:val="24"/>
              </w:rPr>
              <w:t xml:space="preserve"> 选线可行性分析</w:t>
            </w:r>
          </w:p>
          <w:p>
            <w:pPr>
              <w:ind w:firstLine="480" w:firstLineChars="200"/>
              <w:jc w:val="both"/>
              <w:rPr>
                <w:snapToGrid w:val="0"/>
              </w:rPr>
            </w:pPr>
            <w:r>
              <w:rPr>
                <w:kern w:val="24"/>
              </w:rPr>
              <w:t>拟建输电线路沿线为灌木林地，地势较为平坦，</w:t>
            </w:r>
            <w:r>
              <w:rPr>
                <w:snapToGrid w:val="0"/>
              </w:rPr>
              <w:t>线路避让了密集居民区、文教区及重要通讯设施等，沿线无电磁及声环境保护目标，</w:t>
            </w:r>
            <w:r>
              <w:rPr>
                <w:kern w:val="24"/>
              </w:rPr>
              <w:t>选线符合榆林市生态红线</w:t>
            </w:r>
            <w:r>
              <w:rPr>
                <w:snapToGrid w:val="0"/>
              </w:rPr>
              <w:t>。从环境保护角度看，输电线路选线基本可行。</w:t>
            </w:r>
          </w:p>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rFonts w:hint="eastAsia"/>
                <w:b/>
                <w:bCs/>
                <w:kern w:val="24"/>
                <w:szCs w:val="24"/>
                <w:lang w:val="en-US" w:eastAsia="zh-CN"/>
              </w:rPr>
            </w:pPr>
            <w:r>
              <w:rPr>
                <w:rFonts w:hint="eastAsia"/>
                <w:b/>
                <w:bCs/>
                <w:kern w:val="24"/>
                <w:szCs w:val="24"/>
                <w:lang w:val="en-US" w:eastAsia="zh-CN"/>
              </w:rPr>
              <w:t>9.1.4环境质量现状</w:t>
            </w:r>
          </w:p>
          <w:p>
            <w:pPr>
              <w:pStyle w:val="8"/>
              <w:tabs>
                <w:tab w:val="left" w:pos="6180"/>
              </w:tabs>
              <w:adjustRightInd/>
              <w:spacing w:line="360" w:lineRule="auto"/>
              <w:ind w:firstLine="480" w:firstLineChars="200"/>
              <w:rPr>
                <w:bCs/>
                <w:kern w:val="24"/>
                <w:szCs w:val="24"/>
              </w:rPr>
            </w:pPr>
            <w:r>
              <w:rPr>
                <w:bCs/>
                <w:kern w:val="24"/>
                <w:szCs w:val="24"/>
              </w:rPr>
              <w:fldChar w:fldCharType="begin"/>
            </w:r>
            <w:r>
              <w:rPr>
                <w:bCs/>
                <w:kern w:val="24"/>
                <w:szCs w:val="24"/>
              </w:rPr>
              <w:instrText xml:space="preserve"> = 1 \* GB2 </w:instrText>
            </w:r>
            <w:r>
              <w:rPr>
                <w:bCs/>
                <w:kern w:val="24"/>
                <w:szCs w:val="24"/>
              </w:rPr>
              <w:fldChar w:fldCharType="separate"/>
            </w:r>
            <w:r>
              <w:rPr>
                <w:rFonts w:hint="eastAsia" w:ascii="宋体" w:hAnsi="宋体" w:cs="宋体"/>
                <w:bCs/>
                <w:kern w:val="24"/>
                <w:szCs w:val="24"/>
              </w:rPr>
              <w:t>⑴</w:t>
            </w:r>
            <w:r>
              <w:rPr>
                <w:bCs/>
                <w:kern w:val="24"/>
                <w:szCs w:val="24"/>
              </w:rPr>
              <w:fldChar w:fldCharType="end"/>
            </w:r>
            <w:r>
              <w:rPr>
                <w:bCs/>
                <w:kern w:val="24"/>
                <w:szCs w:val="24"/>
              </w:rPr>
              <w:t xml:space="preserve"> 电磁环境质量现状</w:t>
            </w:r>
          </w:p>
          <w:p>
            <w:pPr>
              <w:ind w:firstLine="480" w:firstLineChars="200"/>
              <w:jc w:val="both"/>
              <w:rPr>
                <w:kern w:val="24"/>
              </w:rPr>
            </w:pPr>
            <w:r>
              <w:rPr>
                <w:kern w:val="24"/>
              </w:rPr>
              <w:t>本次采用现场实测的方式调查</w:t>
            </w:r>
            <w:r>
              <w:rPr>
                <w:rFonts w:hint="eastAsia"/>
                <w:kern w:val="24"/>
                <w:lang w:eastAsia="zh-CN"/>
              </w:rPr>
              <w:t>项目</w:t>
            </w:r>
            <w:r>
              <w:rPr>
                <w:kern w:val="24"/>
              </w:rPr>
              <w:t>所处区域的电磁环境现状，监测点位布设于</w:t>
            </w:r>
            <w:r>
              <w:rPr>
                <w:rFonts w:hint="eastAsia"/>
                <w:kern w:val="24"/>
              </w:rPr>
              <w:t>J7塔基</w:t>
            </w:r>
            <w:r>
              <w:rPr>
                <w:rFonts w:hint="eastAsia"/>
                <w:kern w:val="24"/>
                <w:lang w:eastAsia="zh-CN"/>
              </w:rPr>
              <w:t>、</w:t>
            </w:r>
            <w:r>
              <w:rPr>
                <w:rFonts w:hint="eastAsia"/>
                <w:kern w:val="24"/>
              </w:rPr>
              <w:t>J17-ZC18塔中心线下</w:t>
            </w:r>
            <w:r>
              <w:rPr>
                <w:rFonts w:hint="eastAsia"/>
                <w:kern w:val="24"/>
                <w:lang w:eastAsia="zh-CN"/>
              </w:rPr>
              <w:t>、</w:t>
            </w:r>
            <w:r>
              <w:rPr>
                <w:rFonts w:hint="eastAsia"/>
                <w:kern w:val="24"/>
              </w:rPr>
              <w:t>JE53塔基</w:t>
            </w:r>
            <w:r>
              <w:rPr>
                <w:kern w:val="24"/>
              </w:rPr>
              <w:t>，共布设点位3个。</w:t>
            </w:r>
          </w:p>
          <w:p>
            <w:pPr>
              <w:ind w:firstLine="480" w:firstLineChars="200"/>
              <w:jc w:val="both"/>
              <w:rPr>
                <w:kern w:val="24"/>
                <w:highlight w:val="red"/>
              </w:rPr>
            </w:pPr>
            <w:r>
              <w:rPr>
                <w:kern w:val="24"/>
              </w:rPr>
              <w:t>监测结果表明</w:t>
            </w:r>
            <w:r>
              <w:rPr>
                <w:kern w:val="24"/>
                <w:highlight w:val="none"/>
              </w:rPr>
              <w:t>：</w:t>
            </w:r>
            <w:r>
              <w:rPr>
                <w:color w:val="auto"/>
                <w:kern w:val="24"/>
                <w:highlight w:val="none"/>
              </w:rPr>
              <w:t>线路沿线各监测点的工频电场强度为</w:t>
            </w:r>
            <w:r>
              <w:rPr>
                <w:highlight w:val="none"/>
              </w:rPr>
              <w:t>为</w:t>
            </w:r>
            <w:r>
              <w:rPr>
                <w:rFonts w:hint="eastAsia"/>
                <w:highlight w:val="none"/>
                <w:lang w:val="en-US" w:eastAsia="zh-CN"/>
              </w:rPr>
              <w:t>17.90</w:t>
            </w:r>
            <w:r>
              <w:t>～</w:t>
            </w:r>
            <w:r>
              <w:rPr>
                <w:rFonts w:hint="eastAsia"/>
                <w:lang w:val="en-US" w:eastAsia="zh-CN"/>
              </w:rPr>
              <w:t>19.56</w:t>
            </w:r>
            <w:r>
              <w:t>V/m，工频磁感应强度为0.0</w:t>
            </w:r>
            <w:r>
              <w:rPr>
                <w:rFonts w:hint="eastAsia"/>
                <w:lang w:val="en-US" w:eastAsia="zh-CN"/>
              </w:rPr>
              <w:t>61</w:t>
            </w:r>
            <w:r>
              <w:t>～0.0</w:t>
            </w:r>
            <w:r>
              <w:rPr>
                <w:rFonts w:hint="eastAsia"/>
                <w:lang w:val="en-US" w:eastAsia="zh-CN"/>
              </w:rPr>
              <w:t>70</w:t>
            </w:r>
            <w:r>
              <w:t>μT。</w:t>
            </w:r>
            <w:r>
              <w:rPr>
                <w:kern w:val="24"/>
              </w:rPr>
              <w:t>各监测点监测值均满足《电磁环境控制限值》（GB8702-2014）中规定的标准限值要求。</w:t>
            </w:r>
            <w:r>
              <w:rPr>
                <w:bCs w:val="0"/>
                <w:kern w:val="24"/>
              </w:rPr>
              <w:t>区域的电磁环境状况良好。</w:t>
            </w:r>
          </w:p>
          <w:p>
            <w:pPr>
              <w:pStyle w:val="8"/>
              <w:tabs>
                <w:tab w:val="left" w:pos="6180"/>
              </w:tabs>
              <w:adjustRightInd/>
              <w:spacing w:line="360" w:lineRule="auto"/>
              <w:ind w:firstLine="480" w:firstLineChars="200"/>
              <w:rPr>
                <w:bCs/>
                <w:kern w:val="24"/>
                <w:szCs w:val="24"/>
              </w:rPr>
            </w:pPr>
            <w:r>
              <w:rPr>
                <w:bCs/>
                <w:kern w:val="24"/>
                <w:szCs w:val="24"/>
              </w:rPr>
              <w:fldChar w:fldCharType="begin"/>
            </w:r>
            <w:r>
              <w:rPr>
                <w:bCs/>
                <w:kern w:val="24"/>
                <w:szCs w:val="24"/>
              </w:rPr>
              <w:instrText xml:space="preserve"> = 2 \* GB2 </w:instrText>
            </w:r>
            <w:r>
              <w:rPr>
                <w:bCs/>
                <w:kern w:val="24"/>
                <w:szCs w:val="24"/>
              </w:rPr>
              <w:fldChar w:fldCharType="separate"/>
            </w:r>
            <w:r>
              <w:rPr>
                <w:rFonts w:hint="eastAsia" w:ascii="宋体" w:hAnsi="宋体" w:cs="宋体"/>
                <w:bCs/>
                <w:kern w:val="24"/>
                <w:szCs w:val="24"/>
              </w:rPr>
              <w:t>⑵</w:t>
            </w:r>
            <w:r>
              <w:rPr>
                <w:bCs/>
                <w:kern w:val="24"/>
                <w:szCs w:val="24"/>
              </w:rPr>
              <w:fldChar w:fldCharType="end"/>
            </w:r>
            <w:r>
              <w:rPr>
                <w:bCs/>
                <w:kern w:val="24"/>
                <w:szCs w:val="24"/>
              </w:rPr>
              <w:t xml:space="preserve"> 声环境质量现状</w:t>
            </w:r>
          </w:p>
          <w:p>
            <w:pPr>
              <w:ind w:firstLine="480" w:firstLineChars="200"/>
              <w:jc w:val="both"/>
              <w:rPr>
                <w:kern w:val="24"/>
              </w:rPr>
            </w:pPr>
            <w:r>
              <w:rPr>
                <w:kern w:val="24"/>
              </w:rPr>
              <w:t>本次采用现场实测的方式调查</w:t>
            </w:r>
            <w:r>
              <w:rPr>
                <w:rFonts w:hint="eastAsia"/>
                <w:kern w:val="24"/>
                <w:lang w:eastAsia="zh-CN"/>
              </w:rPr>
              <w:t>项目</w:t>
            </w:r>
            <w:r>
              <w:rPr>
                <w:kern w:val="24"/>
              </w:rPr>
              <w:t>所处区域的电磁环境现状，监测点位分别布设于</w:t>
            </w:r>
            <w:r>
              <w:rPr>
                <w:rFonts w:hint="eastAsia"/>
                <w:kern w:val="24"/>
              </w:rPr>
              <w:t>J7塔基</w:t>
            </w:r>
            <w:r>
              <w:rPr>
                <w:rFonts w:hint="eastAsia"/>
                <w:kern w:val="24"/>
                <w:lang w:eastAsia="zh-CN"/>
              </w:rPr>
              <w:t>、</w:t>
            </w:r>
            <w:r>
              <w:rPr>
                <w:rFonts w:hint="eastAsia"/>
                <w:kern w:val="24"/>
              </w:rPr>
              <w:t>J17-ZC18塔中心线下</w:t>
            </w:r>
            <w:r>
              <w:rPr>
                <w:rFonts w:hint="eastAsia"/>
                <w:kern w:val="24"/>
                <w:lang w:eastAsia="zh-CN"/>
              </w:rPr>
              <w:t>、</w:t>
            </w:r>
            <w:r>
              <w:rPr>
                <w:rFonts w:hint="eastAsia"/>
                <w:kern w:val="24"/>
              </w:rPr>
              <w:t>JE53塔基</w:t>
            </w:r>
            <w:r>
              <w:rPr>
                <w:kern w:val="24"/>
              </w:rPr>
              <w:t>，共布设点位3个。</w:t>
            </w:r>
          </w:p>
          <w:p>
            <w:pPr>
              <w:ind w:firstLine="480" w:firstLineChars="200"/>
              <w:jc w:val="both"/>
              <w:rPr>
                <w:bCs w:val="0"/>
                <w:kern w:val="24"/>
                <w:highlight w:val="red"/>
              </w:rPr>
            </w:pPr>
            <w:r>
              <w:rPr>
                <w:bCs w:val="0"/>
                <w:kern w:val="24"/>
              </w:rPr>
              <w:t>监测结果</w:t>
            </w:r>
            <w:r>
              <w:rPr>
                <w:bCs w:val="0"/>
                <w:kern w:val="24"/>
                <w:highlight w:val="none"/>
              </w:rPr>
              <w:t>表明：</w:t>
            </w:r>
            <w:r>
              <w:rPr>
                <w:kern w:val="24"/>
                <w:highlight w:val="none"/>
              </w:rPr>
              <w:t>线路沿线各监测点的</w:t>
            </w:r>
            <w:r>
              <w:rPr>
                <w:bCs w:val="0"/>
                <w:kern w:val="24"/>
                <w:highlight w:val="none"/>
              </w:rPr>
              <w:t>昼间噪声监测值为3</w:t>
            </w:r>
            <w:r>
              <w:rPr>
                <w:rFonts w:hint="eastAsia"/>
                <w:bCs w:val="0"/>
                <w:kern w:val="24"/>
                <w:highlight w:val="none"/>
                <w:lang w:val="en-US" w:eastAsia="zh-CN"/>
              </w:rPr>
              <w:t>7</w:t>
            </w:r>
            <w:r>
              <w:rPr>
                <w:bCs w:val="0"/>
                <w:kern w:val="24"/>
                <w:highlight w:val="none"/>
              </w:rPr>
              <w:t>～</w:t>
            </w:r>
            <w:r>
              <w:rPr>
                <w:rFonts w:hint="eastAsia"/>
                <w:bCs w:val="0"/>
                <w:kern w:val="24"/>
                <w:highlight w:val="none"/>
                <w:lang w:val="en-US" w:eastAsia="zh-CN"/>
              </w:rPr>
              <w:t>38</w:t>
            </w:r>
            <w:r>
              <w:rPr>
                <w:bCs w:val="0"/>
                <w:kern w:val="24"/>
                <w:highlight w:val="none"/>
              </w:rPr>
              <w:t>dB(A)，夜间噪声监测值为3</w:t>
            </w:r>
            <w:r>
              <w:rPr>
                <w:rFonts w:hint="eastAsia"/>
                <w:bCs w:val="0"/>
                <w:kern w:val="24"/>
                <w:highlight w:val="none"/>
                <w:lang w:val="en-US" w:eastAsia="zh-CN"/>
              </w:rPr>
              <w:t>3</w:t>
            </w:r>
            <w:r>
              <w:rPr>
                <w:bCs w:val="0"/>
                <w:kern w:val="24"/>
                <w:highlight w:val="none"/>
              </w:rPr>
              <w:t>～3</w:t>
            </w:r>
            <w:r>
              <w:rPr>
                <w:rFonts w:hint="eastAsia"/>
                <w:bCs w:val="0"/>
                <w:kern w:val="24"/>
                <w:highlight w:val="none"/>
                <w:lang w:val="en-US" w:eastAsia="zh-CN"/>
              </w:rPr>
              <w:t>6</w:t>
            </w:r>
            <w:r>
              <w:rPr>
                <w:bCs w:val="0"/>
                <w:kern w:val="24"/>
                <w:highlight w:val="none"/>
              </w:rPr>
              <w:t>dB(A)。满足</w:t>
            </w:r>
            <w:r>
              <w:rPr>
                <w:bCs w:val="0"/>
                <w:kern w:val="24"/>
              </w:rPr>
              <w:t>《声环境质量标准》（GB3096-2008）中</w:t>
            </w:r>
            <w:r>
              <w:rPr>
                <w:rFonts w:hint="eastAsia"/>
                <w:bCs w:val="0"/>
                <w:kern w:val="24"/>
                <w:lang w:val="en-US" w:eastAsia="zh-CN"/>
              </w:rPr>
              <w:t>1</w:t>
            </w:r>
            <w:r>
              <w:rPr>
                <w:bCs w:val="0"/>
                <w:kern w:val="24"/>
              </w:rPr>
              <w:t>类标准限值要求。</w:t>
            </w:r>
          </w:p>
          <w:p>
            <w:pPr>
              <w:pStyle w:val="8"/>
              <w:tabs>
                <w:tab w:val="left" w:pos="6180"/>
              </w:tabs>
              <w:adjustRightInd/>
              <w:spacing w:line="360" w:lineRule="auto"/>
              <w:ind w:firstLine="480" w:firstLineChars="200"/>
              <w:rPr>
                <w:bCs/>
                <w:kern w:val="24"/>
                <w:szCs w:val="24"/>
              </w:rPr>
            </w:pPr>
            <w:r>
              <w:rPr>
                <w:bCs/>
                <w:kern w:val="24"/>
                <w:szCs w:val="24"/>
              </w:rPr>
              <w:fldChar w:fldCharType="begin"/>
            </w:r>
            <w:r>
              <w:rPr>
                <w:bCs/>
                <w:kern w:val="24"/>
                <w:szCs w:val="24"/>
              </w:rPr>
              <w:instrText xml:space="preserve"> = 3 \* GB2 </w:instrText>
            </w:r>
            <w:r>
              <w:rPr>
                <w:bCs/>
                <w:kern w:val="24"/>
                <w:szCs w:val="24"/>
              </w:rPr>
              <w:fldChar w:fldCharType="separate"/>
            </w:r>
            <w:r>
              <w:rPr>
                <w:rFonts w:hint="eastAsia" w:ascii="宋体" w:hAnsi="宋体" w:cs="宋体"/>
                <w:bCs/>
                <w:kern w:val="24"/>
                <w:szCs w:val="24"/>
              </w:rPr>
              <w:t>⑶</w:t>
            </w:r>
            <w:r>
              <w:rPr>
                <w:bCs/>
                <w:kern w:val="24"/>
                <w:szCs w:val="24"/>
              </w:rPr>
              <w:fldChar w:fldCharType="end"/>
            </w:r>
            <w:r>
              <w:rPr>
                <w:bCs/>
                <w:kern w:val="24"/>
                <w:szCs w:val="24"/>
              </w:rPr>
              <w:t xml:space="preserve"> 生态环境现状</w:t>
            </w:r>
          </w:p>
          <w:p>
            <w:pPr>
              <w:ind w:firstLine="482"/>
              <w:jc w:val="both"/>
              <w:rPr>
                <w:bCs w:val="0"/>
                <w:kern w:val="0"/>
              </w:rPr>
            </w:pPr>
            <w:r>
              <w:rPr>
                <w:bCs w:val="0"/>
                <w:kern w:val="0"/>
              </w:rPr>
              <w:t>本</w:t>
            </w:r>
            <w:r>
              <w:rPr>
                <w:rFonts w:hint="eastAsia"/>
                <w:bCs w:val="0"/>
                <w:kern w:val="0"/>
                <w:lang w:eastAsia="zh-CN"/>
              </w:rPr>
              <w:t>项目</w:t>
            </w:r>
            <w:r>
              <w:rPr>
                <w:bCs w:val="0"/>
                <w:kern w:val="0"/>
              </w:rPr>
              <w:t>位于榆林市神木市境内，根据《陕西省生态功能区划》，处于榆神府黄土梁水蚀风蚀控制生态功能区。根据现场调查，拟建输电线路沿线主要为灌木林地，</w:t>
            </w:r>
            <w:r>
              <w:rPr>
                <w:kern w:val="24"/>
              </w:rPr>
              <w:t>主要植被为柠条、沙蒿、沙柳、猪毛菜、拂子茅等</w:t>
            </w:r>
            <w:r>
              <w:rPr>
                <w:bCs w:val="0"/>
                <w:kern w:val="0"/>
              </w:rPr>
              <w:t>。</w:t>
            </w:r>
            <w:r>
              <w:t>野生动物主要有鼠类、兔类和麻雀、喜鹊等常见种类。</w:t>
            </w:r>
          </w:p>
          <w:p>
            <w:pPr>
              <w:ind w:firstLine="480"/>
              <w:jc w:val="both"/>
              <w:rPr>
                <w:bCs w:val="0"/>
                <w:kern w:val="0"/>
              </w:rPr>
            </w:pPr>
            <w:r>
              <w:rPr>
                <w:bCs w:val="0"/>
                <w:kern w:val="24"/>
                <w:lang w:val="zh-CN"/>
              </w:rPr>
              <w:t>本</w:t>
            </w:r>
            <w:r>
              <w:rPr>
                <w:rFonts w:hint="eastAsia"/>
                <w:bCs w:val="0"/>
                <w:kern w:val="24"/>
                <w:lang w:val="zh-CN"/>
              </w:rPr>
              <w:t>项目</w:t>
            </w:r>
            <w:r>
              <w:rPr>
                <w:kern w:val="24"/>
              </w:rPr>
              <w:t>不涉及自然保护区、风景名胜区等生态敏感区，</w:t>
            </w:r>
            <w:r>
              <w:rPr>
                <w:bCs w:val="0"/>
                <w:kern w:val="0"/>
              </w:rPr>
              <w:t>无国家级及陕西省级重点保护植物。</w:t>
            </w:r>
          </w:p>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rFonts w:hint="eastAsia"/>
                <w:b/>
                <w:bCs/>
                <w:kern w:val="24"/>
                <w:szCs w:val="24"/>
                <w:lang w:val="en-US" w:eastAsia="zh-CN"/>
              </w:rPr>
            </w:pPr>
            <w:r>
              <w:rPr>
                <w:rFonts w:hint="eastAsia"/>
                <w:b/>
                <w:bCs/>
                <w:kern w:val="24"/>
                <w:szCs w:val="24"/>
                <w:lang w:val="en-US" w:eastAsia="zh-CN"/>
              </w:rPr>
              <w:t>9.1.5环境影响分析</w:t>
            </w:r>
          </w:p>
          <w:p>
            <w:pPr>
              <w:pStyle w:val="8"/>
              <w:tabs>
                <w:tab w:val="left" w:pos="6180"/>
              </w:tabs>
              <w:adjustRightInd/>
              <w:spacing w:line="360" w:lineRule="auto"/>
              <w:ind w:firstLine="480" w:firstLineChars="200"/>
              <w:rPr>
                <w:bCs/>
                <w:kern w:val="24"/>
                <w:szCs w:val="24"/>
              </w:rPr>
            </w:pPr>
            <w:r>
              <w:rPr>
                <w:bCs/>
                <w:kern w:val="24"/>
                <w:szCs w:val="24"/>
              </w:rPr>
              <w:fldChar w:fldCharType="begin"/>
            </w:r>
            <w:r>
              <w:rPr>
                <w:bCs/>
                <w:kern w:val="24"/>
                <w:szCs w:val="24"/>
              </w:rPr>
              <w:instrText xml:space="preserve"> = 1 \* GB2 </w:instrText>
            </w:r>
            <w:r>
              <w:rPr>
                <w:bCs/>
                <w:kern w:val="24"/>
                <w:szCs w:val="24"/>
              </w:rPr>
              <w:fldChar w:fldCharType="separate"/>
            </w:r>
            <w:r>
              <w:rPr>
                <w:rFonts w:hint="eastAsia" w:ascii="宋体" w:hAnsi="宋体" w:cs="宋体"/>
                <w:bCs/>
                <w:kern w:val="24"/>
                <w:szCs w:val="24"/>
              </w:rPr>
              <w:t>⑴</w:t>
            </w:r>
            <w:r>
              <w:rPr>
                <w:bCs/>
                <w:kern w:val="24"/>
                <w:szCs w:val="24"/>
              </w:rPr>
              <w:fldChar w:fldCharType="end"/>
            </w:r>
            <w:r>
              <w:rPr>
                <w:bCs/>
                <w:kern w:val="24"/>
                <w:szCs w:val="24"/>
              </w:rPr>
              <w:t xml:space="preserve"> 施工期</w:t>
            </w:r>
          </w:p>
          <w:p>
            <w:pPr>
              <w:ind w:firstLine="480" w:firstLineChars="200"/>
              <w:jc w:val="both"/>
              <w:rPr>
                <w:kern w:val="24"/>
              </w:rPr>
            </w:pPr>
            <w:r>
              <w:t>输电线路建设在施工过程中，基础开挖、土地平整、设备运输等活动将产生一定的扬尘、施工噪声、废水、弃土和施工垃圾等。施工期间，土方挖掘、回填等还会直接破坏原有绿化植被。本次评价</w:t>
            </w:r>
            <w:r>
              <w:rPr>
                <w:rFonts w:hint="eastAsia"/>
                <w:lang w:eastAsia="zh-CN"/>
              </w:rPr>
              <w:t>项目</w:t>
            </w:r>
            <w:r>
              <w:t>，工程量小，周期短，输电线路施工区域分散，在合理安排施工工艺、施工时间，在采取有效的防护措施后，可最大限度地降低施工期间对周围环境的影响</w:t>
            </w:r>
            <w:r>
              <w:rPr>
                <w:kern w:val="24"/>
              </w:rPr>
              <w:t>。</w:t>
            </w:r>
          </w:p>
          <w:p>
            <w:pPr>
              <w:pStyle w:val="8"/>
              <w:tabs>
                <w:tab w:val="left" w:pos="6180"/>
              </w:tabs>
              <w:adjustRightInd/>
              <w:spacing w:line="360" w:lineRule="auto"/>
              <w:ind w:firstLine="480" w:firstLineChars="200"/>
              <w:rPr>
                <w:bCs/>
                <w:kern w:val="24"/>
                <w:szCs w:val="24"/>
              </w:rPr>
            </w:pPr>
            <w:r>
              <w:rPr>
                <w:bCs/>
                <w:kern w:val="24"/>
                <w:szCs w:val="24"/>
              </w:rPr>
              <w:fldChar w:fldCharType="begin"/>
            </w:r>
            <w:r>
              <w:rPr>
                <w:bCs/>
                <w:kern w:val="24"/>
                <w:szCs w:val="24"/>
              </w:rPr>
              <w:instrText xml:space="preserve"> = 2 \* GB2 </w:instrText>
            </w:r>
            <w:r>
              <w:rPr>
                <w:bCs/>
                <w:kern w:val="24"/>
                <w:szCs w:val="24"/>
              </w:rPr>
              <w:fldChar w:fldCharType="separate"/>
            </w:r>
            <w:r>
              <w:rPr>
                <w:rFonts w:hint="eastAsia" w:ascii="宋体" w:hAnsi="宋体" w:cs="宋体"/>
                <w:bCs/>
                <w:kern w:val="24"/>
                <w:szCs w:val="24"/>
              </w:rPr>
              <w:t>⑵</w:t>
            </w:r>
            <w:r>
              <w:rPr>
                <w:bCs/>
                <w:kern w:val="24"/>
                <w:szCs w:val="24"/>
              </w:rPr>
              <w:fldChar w:fldCharType="end"/>
            </w:r>
            <w:r>
              <w:rPr>
                <w:bCs/>
                <w:kern w:val="24"/>
                <w:szCs w:val="24"/>
              </w:rPr>
              <w:t xml:space="preserve"> 运行期</w:t>
            </w:r>
          </w:p>
          <w:p>
            <w:pPr>
              <w:widowControl/>
              <w:ind w:firstLine="480" w:firstLineChars="200"/>
              <w:jc w:val="both"/>
              <w:rPr>
                <w:kern w:val="24"/>
              </w:rPr>
            </w:pPr>
            <w:r>
              <w:rPr>
                <w:kern w:val="24"/>
              </w:rPr>
              <w:fldChar w:fldCharType="begin"/>
            </w:r>
            <w:r>
              <w:rPr>
                <w:kern w:val="24"/>
              </w:rPr>
              <w:instrText xml:space="preserve"> = 1 \* GB3 </w:instrText>
            </w:r>
            <w:r>
              <w:rPr>
                <w:kern w:val="24"/>
              </w:rPr>
              <w:fldChar w:fldCharType="separate"/>
            </w:r>
            <w:r>
              <w:rPr>
                <w:rFonts w:hint="eastAsia" w:ascii="宋体" w:hAnsi="宋体" w:cs="宋体"/>
                <w:kern w:val="24"/>
              </w:rPr>
              <w:t>①</w:t>
            </w:r>
            <w:r>
              <w:rPr>
                <w:kern w:val="24"/>
              </w:rPr>
              <w:fldChar w:fldCharType="end"/>
            </w:r>
            <w:r>
              <w:rPr>
                <w:kern w:val="24"/>
              </w:rPr>
              <w:t xml:space="preserve"> </w:t>
            </w:r>
            <w:r>
              <w:rPr>
                <w:bCs w:val="0"/>
                <w:kern w:val="24"/>
              </w:rPr>
              <w:t>架空输电线路</w:t>
            </w:r>
            <w:r>
              <w:rPr>
                <w:kern w:val="24"/>
              </w:rPr>
              <w:t>电磁环境影响分析</w:t>
            </w:r>
          </w:p>
          <w:p>
            <w:pPr>
              <w:widowControl/>
              <w:ind w:firstLine="480" w:firstLineChars="200"/>
              <w:jc w:val="both"/>
              <w:rPr>
                <w:bCs w:val="0"/>
                <w:highlight w:val="none"/>
              </w:rPr>
            </w:pPr>
            <w:r>
              <w:rPr>
                <w:bCs w:val="0"/>
                <w:highlight w:val="none"/>
              </w:rPr>
              <w:t>本次评价选择</w:t>
            </w:r>
            <w:r>
              <w:rPr>
                <w:rFonts w:hint="eastAsia"/>
                <w:bCs w:val="0"/>
                <w:highlight w:val="none"/>
                <w:lang w:eastAsia="zh-CN"/>
              </w:rPr>
              <w:t>1C3-ZM1-24单回路</w:t>
            </w:r>
            <w:r>
              <w:rPr>
                <w:bCs w:val="0"/>
                <w:highlight w:val="none"/>
              </w:rPr>
              <w:t>直线塔作为输电线路预测塔型。</w:t>
            </w:r>
          </w:p>
          <w:p>
            <w:pPr>
              <w:ind w:firstLine="480" w:firstLineChars="200"/>
              <w:jc w:val="both"/>
              <w:rPr>
                <w:rFonts w:hint="eastAsia"/>
                <w:highlight w:val="none"/>
              </w:rPr>
            </w:pPr>
            <w:r>
              <w:rPr>
                <w:highlight w:val="none"/>
              </w:rPr>
              <w:t>预测结果表明：</w:t>
            </w:r>
            <w:r>
              <w:rPr>
                <w:rFonts w:hint="eastAsia"/>
                <w:highlight w:val="none"/>
              </w:rPr>
              <w:t>导线弧垂高度为6m时，1C3-ZM1型直线塔距走廊中心线0～50m处的工频电场强度范围为41.02～3362.699 V/m，变化趋势为先增强（0～4m）后迅速衰减（4～50m）；工频磁感应强度范围为0.648～34.912μT，变化趋势为先增强（0～4m）后迅速衰减（4～50m）。</w:t>
            </w:r>
          </w:p>
          <w:p>
            <w:pPr>
              <w:ind w:firstLine="480" w:firstLineChars="200"/>
              <w:jc w:val="both"/>
              <w:rPr>
                <w:rFonts w:hint="eastAsia"/>
                <w:highlight w:val="none"/>
              </w:rPr>
            </w:pPr>
            <w:r>
              <w:rPr>
                <w:rFonts w:hint="eastAsia"/>
                <w:highlight w:val="none"/>
              </w:rPr>
              <w:t>导线弧垂高度为7m时，1C3-ZM1-24型直线塔距走廊中心线0～50m处的工频电场强度范围为41.106～2527.188V/m，变化趋势为先增强（0～</w:t>
            </w:r>
            <w:r>
              <w:rPr>
                <w:rFonts w:hint="eastAsia"/>
                <w:highlight w:val="none"/>
                <w:lang w:val="en-US" w:eastAsia="zh-CN"/>
              </w:rPr>
              <w:t>5</w:t>
            </w:r>
            <w:r>
              <w:rPr>
                <w:rFonts w:hint="eastAsia"/>
                <w:highlight w:val="none"/>
              </w:rPr>
              <w:t>m）后迅速衰减（</w:t>
            </w:r>
            <w:r>
              <w:rPr>
                <w:rFonts w:hint="eastAsia"/>
                <w:highlight w:val="none"/>
                <w:lang w:val="en-US" w:eastAsia="zh-CN"/>
              </w:rPr>
              <w:t>5</w:t>
            </w:r>
            <w:r>
              <w:rPr>
                <w:rFonts w:hint="eastAsia"/>
                <w:highlight w:val="none"/>
              </w:rPr>
              <w:t>～50m）；工频磁感应强度范围为0.645～26.954μT，变化趋势为先增强（0～4m）后迅速衰减（4～50m）。</w:t>
            </w:r>
          </w:p>
          <w:p>
            <w:pPr>
              <w:ind w:firstLine="480" w:firstLineChars="200"/>
              <w:jc w:val="both"/>
              <w:rPr>
                <w:highlight w:val="yellow"/>
              </w:rPr>
            </w:pPr>
            <w:r>
              <w:rPr>
                <w:highlight w:val="none"/>
              </w:rPr>
              <w:t>由理论计算结果可知，导线弧垂高度分别为6m和7m时，拟建线路距地面1.5m处工频电磁场均满足《电磁环境控制限值》（GB8072-2014）中规定的标准限值要求。</w:t>
            </w:r>
          </w:p>
          <w:p>
            <w:pPr>
              <w:ind w:firstLine="480" w:firstLineChars="200"/>
              <w:jc w:val="both"/>
              <w:rPr>
                <w:bCs w:val="0"/>
                <w:kern w:val="24"/>
              </w:rPr>
            </w:pPr>
            <w:r>
              <w:rPr>
                <w:kern w:val="24"/>
              </w:rPr>
              <w:t>综上，由理论预测结果可知，本</w:t>
            </w:r>
            <w:r>
              <w:rPr>
                <w:rFonts w:hint="eastAsia"/>
                <w:kern w:val="24"/>
                <w:lang w:eastAsia="zh-CN"/>
              </w:rPr>
              <w:t>项目</w:t>
            </w:r>
            <w:r>
              <w:rPr>
                <w:kern w:val="24"/>
              </w:rPr>
              <w:t>输电线路运行期，工频电场和工频磁感应强度均满足评价标准的要求，对电磁环境影响较小。</w:t>
            </w:r>
          </w:p>
          <w:p>
            <w:pPr>
              <w:widowControl/>
              <w:ind w:firstLine="480" w:firstLineChars="200"/>
              <w:jc w:val="both"/>
              <w:rPr>
                <w:bCs w:val="0"/>
                <w:kern w:val="24"/>
              </w:rPr>
            </w:pPr>
            <w:r>
              <w:rPr>
                <w:bCs w:val="0"/>
                <w:kern w:val="24"/>
              </w:rPr>
              <w:fldChar w:fldCharType="begin"/>
            </w:r>
            <w:r>
              <w:rPr>
                <w:bCs w:val="0"/>
                <w:kern w:val="24"/>
              </w:rPr>
              <w:instrText xml:space="preserve"> = 2 \* GB3 </w:instrText>
            </w:r>
            <w:r>
              <w:rPr>
                <w:bCs w:val="0"/>
                <w:kern w:val="24"/>
              </w:rPr>
              <w:fldChar w:fldCharType="separate"/>
            </w:r>
            <w:r>
              <w:rPr>
                <w:rFonts w:hint="eastAsia" w:ascii="宋体" w:hAnsi="宋体" w:cs="宋体"/>
                <w:bCs w:val="0"/>
                <w:kern w:val="24"/>
              </w:rPr>
              <w:t>②</w:t>
            </w:r>
            <w:r>
              <w:rPr>
                <w:bCs w:val="0"/>
                <w:kern w:val="24"/>
              </w:rPr>
              <w:fldChar w:fldCharType="end"/>
            </w:r>
            <w:r>
              <w:rPr>
                <w:bCs w:val="0"/>
                <w:kern w:val="24"/>
              </w:rPr>
              <w:t xml:space="preserve"> 声环境影响分析</w:t>
            </w:r>
          </w:p>
          <w:p>
            <w:pPr>
              <w:ind w:firstLine="480" w:firstLineChars="200"/>
              <w:jc w:val="both"/>
              <w:rPr>
                <w:kern w:val="24"/>
              </w:rPr>
            </w:pPr>
            <w:r>
              <w:rPr>
                <w:kern w:val="24"/>
              </w:rPr>
              <w:t>110kV架空输电线路</w:t>
            </w:r>
            <w:r>
              <w:rPr>
                <w:rFonts w:hint="eastAsia"/>
                <w:kern w:val="24"/>
                <w:lang w:eastAsia="zh-CN"/>
              </w:rPr>
              <w:t>项目</w:t>
            </w:r>
            <w:r>
              <w:rPr>
                <w:kern w:val="24"/>
              </w:rPr>
              <w:t>声环境影响分析采用类比监测的方式，</w:t>
            </w:r>
            <w:r>
              <w:rPr>
                <w:rFonts w:hint="eastAsia"/>
                <w:kern w:val="24"/>
              </w:rPr>
              <w:t>类比监测结果表明，线路沿线昼间噪声值为41.3~43.6dB（A），</w:t>
            </w:r>
            <w:r>
              <w:rPr>
                <w:rFonts w:hint="eastAsia"/>
                <w:kern w:val="24"/>
                <w:lang w:eastAsia="zh-CN"/>
              </w:rPr>
              <w:t>夜</w:t>
            </w:r>
            <w:r>
              <w:rPr>
                <w:rFonts w:hint="eastAsia"/>
                <w:kern w:val="24"/>
              </w:rPr>
              <w:t>间噪声值为</w:t>
            </w:r>
            <w:r>
              <w:rPr>
                <w:rFonts w:hint="eastAsia"/>
                <w:kern w:val="24"/>
                <w:lang w:val="en-US" w:eastAsia="zh-CN"/>
              </w:rPr>
              <w:t>35.6</w:t>
            </w:r>
            <w:r>
              <w:rPr>
                <w:rFonts w:hint="eastAsia"/>
                <w:kern w:val="24"/>
              </w:rPr>
              <w:t>~</w:t>
            </w:r>
            <w:r>
              <w:rPr>
                <w:rFonts w:hint="eastAsia"/>
                <w:kern w:val="24"/>
                <w:lang w:val="en-US" w:eastAsia="zh-CN"/>
              </w:rPr>
              <w:t>39.2</w:t>
            </w:r>
            <w:r>
              <w:rPr>
                <w:rFonts w:hint="eastAsia"/>
                <w:kern w:val="24"/>
              </w:rPr>
              <w:t>dB（A），类比线路与本期线路电压等级、架线方式相同，可以推测拟建线路运营后，沿线噪声值也可满足《声境质量标准》（GB3096-2008）中</w:t>
            </w:r>
            <w:r>
              <w:rPr>
                <w:rFonts w:hint="eastAsia"/>
                <w:kern w:val="24"/>
                <w:lang w:val="en-US" w:eastAsia="zh-CN"/>
              </w:rPr>
              <w:t>2</w:t>
            </w:r>
            <w:r>
              <w:rPr>
                <w:rFonts w:hint="eastAsia"/>
                <w:kern w:val="24"/>
              </w:rPr>
              <w:t>类标准，对周围声环境影响较小。</w:t>
            </w:r>
          </w:p>
          <w:p>
            <w:pPr>
              <w:ind w:firstLine="480" w:firstLineChars="200"/>
              <w:jc w:val="both"/>
              <w:rPr>
                <w:bCs w:val="0"/>
                <w:highlight w:val="yellow"/>
              </w:rPr>
            </w:pPr>
            <w:r>
              <w:t>类比线路与本期线路电压等级、架线方式均相同，可以推测</w:t>
            </w:r>
            <w:r>
              <w:rPr>
                <w:bCs w:val="0"/>
                <w:snapToGrid w:val="0"/>
              </w:rPr>
              <w:t>拟建</w:t>
            </w:r>
            <w:r>
              <w:t>线路</w:t>
            </w:r>
            <w:r>
              <w:rPr>
                <w:bCs w:val="0"/>
                <w:snapToGrid w:val="0"/>
              </w:rPr>
              <w:t>运营后，沿线噪声值也可满足评价标准要求，对周围声环境影响较小</w:t>
            </w:r>
            <w:r>
              <w:rPr>
                <w:bCs w:val="0"/>
                <w:kern w:val="24"/>
              </w:rPr>
              <w:t>。</w:t>
            </w:r>
          </w:p>
          <w:p>
            <w:pPr>
              <w:ind w:firstLine="480" w:firstLineChars="200"/>
              <w:jc w:val="both"/>
            </w:pPr>
            <w:r>
              <w:rPr>
                <w:bCs w:val="0"/>
              </w:rPr>
              <w:fldChar w:fldCharType="begin"/>
            </w:r>
            <w:r>
              <w:rPr>
                <w:bCs w:val="0"/>
              </w:rPr>
              <w:instrText xml:space="preserve"> = 3 \* GB3 </w:instrText>
            </w:r>
            <w:r>
              <w:rPr>
                <w:bCs w:val="0"/>
              </w:rPr>
              <w:fldChar w:fldCharType="separate"/>
            </w:r>
            <w:r>
              <w:rPr>
                <w:rFonts w:hint="eastAsia" w:ascii="宋体" w:hAnsi="宋体" w:cs="宋体"/>
                <w:bCs w:val="0"/>
              </w:rPr>
              <w:t>③</w:t>
            </w:r>
            <w:r>
              <w:rPr>
                <w:bCs w:val="0"/>
              </w:rPr>
              <w:fldChar w:fldCharType="end"/>
            </w:r>
            <w:r>
              <w:rPr>
                <w:bCs w:val="0"/>
              </w:rPr>
              <w:t xml:space="preserve"> </w:t>
            </w:r>
            <w:r>
              <w:t>水环境影响分析</w:t>
            </w:r>
          </w:p>
          <w:p>
            <w:pPr>
              <w:autoSpaceDE w:val="0"/>
              <w:autoSpaceDN w:val="0"/>
              <w:ind w:firstLine="480" w:firstLineChars="200"/>
              <w:jc w:val="both"/>
              <w:rPr>
                <w:bCs w:val="0"/>
                <w:kern w:val="24"/>
              </w:rPr>
            </w:pPr>
            <w:r>
              <w:rPr>
                <w:bCs w:val="0"/>
                <w:kern w:val="24"/>
              </w:rPr>
              <w:t>110kV输电线路在运行期无生产废水产生，不会对环境产生影响。</w:t>
            </w:r>
          </w:p>
          <w:p>
            <w:pPr>
              <w:ind w:firstLine="480" w:firstLineChars="200"/>
              <w:jc w:val="both"/>
            </w:pPr>
            <w:r>
              <w:fldChar w:fldCharType="begin"/>
            </w:r>
            <w:r>
              <w:instrText xml:space="preserve"> = 4 \* GB3 </w:instrText>
            </w:r>
            <w:r>
              <w:fldChar w:fldCharType="separate"/>
            </w:r>
            <w:r>
              <w:rPr>
                <w:rFonts w:hint="eastAsia" w:ascii="宋体" w:hAnsi="宋体" w:cs="宋体"/>
              </w:rPr>
              <w:t>④</w:t>
            </w:r>
            <w:r>
              <w:fldChar w:fldCharType="end"/>
            </w:r>
            <w:r>
              <w:t xml:space="preserve"> 固体废物环境影响分析</w:t>
            </w:r>
          </w:p>
          <w:p>
            <w:pPr>
              <w:pStyle w:val="23"/>
              <w:widowControl/>
              <w:adjustRightInd w:val="0"/>
              <w:spacing w:line="360" w:lineRule="auto"/>
              <w:ind w:firstLine="480"/>
              <w:rPr>
                <w:rFonts w:hint="eastAsia" w:ascii="Times New Roman"/>
                <w:sz w:val="24"/>
                <w:szCs w:val="22"/>
              </w:rPr>
            </w:pPr>
            <w:r>
              <w:rPr>
                <w:rFonts w:hint="eastAsia" w:ascii="Times New Roman"/>
                <w:sz w:val="24"/>
                <w:szCs w:val="22"/>
              </w:rPr>
              <w:t>本项目输电线路在运营期间只定期进行巡回检査和维修。巡检人员所产生的垃圾很少，且严格要求其随身携带到环卫部门指定的垃圾处置点，不在当地遗留。因此，本项目投入运营后基本不会产生固体废物影响。</w:t>
            </w:r>
          </w:p>
          <w:p>
            <w:pPr>
              <w:spacing w:line="360" w:lineRule="auto"/>
              <w:ind w:firstLine="480" w:firstLineChars="200"/>
              <w:jc w:val="left"/>
              <w:rPr>
                <w:sz w:val="24"/>
              </w:rPr>
            </w:pPr>
            <w:r>
              <w:rPr>
                <w:rFonts w:hint="eastAsia"/>
                <w:sz w:val="24"/>
                <w:lang w:eastAsia="zh-CN"/>
              </w:rPr>
              <w:t>⑤</w:t>
            </w:r>
            <w:r>
              <w:rPr>
                <w:sz w:val="24"/>
              </w:rPr>
              <w:t>生态环境影响评价</w:t>
            </w:r>
          </w:p>
          <w:p>
            <w:pPr>
              <w:tabs>
                <w:tab w:val="left" w:pos="8482"/>
                <w:tab w:val="left" w:pos="8795"/>
              </w:tabs>
              <w:adjustRightInd w:val="0"/>
              <w:spacing w:line="360" w:lineRule="auto"/>
              <w:ind w:firstLine="470" w:firstLineChars="196"/>
              <w:jc w:val="left"/>
              <w:rPr>
                <w:rFonts w:hint="eastAsia"/>
                <w:kern w:val="0"/>
                <w:sz w:val="24"/>
              </w:rPr>
            </w:pPr>
            <w:r>
              <w:rPr>
                <w:rFonts w:hint="eastAsia"/>
                <w:sz w:val="24"/>
                <w:lang w:eastAsia="zh-CN"/>
              </w:rPr>
              <w:t>项目</w:t>
            </w:r>
            <w:r>
              <w:rPr>
                <w:rFonts w:hint="eastAsia"/>
                <w:sz w:val="24"/>
              </w:rPr>
              <w:t>建设期间对地表植被、土壤结构等都有所影响，通过</w:t>
            </w:r>
            <w:r>
              <w:rPr>
                <w:rFonts w:hint="eastAsia"/>
                <w:kern w:val="0"/>
                <w:sz w:val="24"/>
              </w:rPr>
              <w:t>严格控制开挖土方量及开挖范围，避开雨季和大风天气，加强临时拦挡、苫盖，禁止乱堆乱弃等措施减小对周围生态环境的影响。</w:t>
            </w:r>
          </w:p>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rFonts w:hint="eastAsia"/>
                <w:b/>
                <w:bCs/>
                <w:kern w:val="24"/>
                <w:szCs w:val="24"/>
                <w:lang w:val="en-US" w:eastAsia="zh-CN"/>
              </w:rPr>
            </w:pPr>
            <w:r>
              <w:rPr>
                <w:rFonts w:hint="eastAsia"/>
                <w:b/>
                <w:bCs/>
                <w:kern w:val="24"/>
                <w:szCs w:val="24"/>
                <w:lang w:val="en-US" w:eastAsia="zh-CN"/>
              </w:rPr>
              <w:t>9.1.6环境影响评价综合结论</w:t>
            </w:r>
          </w:p>
          <w:p>
            <w:pPr>
              <w:pStyle w:val="8"/>
              <w:adjustRightInd/>
              <w:spacing w:line="360" w:lineRule="auto"/>
              <w:ind w:firstLine="480" w:firstLineChars="200"/>
              <w:jc w:val="both"/>
              <w:rPr>
                <w:kern w:val="24"/>
                <w:szCs w:val="24"/>
              </w:rPr>
            </w:pPr>
            <w:r>
              <w:rPr>
                <w:kern w:val="24"/>
                <w:szCs w:val="24"/>
              </w:rPr>
              <w:t>本</w:t>
            </w:r>
            <w:r>
              <w:rPr>
                <w:rFonts w:hint="eastAsia"/>
                <w:kern w:val="24"/>
                <w:szCs w:val="24"/>
                <w:lang w:eastAsia="zh-CN"/>
              </w:rPr>
              <w:t>项目</w:t>
            </w:r>
            <w:r>
              <w:rPr>
                <w:kern w:val="24"/>
                <w:szCs w:val="24"/>
              </w:rPr>
              <w:t>符合国家的相关产业政策，</w:t>
            </w:r>
            <w:r>
              <w:t>经过类比监测和理论预测，本</w:t>
            </w:r>
            <w:r>
              <w:rPr>
                <w:rFonts w:hint="eastAsia"/>
                <w:lang w:eastAsia="zh-CN"/>
              </w:rPr>
              <w:t>项目</w:t>
            </w:r>
            <w:r>
              <w:t>建成运行后对周围电磁环境和声环境影响较小。</w:t>
            </w:r>
            <w:r>
              <w:rPr>
                <w:rFonts w:hint="eastAsia"/>
                <w:lang w:eastAsia="zh-CN"/>
              </w:rPr>
              <w:t>项目</w:t>
            </w:r>
            <w:r>
              <w:rPr>
                <w:kern w:val="24"/>
                <w:szCs w:val="24"/>
              </w:rPr>
              <w:t>在充分落实环评提出的各项环保措施，使其满足相关标准要求后。因此从满足环境保护质量目标的角度来说，本</w:t>
            </w:r>
            <w:r>
              <w:rPr>
                <w:rFonts w:hint="eastAsia"/>
                <w:kern w:val="24"/>
                <w:szCs w:val="24"/>
                <w:lang w:eastAsia="zh-CN"/>
              </w:rPr>
              <w:t>项目</w:t>
            </w:r>
            <w:r>
              <w:rPr>
                <w:kern w:val="24"/>
                <w:szCs w:val="24"/>
              </w:rPr>
              <w:t>的建设可行。</w:t>
            </w:r>
          </w:p>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rFonts w:hint="eastAsia"/>
                <w:b/>
                <w:bCs/>
                <w:kern w:val="24"/>
                <w:szCs w:val="24"/>
                <w:lang w:val="en-US" w:eastAsia="zh-CN"/>
              </w:rPr>
            </w:pPr>
            <w:r>
              <w:rPr>
                <w:rFonts w:hint="eastAsia"/>
                <w:b/>
                <w:bCs/>
                <w:kern w:val="24"/>
                <w:szCs w:val="24"/>
                <w:lang w:val="en-US" w:eastAsia="zh-CN"/>
              </w:rPr>
              <w:t>9.2要求与建议</w:t>
            </w:r>
          </w:p>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rFonts w:hint="eastAsia"/>
                <w:b/>
                <w:bCs/>
                <w:kern w:val="24"/>
                <w:szCs w:val="24"/>
                <w:lang w:val="en-US" w:eastAsia="zh-CN"/>
              </w:rPr>
            </w:pPr>
            <w:r>
              <w:rPr>
                <w:rFonts w:hint="eastAsia"/>
                <w:b/>
                <w:bCs/>
                <w:kern w:val="24"/>
                <w:szCs w:val="24"/>
                <w:lang w:val="en-US" w:eastAsia="zh-CN"/>
              </w:rPr>
              <w:t>9.2.1要求</w:t>
            </w:r>
          </w:p>
          <w:p>
            <w:pPr>
              <w:ind w:firstLine="480" w:firstLineChars="200"/>
            </w:pPr>
            <w:r>
              <w:rPr>
                <w:rFonts w:hint="eastAsia" w:ascii="宋体" w:hAnsi="宋体" w:cs="宋体"/>
                <w:lang w:eastAsia="zh-CN"/>
              </w:rPr>
              <w:t>（</w:t>
            </w:r>
            <w:r>
              <w:rPr>
                <w:rFonts w:hint="eastAsia" w:ascii="宋体" w:hAnsi="宋体" w:cs="宋体"/>
                <w:lang w:val="en-US" w:eastAsia="zh-CN"/>
              </w:rPr>
              <w:t>1</w:t>
            </w:r>
            <w:r>
              <w:rPr>
                <w:rFonts w:hint="eastAsia" w:ascii="宋体" w:hAnsi="宋体" w:cs="宋体"/>
                <w:lang w:eastAsia="zh-CN"/>
              </w:rPr>
              <w:t>）</w:t>
            </w:r>
            <w:r>
              <w:t xml:space="preserve"> 项目在运行过程中要逐一落实报告表中提出的环境保护措施。</w:t>
            </w:r>
          </w:p>
          <w:p>
            <w:pPr>
              <w:ind w:firstLine="482"/>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w:t>
            </w:r>
            <w:r>
              <w:t xml:space="preserve"> 及时组织环保措施落实情况的检查，出现问题及时解决。</w:t>
            </w:r>
          </w:p>
          <w:p>
            <w:pPr>
              <w:ind w:firstLine="482"/>
            </w:pPr>
            <w:r>
              <w:rPr>
                <w:rFonts w:hint="eastAsia" w:ascii="宋体" w:hAnsi="宋体" w:cs="宋体"/>
                <w:lang w:eastAsia="zh-CN"/>
              </w:rPr>
              <w:t>（</w:t>
            </w:r>
            <w:r>
              <w:rPr>
                <w:rFonts w:hint="eastAsia" w:ascii="宋体" w:hAnsi="宋体" w:cs="宋体"/>
                <w:lang w:val="en-US" w:eastAsia="zh-CN"/>
              </w:rPr>
              <w:t>3</w:t>
            </w:r>
            <w:r>
              <w:rPr>
                <w:rFonts w:hint="eastAsia" w:ascii="宋体" w:hAnsi="宋体" w:cs="宋体"/>
                <w:lang w:eastAsia="zh-CN"/>
              </w:rPr>
              <w:t>）</w:t>
            </w:r>
            <w:r>
              <w:t>项目应及时组织工程的环境保护竣工验收；对工程施工和运行中出现的环保问题及时妥善处理。</w:t>
            </w:r>
          </w:p>
          <w:p>
            <w:pPr>
              <w:ind w:firstLine="482"/>
            </w:pPr>
            <w:r>
              <w:rPr>
                <w:rFonts w:hint="eastAsia" w:ascii="宋体" w:hAnsi="宋体" w:cs="宋体"/>
                <w:lang w:eastAsia="zh-CN"/>
              </w:rPr>
              <w:t>（</w:t>
            </w:r>
            <w:r>
              <w:rPr>
                <w:rFonts w:hint="eastAsia" w:ascii="宋体" w:hAnsi="宋体" w:cs="宋体"/>
                <w:lang w:val="en-US" w:eastAsia="zh-CN"/>
              </w:rPr>
              <w:t>4</w:t>
            </w:r>
            <w:r>
              <w:rPr>
                <w:rFonts w:hint="eastAsia" w:ascii="宋体" w:hAnsi="宋体" w:cs="宋体"/>
                <w:lang w:eastAsia="zh-CN"/>
              </w:rPr>
              <w:t>）</w:t>
            </w:r>
            <w:r>
              <w:t xml:space="preserve">  制定严格的规章制度，保持设备良好运行</w:t>
            </w:r>
            <w:r>
              <w:rPr>
                <w:rFonts w:hint="eastAsia"/>
                <w:lang w:eastAsia="zh-CN"/>
              </w:rPr>
              <w:t>，</w:t>
            </w:r>
            <w:r>
              <w:t>定期维护，尽量减小电磁环境影响和噪声对周围环境的影响。</w:t>
            </w:r>
          </w:p>
          <w:p>
            <w:pPr>
              <w:ind w:firstLine="482"/>
              <w:rPr>
                <w:rFonts w:hint="default" w:eastAsia="宋体"/>
                <w:lang w:val="en-US" w:eastAsia="zh-CN"/>
              </w:rPr>
            </w:pPr>
            <w:r>
              <w:rPr>
                <w:rFonts w:hint="eastAsia"/>
                <w:lang w:val="en-US" w:eastAsia="zh-CN"/>
              </w:rPr>
              <w:t>（5）在项目动工之前，对相关施工人员进行广泛宣传野生动植物保护的法律法规与政策，增强他们对野生动植物的保护意识，以便施工人员在施工过程中，做到保护野生动植物，杜绝砍伐保护植 被捕杀野生动物的行为，保护环境和减少植被破坏。</w:t>
            </w:r>
          </w:p>
          <w:p>
            <w:pPr>
              <w:pStyle w:val="8"/>
              <w:keepNext w:val="0"/>
              <w:keepLines w:val="0"/>
              <w:pageBreakBefore w:val="0"/>
              <w:widowControl w:val="0"/>
              <w:tabs>
                <w:tab w:val="left" w:pos="6180"/>
              </w:tabs>
              <w:kinsoku/>
              <w:wordWrap/>
              <w:overflowPunct/>
              <w:topLinePunct w:val="0"/>
              <w:autoSpaceDE/>
              <w:autoSpaceDN/>
              <w:bidi w:val="0"/>
              <w:adjustRightInd/>
              <w:snapToGrid/>
              <w:spacing w:line="360" w:lineRule="auto"/>
              <w:ind w:left="0" w:leftChars="0" w:firstLine="0" w:firstLineChars="0"/>
              <w:textAlignment w:val="auto"/>
              <w:rPr>
                <w:rFonts w:hint="eastAsia"/>
                <w:b/>
                <w:bCs/>
                <w:kern w:val="24"/>
                <w:szCs w:val="24"/>
                <w:lang w:val="en-US" w:eastAsia="zh-CN"/>
              </w:rPr>
            </w:pPr>
            <w:r>
              <w:rPr>
                <w:rFonts w:hint="eastAsia"/>
                <w:b/>
                <w:bCs/>
                <w:kern w:val="24"/>
                <w:szCs w:val="24"/>
                <w:lang w:val="en-US" w:eastAsia="zh-CN"/>
              </w:rPr>
              <w:t>9.2.2建议</w:t>
            </w:r>
          </w:p>
          <w:p>
            <w:pPr>
              <w:ind w:firstLine="480" w:firstLineChars="200"/>
              <w:rPr>
                <w:rFonts w:hint="eastAsia"/>
                <w:lang w:eastAsia="zh-CN"/>
              </w:rPr>
            </w:pPr>
            <w:r>
              <w:rPr>
                <w:rFonts w:hint="eastAsia"/>
                <w:lang w:eastAsia="zh-CN"/>
              </w:rPr>
              <w:t>（</w:t>
            </w:r>
            <w:r>
              <w:rPr>
                <w:rFonts w:hint="eastAsia"/>
                <w:lang w:val="en-US" w:eastAsia="zh-CN"/>
              </w:rPr>
              <w:t>1</w:t>
            </w:r>
            <w:r>
              <w:rPr>
                <w:rFonts w:hint="eastAsia"/>
                <w:lang w:eastAsia="zh-CN"/>
              </w:rPr>
              <w:t>）定期对输电线路进行安全巡视，检查输电线路是否对跨越植被产生影响，应及时采取相应防护措施，在线路沿线架设的输电线路铁塔座架上应于醒目位置设置宣传安全及严禁攀登等警示牌。</w:t>
            </w:r>
          </w:p>
          <w:p>
            <w:pPr>
              <w:ind w:firstLine="480" w:firstLineChars="200"/>
              <w:rPr>
                <w:rFonts w:hint="default"/>
                <w:lang w:eastAsia="zh-CN"/>
              </w:rPr>
            </w:pPr>
            <w:r>
              <w:rPr>
                <w:rFonts w:hint="eastAsia"/>
                <w:lang w:eastAsia="zh-CN"/>
              </w:rPr>
              <w:t>（</w:t>
            </w:r>
            <w:r>
              <w:rPr>
                <w:rFonts w:hint="eastAsia"/>
                <w:lang w:val="en-US" w:eastAsia="zh-CN"/>
              </w:rPr>
              <w:t>2</w:t>
            </w:r>
            <w:r>
              <w:rPr>
                <w:rFonts w:hint="eastAsia"/>
                <w:lang w:eastAsia="zh-CN"/>
              </w:rPr>
              <w:t>）</w:t>
            </w:r>
            <w:r>
              <w:rPr>
                <w:rFonts w:hint="default"/>
                <w:lang w:eastAsia="zh-CN"/>
              </w:rPr>
              <w:t>建议建设单位应尽量优化线路路径</w:t>
            </w:r>
            <w:r>
              <w:rPr>
                <w:rFonts w:hint="eastAsia"/>
                <w:lang w:eastAsia="zh-CN"/>
              </w:rPr>
              <w:t>，</w:t>
            </w:r>
            <w:r>
              <w:rPr>
                <w:rFonts w:hint="default"/>
                <w:lang w:eastAsia="zh-CN"/>
              </w:rPr>
              <w:t>尽量减少基本农田的占用面积。占用基本农田的应当按照占多少、垦多少的原则，负责开垦与所占基本农田的数量与质量相当的耕地，并按国家及</w:t>
            </w:r>
            <w:r>
              <w:rPr>
                <w:rFonts w:hint="eastAsia"/>
                <w:lang w:eastAsia="zh-CN"/>
              </w:rPr>
              <w:t>陕西</w:t>
            </w:r>
            <w:r>
              <w:rPr>
                <w:rFonts w:hint="default"/>
                <w:lang w:eastAsia="zh-CN"/>
              </w:rPr>
              <w:t>省有关土地征用政策对失地农民进行合理补偿等，将影响降至最低。</w:t>
            </w:r>
          </w:p>
          <w:p>
            <w:pPr>
              <w:keepNext w:val="0"/>
              <w:keepLines w:val="0"/>
              <w:pageBreakBefore w:val="0"/>
              <w:widowControl w:val="0"/>
              <w:kinsoku/>
              <w:wordWrap/>
              <w:topLinePunct w:val="0"/>
              <w:autoSpaceDE w:val="0"/>
              <w:autoSpaceDN w:val="0"/>
              <w:bidi w:val="0"/>
              <w:adjustRightInd w:val="0"/>
              <w:spacing w:line="360" w:lineRule="auto"/>
              <w:ind w:firstLine="480" w:firstLineChars="200"/>
              <w:jc w:val="both"/>
              <w:rPr>
                <w:rFonts w:hint="default" w:ascii="Times New Roman" w:hAnsi="Times New Roman" w:cs="Times New Roman"/>
                <w:snapToGrid w:val="0"/>
                <w:color w:val="auto"/>
                <w:lang w:eastAsia="zh-CN"/>
              </w:rPr>
            </w:pPr>
            <w:r>
              <w:rPr>
                <w:rFonts w:hint="eastAsia"/>
                <w:lang w:eastAsia="zh-CN"/>
              </w:rPr>
              <w:t>（</w:t>
            </w:r>
            <w:r>
              <w:rPr>
                <w:rFonts w:hint="eastAsia"/>
                <w:lang w:val="en-US" w:eastAsia="zh-CN"/>
              </w:rPr>
              <w:t>3</w:t>
            </w:r>
            <w:r>
              <w:rPr>
                <w:rFonts w:hint="eastAsia"/>
                <w:lang w:eastAsia="zh-CN"/>
              </w:rPr>
              <w:t>）</w:t>
            </w:r>
            <w:r>
              <w:rPr>
                <w:rFonts w:hint="default" w:ascii="Times New Roman" w:hAnsi="Times New Roman" w:cs="Times New Roman"/>
                <w:snapToGrid w:val="0"/>
                <w:color w:val="auto"/>
                <w:lang w:eastAsia="zh-CN"/>
              </w:rPr>
              <w:t>建议后期运行中对矿区内的塔位采取变形监测措施，一旦发现塔基基础有变形或者沉降，应及时采取相关措施。</w:t>
            </w:r>
          </w:p>
          <w:p>
            <w:pPr>
              <w:keepNext w:val="0"/>
              <w:keepLines w:val="0"/>
              <w:pageBreakBefore w:val="0"/>
              <w:widowControl w:val="0"/>
              <w:kinsoku/>
              <w:wordWrap/>
              <w:overflowPunct/>
              <w:topLinePunct w:val="0"/>
              <w:autoSpaceDE w:val="0"/>
              <w:autoSpaceDN w:val="0"/>
              <w:bidi w:val="0"/>
              <w:adjustRightInd w:val="0"/>
              <w:snapToGrid/>
              <w:spacing w:line="360" w:lineRule="auto"/>
              <w:ind w:left="0" w:firstLine="480" w:firstLineChars="200"/>
              <w:jc w:val="both"/>
              <w:textAlignment w:val="auto"/>
              <w:rPr>
                <w:rFonts w:hint="default" w:ascii="Times New Roman" w:hAnsi="Times New Roman" w:cs="Times New Roman"/>
                <w:snapToGrid w:val="0"/>
                <w:color w:val="auto"/>
                <w:lang w:eastAsia="zh-CN"/>
              </w:rPr>
            </w:pPr>
            <w:r>
              <w:rPr>
                <w:rFonts w:hint="eastAsia" w:cs="Times New Roman"/>
                <w:snapToGrid w:val="0"/>
                <w:color w:val="auto"/>
                <w:lang w:eastAsia="zh-CN"/>
              </w:rPr>
              <w:t>（</w:t>
            </w:r>
            <w:r>
              <w:rPr>
                <w:rFonts w:hint="eastAsia" w:cs="Times New Roman"/>
                <w:snapToGrid w:val="0"/>
                <w:color w:val="auto"/>
                <w:lang w:val="en-US" w:eastAsia="zh-CN"/>
              </w:rPr>
              <w:t>4</w:t>
            </w:r>
            <w:r>
              <w:rPr>
                <w:rFonts w:hint="eastAsia" w:cs="Times New Roman"/>
                <w:snapToGrid w:val="0"/>
                <w:color w:val="auto"/>
                <w:lang w:eastAsia="zh-CN"/>
              </w:rPr>
              <w:t>）</w:t>
            </w:r>
            <w:r>
              <w:rPr>
                <w:rFonts w:hint="default" w:ascii="Times New Roman" w:hAnsi="Times New Roman" w:cs="Times New Roman"/>
                <w:snapToGrid w:val="0"/>
                <w:color w:val="auto"/>
                <w:lang w:eastAsia="zh-CN"/>
              </w:rPr>
              <w:t>考虑到煤炭资源对线路有较大影响，建议开展本</w:t>
            </w:r>
            <w:r>
              <w:rPr>
                <w:rFonts w:hint="eastAsia" w:cs="Times New Roman"/>
                <w:snapToGrid w:val="0"/>
                <w:color w:val="auto"/>
                <w:lang w:eastAsia="zh-CN"/>
              </w:rPr>
              <w:t>项目</w:t>
            </w:r>
            <w:r>
              <w:rPr>
                <w:rFonts w:hint="default" w:ascii="Times New Roman" w:hAnsi="Times New Roman" w:cs="Times New Roman"/>
                <w:snapToGrid w:val="0"/>
                <w:color w:val="auto"/>
                <w:lang w:eastAsia="zh-CN"/>
              </w:rPr>
              <w:t>矿产压覆及稳定性评价工作，最终矿产资源压覆及开采对本</w:t>
            </w:r>
            <w:r>
              <w:rPr>
                <w:rFonts w:hint="eastAsia" w:cs="Times New Roman"/>
                <w:snapToGrid w:val="0"/>
                <w:color w:val="auto"/>
                <w:lang w:eastAsia="zh-CN"/>
              </w:rPr>
              <w:t>项目</w:t>
            </w:r>
            <w:r>
              <w:rPr>
                <w:rFonts w:hint="default" w:ascii="Times New Roman" w:hAnsi="Times New Roman" w:cs="Times New Roman"/>
                <w:snapToGrid w:val="0"/>
                <w:color w:val="auto"/>
                <w:lang w:eastAsia="zh-CN"/>
              </w:rPr>
              <w:t>的影响以矿产压覆和稳定性专项评估报告的结论为准。</w:t>
            </w:r>
          </w:p>
          <w:p>
            <w:pPr>
              <w:pStyle w:val="16"/>
              <w:rPr>
                <w:rFonts w:hint="eastAsia"/>
                <w:lang w:eastAsia="zh-CN"/>
              </w:rPr>
            </w:pPr>
          </w:p>
          <w:p>
            <w:pPr>
              <w:jc w:val="both"/>
              <w:rPr>
                <w:bCs w:val="0"/>
              </w:rPr>
            </w:pPr>
          </w:p>
          <w:p>
            <w:pPr>
              <w:jc w:val="both"/>
              <w:rPr>
                <w:bCs w:val="0"/>
              </w:rPr>
            </w:pPr>
          </w:p>
          <w:p>
            <w:pPr>
              <w:jc w:val="both"/>
              <w:rPr>
                <w:bCs w:val="0"/>
              </w:rPr>
            </w:pPr>
          </w:p>
        </w:tc>
      </w:tr>
    </w:tbl>
    <w:p>
      <w:pPr>
        <w:rPr>
          <w:sz w:val="28"/>
        </w:rPr>
        <w:sectPr>
          <w:footerReference r:id="rId4" w:type="default"/>
          <w:pgSz w:w="11907" w:h="16840"/>
          <w:pgMar w:top="1440" w:right="1440" w:bottom="1440" w:left="1440" w:header="851" w:footer="851" w:gutter="0"/>
          <w:pgBorders>
            <w:top w:val="none" w:sz="0" w:space="0"/>
            <w:left w:val="none" w:sz="0" w:space="0"/>
            <w:bottom w:val="none" w:sz="0" w:space="0"/>
            <w:right w:val="none" w:sz="0" w:space="0"/>
          </w:pgBorders>
          <w:pgNumType w:fmt="decimal"/>
          <w:cols w:space="425" w:num="1"/>
          <w:docGrid w:linePitch="326" w:charSpace="0"/>
        </w:sectPr>
      </w:pPr>
    </w:p>
    <w:p>
      <w:pPr>
        <w:pStyle w:val="2"/>
      </w:pPr>
    </w:p>
    <w:p>
      <w:pPr>
        <w:pStyle w:val="2"/>
        <w:sectPr>
          <w:footerReference r:id="rId5" w:type="default"/>
          <w:pgSz w:w="11907" w:h="16840"/>
          <w:pgMar w:top="1440" w:right="1440" w:bottom="1440" w:left="1440" w:header="851" w:footer="851" w:gutter="0"/>
          <w:pgBorders>
            <w:top w:val="none" w:sz="0" w:space="0"/>
            <w:left w:val="none" w:sz="0" w:space="0"/>
            <w:bottom w:val="none" w:sz="0" w:space="0"/>
            <w:right w:val="none" w:sz="0" w:space="0"/>
          </w:pgBorders>
          <w:pgNumType w:fmt="decimal"/>
          <w:cols w:space="425" w:num="1"/>
          <w:docGrid w:linePitch="326" w:charSpace="0"/>
        </w:sectPr>
      </w:pPr>
    </w:p>
    <w:p>
      <w:pPr>
        <w:rPr>
          <w:vanish/>
        </w:rPr>
      </w:pPr>
    </w:p>
    <w:p>
      <w:pPr>
        <w:pStyle w:val="23"/>
        <w:spacing w:line="480" w:lineRule="auto"/>
        <w:ind w:firstLine="0" w:firstLineChars="0"/>
        <w:jc w:val="center"/>
        <w:outlineLvl w:val="0"/>
        <w:rPr>
          <w:rFonts w:hint="eastAsia" w:hAnsi="宋体" w:cs="宋体"/>
          <w:b/>
          <w:bCs/>
          <w:sz w:val="40"/>
          <w:szCs w:val="40"/>
        </w:rPr>
      </w:pPr>
      <w:bookmarkStart w:id="8" w:name="_Toc24256"/>
      <w:r>
        <w:rPr>
          <w:rFonts w:hint="eastAsia" w:hAnsi="宋体" w:cs="宋体"/>
          <w:b/>
          <w:bCs/>
          <w:sz w:val="40"/>
          <w:szCs w:val="40"/>
        </w:rPr>
        <w:t>国华神木墩梁风电场薛家畔、李家畔、槐树峁</w:t>
      </w:r>
    </w:p>
    <w:p>
      <w:pPr>
        <w:pStyle w:val="23"/>
        <w:spacing w:line="480" w:lineRule="auto"/>
        <w:ind w:firstLine="0" w:firstLineChars="0"/>
        <w:jc w:val="center"/>
        <w:outlineLvl w:val="0"/>
        <w:rPr>
          <w:rFonts w:hAnsi="宋体" w:cs="宋体"/>
          <w:b/>
          <w:bCs/>
          <w:sz w:val="40"/>
          <w:szCs w:val="40"/>
        </w:rPr>
      </w:pPr>
      <w:r>
        <w:rPr>
          <w:rFonts w:hint="eastAsia" w:hAnsi="宋体" w:cs="宋体"/>
          <w:b/>
          <w:bCs/>
          <w:sz w:val="40"/>
          <w:szCs w:val="40"/>
        </w:rPr>
        <w:t>风电项目110KV送出线路</w:t>
      </w:r>
    </w:p>
    <w:p>
      <w:pPr>
        <w:pStyle w:val="23"/>
        <w:spacing w:beforeLines="200" w:afterLines="100"/>
        <w:ind w:firstLine="0" w:firstLineChars="0"/>
        <w:jc w:val="center"/>
        <w:outlineLvl w:val="0"/>
        <w:rPr>
          <w:rFonts w:ascii="华文新魏" w:hAnsi="华文新魏" w:eastAsia="华文新魏" w:cs="华文新魏"/>
          <w:b/>
          <w:bCs/>
          <w:sz w:val="72"/>
          <w:szCs w:val="72"/>
        </w:rPr>
      </w:pPr>
      <w:bookmarkStart w:id="9" w:name="_Toc17381"/>
      <w:r>
        <w:rPr>
          <w:rFonts w:hint="eastAsia" w:ascii="华文新魏" w:hAnsi="华文新魏" w:eastAsia="华文新魏" w:cs="华文新魏"/>
          <w:b/>
          <w:bCs/>
          <w:sz w:val="72"/>
          <w:szCs w:val="72"/>
        </w:rPr>
        <w:t>电磁环境影响评价专题</w:t>
      </w:r>
      <w:bookmarkEnd w:id="9"/>
    </w:p>
    <w:p>
      <w:pPr>
        <w:pStyle w:val="23"/>
        <w:spacing w:line="480" w:lineRule="auto"/>
        <w:ind w:firstLine="0" w:firstLineChars="0"/>
        <w:jc w:val="center"/>
        <w:rPr>
          <w:rFonts w:hAnsi="宋体" w:cs="宋体"/>
          <w:b/>
          <w:bCs/>
          <w:sz w:val="40"/>
          <w:szCs w:val="40"/>
        </w:rPr>
      </w:pPr>
    </w:p>
    <w:p>
      <w:pPr>
        <w:pStyle w:val="23"/>
        <w:spacing w:line="480" w:lineRule="auto"/>
        <w:ind w:firstLine="0" w:firstLineChars="0"/>
        <w:jc w:val="center"/>
        <w:rPr>
          <w:rFonts w:hAnsi="宋体" w:cs="宋体"/>
          <w:b/>
          <w:bCs/>
          <w:sz w:val="40"/>
          <w:szCs w:val="40"/>
        </w:rPr>
      </w:pPr>
    </w:p>
    <w:p>
      <w:pPr>
        <w:pStyle w:val="23"/>
        <w:spacing w:line="480" w:lineRule="auto"/>
        <w:ind w:firstLine="0" w:firstLineChars="0"/>
        <w:jc w:val="center"/>
        <w:rPr>
          <w:rFonts w:hAnsi="宋体" w:cs="宋体"/>
          <w:b/>
          <w:bCs/>
          <w:sz w:val="40"/>
          <w:szCs w:val="40"/>
        </w:rPr>
      </w:pPr>
    </w:p>
    <w:p>
      <w:pPr>
        <w:pStyle w:val="23"/>
        <w:spacing w:line="480" w:lineRule="auto"/>
        <w:ind w:firstLine="0" w:firstLineChars="0"/>
        <w:jc w:val="center"/>
        <w:rPr>
          <w:rFonts w:hAnsi="宋体" w:cs="宋体"/>
          <w:b/>
          <w:bCs/>
          <w:sz w:val="40"/>
          <w:szCs w:val="40"/>
        </w:rPr>
      </w:pPr>
    </w:p>
    <w:p>
      <w:pPr>
        <w:pStyle w:val="23"/>
        <w:spacing w:line="480" w:lineRule="auto"/>
        <w:ind w:firstLine="0" w:firstLineChars="0"/>
        <w:jc w:val="center"/>
        <w:rPr>
          <w:rFonts w:hAnsi="宋体" w:cs="宋体"/>
          <w:b/>
          <w:bCs/>
          <w:sz w:val="40"/>
          <w:szCs w:val="40"/>
        </w:rPr>
      </w:pPr>
    </w:p>
    <w:p>
      <w:pPr>
        <w:pStyle w:val="23"/>
        <w:spacing w:line="480" w:lineRule="auto"/>
        <w:ind w:firstLine="0" w:firstLineChars="0"/>
        <w:jc w:val="center"/>
        <w:rPr>
          <w:rFonts w:hAnsi="宋体" w:cs="宋体"/>
          <w:b/>
          <w:bCs/>
          <w:sz w:val="40"/>
          <w:szCs w:val="40"/>
        </w:rPr>
      </w:pPr>
    </w:p>
    <w:p>
      <w:pPr>
        <w:pStyle w:val="23"/>
        <w:spacing w:line="480" w:lineRule="auto"/>
        <w:ind w:firstLine="0" w:firstLineChars="0"/>
        <w:jc w:val="center"/>
        <w:rPr>
          <w:rFonts w:hAnsi="宋体" w:cs="宋体"/>
          <w:b/>
          <w:bCs/>
          <w:sz w:val="40"/>
          <w:szCs w:val="40"/>
        </w:rPr>
      </w:pPr>
    </w:p>
    <w:p>
      <w:pPr>
        <w:pStyle w:val="23"/>
        <w:spacing w:line="480" w:lineRule="auto"/>
        <w:ind w:firstLine="0" w:firstLineChars="0"/>
        <w:jc w:val="center"/>
        <w:rPr>
          <w:rFonts w:hAnsi="宋体" w:cs="宋体"/>
          <w:b/>
          <w:bCs/>
          <w:sz w:val="40"/>
          <w:szCs w:val="40"/>
        </w:rPr>
      </w:pPr>
    </w:p>
    <w:p>
      <w:pPr>
        <w:pStyle w:val="23"/>
        <w:spacing w:line="480" w:lineRule="auto"/>
        <w:ind w:firstLine="0" w:firstLineChars="0"/>
        <w:jc w:val="center"/>
        <w:rPr>
          <w:rFonts w:hAnsi="宋体" w:cs="宋体"/>
          <w:b/>
          <w:bCs/>
          <w:sz w:val="40"/>
          <w:szCs w:val="40"/>
        </w:rPr>
      </w:pPr>
    </w:p>
    <w:tbl>
      <w:tblPr>
        <w:tblStyle w:val="18"/>
        <w:tblW w:w="88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0"/>
        <w:gridCol w:w="6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80" w:type="dxa"/>
            <w:vAlign w:val="center"/>
          </w:tcPr>
          <w:p>
            <w:pPr>
              <w:pStyle w:val="23"/>
              <w:widowControl/>
              <w:ind w:firstLine="0" w:firstLineChars="0"/>
              <w:jc w:val="center"/>
              <w:rPr>
                <w:rFonts w:hint="eastAsia" w:hAnsi="宋体" w:cs="宋体"/>
                <w:b/>
                <w:bCs/>
                <w:sz w:val="32"/>
                <w:szCs w:val="32"/>
              </w:rPr>
            </w:pPr>
            <w:r>
              <w:rPr>
                <w:rFonts w:hint="eastAsia" w:hAnsi="宋体" w:cs="宋体"/>
                <w:b/>
                <w:bCs/>
                <w:sz w:val="32"/>
                <w:szCs w:val="32"/>
              </w:rPr>
              <w:t>建设单位：</w:t>
            </w:r>
          </w:p>
        </w:tc>
        <w:tc>
          <w:tcPr>
            <w:tcW w:w="6556" w:type="dxa"/>
            <w:vAlign w:val="center"/>
          </w:tcPr>
          <w:p>
            <w:pPr>
              <w:pStyle w:val="23"/>
              <w:widowControl/>
              <w:ind w:firstLine="0" w:firstLineChars="0"/>
              <w:jc w:val="center"/>
              <w:rPr>
                <w:rFonts w:hint="eastAsia" w:hAnsi="宋体" w:cs="宋体"/>
                <w:b/>
                <w:bCs/>
                <w:sz w:val="32"/>
                <w:szCs w:val="32"/>
              </w:rPr>
            </w:pPr>
            <w:r>
              <w:rPr>
                <w:rFonts w:hint="eastAsia" w:hAnsi="宋体" w:cs="宋体"/>
                <w:b/>
                <w:bCs/>
                <w:sz w:val="32"/>
                <w:szCs w:val="32"/>
              </w:rPr>
              <w:t>国家（神木）新能源有限公司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80" w:type="dxa"/>
            <w:vAlign w:val="center"/>
          </w:tcPr>
          <w:p>
            <w:pPr>
              <w:pStyle w:val="23"/>
              <w:widowControl/>
              <w:ind w:firstLine="0" w:firstLineChars="0"/>
              <w:jc w:val="center"/>
              <w:rPr>
                <w:rFonts w:hint="eastAsia" w:hAnsi="宋体" w:cs="宋体"/>
                <w:b/>
                <w:bCs/>
                <w:sz w:val="32"/>
                <w:szCs w:val="32"/>
              </w:rPr>
            </w:pPr>
            <w:r>
              <w:rPr>
                <w:rFonts w:hint="eastAsia" w:hAnsi="宋体" w:cs="宋体"/>
                <w:b/>
                <w:bCs/>
                <w:sz w:val="32"/>
                <w:szCs w:val="32"/>
              </w:rPr>
              <w:t>评价单位：</w:t>
            </w:r>
          </w:p>
        </w:tc>
        <w:tc>
          <w:tcPr>
            <w:tcW w:w="6556" w:type="dxa"/>
            <w:vAlign w:val="center"/>
          </w:tcPr>
          <w:p>
            <w:pPr>
              <w:pStyle w:val="23"/>
              <w:widowControl/>
              <w:ind w:firstLine="0" w:firstLineChars="0"/>
              <w:jc w:val="center"/>
              <w:rPr>
                <w:rFonts w:hint="eastAsia" w:hAnsi="宋体" w:cs="宋体"/>
                <w:b/>
                <w:bCs/>
                <w:sz w:val="32"/>
                <w:szCs w:val="32"/>
              </w:rPr>
            </w:pPr>
            <w:r>
              <w:rPr>
                <w:rFonts w:hint="eastAsia" w:hAnsi="宋体" w:cs="宋体"/>
                <w:b/>
                <w:bCs/>
                <w:sz w:val="32"/>
                <w:szCs w:val="32"/>
              </w:rPr>
              <w:t>西安海浪环保科技有限公司</w:t>
            </w:r>
          </w:p>
        </w:tc>
      </w:tr>
    </w:tbl>
    <w:p>
      <w:pPr>
        <w:pStyle w:val="23"/>
        <w:spacing w:line="480" w:lineRule="auto"/>
        <w:ind w:firstLine="0" w:firstLineChars="0"/>
        <w:jc w:val="center"/>
        <w:rPr>
          <w:rFonts w:hAnsi="宋体" w:cs="宋体"/>
          <w:b/>
          <w:bCs/>
          <w:sz w:val="40"/>
          <w:szCs w:val="40"/>
        </w:rPr>
      </w:pPr>
    </w:p>
    <w:p>
      <w:pPr>
        <w:pStyle w:val="23"/>
        <w:spacing w:line="480" w:lineRule="auto"/>
        <w:ind w:firstLine="0" w:firstLineChars="0"/>
        <w:jc w:val="center"/>
        <w:outlineLvl w:val="0"/>
        <w:rPr>
          <w:rFonts w:hAnsi="宋体" w:cs="宋体"/>
          <w:b/>
          <w:bCs/>
          <w:sz w:val="32"/>
          <w:szCs w:val="32"/>
        </w:rPr>
      </w:pPr>
      <w:bookmarkStart w:id="10" w:name="_Toc21604"/>
      <w:r>
        <w:rPr>
          <w:rFonts w:hint="eastAsia" w:hAnsi="宋体" w:cs="宋体"/>
          <w:b/>
          <w:bCs/>
          <w:sz w:val="32"/>
          <w:szCs w:val="32"/>
        </w:rPr>
        <w:t>2020年</w:t>
      </w:r>
      <w:r>
        <w:rPr>
          <w:rFonts w:hint="eastAsia" w:hAnsi="宋体" w:cs="宋体"/>
          <w:b/>
          <w:bCs/>
          <w:sz w:val="32"/>
          <w:szCs w:val="32"/>
          <w:lang w:val="en-US" w:eastAsia="zh-CN"/>
        </w:rPr>
        <w:t>10</w:t>
      </w:r>
      <w:r>
        <w:rPr>
          <w:rFonts w:hint="eastAsia" w:hAnsi="宋体" w:cs="宋体"/>
          <w:b/>
          <w:bCs/>
          <w:sz w:val="32"/>
          <w:szCs w:val="32"/>
        </w:rPr>
        <w:t>月</w:t>
      </w:r>
      <w:bookmarkEnd w:id="10"/>
    </w:p>
    <w:p>
      <w:pPr>
        <w:pStyle w:val="23"/>
        <w:spacing w:line="480" w:lineRule="auto"/>
        <w:ind w:firstLine="0" w:firstLineChars="0"/>
        <w:jc w:val="center"/>
        <w:outlineLvl w:val="0"/>
        <w:rPr>
          <w:rFonts w:hint="eastAsia" w:hAnsi="宋体" w:cs="宋体"/>
          <w:b/>
          <w:bCs/>
          <w:sz w:val="40"/>
          <w:szCs w:val="40"/>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54"/>
          <w:cols w:space="425" w:num="1"/>
          <w:docGrid w:type="lines" w:linePitch="312" w:charSpace="0"/>
        </w:sectPr>
      </w:pPr>
    </w:p>
    <w:p>
      <w:pPr>
        <w:pStyle w:val="23"/>
        <w:spacing w:line="480" w:lineRule="auto"/>
        <w:ind w:firstLine="0" w:firstLineChars="0"/>
        <w:jc w:val="center"/>
        <w:outlineLvl w:val="0"/>
        <w:rPr>
          <w:rFonts w:hint="eastAsia" w:hAnsi="宋体" w:cs="宋体"/>
          <w:b/>
          <w:bCs/>
          <w:sz w:val="40"/>
          <w:szCs w:val="40"/>
        </w:rPr>
      </w:pPr>
    </w:p>
    <w:p>
      <w:pPr>
        <w:pStyle w:val="23"/>
        <w:spacing w:line="480" w:lineRule="auto"/>
        <w:ind w:firstLine="0" w:firstLineChars="0"/>
        <w:jc w:val="center"/>
        <w:outlineLvl w:val="0"/>
        <w:rPr>
          <w:rFonts w:hint="eastAsia" w:hAnsi="宋体" w:cs="宋体"/>
          <w:b/>
          <w:bCs/>
          <w:sz w:val="40"/>
          <w:szCs w:val="40"/>
        </w:rPr>
      </w:pPr>
    </w:p>
    <w:p>
      <w:pPr>
        <w:pStyle w:val="23"/>
        <w:spacing w:line="480" w:lineRule="auto"/>
        <w:ind w:firstLine="0" w:firstLineChars="0"/>
        <w:jc w:val="center"/>
        <w:outlineLvl w:val="0"/>
        <w:rPr>
          <w:rFonts w:hint="eastAsia" w:hAnsi="宋体" w:cs="宋体"/>
          <w:b/>
          <w:bCs/>
          <w:sz w:val="40"/>
          <w:szCs w:val="40"/>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8"/>
    <w:p>
      <w:pPr>
        <w:rPr>
          <w:rFonts w:hAnsi="宋体" w:cs="宋体"/>
          <w:b/>
          <w:bCs/>
          <w:sz w:val="32"/>
          <w:szCs w:val="32"/>
        </w:rPr>
      </w:pPr>
      <w:bookmarkStart w:id="11" w:name="_Toc21780"/>
      <w:r>
        <w:rPr>
          <w:rFonts w:hint="eastAsia" w:hAnsi="宋体" w:cs="宋体"/>
          <w:b/>
          <w:bCs/>
          <w:sz w:val="32"/>
          <w:szCs w:val="32"/>
        </w:rPr>
        <w:t>1 项目概况</w:t>
      </w:r>
      <w:bookmarkEnd w:id="11"/>
    </w:p>
    <w:p>
      <w:pPr>
        <w:pStyle w:val="23"/>
        <w:spacing w:line="360" w:lineRule="auto"/>
        <w:ind w:firstLine="480"/>
        <w:jc w:val="left"/>
        <w:rPr>
          <w:rFonts w:ascii="Times New Roman" w:eastAsiaTheme="minorEastAsia"/>
          <w:kern w:val="2"/>
          <w:sz w:val="24"/>
          <w:szCs w:val="24"/>
        </w:rPr>
      </w:pPr>
      <w:r>
        <w:rPr>
          <w:rFonts w:hint="eastAsia" w:ascii="Times New Roman" w:eastAsiaTheme="minorEastAsia"/>
          <w:kern w:val="2"/>
          <w:sz w:val="24"/>
          <w:szCs w:val="24"/>
        </w:rPr>
        <w:t>本项目为薛家畔、李家畔、槐树峁风电场送出</w:t>
      </w:r>
      <w:r>
        <w:rPr>
          <w:rFonts w:hint="eastAsia" w:ascii="Times New Roman" w:eastAsiaTheme="minorEastAsia"/>
          <w:kern w:val="2"/>
          <w:sz w:val="24"/>
          <w:szCs w:val="24"/>
          <w:lang w:eastAsia="zh-CN"/>
        </w:rPr>
        <w:t>项目</w:t>
      </w:r>
      <w:r>
        <w:rPr>
          <w:rFonts w:hint="eastAsia" w:ascii="Times New Roman" w:eastAsiaTheme="minorEastAsia"/>
          <w:kern w:val="2"/>
          <w:sz w:val="24"/>
          <w:szCs w:val="24"/>
        </w:rPr>
        <w:t>。线路起于老爷庙李家畔110kV升压站，</w:t>
      </w:r>
      <w:r>
        <w:rPr>
          <w:rFonts w:hint="eastAsia" w:ascii="Times New Roman" w:eastAsiaTheme="minorEastAsia"/>
          <w:kern w:val="2"/>
          <w:sz w:val="24"/>
          <w:szCs w:val="24"/>
          <w:lang w:eastAsia="zh-CN"/>
        </w:rPr>
        <w:t>前期</w:t>
      </w:r>
      <w:r>
        <w:rPr>
          <w:rFonts w:hint="eastAsia" w:ascii="Times New Roman" w:eastAsiaTheme="minorEastAsia"/>
          <w:kern w:val="2"/>
          <w:sz w:val="24"/>
          <w:szCs w:val="24"/>
        </w:rPr>
        <w:t>接入国电投110V升压站</w:t>
      </w:r>
      <w:r>
        <w:rPr>
          <w:rFonts w:hint="eastAsia" w:ascii="Times New Roman" w:eastAsiaTheme="minorEastAsia"/>
          <w:kern w:val="2"/>
          <w:sz w:val="24"/>
          <w:szCs w:val="24"/>
          <w:lang w:eastAsia="zh-CN"/>
        </w:rPr>
        <w:t>。</w:t>
      </w:r>
      <w:r>
        <w:rPr>
          <w:rFonts w:hint="eastAsia" w:ascii="Times New Roman" w:eastAsiaTheme="minorEastAsia"/>
          <w:kern w:val="2"/>
          <w:sz w:val="24"/>
          <w:szCs w:val="24"/>
        </w:rPr>
        <w:t>锦界330kV变电站</w:t>
      </w:r>
      <w:r>
        <w:rPr>
          <w:rFonts w:hint="eastAsia" w:ascii="Times New Roman" w:eastAsiaTheme="minorEastAsia"/>
          <w:kern w:val="2"/>
          <w:sz w:val="24"/>
          <w:szCs w:val="24"/>
          <w:lang w:eastAsia="zh-CN"/>
        </w:rPr>
        <w:t>建成后</w:t>
      </w:r>
      <w:r>
        <w:rPr>
          <w:rFonts w:hint="eastAsia" w:ascii="Times New Roman" w:eastAsiaTheme="minorEastAsia"/>
          <w:kern w:val="2"/>
          <w:sz w:val="24"/>
          <w:szCs w:val="24"/>
        </w:rPr>
        <w:t>接入锦界330kV变电站</w:t>
      </w:r>
      <w:r>
        <w:rPr>
          <w:rFonts w:hint="eastAsia" w:ascii="Times New Roman" w:eastAsiaTheme="minorEastAsia"/>
          <w:kern w:val="2"/>
          <w:sz w:val="24"/>
          <w:szCs w:val="24"/>
          <w:lang w:eastAsia="zh-CN"/>
        </w:rPr>
        <w:t>建成后</w:t>
      </w:r>
      <w:r>
        <w:rPr>
          <w:rFonts w:hint="eastAsia" w:ascii="Times New Roman" w:eastAsiaTheme="minorEastAsia"/>
          <w:kern w:val="2"/>
          <w:sz w:val="24"/>
          <w:szCs w:val="24"/>
        </w:rPr>
        <w:t>。李家畔110kV升压站</w:t>
      </w:r>
      <w:r>
        <w:rPr>
          <w:rFonts w:hint="eastAsia" w:ascii="Times New Roman" w:eastAsiaTheme="minorEastAsia"/>
          <w:kern w:val="2"/>
          <w:sz w:val="24"/>
          <w:szCs w:val="24"/>
          <w:lang w:eastAsia="zh-CN"/>
        </w:rPr>
        <w:t>至国电投</w:t>
      </w:r>
      <w:r>
        <w:rPr>
          <w:rFonts w:hint="eastAsia" w:ascii="Times New Roman" w:eastAsiaTheme="minorEastAsia"/>
          <w:kern w:val="2"/>
          <w:sz w:val="24"/>
          <w:szCs w:val="24"/>
          <w:lang w:val="en-US" w:eastAsia="zh-CN"/>
        </w:rPr>
        <w:t>110kv</w:t>
      </w:r>
      <w:r>
        <w:rPr>
          <w:rFonts w:hint="eastAsia" w:ascii="Times New Roman" w:eastAsiaTheme="minorEastAsia"/>
          <w:kern w:val="2"/>
          <w:sz w:val="24"/>
          <w:szCs w:val="24"/>
        </w:rPr>
        <w:t>升压站线路路径长约19.61m，国电投110kv升压站</w:t>
      </w:r>
      <w:r>
        <w:rPr>
          <w:rFonts w:hint="eastAsia" w:ascii="Times New Roman" w:eastAsiaTheme="minorEastAsia"/>
          <w:kern w:val="2"/>
          <w:sz w:val="24"/>
          <w:szCs w:val="24"/>
          <w:lang w:eastAsia="zh-CN"/>
        </w:rPr>
        <w:t>至</w:t>
      </w:r>
      <w:r>
        <w:rPr>
          <w:rFonts w:hint="eastAsia" w:ascii="Times New Roman" w:eastAsiaTheme="minorEastAsia"/>
          <w:kern w:val="2"/>
          <w:sz w:val="24"/>
          <w:szCs w:val="24"/>
        </w:rPr>
        <w:t>330kV变电站线路路径长约7.9km。路径总长约27.5km。本项目线路采用单回架空出线，导线采用2×LGJ-300/40钢芯铝绞线。项目总投资3460万元，项目环保投资90.5万元，占总投资的2.6%。</w:t>
      </w:r>
    </w:p>
    <w:p>
      <w:pPr>
        <w:pStyle w:val="23"/>
        <w:spacing w:line="360" w:lineRule="auto"/>
        <w:ind w:firstLine="0" w:firstLineChars="0"/>
        <w:jc w:val="left"/>
        <w:outlineLvl w:val="0"/>
        <w:rPr>
          <w:rFonts w:hAnsi="宋体" w:cs="宋体"/>
          <w:b/>
          <w:bCs/>
          <w:sz w:val="32"/>
          <w:szCs w:val="32"/>
        </w:rPr>
      </w:pPr>
      <w:bookmarkStart w:id="12" w:name="_Toc6381"/>
      <w:r>
        <w:rPr>
          <w:rFonts w:hint="eastAsia" w:hAnsi="宋体" w:cs="宋体"/>
          <w:b/>
          <w:bCs/>
          <w:sz w:val="32"/>
          <w:szCs w:val="32"/>
        </w:rPr>
        <w:t>2 相关法律、法规和技术规范</w:t>
      </w:r>
      <w:bookmarkEnd w:id="12"/>
    </w:p>
    <w:p>
      <w:pPr>
        <w:pStyle w:val="24"/>
        <w:spacing w:line="360" w:lineRule="auto"/>
        <w:ind w:firstLine="480" w:firstLineChars="200"/>
        <w:outlineLvl w:val="0"/>
        <w:rPr>
          <w:rFonts w:ascii="Times New Roman" w:hAnsi="Times New Roman" w:cs="Times New Roman"/>
          <w:bCs/>
          <w:color w:val="auto"/>
          <w:kern w:val="2"/>
        </w:rPr>
      </w:pPr>
      <w:bookmarkStart w:id="13" w:name="_Toc9810"/>
      <w:r>
        <w:rPr>
          <w:rFonts w:ascii="Times New Roman" w:hAnsi="Times New Roman" w:cs="Times New Roman"/>
          <w:bCs/>
          <w:color w:val="auto"/>
          <w:kern w:val="2"/>
        </w:rPr>
        <w:t>（1）《环境影响评价技术导则 输变电工程》（HJ24-2014）；</w:t>
      </w:r>
      <w:bookmarkEnd w:id="13"/>
    </w:p>
    <w:p>
      <w:pPr>
        <w:pStyle w:val="23"/>
        <w:spacing w:line="360" w:lineRule="auto"/>
        <w:ind w:firstLine="480"/>
        <w:jc w:val="left"/>
        <w:rPr>
          <w:rFonts w:ascii="Times New Roman"/>
          <w:bCs/>
          <w:kern w:val="2"/>
          <w:sz w:val="24"/>
          <w:szCs w:val="24"/>
        </w:rPr>
      </w:pPr>
      <w:r>
        <w:rPr>
          <w:rFonts w:ascii="Times New Roman"/>
          <w:bCs/>
          <w:kern w:val="2"/>
          <w:sz w:val="24"/>
          <w:szCs w:val="24"/>
        </w:rPr>
        <w:t>（2）《电磁环境控制限值》（GB8702-2014）；</w:t>
      </w:r>
    </w:p>
    <w:p>
      <w:pPr>
        <w:pStyle w:val="23"/>
        <w:spacing w:line="360" w:lineRule="auto"/>
        <w:ind w:firstLine="480"/>
        <w:jc w:val="left"/>
        <w:rPr>
          <w:rFonts w:ascii="Times New Roman"/>
          <w:bCs/>
          <w:kern w:val="2"/>
          <w:sz w:val="24"/>
          <w:szCs w:val="24"/>
        </w:rPr>
      </w:pPr>
      <w:r>
        <w:rPr>
          <w:rFonts w:hint="eastAsia" w:ascii="Times New Roman"/>
          <w:bCs/>
          <w:kern w:val="2"/>
          <w:sz w:val="24"/>
          <w:szCs w:val="24"/>
        </w:rPr>
        <w:t>（3）《110kV~750kV架空输电线路设计规范》（GB50545-2010）；</w:t>
      </w:r>
    </w:p>
    <w:p>
      <w:pPr>
        <w:pStyle w:val="23"/>
        <w:spacing w:line="360" w:lineRule="auto"/>
        <w:ind w:firstLine="480"/>
        <w:jc w:val="left"/>
        <w:rPr>
          <w:rFonts w:ascii="Times New Roman" w:eastAsiaTheme="minorEastAsia"/>
          <w:kern w:val="2"/>
          <w:sz w:val="24"/>
          <w:szCs w:val="24"/>
        </w:rPr>
      </w:pPr>
      <w:r>
        <w:rPr>
          <w:rFonts w:hint="eastAsia" w:ascii="Times New Roman" w:eastAsiaTheme="minorEastAsia"/>
          <w:kern w:val="2"/>
          <w:sz w:val="24"/>
          <w:szCs w:val="24"/>
        </w:rPr>
        <w:t>（4）</w:t>
      </w:r>
      <w:r>
        <w:rPr>
          <w:rFonts w:ascii="Times New Roman"/>
          <w:bCs/>
          <w:kern w:val="2"/>
          <w:sz w:val="24"/>
          <w:szCs w:val="24"/>
        </w:rPr>
        <w:t>《交流输变电工程电磁环境监测方法（试行）》（HJ681-2013）；</w:t>
      </w:r>
    </w:p>
    <w:p>
      <w:pPr>
        <w:pStyle w:val="23"/>
        <w:spacing w:line="360" w:lineRule="auto"/>
        <w:ind w:firstLine="480"/>
        <w:jc w:val="left"/>
        <w:rPr>
          <w:rFonts w:ascii="Times New Roman" w:eastAsiaTheme="minorEastAsia"/>
          <w:kern w:val="2"/>
          <w:sz w:val="24"/>
          <w:szCs w:val="24"/>
        </w:rPr>
      </w:pPr>
      <w:r>
        <w:rPr>
          <w:rFonts w:hint="eastAsia" w:ascii="Times New Roman" w:eastAsiaTheme="minorEastAsia"/>
          <w:kern w:val="2"/>
          <w:sz w:val="24"/>
          <w:szCs w:val="24"/>
        </w:rPr>
        <w:t>（5）</w:t>
      </w:r>
      <w:r>
        <w:rPr>
          <w:rFonts w:hint="default" w:ascii="Times New Roman" w:hAnsi="Times New Roman" w:cs="Times New Roman"/>
          <w:sz w:val="24"/>
          <w:lang w:eastAsia="zh-CN"/>
        </w:rPr>
        <w:t>《神木国华李家畔、薛家畔风电场送出工程可行性研究报告</w:t>
      </w:r>
      <w:r>
        <w:rPr>
          <w:rFonts w:hint="eastAsia" w:ascii="Times New Roman" w:hAnsi="Times New Roman" w:cs="Times New Roman"/>
          <w:sz w:val="24"/>
          <w:lang w:val="en-US" w:eastAsia="zh-CN"/>
        </w:rPr>
        <w:t>v1.7</w:t>
      </w:r>
      <w:r>
        <w:rPr>
          <w:rFonts w:hint="default" w:ascii="Times New Roman" w:hAnsi="Times New Roman" w:cs="Times New Roman"/>
          <w:sz w:val="24"/>
          <w:lang w:eastAsia="zh-CN"/>
        </w:rPr>
        <w:t>》</w:t>
      </w:r>
      <w:r>
        <w:rPr>
          <w:rFonts w:hint="eastAsia" w:ascii="Times New Roman" w:hAnsi="Times New Roman" w:cs="Times New Roman"/>
          <w:sz w:val="24"/>
          <w:lang w:eastAsia="zh-CN"/>
        </w:rPr>
        <w:t>（收口版）</w:t>
      </w:r>
      <w:r>
        <w:rPr>
          <w:rFonts w:hint="eastAsia" w:ascii="Times New Roman" w:eastAsiaTheme="minorEastAsia"/>
          <w:kern w:val="2"/>
          <w:sz w:val="24"/>
          <w:szCs w:val="24"/>
        </w:rPr>
        <w:t>；</w:t>
      </w:r>
    </w:p>
    <w:p>
      <w:pPr>
        <w:pStyle w:val="23"/>
        <w:spacing w:line="360" w:lineRule="auto"/>
        <w:ind w:firstLine="480"/>
        <w:jc w:val="left"/>
        <w:rPr>
          <w:rFonts w:ascii="Times New Roman" w:eastAsiaTheme="minorEastAsia"/>
          <w:kern w:val="2"/>
          <w:sz w:val="24"/>
          <w:szCs w:val="24"/>
        </w:rPr>
      </w:pPr>
      <w:r>
        <w:rPr>
          <w:rFonts w:hint="eastAsia" w:ascii="Times New Roman" w:eastAsiaTheme="minorEastAsia"/>
          <w:kern w:val="2"/>
          <w:sz w:val="24"/>
          <w:szCs w:val="24"/>
        </w:rPr>
        <w:t>（</w:t>
      </w:r>
      <w:r>
        <w:rPr>
          <w:rFonts w:hint="eastAsia" w:ascii="Times New Roman" w:eastAsiaTheme="minorEastAsia"/>
          <w:kern w:val="2"/>
          <w:sz w:val="24"/>
          <w:szCs w:val="24"/>
          <w:lang w:val="en-US" w:eastAsia="zh-CN"/>
        </w:rPr>
        <w:t>6</w:t>
      </w:r>
      <w:r>
        <w:rPr>
          <w:rFonts w:hint="eastAsia" w:ascii="Times New Roman" w:eastAsiaTheme="minorEastAsia"/>
          <w:kern w:val="2"/>
          <w:sz w:val="24"/>
          <w:szCs w:val="24"/>
        </w:rPr>
        <w:t>）建设单位提供的其他资料。</w:t>
      </w:r>
    </w:p>
    <w:p>
      <w:pPr>
        <w:pStyle w:val="23"/>
        <w:spacing w:line="360" w:lineRule="auto"/>
        <w:ind w:firstLine="0" w:firstLineChars="0"/>
        <w:jc w:val="left"/>
        <w:outlineLvl w:val="0"/>
        <w:rPr>
          <w:rFonts w:hAnsi="宋体" w:cs="宋体"/>
          <w:b/>
          <w:bCs/>
          <w:sz w:val="32"/>
          <w:szCs w:val="32"/>
        </w:rPr>
      </w:pPr>
      <w:bookmarkStart w:id="14" w:name="_Toc13124"/>
      <w:r>
        <w:rPr>
          <w:rFonts w:hint="eastAsia" w:hAnsi="宋体" w:cs="宋体"/>
          <w:b/>
          <w:bCs/>
          <w:sz w:val="32"/>
          <w:szCs w:val="32"/>
        </w:rPr>
        <w:t>3 评价范围、评价因子及评价标准</w:t>
      </w:r>
      <w:bookmarkEnd w:id="14"/>
    </w:p>
    <w:p>
      <w:pPr>
        <w:pStyle w:val="23"/>
        <w:spacing w:line="360" w:lineRule="auto"/>
        <w:ind w:firstLine="0" w:firstLineChars="0"/>
        <w:jc w:val="left"/>
        <w:rPr>
          <w:rFonts w:ascii="Times New Roman" w:eastAsiaTheme="minorEastAsia"/>
          <w:b/>
          <w:bCs/>
          <w:kern w:val="2"/>
          <w:sz w:val="28"/>
          <w:szCs w:val="28"/>
        </w:rPr>
      </w:pPr>
      <w:r>
        <w:rPr>
          <w:rFonts w:hint="eastAsia" w:ascii="Times New Roman" w:eastAsiaTheme="minorEastAsia"/>
          <w:b/>
          <w:bCs/>
          <w:kern w:val="2"/>
          <w:sz w:val="28"/>
          <w:szCs w:val="28"/>
        </w:rPr>
        <w:t>3.1 评价等级</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根据《环境影响评价技术导则输变电工程》（HJ24-2014），110kV输变电</w:t>
      </w:r>
      <w:r>
        <w:rPr>
          <w:rFonts w:hint="eastAsia" w:ascii="Times New Roman" w:eastAsiaTheme="minorEastAsia"/>
          <w:kern w:val="2"/>
          <w:sz w:val="24"/>
          <w:szCs w:val="24"/>
        </w:rPr>
        <w:t>线路</w:t>
      </w:r>
      <w:r>
        <w:rPr>
          <w:rFonts w:ascii="Times New Roman" w:eastAsiaTheme="minorEastAsia"/>
          <w:kern w:val="2"/>
          <w:sz w:val="24"/>
          <w:szCs w:val="24"/>
        </w:rPr>
        <w:t>工程电磁环境影响评价工作等级的划分见表</w:t>
      </w:r>
      <w:r>
        <w:rPr>
          <w:rFonts w:hint="eastAsia" w:ascii="Times New Roman" w:eastAsiaTheme="minorEastAsia"/>
          <w:kern w:val="2"/>
          <w:sz w:val="24"/>
          <w:szCs w:val="24"/>
        </w:rPr>
        <w:t>3</w:t>
      </w:r>
      <w:r>
        <w:rPr>
          <w:rFonts w:ascii="Times New Roman" w:eastAsiaTheme="minorEastAsia"/>
          <w:kern w:val="2"/>
          <w:sz w:val="24"/>
          <w:szCs w:val="24"/>
        </w:rPr>
        <w:t>-1。</w:t>
      </w:r>
    </w:p>
    <w:p>
      <w:pPr>
        <w:pStyle w:val="23"/>
        <w:spacing w:line="360" w:lineRule="auto"/>
        <w:ind w:firstLine="0" w:firstLineChars="0"/>
        <w:jc w:val="center"/>
        <w:rPr>
          <w:rFonts w:ascii="Times New Roman" w:eastAsiaTheme="minorEastAsia"/>
          <w:kern w:val="2"/>
          <w:sz w:val="24"/>
          <w:szCs w:val="24"/>
        </w:rPr>
      </w:pPr>
      <w:r>
        <w:rPr>
          <w:rFonts w:ascii="Times New Roman"/>
          <w:b/>
          <w:bCs/>
          <w:kern w:val="2"/>
          <w:szCs w:val="21"/>
        </w:rPr>
        <w:t>表3-1  110kV输变电工程电磁环境影响评价工作等级</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196"/>
        <w:gridCol w:w="838"/>
        <w:gridCol w:w="4210"/>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分类</w:t>
            </w:r>
          </w:p>
        </w:tc>
        <w:tc>
          <w:tcPr>
            <w:tcW w:w="702" w:type="pc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电压等级</w:t>
            </w:r>
          </w:p>
        </w:tc>
        <w:tc>
          <w:tcPr>
            <w:tcW w:w="492" w:type="pc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工程</w:t>
            </w:r>
          </w:p>
        </w:tc>
        <w:tc>
          <w:tcPr>
            <w:tcW w:w="2471" w:type="pc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条件</w:t>
            </w:r>
          </w:p>
        </w:tc>
        <w:tc>
          <w:tcPr>
            <w:tcW w:w="944" w:type="pc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评价工作等级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restar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交流</w:t>
            </w:r>
          </w:p>
        </w:tc>
        <w:tc>
          <w:tcPr>
            <w:tcW w:w="702" w:type="pct"/>
            <w:vMerge w:val="restar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110kV</w:t>
            </w:r>
          </w:p>
        </w:tc>
        <w:tc>
          <w:tcPr>
            <w:tcW w:w="492" w:type="pct"/>
            <w:vMerge w:val="restar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输电线路</w:t>
            </w:r>
          </w:p>
        </w:tc>
        <w:tc>
          <w:tcPr>
            <w:tcW w:w="2471" w:type="pct"/>
            <w:vAlign w:val="center"/>
          </w:tcPr>
          <w:p>
            <w:pPr>
              <w:pStyle w:val="23"/>
              <w:widowControl/>
              <w:ind w:firstLine="0" w:firstLineChars="0"/>
              <w:jc w:val="left"/>
              <w:rPr>
                <w:rFonts w:ascii="Times New Roman" w:eastAsiaTheme="minorEastAsia"/>
                <w:kern w:val="2"/>
                <w:sz w:val="24"/>
                <w:szCs w:val="24"/>
              </w:rPr>
            </w:pPr>
            <w:r>
              <w:rPr>
                <w:rFonts w:hint="eastAsia" w:ascii="Times New Roman" w:eastAsiaTheme="minorEastAsia"/>
                <w:kern w:val="2"/>
                <w:sz w:val="24"/>
                <w:szCs w:val="24"/>
              </w:rPr>
              <w:t>1.</w:t>
            </w:r>
            <w:r>
              <w:rPr>
                <w:rFonts w:ascii="Times New Roman" w:eastAsiaTheme="minorEastAsia"/>
                <w:kern w:val="2"/>
                <w:sz w:val="24"/>
                <w:szCs w:val="24"/>
              </w:rPr>
              <w:t>地下电缆</w:t>
            </w:r>
          </w:p>
          <w:p>
            <w:pPr>
              <w:pStyle w:val="23"/>
              <w:widowControl/>
              <w:ind w:firstLine="0" w:firstLineChars="0"/>
              <w:jc w:val="left"/>
              <w:rPr>
                <w:rFonts w:ascii="Times New Roman" w:eastAsiaTheme="minorEastAsia"/>
                <w:kern w:val="2"/>
                <w:sz w:val="24"/>
                <w:szCs w:val="24"/>
              </w:rPr>
            </w:pPr>
            <w:r>
              <w:rPr>
                <w:rFonts w:ascii="Times New Roman" w:eastAsiaTheme="minorEastAsia"/>
                <w:kern w:val="2"/>
                <w:sz w:val="24"/>
                <w:szCs w:val="24"/>
              </w:rPr>
              <w:t>2</w:t>
            </w:r>
            <w:r>
              <w:rPr>
                <w:rFonts w:hint="eastAsia" w:ascii="Times New Roman" w:eastAsiaTheme="minorEastAsia"/>
                <w:kern w:val="2"/>
                <w:sz w:val="24"/>
                <w:szCs w:val="24"/>
              </w:rPr>
              <w:t>.</w:t>
            </w:r>
            <w:r>
              <w:rPr>
                <w:rFonts w:ascii="Times New Roman" w:eastAsiaTheme="minorEastAsia"/>
                <w:kern w:val="2"/>
                <w:sz w:val="24"/>
                <w:szCs w:val="24"/>
              </w:rPr>
              <w:t>边导线地面投影外两侧各10m范围内无电磁环境敏感目标的架空线</w:t>
            </w:r>
          </w:p>
        </w:tc>
        <w:tc>
          <w:tcPr>
            <w:tcW w:w="944" w:type="pc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 w:type="pct"/>
            <w:vMerge w:val="continue"/>
            <w:vAlign w:val="center"/>
          </w:tcPr>
          <w:p>
            <w:pPr>
              <w:pStyle w:val="23"/>
              <w:widowControl/>
              <w:ind w:firstLine="0" w:firstLineChars="0"/>
              <w:jc w:val="center"/>
              <w:rPr>
                <w:rFonts w:ascii="Times New Roman" w:eastAsiaTheme="minorEastAsia"/>
                <w:kern w:val="2"/>
                <w:sz w:val="24"/>
                <w:szCs w:val="24"/>
              </w:rPr>
            </w:pPr>
          </w:p>
        </w:tc>
        <w:tc>
          <w:tcPr>
            <w:tcW w:w="702" w:type="pct"/>
            <w:vMerge w:val="continue"/>
            <w:vAlign w:val="center"/>
          </w:tcPr>
          <w:p>
            <w:pPr>
              <w:pStyle w:val="23"/>
              <w:widowControl/>
              <w:ind w:firstLine="0" w:firstLineChars="0"/>
              <w:jc w:val="center"/>
              <w:rPr>
                <w:rFonts w:ascii="Times New Roman" w:eastAsiaTheme="minorEastAsia"/>
                <w:kern w:val="2"/>
                <w:sz w:val="24"/>
                <w:szCs w:val="24"/>
              </w:rPr>
            </w:pPr>
          </w:p>
        </w:tc>
        <w:tc>
          <w:tcPr>
            <w:tcW w:w="492" w:type="pct"/>
            <w:vMerge w:val="continue"/>
            <w:vAlign w:val="center"/>
          </w:tcPr>
          <w:p>
            <w:pPr>
              <w:pStyle w:val="23"/>
              <w:widowControl/>
              <w:ind w:firstLine="0" w:firstLineChars="0"/>
              <w:jc w:val="center"/>
              <w:rPr>
                <w:rFonts w:ascii="Times New Roman" w:eastAsiaTheme="minorEastAsia"/>
                <w:kern w:val="2"/>
                <w:sz w:val="24"/>
                <w:szCs w:val="24"/>
              </w:rPr>
            </w:pPr>
          </w:p>
        </w:tc>
        <w:tc>
          <w:tcPr>
            <w:tcW w:w="2471" w:type="pct"/>
            <w:vAlign w:val="center"/>
          </w:tcPr>
          <w:p>
            <w:pPr>
              <w:pStyle w:val="23"/>
              <w:widowControl/>
              <w:ind w:firstLine="0" w:firstLineChars="0"/>
              <w:jc w:val="left"/>
              <w:rPr>
                <w:rFonts w:ascii="Times New Roman" w:eastAsiaTheme="minorEastAsia"/>
                <w:kern w:val="2"/>
                <w:sz w:val="24"/>
                <w:szCs w:val="24"/>
              </w:rPr>
            </w:pPr>
            <w:r>
              <w:rPr>
                <w:rFonts w:ascii="Times New Roman" w:eastAsiaTheme="minorEastAsia"/>
                <w:kern w:val="2"/>
                <w:sz w:val="24"/>
                <w:szCs w:val="24"/>
              </w:rPr>
              <w:t>边导线地面投影外两侧各10m范围内有电磁环境敏感目标的架空线</w:t>
            </w:r>
          </w:p>
        </w:tc>
        <w:tc>
          <w:tcPr>
            <w:tcW w:w="944" w:type="pct"/>
            <w:vAlign w:val="center"/>
          </w:tcPr>
          <w:p>
            <w:pPr>
              <w:pStyle w:val="23"/>
              <w:widowControl/>
              <w:ind w:firstLine="0" w:firstLineChars="0"/>
              <w:jc w:val="center"/>
              <w:rPr>
                <w:rFonts w:ascii="Times New Roman" w:eastAsiaTheme="minorEastAsia"/>
                <w:kern w:val="2"/>
                <w:sz w:val="24"/>
                <w:szCs w:val="24"/>
              </w:rPr>
            </w:pPr>
            <w:r>
              <w:rPr>
                <w:rFonts w:hint="eastAsia" w:ascii="Times New Roman" w:eastAsiaTheme="minorEastAsia"/>
                <w:kern w:val="2"/>
                <w:sz w:val="24"/>
                <w:szCs w:val="24"/>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23"/>
              <w:widowControl/>
              <w:ind w:firstLine="0" w:firstLineChars="0"/>
              <w:jc w:val="left"/>
              <w:rPr>
                <w:rFonts w:ascii="Times New Roman" w:eastAsiaTheme="minorEastAsia"/>
                <w:kern w:val="2"/>
                <w:sz w:val="24"/>
                <w:szCs w:val="24"/>
              </w:rPr>
            </w:pPr>
            <w:r>
              <w:rPr>
                <w:rFonts w:ascii="Times New Roman" w:eastAsiaTheme="minorEastAsia"/>
                <w:kern w:val="2"/>
                <w:sz w:val="24"/>
                <w:szCs w:val="24"/>
              </w:rPr>
              <w:t>注：根据同电压等级的变电站确定开关站、串补站的电磁环境影响评价工作等级，根据直流侧电压等级确定换流站的电磁环境影响评价工作等</w:t>
            </w:r>
          </w:p>
        </w:tc>
      </w:tr>
    </w:tbl>
    <w:p>
      <w:pPr>
        <w:pStyle w:val="23"/>
        <w:spacing w:line="360" w:lineRule="auto"/>
        <w:ind w:firstLine="480"/>
        <w:jc w:val="left"/>
        <w:rPr>
          <w:rFonts w:ascii="Times New Roman" w:eastAsiaTheme="minorEastAsia"/>
          <w:kern w:val="2"/>
          <w:sz w:val="24"/>
          <w:szCs w:val="24"/>
        </w:rPr>
      </w:pPr>
      <w:r>
        <w:rPr>
          <w:rFonts w:hint="eastAsia" w:ascii="Times New Roman" w:eastAsiaTheme="minorEastAsia"/>
          <w:kern w:val="2"/>
          <w:sz w:val="24"/>
          <w:szCs w:val="24"/>
        </w:rPr>
        <w:t>本</w:t>
      </w:r>
      <w:r>
        <w:rPr>
          <w:rFonts w:hint="eastAsia" w:ascii="Times New Roman" w:eastAsiaTheme="minorEastAsia"/>
          <w:kern w:val="2"/>
          <w:sz w:val="24"/>
          <w:szCs w:val="24"/>
          <w:lang w:eastAsia="zh-CN"/>
        </w:rPr>
        <w:t>项目</w:t>
      </w:r>
      <w:r>
        <w:rPr>
          <w:rFonts w:hint="eastAsia" w:ascii="Times New Roman" w:eastAsiaTheme="minorEastAsia"/>
          <w:kern w:val="2"/>
          <w:sz w:val="24"/>
          <w:szCs w:val="24"/>
        </w:rPr>
        <w:t>拟建</w:t>
      </w:r>
      <w:r>
        <w:rPr>
          <w:rFonts w:hint="eastAsia" w:ascii="Times New Roman" w:eastAsiaTheme="minorEastAsia"/>
          <w:kern w:val="2"/>
          <w:sz w:val="24"/>
          <w:szCs w:val="24"/>
          <w:lang w:val="en-US" w:eastAsia="zh-CN"/>
        </w:rPr>
        <w:t>27.5</w:t>
      </w:r>
      <w:r>
        <w:rPr>
          <w:rFonts w:ascii="Times New Roman" w:eastAsiaTheme="minorEastAsia"/>
          <w:kern w:val="2"/>
          <w:sz w:val="24"/>
          <w:szCs w:val="24"/>
        </w:rPr>
        <w:t>km</w:t>
      </w:r>
      <w:r>
        <w:rPr>
          <w:rFonts w:hint="eastAsia" w:ascii="Times New Roman" w:eastAsiaTheme="minorEastAsia"/>
          <w:kern w:val="2"/>
          <w:sz w:val="24"/>
          <w:szCs w:val="24"/>
        </w:rPr>
        <w:t>架空输电线路，输电线路电压等级为110kV；边导线地面投影外两侧10m范围内无电磁环境敏感目标。本</w:t>
      </w:r>
      <w:r>
        <w:rPr>
          <w:rFonts w:hint="eastAsia" w:ascii="Times New Roman" w:eastAsiaTheme="minorEastAsia"/>
          <w:kern w:val="2"/>
          <w:sz w:val="24"/>
          <w:szCs w:val="24"/>
          <w:lang w:eastAsia="zh-CN"/>
        </w:rPr>
        <w:t>项目</w:t>
      </w:r>
      <w:r>
        <w:rPr>
          <w:rFonts w:hint="eastAsia" w:ascii="Times New Roman" w:eastAsiaTheme="minorEastAsia"/>
          <w:kern w:val="2"/>
          <w:sz w:val="24"/>
          <w:szCs w:val="24"/>
        </w:rPr>
        <w:t>电磁环境影响工作等级为三级。</w:t>
      </w:r>
    </w:p>
    <w:p>
      <w:pPr>
        <w:pStyle w:val="23"/>
        <w:spacing w:line="360" w:lineRule="auto"/>
        <w:ind w:firstLine="0" w:firstLineChars="0"/>
        <w:jc w:val="left"/>
        <w:rPr>
          <w:rFonts w:ascii="Times New Roman" w:eastAsiaTheme="minorEastAsia"/>
          <w:b/>
          <w:bCs/>
          <w:kern w:val="2"/>
          <w:sz w:val="28"/>
          <w:szCs w:val="28"/>
        </w:rPr>
      </w:pPr>
      <w:r>
        <w:rPr>
          <w:rFonts w:hint="eastAsia" w:ascii="Times New Roman" w:eastAsiaTheme="minorEastAsia"/>
          <w:b/>
          <w:bCs/>
          <w:kern w:val="2"/>
          <w:sz w:val="28"/>
          <w:szCs w:val="28"/>
        </w:rPr>
        <w:t>3.2 评价范围</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110kV架空输电线路评价范围为边导线地面投影外两侧各30m</w:t>
      </w:r>
      <w:r>
        <w:rPr>
          <w:rFonts w:hint="eastAsia" w:ascii="Times New Roman" w:eastAsiaTheme="minorEastAsia"/>
          <w:kern w:val="2"/>
          <w:sz w:val="24"/>
          <w:szCs w:val="24"/>
        </w:rPr>
        <w:t>。</w:t>
      </w:r>
    </w:p>
    <w:p>
      <w:pPr>
        <w:pStyle w:val="24"/>
        <w:spacing w:line="360" w:lineRule="auto"/>
        <w:outlineLvl w:val="0"/>
        <w:rPr>
          <w:rFonts w:ascii="Times New Roman" w:hAnsi="Times New Roman" w:cs="Times New Roman" w:eastAsiaTheme="minorEastAsia"/>
          <w:b/>
          <w:bCs/>
          <w:color w:val="auto"/>
          <w:kern w:val="2"/>
          <w:sz w:val="28"/>
          <w:szCs w:val="36"/>
        </w:rPr>
      </w:pPr>
      <w:bookmarkStart w:id="15" w:name="_Toc27959"/>
      <w:r>
        <w:rPr>
          <w:rFonts w:ascii="Times New Roman" w:hAnsi="Times New Roman" w:cs="Times New Roman" w:eastAsiaTheme="minorEastAsia"/>
          <w:b/>
          <w:bCs/>
          <w:color w:val="auto"/>
          <w:kern w:val="2"/>
          <w:sz w:val="28"/>
          <w:szCs w:val="36"/>
        </w:rPr>
        <w:t>3.3 评价因子</w:t>
      </w:r>
      <w:bookmarkEnd w:id="15"/>
    </w:p>
    <w:p>
      <w:pPr>
        <w:pStyle w:val="24"/>
        <w:spacing w:line="360" w:lineRule="auto"/>
        <w:outlineLvl w:val="0"/>
        <w:rPr>
          <w:rFonts w:ascii="Times New Roman" w:hAnsi="Times New Roman" w:cs="Times New Roman" w:eastAsiaTheme="minorEastAsia"/>
          <w:b/>
          <w:bCs/>
          <w:color w:val="auto"/>
          <w:kern w:val="2"/>
          <w:sz w:val="28"/>
          <w:szCs w:val="36"/>
        </w:rPr>
      </w:pPr>
      <w:bookmarkStart w:id="16" w:name="_Toc23667"/>
      <w:r>
        <w:rPr>
          <w:rFonts w:ascii="Times New Roman" w:hAnsi="Times New Roman" w:cs="Times New Roman" w:eastAsiaTheme="minorEastAsia"/>
          <w:b/>
          <w:bCs/>
          <w:color w:val="auto"/>
          <w:kern w:val="2"/>
          <w:sz w:val="28"/>
          <w:szCs w:val="36"/>
        </w:rPr>
        <w:t>3.3.1 工频电场</w:t>
      </w:r>
      <w:bookmarkEnd w:id="16"/>
    </w:p>
    <w:p>
      <w:pPr>
        <w:pStyle w:val="24"/>
        <w:spacing w:line="360" w:lineRule="auto"/>
        <w:ind w:firstLine="480" w:firstLineChars="200"/>
        <w:outlineLvl w:val="0"/>
        <w:rPr>
          <w:rFonts w:ascii="Times New Roman" w:hAnsi="Times New Roman" w:cs="Times New Roman"/>
          <w:color w:val="auto"/>
          <w:kern w:val="2"/>
        </w:rPr>
      </w:pPr>
      <w:bookmarkStart w:id="17" w:name="_Toc14642"/>
      <w:r>
        <w:rPr>
          <w:rFonts w:ascii="Times New Roman" w:hAnsi="Times New Roman" w:cs="Times New Roman"/>
          <w:color w:val="auto"/>
          <w:kern w:val="2"/>
        </w:rPr>
        <w:t>工频电场</w:t>
      </w:r>
      <w:r>
        <w:rPr>
          <w:rFonts w:hint="eastAsia" w:ascii="Times New Roman" w:hAnsi="Times New Roman" w:cs="Times New Roman"/>
          <w:color w:val="auto"/>
          <w:kern w:val="2"/>
        </w:rPr>
        <w:t>强度</w:t>
      </w:r>
      <w:r>
        <w:rPr>
          <w:rFonts w:ascii="Times New Roman" w:hAnsi="Times New Roman" w:cs="Times New Roman"/>
          <w:color w:val="auto"/>
          <w:kern w:val="2"/>
        </w:rPr>
        <w:t>，单位（kV/m或V/m）。</w:t>
      </w:r>
      <w:bookmarkEnd w:id="17"/>
    </w:p>
    <w:p>
      <w:pPr>
        <w:pStyle w:val="24"/>
        <w:spacing w:line="360" w:lineRule="auto"/>
        <w:outlineLvl w:val="0"/>
        <w:rPr>
          <w:rFonts w:ascii="Times New Roman" w:hAnsi="Times New Roman" w:cs="Times New Roman" w:eastAsiaTheme="minorEastAsia"/>
          <w:b/>
          <w:bCs/>
          <w:color w:val="auto"/>
          <w:kern w:val="2"/>
          <w:sz w:val="28"/>
          <w:szCs w:val="36"/>
        </w:rPr>
      </w:pPr>
      <w:bookmarkStart w:id="18" w:name="_Toc24207"/>
      <w:r>
        <w:rPr>
          <w:rFonts w:ascii="Times New Roman" w:hAnsi="Times New Roman" w:cs="Times New Roman" w:eastAsiaTheme="minorEastAsia"/>
          <w:b/>
          <w:bCs/>
          <w:color w:val="auto"/>
          <w:kern w:val="2"/>
          <w:sz w:val="28"/>
          <w:szCs w:val="36"/>
        </w:rPr>
        <w:t>3.3.2 工频</w:t>
      </w:r>
      <w:r>
        <w:rPr>
          <w:rFonts w:hint="eastAsia" w:ascii="Times New Roman" w:hAnsi="Times New Roman" w:cs="Times New Roman" w:eastAsiaTheme="minorEastAsia"/>
          <w:b/>
          <w:bCs/>
          <w:color w:val="auto"/>
          <w:kern w:val="2"/>
          <w:sz w:val="28"/>
          <w:szCs w:val="36"/>
        </w:rPr>
        <w:t>磁场</w:t>
      </w:r>
      <w:bookmarkEnd w:id="18"/>
    </w:p>
    <w:p>
      <w:pPr>
        <w:pStyle w:val="24"/>
        <w:spacing w:line="360" w:lineRule="auto"/>
        <w:ind w:firstLine="480" w:firstLineChars="200"/>
        <w:outlineLvl w:val="0"/>
        <w:rPr>
          <w:rFonts w:ascii="Times New Roman" w:hAnsi="Times New Roman" w:cs="Times New Roman"/>
          <w:color w:val="auto"/>
          <w:kern w:val="2"/>
        </w:rPr>
      </w:pPr>
      <w:bookmarkStart w:id="19" w:name="_Toc19163"/>
      <w:r>
        <w:rPr>
          <w:rFonts w:ascii="Times New Roman" w:hAnsi="Times New Roman" w:cs="Times New Roman"/>
          <w:color w:val="auto"/>
          <w:kern w:val="2"/>
        </w:rPr>
        <w:t>工频</w:t>
      </w:r>
      <w:r>
        <w:rPr>
          <w:rFonts w:hint="eastAsia" w:ascii="Times New Roman" w:hAnsi="Times New Roman" w:cs="Times New Roman"/>
          <w:color w:val="auto"/>
          <w:kern w:val="2"/>
        </w:rPr>
        <w:t>磁感应强度</w:t>
      </w:r>
      <w:r>
        <w:rPr>
          <w:rFonts w:ascii="Times New Roman" w:hAnsi="Times New Roman" w:cs="Times New Roman"/>
          <w:color w:val="auto"/>
          <w:kern w:val="2"/>
        </w:rPr>
        <w:t>，单位（mT或μT）。</w:t>
      </w:r>
      <w:bookmarkEnd w:id="19"/>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3.4 评价标准</w:t>
      </w:r>
    </w:p>
    <w:p>
      <w:pPr>
        <w:pStyle w:val="24"/>
        <w:spacing w:line="360" w:lineRule="auto"/>
        <w:ind w:firstLine="480" w:firstLineChars="200"/>
        <w:outlineLvl w:val="0"/>
        <w:rPr>
          <w:rFonts w:ascii="Times New Roman" w:hAnsi="Times New Roman" w:cs="Times New Roman"/>
          <w:color w:val="auto"/>
          <w:kern w:val="2"/>
        </w:rPr>
      </w:pPr>
      <w:bookmarkStart w:id="20" w:name="_Toc833"/>
      <w:r>
        <w:rPr>
          <w:rFonts w:ascii="Times New Roman" w:hAnsi="Times New Roman" w:cs="Times New Roman"/>
          <w:color w:val="auto"/>
          <w:kern w:val="2"/>
        </w:rPr>
        <w:t>依据项目特点及所处区域环境特征，电磁环境执行《电磁环境控制限值》（GB8702-2014）中的规定，具体标准限值见表3-</w:t>
      </w:r>
      <w:r>
        <w:rPr>
          <w:rFonts w:hint="eastAsia" w:ascii="Times New Roman" w:hAnsi="Times New Roman" w:cs="Times New Roman"/>
          <w:color w:val="auto"/>
          <w:kern w:val="2"/>
        </w:rPr>
        <w:t>2</w:t>
      </w:r>
      <w:r>
        <w:rPr>
          <w:rFonts w:ascii="Times New Roman" w:hAnsi="Times New Roman" w:cs="Times New Roman"/>
          <w:color w:val="auto"/>
          <w:kern w:val="2"/>
        </w:rPr>
        <w:t>。</w:t>
      </w:r>
      <w:bookmarkEnd w:id="20"/>
    </w:p>
    <w:p>
      <w:pPr>
        <w:pStyle w:val="24"/>
        <w:spacing w:line="360" w:lineRule="auto"/>
        <w:jc w:val="center"/>
        <w:outlineLvl w:val="0"/>
        <w:rPr>
          <w:rFonts w:ascii="Times New Roman" w:hAnsi="Times New Roman" w:cs="Times New Roman"/>
          <w:color w:val="auto"/>
          <w:kern w:val="2"/>
        </w:rPr>
      </w:pPr>
      <w:bookmarkStart w:id="21" w:name="_Toc27359"/>
      <w:r>
        <w:rPr>
          <w:rFonts w:ascii="Times New Roman" w:hAnsi="Times New Roman" w:cs="Times New Roman"/>
          <w:b/>
          <w:bCs/>
          <w:color w:val="auto"/>
          <w:kern w:val="2"/>
          <w:sz w:val="21"/>
          <w:szCs w:val="21"/>
        </w:rPr>
        <w:t>表3-</w:t>
      </w:r>
      <w:r>
        <w:rPr>
          <w:rFonts w:hint="eastAsia" w:ascii="Times New Roman" w:hAnsi="Times New Roman" w:cs="Times New Roman"/>
          <w:b/>
          <w:bCs/>
          <w:color w:val="auto"/>
          <w:kern w:val="2"/>
          <w:sz w:val="21"/>
          <w:szCs w:val="21"/>
        </w:rPr>
        <w:t>2</w:t>
      </w:r>
      <w:r>
        <w:rPr>
          <w:rFonts w:ascii="Times New Roman" w:hAnsi="Times New Roman" w:cs="Times New Roman"/>
          <w:b/>
          <w:bCs/>
          <w:color w:val="auto"/>
          <w:kern w:val="2"/>
          <w:sz w:val="21"/>
          <w:szCs w:val="21"/>
        </w:rPr>
        <w:t xml:space="preserve">  电磁环境公众暴露控制限值</w:t>
      </w:r>
      <w:bookmarkEnd w:id="21"/>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815"/>
        <w:gridCol w:w="2673"/>
        <w:gridCol w:w="709"/>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3" w:type="pct"/>
            <w:vAlign w:val="center"/>
          </w:tcPr>
          <w:p>
            <w:pPr>
              <w:pStyle w:val="24"/>
              <w:widowControl/>
              <w:jc w:val="center"/>
              <w:outlineLvl w:val="0"/>
              <w:rPr>
                <w:rFonts w:ascii="Times New Roman" w:hAnsi="Times New Roman" w:cs="Times New Roman"/>
                <w:color w:val="auto"/>
                <w:kern w:val="2"/>
                <w:sz w:val="21"/>
                <w:szCs w:val="21"/>
              </w:rPr>
            </w:pPr>
            <w:bookmarkStart w:id="22" w:name="_Toc10114"/>
            <w:r>
              <w:rPr>
                <w:rFonts w:ascii="Times New Roman" w:hAnsi="Times New Roman" w:cs="Times New Roman"/>
                <w:color w:val="auto"/>
                <w:kern w:val="2"/>
                <w:sz w:val="21"/>
                <w:szCs w:val="21"/>
              </w:rPr>
              <w:t>序号</w:t>
            </w:r>
            <w:bookmarkEnd w:id="22"/>
          </w:p>
        </w:tc>
        <w:tc>
          <w:tcPr>
            <w:tcW w:w="1065" w:type="pct"/>
            <w:vAlign w:val="center"/>
          </w:tcPr>
          <w:p>
            <w:pPr>
              <w:pStyle w:val="24"/>
              <w:widowControl/>
              <w:jc w:val="center"/>
              <w:outlineLvl w:val="0"/>
              <w:rPr>
                <w:rFonts w:ascii="Times New Roman" w:hAnsi="Times New Roman" w:cs="Times New Roman"/>
                <w:color w:val="auto"/>
                <w:kern w:val="2"/>
                <w:sz w:val="21"/>
                <w:szCs w:val="21"/>
              </w:rPr>
            </w:pPr>
            <w:bookmarkStart w:id="23" w:name="_Toc25936"/>
            <w:r>
              <w:rPr>
                <w:rFonts w:ascii="Times New Roman" w:hAnsi="Times New Roman" w:cs="Times New Roman"/>
                <w:color w:val="auto"/>
                <w:kern w:val="2"/>
                <w:sz w:val="21"/>
                <w:szCs w:val="21"/>
              </w:rPr>
              <w:t>项目</w:t>
            </w:r>
            <w:bookmarkEnd w:id="23"/>
          </w:p>
        </w:tc>
        <w:tc>
          <w:tcPr>
            <w:tcW w:w="1569" w:type="pct"/>
            <w:vAlign w:val="center"/>
          </w:tcPr>
          <w:p>
            <w:pPr>
              <w:pStyle w:val="24"/>
              <w:widowControl/>
              <w:jc w:val="center"/>
              <w:outlineLvl w:val="0"/>
              <w:rPr>
                <w:rFonts w:ascii="Times New Roman" w:hAnsi="Times New Roman" w:cs="Times New Roman"/>
                <w:color w:val="auto"/>
                <w:kern w:val="2"/>
                <w:sz w:val="21"/>
                <w:szCs w:val="21"/>
              </w:rPr>
            </w:pPr>
            <w:bookmarkStart w:id="24" w:name="_Toc9779"/>
            <w:r>
              <w:rPr>
                <w:rFonts w:ascii="Times New Roman" w:hAnsi="Times New Roman" w:cs="Times New Roman"/>
                <w:color w:val="auto"/>
                <w:kern w:val="2"/>
                <w:sz w:val="21"/>
                <w:szCs w:val="21"/>
              </w:rPr>
              <w:t>标准限值</w:t>
            </w:r>
            <w:bookmarkEnd w:id="24"/>
          </w:p>
          <w:p>
            <w:pPr>
              <w:pStyle w:val="24"/>
              <w:widowControl/>
              <w:jc w:val="center"/>
              <w:outlineLvl w:val="0"/>
              <w:rPr>
                <w:rFonts w:ascii="Times New Roman" w:hAnsi="Times New Roman" w:cs="Times New Roman"/>
                <w:color w:val="auto"/>
                <w:kern w:val="2"/>
                <w:sz w:val="21"/>
                <w:szCs w:val="21"/>
              </w:rPr>
            </w:pPr>
            <w:bookmarkStart w:id="25" w:name="_Toc13399"/>
            <w:r>
              <w:rPr>
                <w:rFonts w:ascii="Times New Roman" w:hAnsi="Times New Roman" w:cs="Times New Roman"/>
                <w:color w:val="auto"/>
                <w:kern w:val="2"/>
                <w:sz w:val="21"/>
                <w:szCs w:val="21"/>
              </w:rPr>
              <w:t>（输变电工程f为50Hz）</w:t>
            </w:r>
            <w:bookmarkEnd w:id="25"/>
          </w:p>
        </w:tc>
        <w:tc>
          <w:tcPr>
            <w:tcW w:w="416" w:type="pct"/>
            <w:vAlign w:val="center"/>
          </w:tcPr>
          <w:p>
            <w:pPr>
              <w:pStyle w:val="24"/>
              <w:widowControl/>
              <w:jc w:val="center"/>
              <w:outlineLvl w:val="0"/>
              <w:rPr>
                <w:rFonts w:ascii="Times New Roman" w:hAnsi="Times New Roman" w:cs="Times New Roman"/>
                <w:color w:val="auto"/>
                <w:kern w:val="2"/>
                <w:sz w:val="21"/>
                <w:szCs w:val="21"/>
              </w:rPr>
            </w:pPr>
            <w:bookmarkStart w:id="26" w:name="_Toc6263"/>
            <w:r>
              <w:rPr>
                <w:rFonts w:ascii="Times New Roman" w:hAnsi="Times New Roman" w:cs="Times New Roman"/>
                <w:color w:val="auto"/>
                <w:kern w:val="2"/>
                <w:sz w:val="21"/>
                <w:szCs w:val="21"/>
              </w:rPr>
              <w:t>单位</w:t>
            </w:r>
            <w:bookmarkEnd w:id="26"/>
          </w:p>
        </w:tc>
        <w:tc>
          <w:tcPr>
            <w:tcW w:w="1583" w:type="pct"/>
            <w:vAlign w:val="center"/>
          </w:tcPr>
          <w:p>
            <w:pPr>
              <w:pStyle w:val="24"/>
              <w:widowControl/>
              <w:jc w:val="center"/>
              <w:outlineLvl w:val="0"/>
              <w:rPr>
                <w:rFonts w:ascii="Times New Roman" w:hAnsi="Times New Roman" w:cs="Times New Roman"/>
                <w:color w:val="auto"/>
                <w:kern w:val="2"/>
                <w:sz w:val="21"/>
                <w:szCs w:val="21"/>
              </w:rPr>
            </w:pPr>
            <w:bookmarkStart w:id="27" w:name="_Toc32157"/>
            <w:r>
              <w:rPr>
                <w:rFonts w:ascii="Times New Roman" w:hAnsi="Times New Roman" w:cs="Times New Roman"/>
                <w:color w:val="auto"/>
                <w:kern w:val="2"/>
                <w:sz w:val="21"/>
                <w:szCs w:val="21"/>
              </w:rPr>
              <w:t>标准名称及级（类）别</w:t>
            </w:r>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pPr>
              <w:pStyle w:val="24"/>
              <w:widowControl/>
              <w:jc w:val="center"/>
              <w:outlineLvl w:val="0"/>
              <w:rPr>
                <w:rFonts w:ascii="Times New Roman" w:hAnsi="Times New Roman" w:cs="Times New Roman"/>
                <w:color w:val="auto"/>
                <w:kern w:val="2"/>
                <w:sz w:val="21"/>
                <w:szCs w:val="21"/>
              </w:rPr>
            </w:pPr>
            <w:bookmarkStart w:id="28" w:name="_Toc8710"/>
            <w:r>
              <w:rPr>
                <w:rFonts w:ascii="Times New Roman" w:hAnsi="Times New Roman" w:cs="Times New Roman"/>
                <w:color w:val="auto"/>
                <w:kern w:val="2"/>
                <w:sz w:val="21"/>
                <w:szCs w:val="21"/>
              </w:rPr>
              <w:t>1</w:t>
            </w:r>
            <w:bookmarkEnd w:id="28"/>
          </w:p>
        </w:tc>
        <w:tc>
          <w:tcPr>
            <w:tcW w:w="1065" w:type="pct"/>
            <w:vAlign w:val="center"/>
          </w:tcPr>
          <w:p>
            <w:pPr>
              <w:pStyle w:val="24"/>
              <w:widowControl/>
              <w:jc w:val="center"/>
              <w:outlineLvl w:val="0"/>
              <w:rPr>
                <w:rFonts w:ascii="Times New Roman" w:hAnsi="Times New Roman" w:cs="Times New Roman"/>
                <w:color w:val="auto"/>
                <w:kern w:val="2"/>
                <w:sz w:val="21"/>
                <w:szCs w:val="21"/>
              </w:rPr>
            </w:pPr>
            <w:bookmarkStart w:id="29" w:name="_Toc24556"/>
            <w:r>
              <w:rPr>
                <w:rFonts w:ascii="Times New Roman" w:hAnsi="Times New Roman" w:cs="Times New Roman"/>
                <w:color w:val="auto"/>
                <w:kern w:val="2"/>
                <w:sz w:val="21"/>
                <w:szCs w:val="21"/>
              </w:rPr>
              <w:t>电场强度E</w:t>
            </w:r>
            <w:bookmarkEnd w:id="29"/>
          </w:p>
        </w:tc>
        <w:tc>
          <w:tcPr>
            <w:tcW w:w="1569" w:type="pct"/>
            <w:vAlign w:val="center"/>
          </w:tcPr>
          <w:p>
            <w:pPr>
              <w:pStyle w:val="24"/>
              <w:widowControl/>
              <w:jc w:val="center"/>
              <w:outlineLvl w:val="0"/>
              <w:rPr>
                <w:rFonts w:ascii="Times New Roman" w:hAnsi="Times New Roman" w:cs="Times New Roman"/>
                <w:color w:val="auto"/>
                <w:kern w:val="2"/>
                <w:sz w:val="21"/>
                <w:szCs w:val="21"/>
              </w:rPr>
            </w:pPr>
            <w:bookmarkStart w:id="30" w:name="_Toc28869"/>
            <w:r>
              <w:rPr>
                <w:rFonts w:ascii="Times New Roman" w:hAnsi="Times New Roman" w:cs="Times New Roman"/>
                <w:color w:val="auto"/>
                <w:kern w:val="2"/>
                <w:sz w:val="21"/>
                <w:szCs w:val="21"/>
              </w:rPr>
              <w:t>200/f，即：4000</w:t>
            </w:r>
            <w:bookmarkEnd w:id="30"/>
          </w:p>
        </w:tc>
        <w:tc>
          <w:tcPr>
            <w:tcW w:w="416" w:type="pct"/>
            <w:vAlign w:val="center"/>
          </w:tcPr>
          <w:p>
            <w:pPr>
              <w:pStyle w:val="24"/>
              <w:widowControl/>
              <w:jc w:val="center"/>
              <w:outlineLvl w:val="0"/>
              <w:rPr>
                <w:rFonts w:ascii="Times New Roman" w:hAnsi="Times New Roman" w:cs="Times New Roman"/>
                <w:color w:val="auto"/>
                <w:kern w:val="2"/>
                <w:sz w:val="21"/>
                <w:szCs w:val="21"/>
              </w:rPr>
            </w:pPr>
            <w:bookmarkStart w:id="31" w:name="_Toc15055"/>
            <w:r>
              <w:rPr>
                <w:rFonts w:ascii="Times New Roman" w:hAnsi="Times New Roman" w:cs="Times New Roman"/>
                <w:color w:val="auto"/>
                <w:kern w:val="2"/>
                <w:sz w:val="21"/>
                <w:szCs w:val="21"/>
              </w:rPr>
              <w:t>V/m</w:t>
            </w:r>
            <w:bookmarkEnd w:id="31"/>
          </w:p>
        </w:tc>
        <w:tc>
          <w:tcPr>
            <w:tcW w:w="1583" w:type="pct"/>
            <w:vMerge w:val="restart"/>
            <w:vAlign w:val="center"/>
          </w:tcPr>
          <w:p>
            <w:pPr>
              <w:pStyle w:val="24"/>
              <w:widowControl/>
              <w:jc w:val="center"/>
              <w:outlineLvl w:val="0"/>
              <w:rPr>
                <w:rFonts w:ascii="Times New Roman" w:hAnsi="Times New Roman" w:cs="Times New Roman"/>
                <w:color w:val="auto"/>
                <w:kern w:val="2"/>
                <w:sz w:val="21"/>
                <w:szCs w:val="21"/>
              </w:rPr>
            </w:pPr>
            <w:bookmarkStart w:id="32" w:name="_Toc4707"/>
            <w:r>
              <w:rPr>
                <w:rFonts w:ascii="Times New Roman" w:hAnsi="Times New Roman" w:cs="Times New Roman"/>
                <w:color w:val="auto"/>
                <w:kern w:val="2"/>
                <w:sz w:val="21"/>
                <w:szCs w:val="21"/>
              </w:rPr>
              <w:t>《电磁环境控制限值》（GB8702-2014）频率范围：0.025kHz～1.2kHz</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pPr>
              <w:pStyle w:val="24"/>
              <w:widowControl/>
              <w:jc w:val="center"/>
              <w:outlineLvl w:val="0"/>
              <w:rPr>
                <w:rFonts w:ascii="Times New Roman" w:hAnsi="Times New Roman" w:cs="Times New Roman"/>
                <w:color w:val="auto"/>
                <w:kern w:val="2"/>
                <w:sz w:val="21"/>
                <w:szCs w:val="21"/>
              </w:rPr>
            </w:pPr>
            <w:bookmarkStart w:id="33" w:name="_Toc10301"/>
            <w:r>
              <w:rPr>
                <w:rFonts w:ascii="Times New Roman" w:hAnsi="Times New Roman" w:cs="Times New Roman"/>
                <w:color w:val="auto"/>
                <w:kern w:val="2"/>
                <w:sz w:val="21"/>
                <w:szCs w:val="21"/>
              </w:rPr>
              <w:t>2</w:t>
            </w:r>
            <w:bookmarkEnd w:id="33"/>
          </w:p>
        </w:tc>
        <w:tc>
          <w:tcPr>
            <w:tcW w:w="1065" w:type="pct"/>
            <w:vAlign w:val="center"/>
          </w:tcPr>
          <w:p>
            <w:pPr>
              <w:pStyle w:val="24"/>
              <w:widowControl/>
              <w:jc w:val="center"/>
              <w:outlineLvl w:val="0"/>
              <w:rPr>
                <w:rFonts w:ascii="Times New Roman" w:hAnsi="Times New Roman" w:cs="Times New Roman"/>
                <w:color w:val="auto"/>
                <w:kern w:val="2"/>
                <w:sz w:val="21"/>
                <w:szCs w:val="21"/>
              </w:rPr>
            </w:pPr>
            <w:bookmarkStart w:id="34" w:name="_Toc6113"/>
            <w:r>
              <w:rPr>
                <w:rFonts w:ascii="Times New Roman" w:hAnsi="Times New Roman" w:cs="Times New Roman"/>
                <w:color w:val="auto"/>
                <w:kern w:val="2"/>
                <w:sz w:val="21"/>
                <w:szCs w:val="21"/>
              </w:rPr>
              <w:t>电磁感应强度B</w:t>
            </w:r>
            <w:bookmarkEnd w:id="34"/>
          </w:p>
        </w:tc>
        <w:tc>
          <w:tcPr>
            <w:tcW w:w="1569" w:type="pct"/>
            <w:vAlign w:val="center"/>
          </w:tcPr>
          <w:p>
            <w:pPr>
              <w:pStyle w:val="24"/>
              <w:widowControl/>
              <w:jc w:val="center"/>
              <w:outlineLvl w:val="0"/>
              <w:rPr>
                <w:rFonts w:ascii="Times New Roman" w:hAnsi="Times New Roman" w:cs="Times New Roman"/>
                <w:color w:val="auto"/>
                <w:kern w:val="2"/>
                <w:sz w:val="21"/>
                <w:szCs w:val="21"/>
              </w:rPr>
            </w:pPr>
            <w:bookmarkStart w:id="35" w:name="_Toc24721"/>
            <w:r>
              <w:rPr>
                <w:rFonts w:ascii="Times New Roman" w:hAnsi="Times New Roman" w:cs="Times New Roman"/>
                <w:color w:val="auto"/>
                <w:kern w:val="2"/>
                <w:sz w:val="21"/>
                <w:szCs w:val="21"/>
              </w:rPr>
              <w:t>5/f，即：100</w:t>
            </w:r>
            <w:bookmarkEnd w:id="35"/>
          </w:p>
        </w:tc>
        <w:tc>
          <w:tcPr>
            <w:tcW w:w="416" w:type="pct"/>
            <w:vAlign w:val="center"/>
          </w:tcPr>
          <w:p>
            <w:pPr>
              <w:pStyle w:val="24"/>
              <w:widowControl/>
              <w:jc w:val="center"/>
              <w:outlineLvl w:val="0"/>
              <w:rPr>
                <w:rFonts w:ascii="Times New Roman" w:hAnsi="Times New Roman" w:cs="Times New Roman"/>
                <w:color w:val="auto"/>
                <w:kern w:val="2"/>
                <w:sz w:val="21"/>
                <w:szCs w:val="21"/>
              </w:rPr>
            </w:pPr>
            <w:bookmarkStart w:id="36" w:name="_Toc32281"/>
            <w:r>
              <w:rPr>
                <w:rFonts w:ascii="Times New Roman" w:hAnsi="Times New Roman" w:cs="Times New Roman"/>
                <w:color w:val="auto"/>
                <w:kern w:val="2"/>
                <w:sz w:val="21"/>
                <w:szCs w:val="21"/>
              </w:rPr>
              <w:t>μT</w:t>
            </w:r>
            <w:bookmarkEnd w:id="36"/>
          </w:p>
        </w:tc>
        <w:tc>
          <w:tcPr>
            <w:tcW w:w="1583" w:type="pct"/>
            <w:vMerge w:val="continue"/>
            <w:vAlign w:val="center"/>
          </w:tcPr>
          <w:p>
            <w:pPr>
              <w:pStyle w:val="24"/>
              <w:widowControl/>
              <w:jc w:val="center"/>
              <w:rPr>
                <w:rFonts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24"/>
              <w:widowControl/>
              <w:jc w:val="left"/>
              <w:outlineLvl w:val="0"/>
              <w:rPr>
                <w:rFonts w:ascii="Times New Roman" w:hAnsi="Times New Roman" w:cs="Times New Roman"/>
                <w:color w:val="auto"/>
                <w:kern w:val="2"/>
                <w:sz w:val="21"/>
                <w:szCs w:val="21"/>
              </w:rPr>
            </w:pPr>
            <w:bookmarkStart w:id="37" w:name="_Toc17252"/>
            <w:r>
              <w:rPr>
                <w:rFonts w:ascii="Times New Roman" w:hAnsi="Times New Roman" w:cs="Times New Roman"/>
                <w:color w:val="auto"/>
                <w:kern w:val="2"/>
                <w:sz w:val="21"/>
                <w:szCs w:val="21"/>
              </w:rPr>
              <w:t>注：1、频率f的单位为kHz。</w:t>
            </w:r>
            <w:bookmarkEnd w:id="37"/>
          </w:p>
        </w:tc>
      </w:tr>
    </w:tbl>
    <w:p>
      <w:pPr>
        <w:pStyle w:val="23"/>
        <w:spacing w:line="360" w:lineRule="auto"/>
        <w:ind w:firstLine="480"/>
        <w:jc w:val="left"/>
        <w:rPr>
          <w:rFonts w:ascii="Times New Roman" w:eastAsiaTheme="minorEastAsia"/>
          <w:kern w:val="2"/>
          <w:sz w:val="24"/>
          <w:szCs w:val="24"/>
        </w:rPr>
      </w:pPr>
      <w:r>
        <w:rPr>
          <w:rFonts w:ascii="Times New Roman"/>
          <w:kern w:val="2"/>
          <w:sz w:val="24"/>
          <w:szCs w:val="24"/>
        </w:rPr>
        <w:t>输变电</w:t>
      </w:r>
      <w:r>
        <w:rPr>
          <w:rFonts w:hint="eastAsia" w:ascii="Times New Roman"/>
          <w:kern w:val="2"/>
          <w:sz w:val="24"/>
          <w:szCs w:val="24"/>
          <w:lang w:eastAsia="zh-CN"/>
        </w:rPr>
        <w:t>项目</w:t>
      </w:r>
      <w:r>
        <w:rPr>
          <w:rFonts w:ascii="Times New Roman"/>
          <w:kern w:val="2"/>
          <w:sz w:val="24"/>
          <w:szCs w:val="24"/>
        </w:rPr>
        <w:t>的频率为50Hz，由上表可知，对公众而言，该</w:t>
      </w:r>
      <w:r>
        <w:rPr>
          <w:rFonts w:hint="eastAsia" w:ascii="Times New Roman"/>
          <w:kern w:val="2"/>
          <w:sz w:val="24"/>
          <w:szCs w:val="24"/>
          <w:lang w:eastAsia="zh-CN"/>
        </w:rPr>
        <w:t>项目</w:t>
      </w:r>
      <w:r>
        <w:rPr>
          <w:rFonts w:ascii="Times New Roman"/>
          <w:kern w:val="2"/>
          <w:sz w:val="24"/>
          <w:szCs w:val="24"/>
        </w:rPr>
        <w:t>电场强度的评价标准为4000V/m，磁感应强度的评价标准为100</w:t>
      </w:r>
      <w:r>
        <w:rPr>
          <w:rFonts w:ascii="Times New Roman"/>
          <w:kern w:val="2"/>
          <w:szCs w:val="21"/>
        </w:rPr>
        <w:t>μ</w:t>
      </w:r>
      <w:r>
        <w:rPr>
          <w:rFonts w:ascii="Times New Roman"/>
          <w:kern w:val="2"/>
          <w:sz w:val="24"/>
          <w:szCs w:val="24"/>
        </w:rPr>
        <w:t>T。</w:t>
      </w:r>
    </w:p>
    <w:p>
      <w:pPr>
        <w:pStyle w:val="23"/>
        <w:spacing w:line="360" w:lineRule="auto"/>
        <w:ind w:firstLine="0" w:firstLineChars="0"/>
        <w:jc w:val="left"/>
        <w:outlineLvl w:val="0"/>
        <w:rPr>
          <w:rFonts w:hAnsi="宋体" w:cs="宋体"/>
          <w:b/>
          <w:bCs/>
          <w:sz w:val="32"/>
          <w:szCs w:val="32"/>
        </w:rPr>
      </w:pPr>
      <w:bookmarkStart w:id="38" w:name="_Toc19401"/>
      <w:r>
        <w:rPr>
          <w:rFonts w:hint="eastAsia" w:hAnsi="宋体" w:cs="宋体"/>
          <w:b/>
          <w:bCs/>
          <w:sz w:val="32"/>
          <w:szCs w:val="32"/>
        </w:rPr>
        <w:t>4 环境保护目标</w:t>
      </w:r>
      <w:bookmarkEnd w:id="38"/>
    </w:p>
    <w:p>
      <w:pPr>
        <w:pStyle w:val="23"/>
        <w:spacing w:line="360" w:lineRule="auto"/>
        <w:ind w:firstLine="480"/>
        <w:jc w:val="left"/>
        <w:rPr>
          <w:rFonts w:ascii="Times New Roman" w:eastAsiaTheme="minorEastAsia"/>
          <w:kern w:val="2"/>
          <w:sz w:val="24"/>
          <w:szCs w:val="24"/>
        </w:rPr>
      </w:pPr>
      <w:r>
        <w:rPr>
          <w:rFonts w:ascii="Times New Roman"/>
          <w:kern w:val="2"/>
          <w:sz w:val="24"/>
          <w:szCs w:val="24"/>
        </w:rPr>
        <w:t>依据《环境影响评价技术导则 输变电工程》（HJ24-2014）的相关规定，经现场踏勘，该</w:t>
      </w:r>
      <w:r>
        <w:rPr>
          <w:rFonts w:hint="eastAsia" w:ascii="Times New Roman"/>
          <w:kern w:val="2"/>
          <w:sz w:val="24"/>
          <w:szCs w:val="24"/>
          <w:lang w:eastAsia="zh-CN"/>
        </w:rPr>
        <w:t>项目</w:t>
      </w:r>
      <w:r>
        <w:rPr>
          <w:rFonts w:ascii="Times New Roman"/>
          <w:kern w:val="2"/>
          <w:sz w:val="24"/>
          <w:szCs w:val="24"/>
        </w:rPr>
        <w:t>评价范围30m范围内无环境保护目标。</w:t>
      </w:r>
    </w:p>
    <w:p>
      <w:pPr>
        <w:pStyle w:val="23"/>
        <w:spacing w:line="360" w:lineRule="auto"/>
        <w:ind w:firstLine="0" w:firstLineChars="0"/>
        <w:jc w:val="left"/>
        <w:outlineLvl w:val="0"/>
        <w:rPr>
          <w:rFonts w:hAnsi="宋体" w:cs="宋体"/>
          <w:b/>
          <w:bCs/>
          <w:sz w:val="32"/>
          <w:szCs w:val="32"/>
        </w:rPr>
      </w:pPr>
      <w:bookmarkStart w:id="39" w:name="_Toc21501"/>
      <w:r>
        <w:rPr>
          <w:rFonts w:hint="eastAsia" w:hAnsi="宋体" w:cs="宋体"/>
          <w:b/>
          <w:bCs/>
          <w:sz w:val="32"/>
          <w:szCs w:val="32"/>
        </w:rPr>
        <w:t>5 电磁环境现状评价</w:t>
      </w:r>
      <w:bookmarkEnd w:id="39"/>
    </w:p>
    <w:p>
      <w:pPr>
        <w:pStyle w:val="23"/>
        <w:spacing w:line="360" w:lineRule="auto"/>
        <w:ind w:firstLine="480"/>
        <w:jc w:val="left"/>
        <w:rPr>
          <w:rFonts w:ascii="Times New Roman" w:eastAsiaTheme="minorEastAsia"/>
          <w:kern w:val="2"/>
          <w:sz w:val="24"/>
          <w:szCs w:val="24"/>
          <w:highlight w:val="none"/>
        </w:rPr>
      </w:pPr>
      <w:r>
        <w:rPr>
          <w:rFonts w:ascii="Times New Roman" w:eastAsiaTheme="minorEastAsia"/>
          <w:kern w:val="2"/>
          <w:sz w:val="24"/>
          <w:szCs w:val="24"/>
          <w:highlight w:val="none"/>
        </w:rPr>
        <w:t>本次电磁环境现状采用实地监测的方式进行，拟建线路沿线</w:t>
      </w:r>
      <w:r>
        <w:rPr>
          <w:rFonts w:hint="eastAsia" w:ascii="Times New Roman" w:eastAsiaTheme="minorEastAsia"/>
          <w:kern w:val="2"/>
          <w:sz w:val="24"/>
          <w:szCs w:val="24"/>
          <w:highlight w:val="none"/>
        </w:rPr>
        <w:t>监测点</w:t>
      </w:r>
      <w:r>
        <w:rPr>
          <w:rFonts w:ascii="Times New Roman" w:eastAsiaTheme="minorEastAsia"/>
          <w:kern w:val="2"/>
          <w:sz w:val="24"/>
          <w:szCs w:val="24"/>
          <w:highlight w:val="none"/>
        </w:rPr>
        <w:t>电磁环境现状由</w:t>
      </w:r>
      <w:r>
        <w:rPr>
          <w:rFonts w:hint="eastAsia" w:ascii="Times New Roman" w:eastAsiaTheme="minorEastAsia"/>
          <w:kern w:val="2"/>
          <w:sz w:val="24"/>
          <w:szCs w:val="24"/>
          <w:highlight w:val="none"/>
        </w:rPr>
        <w:t>陕西阔成检测服务有限公司</w:t>
      </w:r>
      <w:r>
        <w:rPr>
          <w:rFonts w:ascii="Times New Roman" w:eastAsiaTheme="minorEastAsia"/>
          <w:kern w:val="2"/>
          <w:sz w:val="24"/>
          <w:szCs w:val="24"/>
          <w:highlight w:val="none"/>
        </w:rPr>
        <w:t>于2020年</w:t>
      </w:r>
      <w:r>
        <w:rPr>
          <w:rFonts w:hint="eastAsia" w:ascii="Times New Roman" w:eastAsiaTheme="minorEastAsia"/>
          <w:kern w:val="2"/>
          <w:sz w:val="24"/>
          <w:szCs w:val="24"/>
          <w:highlight w:val="none"/>
          <w:lang w:val="en-US" w:eastAsia="zh-CN"/>
        </w:rPr>
        <w:t>9</w:t>
      </w:r>
      <w:r>
        <w:rPr>
          <w:rFonts w:ascii="Times New Roman" w:eastAsiaTheme="minorEastAsia"/>
          <w:kern w:val="2"/>
          <w:sz w:val="24"/>
          <w:szCs w:val="24"/>
          <w:highlight w:val="none"/>
        </w:rPr>
        <w:t>月</w:t>
      </w:r>
      <w:r>
        <w:rPr>
          <w:rFonts w:hint="eastAsia" w:ascii="Times New Roman" w:eastAsiaTheme="minorEastAsia"/>
          <w:kern w:val="2"/>
          <w:sz w:val="24"/>
          <w:szCs w:val="24"/>
          <w:highlight w:val="none"/>
          <w:lang w:val="en-US" w:eastAsia="zh-CN"/>
        </w:rPr>
        <w:t>6</w:t>
      </w:r>
      <w:r>
        <w:rPr>
          <w:rFonts w:ascii="Times New Roman" w:eastAsiaTheme="minorEastAsia"/>
          <w:kern w:val="2"/>
          <w:sz w:val="24"/>
          <w:szCs w:val="24"/>
          <w:highlight w:val="none"/>
        </w:rPr>
        <w:t>日按照《环境影响评价技术导则</w:t>
      </w:r>
      <w:r>
        <w:rPr>
          <w:rFonts w:hint="eastAsia" w:ascii="Times New Roman" w:eastAsiaTheme="minorEastAsia"/>
          <w:kern w:val="2"/>
          <w:sz w:val="24"/>
          <w:szCs w:val="24"/>
          <w:highlight w:val="none"/>
        </w:rPr>
        <w:t xml:space="preserve"> </w:t>
      </w:r>
      <w:r>
        <w:rPr>
          <w:rFonts w:ascii="Times New Roman" w:eastAsiaTheme="minorEastAsia"/>
          <w:kern w:val="2"/>
          <w:sz w:val="24"/>
          <w:szCs w:val="24"/>
          <w:highlight w:val="none"/>
        </w:rPr>
        <w:t>输变电工程》（HJ24-2014）、《交流输变电工程电磁环境监测方法（试行）》（HJ681-2013）的有关规定进行监测</w:t>
      </w:r>
      <w:r>
        <w:rPr>
          <w:rFonts w:hint="eastAsia" w:ascii="Times New Roman" w:eastAsiaTheme="minorEastAsia"/>
          <w:kern w:val="2"/>
          <w:sz w:val="24"/>
          <w:szCs w:val="24"/>
          <w:highlight w:val="none"/>
        </w:rPr>
        <w:t>。</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5.1 现状评价方法</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通过对监测结果的统计、分析和对比，定量评价项目所处区域的电磁环境现状。</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5.2 现状监测条件</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5.2.1 监测项目</w:t>
      </w:r>
    </w:p>
    <w:p>
      <w:pPr>
        <w:pStyle w:val="23"/>
        <w:spacing w:line="360" w:lineRule="auto"/>
        <w:ind w:firstLine="480"/>
        <w:jc w:val="left"/>
        <w:rPr>
          <w:rFonts w:ascii="Times New Roman" w:eastAsiaTheme="minorEastAsia"/>
          <w:kern w:val="2"/>
          <w:sz w:val="24"/>
          <w:szCs w:val="24"/>
        </w:rPr>
      </w:pPr>
      <w:r>
        <w:rPr>
          <w:rFonts w:ascii="Times New Roman"/>
          <w:kern w:val="2"/>
          <w:sz w:val="24"/>
          <w:szCs w:val="24"/>
        </w:rPr>
        <w:t>根据HJ681-2013中的要求，交流输变电工程电磁环境的监测因子为工频电场和工频磁场，监测指标分别为工频电场强度和工频磁感应强度。</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5.2.2 监测仪器</w:t>
      </w:r>
    </w:p>
    <w:p>
      <w:pPr>
        <w:pStyle w:val="23"/>
        <w:spacing w:line="360" w:lineRule="auto"/>
        <w:ind w:firstLine="0" w:firstLineChars="0"/>
        <w:jc w:val="center"/>
        <w:rPr>
          <w:rFonts w:ascii="Times New Roman" w:eastAsiaTheme="minorEastAsia"/>
          <w:b/>
          <w:bCs/>
          <w:kern w:val="2"/>
          <w:szCs w:val="21"/>
          <w:highlight w:val="none"/>
        </w:rPr>
      </w:pPr>
      <w:r>
        <w:rPr>
          <w:rFonts w:hint="eastAsia" w:ascii="Times New Roman" w:eastAsiaTheme="minorEastAsia"/>
          <w:b/>
          <w:bCs/>
          <w:kern w:val="2"/>
          <w:szCs w:val="21"/>
          <w:highlight w:val="none"/>
        </w:rPr>
        <w:t>表5-1  监测仪器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监测单位</w:t>
            </w:r>
          </w:p>
        </w:tc>
        <w:tc>
          <w:tcPr>
            <w:tcW w:w="3903" w:type="pct"/>
            <w:vAlign w:val="center"/>
          </w:tcPr>
          <w:p>
            <w:pPr>
              <w:pStyle w:val="23"/>
              <w:widowControl/>
              <w:ind w:firstLine="0" w:firstLineChars="0"/>
              <w:jc w:val="center"/>
              <w:rPr>
                <w:rFonts w:hint="eastAsia" w:ascii="Times New Roman" w:eastAsiaTheme="minorEastAsia"/>
                <w:kern w:val="2"/>
                <w:szCs w:val="21"/>
                <w:lang w:eastAsia="zh-CN"/>
              </w:rPr>
            </w:pPr>
            <w:r>
              <w:rPr>
                <w:rFonts w:hint="eastAsia" w:ascii="Times New Roman" w:eastAsiaTheme="minorEastAsia"/>
                <w:kern w:val="2"/>
                <w:szCs w:val="21"/>
                <w:lang w:eastAsia="zh-CN"/>
              </w:rPr>
              <w:t>陕西阔成检测服务有限公司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仪器名称</w:t>
            </w:r>
          </w:p>
        </w:tc>
        <w:tc>
          <w:tcPr>
            <w:tcW w:w="3903"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手持式场强仪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仪器型号</w:t>
            </w:r>
          </w:p>
        </w:tc>
        <w:tc>
          <w:tcPr>
            <w:tcW w:w="3903"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BHYT2010A 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仪器编号</w:t>
            </w:r>
          </w:p>
        </w:tc>
        <w:tc>
          <w:tcPr>
            <w:tcW w:w="3903"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KCYQ-G-095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测量范围</w:t>
            </w:r>
          </w:p>
        </w:tc>
        <w:tc>
          <w:tcPr>
            <w:tcW w:w="3903" w:type="pct"/>
            <w:vAlign w:val="center"/>
          </w:tcPr>
          <w:p>
            <w:pPr>
              <w:pStyle w:val="23"/>
              <w:widowControl/>
              <w:ind w:firstLine="0" w:firstLineChars="0"/>
              <w:jc w:val="center"/>
              <w:rPr>
                <w:rFonts w:hint="eastAsia" w:ascii="Times New Roman" w:eastAsiaTheme="minorEastAsia"/>
                <w:kern w:val="2"/>
                <w:szCs w:val="21"/>
                <w:lang w:eastAsia="zh-CN"/>
              </w:rPr>
            </w:pPr>
            <w:r>
              <w:rPr>
                <w:rFonts w:hint="eastAsia" w:ascii="Times New Roman" w:eastAsiaTheme="minorEastAsia"/>
                <w:kern w:val="2"/>
                <w:szCs w:val="21"/>
              </w:rPr>
              <w:t>工频电场强度（0.01V/m~100kV/m</w:t>
            </w:r>
            <w:r>
              <w:rPr>
                <w:rFonts w:hint="eastAsia" w:ascii="Times New Roman" w:eastAsiaTheme="minorEastAsia"/>
                <w:kern w:val="2"/>
                <w:szCs w:val="21"/>
                <w:lang w:eastAsia="zh-CN"/>
              </w:rPr>
              <w:t>）</w:t>
            </w:r>
          </w:p>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工频磁感应强度（1nT~10mT）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校准证书号</w:t>
            </w:r>
          </w:p>
        </w:tc>
        <w:tc>
          <w:tcPr>
            <w:tcW w:w="3903"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2019F33-10-2261872003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pct"/>
            <w:vAlign w:val="center"/>
          </w:tcPr>
          <w:p>
            <w:pPr>
              <w:pStyle w:val="23"/>
              <w:widowControl/>
              <w:ind w:firstLine="0" w:firstLineChars="0"/>
              <w:jc w:val="center"/>
              <w:rPr>
                <w:rFonts w:hint="eastAsia" w:ascii="Times New Roman" w:eastAsiaTheme="minorEastAsia"/>
                <w:kern w:val="2"/>
                <w:szCs w:val="21"/>
                <w:lang w:eastAsia="zh-CN"/>
              </w:rPr>
            </w:pPr>
            <w:r>
              <w:rPr>
                <w:rFonts w:hint="eastAsia" w:ascii="Times New Roman" w:eastAsiaTheme="minorEastAsia"/>
                <w:kern w:val="2"/>
                <w:szCs w:val="21"/>
                <w:lang w:eastAsia="zh-CN"/>
              </w:rPr>
              <w:t>检定有效期</w:t>
            </w:r>
          </w:p>
        </w:tc>
        <w:tc>
          <w:tcPr>
            <w:tcW w:w="3903" w:type="pct"/>
            <w:vAlign w:val="center"/>
          </w:tcPr>
          <w:p>
            <w:pPr>
              <w:pStyle w:val="23"/>
              <w:widowControl/>
              <w:ind w:firstLine="0" w:firstLineChars="0"/>
              <w:jc w:val="center"/>
              <w:rPr>
                <w:rFonts w:hint="eastAsia" w:ascii="Times New Roman" w:eastAsiaTheme="minorEastAsia"/>
                <w:kern w:val="2"/>
                <w:szCs w:val="21"/>
              </w:rPr>
            </w:pPr>
            <w:r>
              <w:rPr>
                <w:rFonts w:hint="eastAsia" w:ascii="Times New Roman" w:eastAsiaTheme="minorEastAsia"/>
                <w:kern w:val="2"/>
                <w:szCs w:val="21"/>
              </w:rPr>
              <w:t>2019.12.26~2020.12.25</w:t>
            </w:r>
          </w:p>
        </w:tc>
      </w:tr>
    </w:tbl>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5.2.3 数据记录</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每个监测点位连续测5次，每次测量观测时间不小于15s，并读取稳定状态的最大值：测量高度为距地1.5m</w:t>
      </w:r>
      <w:r>
        <w:rPr>
          <w:rFonts w:hint="eastAsia" w:ascii="Times New Roman" w:eastAsiaTheme="minorEastAsia"/>
          <w:kern w:val="2"/>
          <w:sz w:val="24"/>
          <w:szCs w:val="24"/>
        </w:rPr>
        <w:t>。</w:t>
      </w:r>
      <w:r>
        <w:rPr>
          <w:rFonts w:ascii="Times New Roman"/>
          <w:kern w:val="2"/>
          <w:sz w:val="24"/>
          <w:szCs w:val="24"/>
        </w:rPr>
        <w:t>若仪器读数起伏较大时，应适当延长监测时间。求出每个监测位置的5次读数的算术平均值作为监测结果。</w:t>
      </w:r>
    </w:p>
    <w:p>
      <w:pPr>
        <w:pStyle w:val="24"/>
        <w:spacing w:line="360" w:lineRule="auto"/>
        <w:outlineLvl w:val="0"/>
        <w:rPr>
          <w:rFonts w:ascii="Times New Roman" w:hAnsi="Times New Roman" w:cs="Times New Roman" w:eastAsiaTheme="minorEastAsia"/>
          <w:b/>
          <w:bCs/>
          <w:color w:val="auto"/>
          <w:kern w:val="2"/>
          <w:sz w:val="28"/>
          <w:szCs w:val="36"/>
        </w:rPr>
      </w:pPr>
      <w:bookmarkStart w:id="40" w:name="_Toc6315"/>
      <w:r>
        <w:rPr>
          <w:rFonts w:hint="eastAsia" w:ascii="Times New Roman" w:hAnsi="Times New Roman" w:cs="Times New Roman" w:eastAsiaTheme="minorEastAsia"/>
          <w:b/>
          <w:bCs/>
          <w:color w:val="auto"/>
          <w:kern w:val="2"/>
          <w:sz w:val="28"/>
          <w:szCs w:val="36"/>
        </w:rPr>
        <w:t xml:space="preserve">5.2.4 </w:t>
      </w:r>
      <w:r>
        <w:rPr>
          <w:rFonts w:ascii="Times New Roman" w:hAnsi="Times New Roman" w:cs="Times New Roman" w:eastAsiaTheme="minorEastAsia"/>
          <w:b/>
          <w:bCs/>
          <w:color w:val="auto"/>
          <w:kern w:val="2"/>
          <w:sz w:val="28"/>
          <w:szCs w:val="36"/>
        </w:rPr>
        <w:t>监测环境条件</w:t>
      </w:r>
      <w:bookmarkEnd w:id="40"/>
    </w:p>
    <w:p>
      <w:pPr>
        <w:pStyle w:val="23"/>
        <w:spacing w:line="360" w:lineRule="auto"/>
        <w:ind w:firstLine="480"/>
        <w:jc w:val="left"/>
        <w:rPr>
          <w:rFonts w:ascii="Times New Roman" w:eastAsiaTheme="minorEastAsia"/>
          <w:kern w:val="2"/>
          <w:sz w:val="24"/>
          <w:szCs w:val="24"/>
        </w:rPr>
      </w:pPr>
      <w:r>
        <w:rPr>
          <w:rFonts w:ascii="Times New Roman"/>
          <w:kern w:val="2"/>
          <w:sz w:val="24"/>
          <w:szCs w:val="24"/>
        </w:rPr>
        <w:t>晴天，温度为</w:t>
      </w:r>
      <w:r>
        <w:rPr>
          <w:rFonts w:hint="eastAsia" w:ascii="Times New Roman"/>
          <w:kern w:val="2"/>
          <w:sz w:val="24"/>
          <w:szCs w:val="24"/>
          <w:lang w:val="en-US" w:eastAsia="zh-CN"/>
        </w:rPr>
        <w:t>16</w:t>
      </w:r>
      <w:r>
        <w:rPr>
          <w:rFonts w:ascii="Times New Roman"/>
          <w:kern w:val="2"/>
          <w:sz w:val="24"/>
          <w:szCs w:val="24"/>
        </w:rPr>
        <w:t>℃，相对湿度为</w:t>
      </w:r>
      <w:r>
        <w:rPr>
          <w:rFonts w:hint="eastAsia" w:ascii="Times New Roman"/>
          <w:kern w:val="2"/>
          <w:sz w:val="24"/>
          <w:szCs w:val="24"/>
          <w:lang w:val="en-US" w:eastAsia="zh-CN"/>
        </w:rPr>
        <w:t>34</w:t>
      </w:r>
      <w:r>
        <w:rPr>
          <w:rFonts w:ascii="Times New Roman"/>
          <w:kern w:val="2"/>
          <w:sz w:val="24"/>
          <w:szCs w:val="24"/>
        </w:rPr>
        <w:t>%，风速为</w:t>
      </w:r>
      <w:r>
        <w:rPr>
          <w:rFonts w:hint="eastAsia" w:ascii="Times New Roman"/>
          <w:kern w:val="2"/>
          <w:sz w:val="24"/>
          <w:szCs w:val="24"/>
          <w:lang w:val="en-US" w:eastAsia="zh-CN"/>
        </w:rPr>
        <w:t>1.3</w:t>
      </w:r>
      <w:r>
        <w:rPr>
          <w:rFonts w:ascii="Times New Roman"/>
          <w:kern w:val="2"/>
          <w:sz w:val="24"/>
          <w:szCs w:val="24"/>
        </w:rPr>
        <w:t>m/s。</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5.3 监测点位布置</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通过现场踏勘，本次现状监测点位布设于</w:t>
      </w:r>
      <w:r>
        <w:rPr>
          <w:rFonts w:hint="eastAsia" w:ascii="Times New Roman" w:eastAsiaTheme="minorEastAsia"/>
          <w:kern w:val="2"/>
          <w:sz w:val="24"/>
          <w:szCs w:val="24"/>
        </w:rPr>
        <w:t>J7 塔基、J17-ZC18塔中心线下、JE53塔基处。</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5.4 现状监测结果及分析</w:t>
      </w:r>
    </w:p>
    <w:p>
      <w:pPr>
        <w:pStyle w:val="23"/>
        <w:spacing w:line="360" w:lineRule="auto"/>
        <w:ind w:firstLine="480"/>
        <w:jc w:val="left"/>
        <w:rPr>
          <w:rFonts w:ascii="Times New Roman" w:eastAsiaTheme="minorEastAsia"/>
          <w:kern w:val="2"/>
          <w:sz w:val="24"/>
          <w:szCs w:val="24"/>
        </w:rPr>
      </w:pPr>
      <w:r>
        <w:rPr>
          <w:rFonts w:hint="eastAsia" w:ascii="Times New Roman" w:eastAsiaTheme="minorEastAsia"/>
          <w:kern w:val="2"/>
          <w:sz w:val="24"/>
          <w:szCs w:val="24"/>
        </w:rPr>
        <w:t>现状监测结果详见表5-2。</w:t>
      </w:r>
    </w:p>
    <w:p>
      <w:pPr>
        <w:pStyle w:val="23"/>
        <w:spacing w:line="360" w:lineRule="auto"/>
        <w:ind w:firstLine="0" w:firstLineChars="0"/>
        <w:jc w:val="center"/>
        <w:rPr>
          <w:rFonts w:hint="eastAsia" w:ascii="Times New Roman"/>
          <w:b/>
          <w:bCs/>
        </w:rPr>
      </w:pPr>
      <w:r>
        <w:rPr>
          <w:rFonts w:hint="eastAsia" w:ascii="Times New Roman"/>
          <w:b/>
          <w:bCs/>
        </w:rPr>
        <w:t>表5-2  拟建线路沿线工频电磁场监测结果</w:t>
      </w:r>
    </w:p>
    <w:tbl>
      <w:tblPr>
        <w:tblStyle w:val="17"/>
        <w:tblW w:w="49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8"/>
        <w:gridCol w:w="2421"/>
        <w:gridCol w:w="2484"/>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监测日期</w:t>
            </w:r>
          </w:p>
        </w:tc>
        <w:tc>
          <w:tcPr>
            <w:tcW w:w="1456"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监测点位</w:t>
            </w:r>
          </w:p>
        </w:tc>
        <w:tc>
          <w:tcPr>
            <w:tcW w:w="2858" w:type="pct"/>
            <w:gridSpan w:val="2"/>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监测结果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456"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49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工频电场强度（V/m）</w:t>
            </w:r>
          </w:p>
        </w:tc>
        <w:tc>
          <w:tcPr>
            <w:tcW w:w="136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工频磁感应强度（μT）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restar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09 月 06 日</w:t>
            </w:r>
          </w:p>
        </w:tc>
        <w:tc>
          <w:tcPr>
            <w:tcW w:w="1456"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left"/>
              <w:textAlignment w:val="auto"/>
              <w:rPr>
                <w:rFonts w:hint="eastAsia"/>
                <w:sz w:val="21"/>
                <w:szCs w:val="21"/>
                <w:lang w:val="en-US" w:eastAsia="zh-CN"/>
              </w:rPr>
            </w:pPr>
            <w:r>
              <w:rPr>
                <w:rFonts w:hint="eastAsia"/>
                <w:sz w:val="21"/>
                <w:szCs w:val="21"/>
                <w:lang w:val="en-US" w:eastAsia="zh-CN"/>
              </w:rPr>
              <w:t>1◆J7塔基</w:t>
            </w:r>
          </w:p>
        </w:tc>
        <w:tc>
          <w:tcPr>
            <w:tcW w:w="149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19.56</w:t>
            </w:r>
          </w:p>
        </w:tc>
        <w:tc>
          <w:tcPr>
            <w:tcW w:w="136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456"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left"/>
              <w:textAlignment w:val="auto"/>
              <w:rPr>
                <w:rFonts w:hint="eastAsia"/>
                <w:sz w:val="21"/>
                <w:szCs w:val="21"/>
                <w:lang w:val="en-US" w:eastAsia="zh-CN"/>
              </w:rPr>
            </w:pPr>
            <w:r>
              <w:rPr>
                <w:rFonts w:hint="eastAsia"/>
                <w:sz w:val="21"/>
                <w:szCs w:val="21"/>
                <w:lang w:val="en-US" w:eastAsia="zh-CN"/>
              </w:rPr>
              <w:t>2◆J17-ZC18 塔中心线下</w:t>
            </w:r>
          </w:p>
        </w:tc>
        <w:tc>
          <w:tcPr>
            <w:tcW w:w="149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18.75</w:t>
            </w:r>
          </w:p>
        </w:tc>
        <w:tc>
          <w:tcPr>
            <w:tcW w:w="136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5" w:type="pct"/>
            <w:vMerge w:val="continue"/>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p>
        </w:tc>
        <w:tc>
          <w:tcPr>
            <w:tcW w:w="1456"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left"/>
              <w:textAlignment w:val="auto"/>
              <w:rPr>
                <w:rFonts w:hint="eastAsia"/>
                <w:sz w:val="21"/>
                <w:szCs w:val="21"/>
                <w:lang w:val="en-US" w:eastAsia="zh-CN"/>
              </w:rPr>
            </w:pPr>
            <w:r>
              <w:rPr>
                <w:rFonts w:hint="eastAsia"/>
                <w:sz w:val="21"/>
                <w:szCs w:val="21"/>
                <w:lang w:val="en-US" w:eastAsia="zh-CN"/>
              </w:rPr>
              <w:t>3◆JE53 塔基</w:t>
            </w:r>
          </w:p>
        </w:tc>
        <w:tc>
          <w:tcPr>
            <w:tcW w:w="1498"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17.90</w:t>
            </w:r>
          </w:p>
        </w:tc>
        <w:tc>
          <w:tcPr>
            <w:tcW w:w="1360" w:type="pct"/>
            <w:tcBorders>
              <w:tl2br w:val="nil"/>
              <w:tr2bl w:val="nil"/>
            </w:tcBorders>
          </w:tcPr>
          <w:p>
            <w:pPr>
              <w:pStyle w:val="9"/>
              <w:keepNext w:val="0"/>
              <w:keepLines w:val="0"/>
              <w:pageBreakBefore w:val="0"/>
              <w:widowControl w:val="0"/>
              <w:tabs>
                <w:tab w:val="left" w:pos="604"/>
              </w:tabs>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0.061</w:t>
            </w:r>
          </w:p>
        </w:tc>
      </w:tr>
    </w:tbl>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监测结果表明：线路沿线各监测点的工频电场强度为</w:t>
      </w:r>
      <w:r>
        <w:rPr>
          <w:rFonts w:hint="eastAsia" w:ascii="Times New Roman" w:eastAsiaTheme="minorEastAsia"/>
          <w:kern w:val="2"/>
          <w:sz w:val="24"/>
          <w:szCs w:val="24"/>
          <w:lang w:val="en-US" w:eastAsia="zh-CN"/>
        </w:rPr>
        <w:t>17.90</w:t>
      </w:r>
      <w:r>
        <w:rPr>
          <w:rFonts w:ascii="Times New Roman" w:eastAsiaTheme="minorEastAsia"/>
          <w:kern w:val="2"/>
          <w:sz w:val="24"/>
          <w:szCs w:val="24"/>
        </w:rPr>
        <w:t>～</w:t>
      </w:r>
      <w:r>
        <w:rPr>
          <w:rFonts w:hint="eastAsia" w:ascii="Times New Roman" w:eastAsiaTheme="minorEastAsia"/>
          <w:kern w:val="2"/>
          <w:sz w:val="24"/>
          <w:szCs w:val="24"/>
          <w:lang w:val="en-US" w:eastAsia="zh-CN"/>
        </w:rPr>
        <w:t>19.56</w:t>
      </w:r>
      <w:r>
        <w:rPr>
          <w:rFonts w:ascii="Times New Roman" w:eastAsiaTheme="minorEastAsia"/>
          <w:kern w:val="2"/>
          <w:sz w:val="24"/>
          <w:szCs w:val="24"/>
        </w:rPr>
        <w:t>V/m，工频磁感应强度为0.0</w:t>
      </w:r>
      <w:r>
        <w:rPr>
          <w:rFonts w:hint="eastAsia" w:ascii="Times New Roman" w:eastAsiaTheme="minorEastAsia"/>
          <w:kern w:val="2"/>
          <w:sz w:val="24"/>
          <w:szCs w:val="24"/>
          <w:lang w:val="en-US" w:eastAsia="zh-CN"/>
        </w:rPr>
        <w:t>61</w:t>
      </w:r>
      <w:r>
        <w:rPr>
          <w:rFonts w:ascii="Times New Roman" w:eastAsiaTheme="minorEastAsia"/>
          <w:kern w:val="2"/>
          <w:sz w:val="24"/>
          <w:szCs w:val="24"/>
        </w:rPr>
        <w:t>～0.0</w:t>
      </w:r>
      <w:r>
        <w:rPr>
          <w:rFonts w:hint="eastAsia" w:ascii="Times New Roman" w:eastAsiaTheme="minorEastAsia"/>
          <w:kern w:val="2"/>
          <w:sz w:val="24"/>
          <w:szCs w:val="24"/>
          <w:lang w:val="en-US" w:eastAsia="zh-CN"/>
        </w:rPr>
        <w:t>70</w:t>
      </w:r>
      <w:r>
        <w:rPr>
          <w:rFonts w:ascii="Times New Roman" w:eastAsiaTheme="minorEastAsia"/>
          <w:kern w:val="2"/>
          <w:sz w:val="24"/>
          <w:szCs w:val="24"/>
        </w:rPr>
        <w:t>μT。各监测点监测值均满足《电磁环境控制限值》（GB8702-2014）中规定的标准限值要求。</w:t>
      </w:r>
      <w:r>
        <w:rPr>
          <w:rFonts w:hint="eastAsia" w:ascii="Times New Roman" w:eastAsiaTheme="minorEastAsia"/>
          <w:kern w:val="2"/>
          <w:sz w:val="24"/>
          <w:szCs w:val="24"/>
        </w:rPr>
        <w:t>拟建项目所在</w:t>
      </w:r>
      <w:r>
        <w:rPr>
          <w:rFonts w:ascii="Times New Roman" w:eastAsiaTheme="minorEastAsia"/>
          <w:kern w:val="2"/>
          <w:sz w:val="24"/>
          <w:szCs w:val="24"/>
        </w:rPr>
        <w:t>区域的电磁环境状况良好。</w:t>
      </w:r>
    </w:p>
    <w:p>
      <w:pPr>
        <w:pStyle w:val="23"/>
        <w:spacing w:line="360" w:lineRule="auto"/>
        <w:ind w:firstLine="0" w:firstLineChars="0"/>
        <w:jc w:val="left"/>
        <w:outlineLvl w:val="0"/>
        <w:rPr>
          <w:rFonts w:hAnsi="宋体" w:cs="宋体"/>
          <w:b/>
          <w:bCs/>
          <w:sz w:val="32"/>
          <w:szCs w:val="32"/>
        </w:rPr>
      </w:pPr>
      <w:bookmarkStart w:id="41" w:name="_Toc11889"/>
      <w:r>
        <w:rPr>
          <w:rFonts w:hint="eastAsia" w:hAnsi="宋体" w:cs="宋体"/>
          <w:b/>
          <w:bCs/>
          <w:sz w:val="32"/>
          <w:szCs w:val="32"/>
        </w:rPr>
        <w:t>6 电磁环境影响分析评价</w:t>
      </w:r>
      <w:bookmarkEnd w:id="41"/>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根据《环境影响评价技术导则输变电工程》（H24-2014）的要求，本</w:t>
      </w:r>
      <w:r>
        <w:rPr>
          <w:rFonts w:hint="eastAsia" w:ascii="Times New Roman" w:eastAsiaTheme="minorEastAsia"/>
          <w:kern w:val="2"/>
          <w:sz w:val="24"/>
          <w:szCs w:val="24"/>
          <w:lang w:eastAsia="zh-CN"/>
        </w:rPr>
        <w:t>项目</w:t>
      </w:r>
      <w:r>
        <w:rPr>
          <w:rFonts w:ascii="Times New Roman" w:eastAsiaTheme="minorEastAsia"/>
          <w:kern w:val="2"/>
          <w:sz w:val="24"/>
          <w:szCs w:val="24"/>
        </w:rPr>
        <w:t>输电线路的电磁环境影响评价等级为三级，架空线路釆用模式预测的方式进行电磁环境影响评价</w:t>
      </w:r>
      <w:r>
        <w:rPr>
          <w:rFonts w:hint="eastAsia" w:ascii="Times New Roman" w:eastAsiaTheme="minorEastAsia"/>
          <w:kern w:val="2"/>
          <w:sz w:val="24"/>
          <w:szCs w:val="24"/>
        </w:rPr>
        <w:t>。</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6.1 架空线路模式预测电磁环境影响分析</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本</w:t>
      </w:r>
      <w:r>
        <w:rPr>
          <w:rFonts w:hint="eastAsia" w:ascii="Times New Roman" w:eastAsiaTheme="minorEastAsia"/>
          <w:kern w:val="2"/>
          <w:sz w:val="24"/>
          <w:szCs w:val="24"/>
          <w:lang w:eastAsia="zh-CN"/>
        </w:rPr>
        <w:t>项目</w:t>
      </w:r>
      <w:r>
        <w:rPr>
          <w:rFonts w:ascii="Times New Roman" w:eastAsiaTheme="minorEastAsia"/>
          <w:kern w:val="2"/>
          <w:sz w:val="24"/>
          <w:szCs w:val="24"/>
        </w:rPr>
        <w:t>输电线路运行期电磁环境影响的预测</w:t>
      </w:r>
      <w:r>
        <w:rPr>
          <w:rFonts w:hint="eastAsia" w:ascii="Times New Roman" w:eastAsiaTheme="minorEastAsia"/>
          <w:kern w:val="2"/>
          <w:sz w:val="24"/>
          <w:szCs w:val="24"/>
          <w:lang w:eastAsia="zh-CN"/>
        </w:rPr>
        <w:t>类型</w:t>
      </w:r>
      <w:r>
        <w:rPr>
          <w:rFonts w:ascii="Times New Roman" w:eastAsiaTheme="minorEastAsia"/>
          <w:kern w:val="2"/>
          <w:sz w:val="24"/>
          <w:szCs w:val="24"/>
        </w:rPr>
        <w:t>是工频电场强度和工频磁感应强度。此次影响预测将按照《环境影响评价技术导则</w:t>
      </w:r>
      <w:r>
        <w:rPr>
          <w:rFonts w:hint="eastAsia" w:ascii="Times New Roman" w:eastAsiaTheme="minorEastAsia"/>
          <w:kern w:val="2"/>
          <w:sz w:val="24"/>
          <w:szCs w:val="24"/>
        </w:rPr>
        <w:t xml:space="preserve"> </w:t>
      </w:r>
      <w:r>
        <w:rPr>
          <w:rFonts w:ascii="Times New Roman" w:eastAsiaTheme="minorEastAsia"/>
          <w:kern w:val="2"/>
          <w:sz w:val="24"/>
          <w:szCs w:val="24"/>
        </w:rPr>
        <w:t>输变电工程》（HJ24-2014）附录C和附录D中推荐的计算模式进行</w:t>
      </w:r>
      <w:r>
        <w:rPr>
          <w:rFonts w:hint="eastAsia" w:ascii="Times New Roman" w:eastAsiaTheme="minorEastAsia"/>
          <w:kern w:val="2"/>
          <w:sz w:val="24"/>
          <w:szCs w:val="24"/>
        </w:rPr>
        <w:t>。</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 xml:space="preserve">6.1.1 </w:t>
      </w:r>
      <w:r>
        <w:rPr>
          <w:rFonts w:ascii="Times New Roman" w:eastAsiaTheme="minorEastAsia"/>
          <w:b/>
          <w:bCs/>
          <w:kern w:val="2"/>
          <w:sz w:val="28"/>
          <w:szCs w:val="36"/>
        </w:rPr>
        <w:t>输电线路工频电场强度预测的方法</w:t>
      </w:r>
    </w:p>
    <w:p>
      <w:pPr>
        <w:pStyle w:val="23"/>
        <w:spacing w:line="360" w:lineRule="auto"/>
        <w:ind w:firstLine="482"/>
        <w:jc w:val="left"/>
        <w:rPr>
          <w:rFonts w:ascii="Times New Roman" w:eastAsiaTheme="minorEastAsia"/>
          <w:b/>
          <w:bCs/>
          <w:kern w:val="2"/>
          <w:sz w:val="24"/>
          <w:szCs w:val="24"/>
        </w:rPr>
      </w:pPr>
      <w:r>
        <w:rPr>
          <w:rFonts w:ascii="Times New Roman" w:eastAsiaTheme="minorEastAsia"/>
          <w:b/>
          <w:bCs/>
          <w:kern w:val="2"/>
          <w:sz w:val="24"/>
          <w:szCs w:val="24"/>
        </w:rPr>
        <w:t>6.1.1.1 单位长度导线下等效电荷的计算</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高压送电线上的等效电荷是线电荷，由于高压送电线半径r远远小于架设高度h，因此等效电荷的位置可以认为是在送电导线的几何中心。</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设送电线路为无限长并且平行于地面，地面可视为良导体，利用镜像法计算送电线上的等效电荷。多导线线路中导线上的等效电荷由下列矩阵方程计算：</w:t>
      </w:r>
    </w:p>
    <w:p>
      <w:pPr>
        <w:pStyle w:val="23"/>
        <w:spacing w:line="360" w:lineRule="auto"/>
        <w:ind w:firstLine="0" w:firstLineChars="0"/>
        <w:jc w:val="center"/>
        <w:rPr>
          <w:rFonts w:ascii="Times New Roman" w:eastAsiaTheme="minorEastAsia"/>
          <w:kern w:val="2"/>
          <w:sz w:val="24"/>
          <w:szCs w:val="24"/>
        </w:rPr>
      </w:pPr>
      <w:r>
        <w:rPr>
          <w:position w:val="-70"/>
        </w:rPr>
        <w:object>
          <v:shape id="_x0000_i1025" o:spt="75" type="#_x0000_t75" style="height:101.95pt;width:235.15pt;" o:ole="t" fillcolor="#000011"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式中：U—各导线对地电压的单列</w:t>
      </w:r>
      <w:r>
        <w:rPr>
          <w:rFonts w:hint="eastAsia" w:ascii="Times New Roman" w:eastAsiaTheme="minorEastAsia"/>
          <w:kern w:val="2"/>
          <w:sz w:val="24"/>
          <w:szCs w:val="24"/>
        </w:rPr>
        <w:t>矩阵；</w:t>
      </w:r>
    </w:p>
    <w:p>
      <w:pPr>
        <w:pStyle w:val="23"/>
        <w:spacing w:line="360" w:lineRule="auto"/>
        <w:ind w:firstLine="1200" w:firstLineChars="500"/>
        <w:jc w:val="left"/>
        <w:rPr>
          <w:rFonts w:ascii="Times New Roman" w:eastAsiaTheme="minorEastAsia"/>
          <w:kern w:val="2"/>
          <w:sz w:val="24"/>
          <w:szCs w:val="24"/>
        </w:rPr>
      </w:pPr>
      <w:r>
        <w:rPr>
          <w:rFonts w:ascii="Times New Roman" w:eastAsiaTheme="minorEastAsia"/>
          <w:kern w:val="2"/>
          <w:sz w:val="24"/>
          <w:szCs w:val="24"/>
        </w:rPr>
        <w:t>Q—各导线上等效电荷的单列矩阵</w:t>
      </w:r>
      <w:r>
        <w:rPr>
          <w:rFonts w:hint="eastAsia" w:ascii="Times New Roman" w:eastAsiaTheme="minorEastAsia"/>
          <w:kern w:val="2"/>
          <w:sz w:val="24"/>
          <w:szCs w:val="24"/>
        </w:rPr>
        <w:t>；</w:t>
      </w:r>
    </w:p>
    <w:p>
      <w:pPr>
        <w:pStyle w:val="23"/>
        <w:spacing w:line="360" w:lineRule="auto"/>
        <w:ind w:firstLine="1200" w:firstLineChars="500"/>
        <w:jc w:val="left"/>
        <w:rPr>
          <w:rFonts w:ascii="Times New Roman" w:eastAsiaTheme="minorEastAsia"/>
          <w:kern w:val="2"/>
          <w:sz w:val="24"/>
          <w:szCs w:val="24"/>
        </w:rPr>
      </w:pPr>
      <w:r>
        <w:rPr>
          <w:rFonts w:ascii="Times New Roman" w:eastAsiaTheme="minorEastAsia"/>
          <w:kern w:val="2"/>
          <w:sz w:val="24"/>
          <w:szCs w:val="24"/>
        </w:rPr>
        <w:t>j—各导线的电位系数组成的n阶方阵（n为导线数目）</w:t>
      </w:r>
      <w:r>
        <w:rPr>
          <w:rFonts w:hint="eastAsia" w:ascii="Times New Roman" w:eastAsiaTheme="minorEastAsia"/>
          <w:kern w:val="2"/>
          <w:sz w:val="24"/>
          <w:szCs w:val="24"/>
        </w:rPr>
        <w:t>。</w:t>
      </w:r>
    </w:p>
    <w:p>
      <w:pPr>
        <w:pStyle w:val="23"/>
        <w:spacing w:line="360" w:lineRule="auto"/>
        <w:ind w:firstLine="480"/>
        <w:jc w:val="left"/>
        <w:rPr>
          <w:rFonts w:ascii="Times New Roman" w:eastAsiaTheme="minorEastAsia"/>
          <w:kern w:val="2"/>
          <w:sz w:val="24"/>
          <w:szCs w:val="24"/>
        </w:rPr>
      </w:pPr>
      <w:r>
        <w:rPr>
          <w:rFonts w:hint="eastAsia" w:ascii="Times New Roman" w:eastAsiaTheme="minorEastAsia"/>
          <w:kern w:val="2"/>
          <w:sz w:val="24"/>
          <w:szCs w:val="24"/>
        </w:rPr>
        <w:t>[</w:t>
      </w:r>
      <w:r>
        <w:rPr>
          <w:rFonts w:ascii="Times New Roman" w:eastAsiaTheme="minorEastAsia"/>
          <w:kern w:val="2"/>
          <w:sz w:val="24"/>
          <w:szCs w:val="24"/>
        </w:rPr>
        <w:t>U</w:t>
      </w:r>
      <w:r>
        <w:rPr>
          <w:rFonts w:hint="eastAsia" w:ascii="Times New Roman" w:eastAsiaTheme="minorEastAsia"/>
          <w:kern w:val="2"/>
          <w:sz w:val="24"/>
          <w:szCs w:val="24"/>
        </w:rPr>
        <w:t>]</w:t>
      </w:r>
      <w:r>
        <w:rPr>
          <w:rFonts w:ascii="Times New Roman" w:eastAsiaTheme="minorEastAsia"/>
          <w:kern w:val="2"/>
          <w:sz w:val="24"/>
          <w:szCs w:val="24"/>
        </w:rPr>
        <w:t>矩阵可由送电线的电压和相位确定，从环境保护考虑以额定电压的1.05倍作为计算电压。</w:t>
      </w:r>
    </w:p>
    <w:p>
      <w:pPr>
        <w:pStyle w:val="23"/>
        <w:spacing w:line="360" w:lineRule="auto"/>
        <w:ind w:firstLine="480"/>
        <w:jc w:val="left"/>
        <w:rPr>
          <w:rFonts w:ascii="Times New Roman" w:eastAsiaTheme="minorEastAsia"/>
          <w:kern w:val="2"/>
          <w:sz w:val="24"/>
          <w:szCs w:val="24"/>
        </w:rPr>
      </w:pPr>
      <w:r>
        <w:rPr>
          <w:rFonts w:hint="eastAsia" w:ascii="Times New Roman" w:eastAsiaTheme="minorEastAsia"/>
          <w:kern w:val="2"/>
          <w:sz w:val="24"/>
          <w:szCs w:val="24"/>
        </w:rPr>
        <w:t>[</w:t>
      </w:r>
      <w:r>
        <w:rPr>
          <w:rFonts w:ascii="Times New Roman" w:eastAsiaTheme="minorEastAsia"/>
          <w:kern w:val="2"/>
          <w:sz w:val="24"/>
          <w:szCs w:val="24"/>
        </w:rPr>
        <w:t>λ</w:t>
      </w:r>
      <w:r>
        <w:rPr>
          <w:rFonts w:hint="eastAsia" w:ascii="Times New Roman" w:eastAsiaTheme="minorEastAsia"/>
          <w:kern w:val="2"/>
          <w:sz w:val="24"/>
          <w:szCs w:val="24"/>
        </w:rPr>
        <w:t>]</w:t>
      </w:r>
      <w:r>
        <w:rPr>
          <w:rFonts w:ascii="Times New Roman" w:eastAsiaTheme="minorEastAsia"/>
          <w:kern w:val="2"/>
          <w:sz w:val="24"/>
          <w:szCs w:val="24"/>
        </w:rPr>
        <w:t>矩阵由镜像原理求得</w:t>
      </w:r>
      <w:r>
        <w:rPr>
          <w:rFonts w:hint="eastAsia" w:ascii="Times New Roman" w:eastAsiaTheme="minorEastAsia"/>
          <w:kern w:val="2"/>
          <w:sz w:val="24"/>
          <w:szCs w:val="24"/>
        </w:rPr>
        <w:t>。</w:t>
      </w:r>
    </w:p>
    <w:p>
      <w:pPr>
        <w:pStyle w:val="23"/>
        <w:spacing w:line="360" w:lineRule="auto"/>
        <w:ind w:firstLine="482"/>
        <w:jc w:val="left"/>
        <w:rPr>
          <w:rFonts w:ascii="Times New Roman" w:eastAsiaTheme="minorEastAsia"/>
          <w:b/>
          <w:bCs/>
          <w:kern w:val="2"/>
          <w:sz w:val="24"/>
          <w:szCs w:val="24"/>
        </w:rPr>
      </w:pPr>
      <w:r>
        <w:rPr>
          <w:rFonts w:hint="eastAsia" w:ascii="Times New Roman" w:eastAsiaTheme="minorEastAsia"/>
          <w:b/>
          <w:bCs/>
          <w:kern w:val="2"/>
          <w:sz w:val="24"/>
          <w:szCs w:val="24"/>
        </w:rPr>
        <w:t>6.1.1.2 计算由等效电荷产生的电场</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为计算地面电场强度的最大值，通常取最大弧垂时导线的最小对地高度</w:t>
      </w:r>
      <w:r>
        <w:rPr>
          <w:rFonts w:hint="eastAsia" w:ascii="Times New Roman" w:eastAsiaTheme="minorEastAsia"/>
          <w:kern w:val="2"/>
          <w:sz w:val="24"/>
          <w:szCs w:val="24"/>
        </w:rPr>
        <w:t>。</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当各导线单位长度的等效电荷量求出后，空间任意一点的电场强度可根据叠加原理计算得出，在（x</w:t>
      </w:r>
      <w:r>
        <w:rPr>
          <w:rFonts w:hint="eastAsia" w:ascii="Times New Roman" w:eastAsiaTheme="minorEastAsia"/>
          <w:kern w:val="2"/>
          <w:sz w:val="24"/>
          <w:szCs w:val="24"/>
        </w:rPr>
        <w:t>，</w:t>
      </w:r>
      <w:r>
        <w:rPr>
          <w:rFonts w:ascii="Times New Roman" w:eastAsiaTheme="minorEastAsia"/>
          <w:kern w:val="2"/>
          <w:sz w:val="24"/>
          <w:szCs w:val="24"/>
        </w:rPr>
        <w:t>y）点的电场强度分量Ex和Ey可表示为</w:t>
      </w:r>
    </w:p>
    <w:p>
      <w:pPr>
        <w:pStyle w:val="23"/>
        <w:keepNext w:val="0"/>
        <w:keepLines w:val="0"/>
        <w:pageBreakBefore w:val="0"/>
        <w:widowControl/>
        <w:kinsoku/>
        <w:wordWrap/>
        <w:overflowPunct/>
        <w:topLinePunct w:val="0"/>
        <w:autoSpaceDE w:val="0"/>
        <w:autoSpaceDN w:val="0"/>
        <w:bidi w:val="0"/>
        <w:adjustRightInd/>
        <w:snapToGrid/>
        <w:spacing w:line="480" w:lineRule="auto"/>
        <w:ind w:firstLine="480"/>
        <w:jc w:val="left"/>
        <w:textAlignment w:val="auto"/>
        <w:rPr>
          <w:rFonts w:ascii="Times New Roman" w:eastAsiaTheme="minorEastAsia"/>
          <w:kern w:val="2"/>
          <w:sz w:val="24"/>
          <w:szCs w:val="24"/>
        </w:rPr>
      </w:pPr>
      <w:r>
        <w:drawing>
          <wp:inline distT="0" distB="0" distL="114300" distR="114300">
            <wp:extent cx="2486660" cy="688975"/>
            <wp:effectExtent l="0" t="0" r="8890" b="158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5"/>
                    <a:srcRect l="8801" r="7932"/>
                    <a:stretch>
                      <a:fillRect/>
                    </a:stretch>
                  </pic:blipFill>
                  <pic:spPr>
                    <a:xfrm>
                      <a:off x="0" y="0"/>
                      <a:ext cx="2486660" cy="688975"/>
                    </a:xfrm>
                    <a:prstGeom prst="rect">
                      <a:avLst/>
                    </a:prstGeom>
                    <a:noFill/>
                    <a:ln>
                      <a:noFill/>
                    </a:ln>
                  </pic:spPr>
                </pic:pic>
              </a:graphicData>
            </a:graphic>
          </wp:inline>
        </w:drawing>
      </w:r>
      <w:r>
        <w:drawing>
          <wp:inline distT="0" distB="0" distL="114300" distR="114300">
            <wp:extent cx="2459355" cy="593725"/>
            <wp:effectExtent l="0" t="0" r="17145" b="1587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6"/>
                    <a:srcRect l="13145" t="16277" r="731"/>
                    <a:stretch>
                      <a:fillRect/>
                    </a:stretch>
                  </pic:blipFill>
                  <pic:spPr>
                    <a:xfrm>
                      <a:off x="0" y="0"/>
                      <a:ext cx="2459355" cy="593725"/>
                    </a:xfrm>
                    <a:prstGeom prst="rect">
                      <a:avLst/>
                    </a:prstGeom>
                    <a:noFill/>
                    <a:ln>
                      <a:noFill/>
                    </a:ln>
                  </pic:spPr>
                </pic:pic>
              </a:graphicData>
            </a:graphic>
          </wp:inline>
        </w:drawing>
      </w:r>
    </w:p>
    <w:p>
      <w:pPr>
        <w:pStyle w:val="23"/>
        <w:spacing w:line="480" w:lineRule="auto"/>
        <w:ind w:firstLine="480"/>
        <w:jc w:val="left"/>
        <w:rPr>
          <w:rFonts w:ascii="Times New Roman" w:eastAsiaTheme="minorEastAsia"/>
          <w:kern w:val="2"/>
          <w:sz w:val="24"/>
          <w:szCs w:val="24"/>
        </w:rPr>
      </w:pPr>
      <w:r>
        <w:rPr>
          <w:rFonts w:ascii="Times New Roman" w:eastAsiaTheme="minorEastAsia"/>
          <w:kern w:val="2"/>
          <w:sz w:val="24"/>
          <w:szCs w:val="24"/>
        </w:rPr>
        <w:t>式中：x</w:t>
      </w:r>
      <w:r>
        <w:rPr>
          <w:rFonts w:hint="eastAsia" w:ascii="Times New Roman" w:eastAsiaTheme="minorEastAsia"/>
          <w:kern w:val="2"/>
          <w:sz w:val="24"/>
          <w:szCs w:val="24"/>
          <w:vertAlign w:val="subscript"/>
        </w:rPr>
        <w:t>i</w:t>
      </w:r>
      <w:r>
        <w:rPr>
          <w:rFonts w:ascii="Times New Roman" w:eastAsiaTheme="minorEastAsia"/>
          <w:kern w:val="2"/>
          <w:sz w:val="24"/>
          <w:szCs w:val="24"/>
        </w:rPr>
        <w:t>、y</w:t>
      </w:r>
      <w:r>
        <w:rPr>
          <w:rFonts w:hint="eastAsia" w:ascii="Times New Roman" w:eastAsiaTheme="minorEastAsia"/>
          <w:kern w:val="2"/>
          <w:sz w:val="24"/>
          <w:szCs w:val="24"/>
          <w:vertAlign w:val="subscript"/>
        </w:rPr>
        <w:t>i</w:t>
      </w:r>
      <w:r>
        <w:rPr>
          <w:rFonts w:hint="eastAsia" w:ascii="Times New Roman" w:eastAsiaTheme="minorEastAsia"/>
          <w:kern w:val="2"/>
          <w:sz w:val="24"/>
          <w:szCs w:val="24"/>
        </w:rPr>
        <w:t>—</w:t>
      </w:r>
      <w:r>
        <w:rPr>
          <w:rFonts w:ascii="Times New Roman" w:eastAsiaTheme="minorEastAsia"/>
          <w:kern w:val="2"/>
          <w:sz w:val="24"/>
          <w:szCs w:val="24"/>
        </w:rPr>
        <w:t>导线i的坐标（i=1、2、…，m）；</w:t>
      </w:r>
    </w:p>
    <w:p>
      <w:pPr>
        <w:pStyle w:val="23"/>
        <w:spacing w:line="360" w:lineRule="auto"/>
        <w:ind w:firstLine="1200" w:firstLineChars="500"/>
        <w:jc w:val="left"/>
        <w:rPr>
          <w:rFonts w:ascii="Times New Roman" w:eastAsiaTheme="minorEastAsia"/>
          <w:kern w:val="2"/>
          <w:sz w:val="24"/>
          <w:szCs w:val="24"/>
        </w:rPr>
      </w:pPr>
      <w:r>
        <w:rPr>
          <w:rFonts w:ascii="Times New Roman" w:eastAsiaTheme="minorEastAsia"/>
          <w:kern w:val="2"/>
          <w:sz w:val="24"/>
          <w:szCs w:val="24"/>
        </w:rPr>
        <w:t>M</w:t>
      </w:r>
      <w:r>
        <w:rPr>
          <w:rFonts w:hint="eastAsia" w:ascii="Times New Roman" w:eastAsiaTheme="minorEastAsia"/>
          <w:kern w:val="2"/>
          <w:sz w:val="24"/>
          <w:szCs w:val="24"/>
        </w:rPr>
        <w:t>—</w:t>
      </w:r>
      <w:r>
        <w:rPr>
          <w:rFonts w:ascii="Times New Roman" w:eastAsiaTheme="minorEastAsia"/>
          <w:kern w:val="2"/>
          <w:sz w:val="24"/>
          <w:szCs w:val="24"/>
        </w:rPr>
        <w:t>导线数目；</w:t>
      </w:r>
    </w:p>
    <w:p>
      <w:pPr>
        <w:pStyle w:val="23"/>
        <w:spacing w:line="360" w:lineRule="auto"/>
        <w:ind w:firstLine="1200" w:firstLineChars="500"/>
        <w:jc w:val="left"/>
        <w:rPr>
          <w:rFonts w:ascii="Times New Roman" w:eastAsiaTheme="minorEastAsia"/>
          <w:kern w:val="2"/>
          <w:sz w:val="24"/>
          <w:szCs w:val="24"/>
        </w:rPr>
      </w:pPr>
      <w:r>
        <w:rPr>
          <w:rFonts w:ascii="Times New Roman" w:eastAsiaTheme="minorEastAsia"/>
          <w:kern w:val="2"/>
          <w:sz w:val="24"/>
          <w:szCs w:val="24"/>
        </w:rPr>
        <w:t>ε</w:t>
      </w:r>
      <w:r>
        <w:rPr>
          <w:rFonts w:hint="eastAsia" w:ascii="Times New Roman" w:eastAsiaTheme="minorEastAsia"/>
          <w:kern w:val="2"/>
          <w:sz w:val="24"/>
          <w:szCs w:val="24"/>
          <w:vertAlign w:val="subscript"/>
        </w:rPr>
        <w:t>0</w:t>
      </w:r>
      <w:r>
        <w:rPr>
          <w:rFonts w:hint="eastAsia" w:ascii="Times New Roman" w:eastAsiaTheme="minorEastAsia"/>
          <w:kern w:val="2"/>
          <w:sz w:val="24"/>
          <w:szCs w:val="24"/>
        </w:rPr>
        <w:t>—</w:t>
      </w:r>
      <w:r>
        <w:rPr>
          <w:rFonts w:ascii="Times New Roman" w:eastAsiaTheme="minorEastAsia"/>
          <w:kern w:val="2"/>
          <w:sz w:val="24"/>
          <w:szCs w:val="24"/>
        </w:rPr>
        <w:t>介电常数</w:t>
      </w:r>
      <w:r>
        <w:rPr>
          <w:rFonts w:hint="eastAsia" w:ascii="Times New Roman" w:eastAsiaTheme="minorEastAsia"/>
          <w:kern w:val="2"/>
          <w:sz w:val="24"/>
          <w:szCs w:val="24"/>
        </w:rPr>
        <w:t>；</w:t>
      </w:r>
    </w:p>
    <w:p>
      <w:pPr>
        <w:pStyle w:val="23"/>
        <w:spacing w:line="360" w:lineRule="auto"/>
        <w:ind w:firstLine="1200" w:firstLineChars="500"/>
        <w:jc w:val="left"/>
        <w:rPr>
          <w:rFonts w:ascii="Times New Roman" w:eastAsiaTheme="minorEastAsia"/>
          <w:kern w:val="2"/>
          <w:sz w:val="24"/>
          <w:szCs w:val="24"/>
        </w:rPr>
      </w:pPr>
      <w:r>
        <w:rPr>
          <w:rFonts w:ascii="Times New Roman" w:eastAsiaTheme="minorEastAsia"/>
          <w:kern w:val="2"/>
          <w:sz w:val="24"/>
          <w:szCs w:val="24"/>
        </w:rPr>
        <w:t>L</w:t>
      </w:r>
      <w:r>
        <w:rPr>
          <w:rFonts w:hint="eastAsia" w:ascii="Times New Roman" w:eastAsiaTheme="minorEastAsia"/>
          <w:kern w:val="2"/>
          <w:sz w:val="24"/>
          <w:szCs w:val="24"/>
          <w:vertAlign w:val="subscript"/>
        </w:rPr>
        <w:t>i</w:t>
      </w:r>
      <w:r>
        <w:rPr>
          <w:rFonts w:ascii="Times New Roman" w:eastAsiaTheme="minorEastAsia"/>
          <w:kern w:val="2"/>
          <w:sz w:val="24"/>
          <w:szCs w:val="24"/>
        </w:rPr>
        <w:t>、L</w:t>
      </w:r>
      <w:r>
        <w:rPr>
          <w:rFonts w:hint="eastAsia" w:ascii="Times New Roman" w:eastAsiaTheme="minorEastAsia"/>
          <w:kern w:val="2"/>
          <w:sz w:val="24"/>
          <w:szCs w:val="24"/>
          <w:vertAlign w:val="subscript"/>
        </w:rPr>
        <w:t>i</w:t>
      </w:r>
      <w:r>
        <w:rPr>
          <w:rFonts w:hint="eastAsia" w:ascii="Times New Roman" w:eastAsiaTheme="minorEastAsia"/>
          <w:kern w:val="2"/>
          <w:sz w:val="24"/>
          <w:szCs w:val="24"/>
          <w:vertAlign w:val="superscript"/>
        </w:rPr>
        <w:t>′</w:t>
      </w:r>
      <w:r>
        <w:rPr>
          <w:rFonts w:hint="eastAsia" w:ascii="Times New Roman" w:eastAsiaTheme="minorEastAsia"/>
          <w:kern w:val="2"/>
          <w:sz w:val="24"/>
          <w:szCs w:val="24"/>
        </w:rPr>
        <w:t>—</w:t>
      </w:r>
      <w:r>
        <w:rPr>
          <w:rFonts w:ascii="Times New Roman" w:eastAsiaTheme="minorEastAsia"/>
          <w:kern w:val="2"/>
          <w:sz w:val="24"/>
          <w:szCs w:val="24"/>
        </w:rPr>
        <w:t>分别为导线I及镜像至计算点的距离。</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6.1.2 输电线路工频磁感应强度预测的方法</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在很多情况下，只考虑处于空间的实际导线，忽略它的镜像进行计算，其结果已足够符合实际。不考虑导线i的镜像时，可计算在A点产生的磁场强度。</w:t>
      </w:r>
    </w:p>
    <w:p>
      <w:pPr>
        <w:pStyle w:val="23"/>
        <w:spacing w:line="360" w:lineRule="auto"/>
        <w:ind w:firstLine="0" w:firstLineChars="0"/>
        <w:jc w:val="center"/>
        <w:rPr>
          <w:rFonts w:ascii="Times New Roman" w:eastAsiaTheme="minorEastAsia"/>
          <w:kern w:val="2"/>
          <w:sz w:val="24"/>
          <w:szCs w:val="24"/>
        </w:rPr>
      </w:pPr>
      <w:r>
        <w:rPr>
          <w:position w:val="-30"/>
        </w:rPr>
        <w:object>
          <v:shape id="_x0000_i1026" o:spt="75" type="#_x0000_t75" style="height:42.85pt;width:138.15pt;" o:ole="t" filled="f" o:preferrelative="t" stroked="f" coordsize="21600,21600">
            <v:path/>
            <v:fill on="f" focussize="0,0"/>
            <v:stroke on="f" joinstyle="miter"/>
            <v:imagedata r:id="rId28" o:title=""/>
            <o:lock v:ext="edit" aspectratio="t"/>
            <w10:wrap type="none"/>
            <w10:anchorlock/>
          </v:shape>
          <o:OLEObject Type="Embed" ProgID="Equation.3" ShapeID="_x0000_i1026" DrawAspect="Content" ObjectID="_1468075726" r:id="rId27">
            <o:LockedField>false</o:LockedField>
          </o:OLEObject>
        </w:object>
      </w:r>
      <w:r>
        <w:rPr>
          <w:rFonts w:ascii="Times New Roman"/>
        </w:rPr>
        <w:t>（A/m）</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式中：I</w:t>
      </w:r>
      <w:r>
        <w:rPr>
          <w:rFonts w:hint="eastAsia" w:ascii="Times New Roman" w:eastAsiaTheme="minorEastAsia"/>
          <w:kern w:val="2"/>
          <w:sz w:val="24"/>
          <w:szCs w:val="24"/>
        </w:rPr>
        <w:t>—</w:t>
      </w:r>
      <w:r>
        <w:rPr>
          <w:rFonts w:ascii="Times New Roman" w:eastAsiaTheme="minorEastAsia"/>
          <w:kern w:val="2"/>
          <w:sz w:val="24"/>
          <w:szCs w:val="24"/>
        </w:rPr>
        <w:t>导线i中的电流值</w:t>
      </w:r>
      <w:r>
        <w:rPr>
          <w:rFonts w:hint="eastAsia" w:ascii="Times New Roman" w:eastAsiaTheme="minorEastAsia"/>
          <w:kern w:val="2"/>
          <w:sz w:val="24"/>
          <w:szCs w:val="24"/>
        </w:rPr>
        <w:t>；</w:t>
      </w:r>
      <w:r>
        <w:rPr>
          <w:rFonts w:ascii="Times New Roman" w:eastAsiaTheme="minorEastAsia"/>
          <w:kern w:val="2"/>
          <w:sz w:val="24"/>
          <w:szCs w:val="24"/>
        </w:rPr>
        <w:t>h</w:t>
      </w:r>
      <w:r>
        <w:rPr>
          <w:rFonts w:hint="eastAsia" w:ascii="Times New Roman" w:eastAsiaTheme="minorEastAsia"/>
          <w:kern w:val="2"/>
          <w:sz w:val="24"/>
          <w:szCs w:val="24"/>
        </w:rPr>
        <w:t>—</w:t>
      </w:r>
      <w:r>
        <w:rPr>
          <w:rFonts w:ascii="Times New Roman" w:eastAsiaTheme="minorEastAsia"/>
          <w:kern w:val="2"/>
          <w:sz w:val="24"/>
          <w:szCs w:val="24"/>
        </w:rPr>
        <w:t>导线与预测点的高差</w:t>
      </w:r>
      <w:r>
        <w:rPr>
          <w:rFonts w:hint="eastAsia" w:ascii="Times New Roman" w:eastAsiaTheme="minorEastAsia"/>
          <w:kern w:val="2"/>
          <w:sz w:val="24"/>
          <w:szCs w:val="24"/>
        </w:rPr>
        <w:t>；</w:t>
      </w:r>
    </w:p>
    <w:p>
      <w:pPr>
        <w:pStyle w:val="23"/>
        <w:spacing w:line="360" w:lineRule="auto"/>
        <w:ind w:firstLine="1200" w:firstLineChars="500"/>
        <w:jc w:val="left"/>
        <w:rPr>
          <w:rFonts w:ascii="Times New Roman" w:eastAsiaTheme="minorEastAsia"/>
          <w:kern w:val="2"/>
          <w:sz w:val="24"/>
          <w:szCs w:val="24"/>
        </w:rPr>
      </w:pPr>
      <w:r>
        <w:rPr>
          <w:rFonts w:ascii="Times New Roman" w:eastAsiaTheme="minorEastAsia"/>
          <w:kern w:val="2"/>
          <w:sz w:val="24"/>
          <w:szCs w:val="24"/>
        </w:rPr>
        <w:t>L—导线与预测点的水平距离</w:t>
      </w:r>
      <w:r>
        <w:rPr>
          <w:rFonts w:hint="eastAsia" w:ascii="Times New Roman" w:eastAsiaTheme="minorEastAsia"/>
          <w:kern w:val="2"/>
          <w:sz w:val="24"/>
          <w:szCs w:val="24"/>
        </w:rPr>
        <w:t>。</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为了与环境标准相对应，需要将磁场强度（A</w:t>
      </w:r>
      <w:r>
        <w:rPr>
          <w:rFonts w:hint="eastAsia" w:ascii="Times New Roman" w:eastAsiaTheme="minorEastAsia"/>
          <w:kern w:val="2"/>
          <w:sz w:val="24"/>
          <w:szCs w:val="24"/>
        </w:rPr>
        <w:t>/</w:t>
      </w:r>
      <w:r>
        <w:rPr>
          <w:rFonts w:ascii="Times New Roman" w:eastAsiaTheme="minorEastAsia"/>
          <w:kern w:val="2"/>
          <w:sz w:val="24"/>
          <w:szCs w:val="24"/>
        </w:rPr>
        <w:t>m）转换为磁感应强度（mT</w:t>
      </w:r>
      <w:r>
        <w:rPr>
          <w:rFonts w:hint="eastAsia" w:ascii="Times New Roman" w:eastAsiaTheme="minorEastAsia"/>
          <w:kern w:val="2"/>
          <w:sz w:val="24"/>
          <w:szCs w:val="24"/>
        </w:rPr>
        <w:t>）</w:t>
      </w:r>
      <w:r>
        <w:rPr>
          <w:rFonts w:ascii="Times New Roman" w:eastAsiaTheme="minorEastAsia"/>
          <w:kern w:val="2"/>
          <w:sz w:val="24"/>
          <w:szCs w:val="24"/>
        </w:rPr>
        <w:t>，转换公式式中：B=μ</w:t>
      </w:r>
      <w:r>
        <w:rPr>
          <w:rFonts w:ascii="Times New Roman" w:eastAsiaTheme="minorEastAsia"/>
          <w:kern w:val="2"/>
          <w:sz w:val="24"/>
          <w:szCs w:val="24"/>
          <w:vertAlign w:val="subscript"/>
        </w:rPr>
        <w:t>0</w:t>
      </w:r>
      <w:r>
        <w:rPr>
          <w:rFonts w:ascii="Times New Roman" w:eastAsiaTheme="minorEastAsia"/>
          <w:kern w:val="2"/>
          <w:sz w:val="24"/>
          <w:szCs w:val="24"/>
        </w:rPr>
        <w:t>H</w:t>
      </w:r>
    </w:p>
    <w:p>
      <w:pPr>
        <w:pStyle w:val="23"/>
        <w:spacing w:line="360" w:lineRule="auto"/>
        <w:ind w:firstLine="480"/>
        <w:jc w:val="left"/>
        <w:rPr>
          <w:rFonts w:ascii="Times New Roman" w:eastAsiaTheme="minorEastAsia"/>
          <w:kern w:val="2"/>
          <w:sz w:val="24"/>
          <w:szCs w:val="24"/>
        </w:rPr>
      </w:pPr>
      <w:r>
        <w:rPr>
          <w:rFonts w:hint="eastAsia" w:ascii="Times New Roman" w:eastAsiaTheme="minorEastAsia"/>
          <w:kern w:val="2"/>
          <w:sz w:val="24"/>
          <w:szCs w:val="24"/>
        </w:rPr>
        <w:t>式中：</w:t>
      </w:r>
      <w:r>
        <w:rPr>
          <w:rFonts w:ascii="Times New Roman" w:eastAsiaTheme="minorEastAsia"/>
          <w:kern w:val="2"/>
          <w:sz w:val="24"/>
          <w:szCs w:val="24"/>
        </w:rPr>
        <w:t>B</w:t>
      </w:r>
      <w:r>
        <w:rPr>
          <w:rFonts w:hint="eastAsia" w:ascii="Times New Roman" w:eastAsiaTheme="minorEastAsia"/>
          <w:kern w:val="2"/>
          <w:sz w:val="24"/>
          <w:szCs w:val="24"/>
        </w:rPr>
        <w:t>—</w:t>
      </w:r>
      <w:r>
        <w:rPr>
          <w:rFonts w:ascii="Times New Roman" w:eastAsiaTheme="minorEastAsia"/>
          <w:kern w:val="2"/>
          <w:sz w:val="24"/>
          <w:szCs w:val="24"/>
        </w:rPr>
        <w:t>磁感应强度（T）</w:t>
      </w:r>
      <w:r>
        <w:rPr>
          <w:rFonts w:hint="eastAsia" w:ascii="Times New Roman" w:eastAsiaTheme="minorEastAsia"/>
          <w:kern w:val="2"/>
          <w:sz w:val="24"/>
          <w:szCs w:val="24"/>
        </w:rPr>
        <w:t>；</w:t>
      </w:r>
    </w:p>
    <w:p>
      <w:pPr>
        <w:pStyle w:val="23"/>
        <w:spacing w:line="360" w:lineRule="auto"/>
        <w:ind w:firstLine="1200" w:firstLineChars="500"/>
        <w:jc w:val="left"/>
        <w:rPr>
          <w:rFonts w:ascii="Times New Roman" w:eastAsiaTheme="minorEastAsia"/>
          <w:kern w:val="2"/>
          <w:sz w:val="24"/>
          <w:szCs w:val="24"/>
        </w:rPr>
      </w:pPr>
      <w:r>
        <w:rPr>
          <w:rFonts w:ascii="Times New Roman" w:eastAsiaTheme="minorEastAsia"/>
          <w:kern w:val="2"/>
          <w:sz w:val="24"/>
          <w:szCs w:val="24"/>
        </w:rPr>
        <w:t>H</w:t>
      </w:r>
      <w:r>
        <w:rPr>
          <w:rFonts w:hint="eastAsia" w:ascii="Times New Roman" w:eastAsiaTheme="minorEastAsia"/>
          <w:kern w:val="2"/>
          <w:sz w:val="24"/>
          <w:szCs w:val="24"/>
        </w:rPr>
        <w:t>—</w:t>
      </w:r>
      <w:r>
        <w:rPr>
          <w:rFonts w:ascii="Times New Roman" w:eastAsiaTheme="minorEastAsia"/>
          <w:kern w:val="2"/>
          <w:sz w:val="24"/>
          <w:szCs w:val="24"/>
        </w:rPr>
        <w:t>磁场强度（H）</w:t>
      </w:r>
      <w:r>
        <w:rPr>
          <w:rFonts w:hint="eastAsia" w:ascii="Times New Roman" w:eastAsiaTheme="minorEastAsia"/>
          <w:kern w:val="2"/>
          <w:sz w:val="24"/>
          <w:szCs w:val="24"/>
        </w:rPr>
        <w:t>；</w:t>
      </w:r>
    </w:p>
    <w:p>
      <w:pPr>
        <w:pStyle w:val="23"/>
        <w:spacing w:line="360" w:lineRule="auto"/>
        <w:ind w:firstLine="1200" w:firstLineChars="500"/>
        <w:jc w:val="left"/>
        <w:rPr>
          <w:rFonts w:ascii="Times New Roman" w:eastAsiaTheme="minorEastAsia"/>
          <w:kern w:val="2"/>
          <w:sz w:val="24"/>
          <w:szCs w:val="24"/>
        </w:rPr>
      </w:pPr>
      <w:r>
        <w:rPr>
          <w:rFonts w:ascii="Times New Roman" w:eastAsiaTheme="minorEastAsia"/>
          <w:kern w:val="2"/>
          <w:sz w:val="24"/>
          <w:szCs w:val="24"/>
        </w:rPr>
        <w:t>μ</w:t>
      </w:r>
      <w:r>
        <w:rPr>
          <w:rFonts w:ascii="Times New Roman" w:eastAsiaTheme="minorEastAsia"/>
          <w:kern w:val="2"/>
          <w:sz w:val="24"/>
          <w:szCs w:val="24"/>
          <w:vertAlign w:val="subscript"/>
        </w:rPr>
        <w:t>0</w:t>
      </w:r>
      <w:r>
        <w:rPr>
          <w:rFonts w:ascii="Times New Roman" w:eastAsiaTheme="minorEastAsia"/>
          <w:kern w:val="2"/>
          <w:sz w:val="24"/>
          <w:szCs w:val="24"/>
        </w:rPr>
        <w:t>—常数，真空中相对磁导率（μ</w:t>
      </w:r>
      <w:r>
        <w:rPr>
          <w:rFonts w:ascii="Times New Roman" w:eastAsiaTheme="minorEastAsia"/>
          <w:kern w:val="2"/>
          <w:sz w:val="24"/>
          <w:szCs w:val="24"/>
          <w:vertAlign w:val="subscript"/>
        </w:rPr>
        <w:t>0</w:t>
      </w:r>
      <w:r>
        <w:rPr>
          <w:rFonts w:ascii="Times New Roman" w:eastAsiaTheme="minorEastAsia"/>
          <w:kern w:val="2"/>
          <w:sz w:val="24"/>
          <w:szCs w:val="24"/>
        </w:rPr>
        <w:t>=4π×10</w:t>
      </w:r>
      <w:r>
        <w:rPr>
          <w:rFonts w:hint="eastAsia" w:ascii="Times New Roman" w:eastAsiaTheme="minorEastAsia"/>
          <w:kern w:val="2"/>
          <w:sz w:val="24"/>
          <w:szCs w:val="24"/>
          <w:vertAlign w:val="superscript"/>
        </w:rPr>
        <w:t>-</w:t>
      </w:r>
      <w:r>
        <w:rPr>
          <w:rFonts w:ascii="Times New Roman" w:eastAsiaTheme="minorEastAsia"/>
          <w:kern w:val="2"/>
          <w:sz w:val="24"/>
          <w:szCs w:val="24"/>
          <w:vertAlign w:val="superscript"/>
        </w:rPr>
        <w:t>7</w:t>
      </w:r>
      <w:r>
        <w:rPr>
          <w:rFonts w:ascii="Times New Roman" w:eastAsiaTheme="minorEastAsia"/>
          <w:kern w:val="2"/>
          <w:sz w:val="24"/>
          <w:szCs w:val="24"/>
        </w:rPr>
        <w:t>H</w:t>
      </w:r>
      <w:r>
        <w:rPr>
          <w:rFonts w:hint="eastAsia" w:ascii="Times New Roman" w:eastAsiaTheme="minorEastAsia"/>
          <w:kern w:val="2"/>
          <w:sz w:val="24"/>
          <w:szCs w:val="24"/>
        </w:rPr>
        <w:t>/</w:t>
      </w:r>
      <w:r>
        <w:rPr>
          <w:rFonts w:ascii="Times New Roman" w:eastAsiaTheme="minorEastAsia"/>
          <w:kern w:val="2"/>
          <w:sz w:val="24"/>
          <w:szCs w:val="24"/>
        </w:rPr>
        <w:t>m）</w:t>
      </w:r>
      <w:r>
        <w:rPr>
          <w:rFonts w:hint="eastAsia" w:ascii="Times New Roman" w:eastAsiaTheme="minorEastAsia"/>
          <w:kern w:val="2"/>
          <w:sz w:val="24"/>
          <w:szCs w:val="24"/>
        </w:rPr>
        <w:t>。</w:t>
      </w:r>
    </w:p>
    <w:p>
      <w:pPr>
        <w:pStyle w:val="23"/>
        <w:tabs>
          <w:tab w:val="left" w:pos="210"/>
        </w:tabs>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6.2 预测计算参数</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6.2.1 导线型号</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本工程线路导线采用</w:t>
      </w:r>
      <w:r>
        <w:rPr>
          <w:rFonts w:hint="eastAsia" w:ascii="Times New Roman" w:eastAsiaTheme="minorEastAsia"/>
          <w:kern w:val="2"/>
          <w:sz w:val="24"/>
          <w:szCs w:val="24"/>
          <w:lang w:eastAsia="zh-CN"/>
        </w:rPr>
        <w:t>2×LGJ-300/40钢芯铝绞线</w:t>
      </w:r>
      <w:r>
        <w:rPr>
          <w:rFonts w:ascii="Times New Roman" w:eastAsiaTheme="minorEastAsia"/>
          <w:kern w:val="2"/>
          <w:sz w:val="24"/>
          <w:szCs w:val="24"/>
        </w:rPr>
        <w:t>型钢芯铝绞线。</w:t>
      </w:r>
    </w:p>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6.2.2 塔型相关计算参数</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在最不利情况下</w:t>
      </w:r>
      <w:r>
        <w:rPr>
          <w:rFonts w:hint="eastAsia" w:ascii="Times New Roman" w:eastAsiaTheme="minorEastAsia"/>
          <w:kern w:val="2"/>
          <w:sz w:val="24"/>
          <w:szCs w:val="24"/>
          <w:lang w:eastAsia="zh-CN"/>
        </w:rPr>
        <w:t>1C3-ZM1-24</w:t>
      </w:r>
      <w:r>
        <w:rPr>
          <w:rFonts w:ascii="Times New Roman" w:eastAsiaTheme="minorEastAsia"/>
          <w:kern w:val="2"/>
          <w:sz w:val="24"/>
          <w:szCs w:val="24"/>
        </w:rPr>
        <w:t>直线塔作为工程送出线路的预测塔型，其他塔型电磁场分布情况可以参考该塔型预测结果</w:t>
      </w:r>
      <w:r>
        <w:rPr>
          <w:rFonts w:hint="eastAsia" w:ascii="Times New Roman" w:eastAsiaTheme="minorEastAsia"/>
          <w:kern w:val="2"/>
          <w:sz w:val="24"/>
          <w:szCs w:val="24"/>
        </w:rPr>
        <w:t>。</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《1</w:t>
      </w:r>
      <w:r>
        <w:rPr>
          <w:rFonts w:hint="eastAsia" w:ascii="Times New Roman" w:eastAsiaTheme="minorEastAsia"/>
          <w:kern w:val="2"/>
          <w:sz w:val="24"/>
          <w:szCs w:val="24"/>
        </w:rPr>
        <w:t>1</w:t>
      </w:r>
      <w:r>
        <w:rPr>
          <w:rFonts w:ascii="Times New Roman" w:eastAsiaTheme="minorEastAsia"/>
          <w:kern w:val="2"/>
          <w:sz w:val="24"/>
          <w:szCs w:val="24"/>
        </w:rPr>
        <w:t>0~750kV架空输电线路设计规范》（GB50545-2010）中要求，110kV输电线路在途经居民区时，控制导线最小对地距离为7m，途经非居民区时，控制导线最小对地距离为6m。本工程送出线路的导线最低对地高度途经居民区时导线最小对地距离取7m，非居民时取6m。</w:t>
      </w:r>
    </w:p>
    <w:p>
      <w:pPr>
        <w:pStyle w:val="23"/>
        <w:spacing w:line="360" w:lineRule="auto"/>
        <w:ind w:firstLine="480"/>
        <w:jc w:val="left"/>
        <w:rPr>
          <w:rFonts w:hint="eastAsia" w:ascii="Times New Roman" w:eastAsiaTheme="minorEastAsia"/>
          <w:kern w:val="2"/>
          <w:sz w:val="24"/>
          <w:szCs w:val="24"/>
        </w:rPr>
      </w:pPr>
      <w:r>
        <w:rPr>
          <w:rFonts w:hint="eastAsia" w:ascii="Times New Roman" w:eastAsiaTheme="minorEastAsia"/>
          <w:kern w:val="2"/>
          <w:sz w:val="24"/>
          <w:szCs w:val="24"/>
        </w:rPr>
        <w:t>本工程输电线路导线采用LGJ-300/40钢芯铝绞线，输电线路电磁预测选用选用1C3-ZM1 塔，此塔型是本次输电线路工程中典型单回直线塔。线路电磁预测过程中电压为额定电压1.05倍，为115.5kV，预测电流值取1050A。</w:t>
      </w:r>
    </w:p>
    <w:p>
      <w:pPr>
        <w:ind w:firstLine="480" w:firstLineChars="200"/>
        <w:jc w:val="both"/>
        <w:rPr>
          <w:kern w:val="0"/>
        </w:rPr>
      </w:pPr>
      <w:r>
        <w:rPr>
          <w:rFonts w:hint="eastAsia"/>
          <w:kern w:val="0"/>
        </w:rPr>
        <w:t>输电线路导线相序排列见</w:t>
      </w:r>
      <w:r>
        <w:rPr>
          <w:rFonts w:hint="eastAsia"/>
          <w:kern w:val="0"/>
          <w:lang w:val="en-US" w:eastAsia="zh-CN"/>
        </w:rPr>
        <w:t>图6-</w:t>
      </w:r>
      <w:r>
        <w:rPr>
          <w:rFonts w:hint="eastAsia"/>
          <w:kern w:val="0"/>
        </w:rPr>
        <w:t>1。本项目110kV输电线路电磁预测参数见表</w:t>
      </w:r>
      <w:r>
        <w:rPr>
          <w:rFonts w:hint="eastAsia"/>
          <w:kern w:val="0"/>
          <w:lang w:val="en-US" w:eastAsia="zh-CN"/>
        </w:rPr>
        <w:t>6-</w:t>
      </w:r>
      <w:r>
        <w:rPr>
          <w:rFonts w:hint="eastAsia"/>
          <w:kern w:val="0"/>
        </w:rPr>
        <w:t>1。</w:t>
      </w:r>
    </w:p>
    <w:p>
      <w:pPr>
        <w:ind w:left="-425" w:leftChars="-177"/>
        <w:jc w:val="center"/>
      </w:pPr>
      <w:r>
        <w:drawing>
          <wp:inline distT="0" distB="0" distL="114300" distR="114300">
            <wp:extent cx="2183765" cy="1953260"/>
            <wp:effectExtent l="0" t="0" r="6985" b="8890"/>
            <wp:docPr id="14" name="图片 3" descr="2020-8-23 11-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2020-8-23 11-19-19.png"/>
                    <pic:cNvPicPr>
                      <a:picLocks noChangeAspect="1"/>
                    </pic:cNvPicPr>
                  </pic:nvPicPr>
                  <pic:blipFill>
                    <a:blip r:embed="rId29"/>
                    <a:stretch>
                      <a:fillRect/>
                    </a:stretch>
                  </pic:blipFill>
                  <pic:spPr>
                    <a:xfrm>
                      <a:off x="0" y="0"/>
                      <a:ext cx="2183765" cy="1953260"/>
                    </a:xfrm>
                    <a:prstGeom prst="rect">
                      <a:avLst/>
                    </a:prstGeom>
                    <a:noFill/>
                    <a:ln>
                      <a:noFill/>
                    </a:ln>
                  </pic:spPr>
                </pic:pic>
              </a:graphicData>
            </a:graphic>
          </wp:inline>
        </w:drawing>
      </w:r>
    </w:p>
    <w:p>
      <w:pPr>
        <w:ind w:left="-425" w:leftChars="-177" w:firstLine="310" w:firstLineChars="147"/>
        <w:jc w:val="center"/>
        <w:rPr>
          <w:b/>
          <w:sz w:val="21"/>
          <w:szCs w:val="21"/>
        </w:rPr>
      </w:pPr>
      <w:r>
        <w:rPr>
          <w:rFonts w:hint="eastAsia"/>
          <w:b/>
          <w:sz w:val="21"/>
          <w:szCs w:val="21"/>
        </w:rPr>
        <w:t>图</w:t>
      </w:r>
      <w:r>
        <w:rPr>
          <w:rFonts w:hint="eastAsia"/>
          <w:b/>
          <w:sz w:val="21"/>
          <w:szCs w:val="21"/>
          <w:lang w:val="en-US" w:eastAsia="zh-CN"/>
        </w:rPr>
        <w:t>6-</w:t>
      </w:r>
      <w:r>
        <w:rPr>
          <w:rFonts w:hint="eastAsia"/>
          <w:b/>
          <w:sz w:val="21"/>
          <w:szCs w:val="21"/>
        </w:rPr>
        <w:t>1 单回塔导线相序相对位置图</w:t>
      </w:r>
    </w:p>
    <w:p>
      <w:pPr>
        <w:snapToGrid w:val="0"/>
        <w:spacing w:line="240" w:lineRule="auto"/>
        <w:jc w:val="center"/>
        <w:rPr>
          <w:b/>
          <w:bCs w:val="0"/>
          <w:sz w:val="21"/>
          <w:szCs w:val="21"/>
        </w:rPr>
      </w:pPr>
      <w:r>
        <w:rPr>
          <w:b/>
          <w:bCs w:val="0"/>
          <w:sz w:val="21"/>
          <w:szCs w:val="21"/>
        </w:rPr>
        <w:t>表</w:t>
      </w:r>
      <w:r>
        <w:rPr>
          <w:rFonts w:hint="eastAsia"/>
          <w:b/>
          <w:bCs w:val="0"/>
          <w:sz w:val="21"/>
          <w:szCs w:val="21"/>
          <w:lang w:val="en-US" w:eastAsia="zh-CN"/>
        </w:rPr>
        <w:t>6-</w:t>
      </w:r>
      <w:r>
        <w:rPr>
          <w:rFonts w:hint="eastAsia"/>
          <w:b/>
          <w:bCs w:val="0"/>
          <w:sz w:val="21"/>
          <w:szCs w:val="21"/>
        </w:rPr>
        <w:t xml:space="preserve">1  </w:t>
      </w:r>
      <w:r>
        <w:rPr>
          <w:b/>
          <w:sz w:val="21"/>
          <w:szCs w:val="21"/>
        </w:rPr>
        <w:t>110kV线路</w:t>
      </w:r>
      <w:r>
        <w:rPr>
          <w:rFonts w:hint="eastAsia"/>
          <w:b/>
          <w:sz w:val="21"/>
          <w:szCs w:val="21"/>
        </w:rPr>
        <w:t>电磁</w:t>
      </w:r>
      <w:r>
        <w:rPr>
          <w:b/>
          <w:sz w:val="21"/>
          <w:szCs w:val="21"/>
        </w:rPr>
        <w:t>预</w:t>
      </w:r>
      <w:r>
        <w:rPr>
          <w:b/>
          <w:bCs w:val="0"/>
          <w:sz w:val="21"/>
          <w:szCs w:val="21"/>
        </w:rPr>
        <w:t>测参数一览表</w:t>
      </w:r>
    </w:p>
    <w:tbl>
      <w:tblPr>
        <w:tblStyle w:val="1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08"/>
        <w:gridCol w:w="2074"/>
        <w:gridCol w:w="1476"/>
        <w:gridCol w:w="694"/>
        <w:gridCol w:w="1723"/>
        <w:gridCol w:w="17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74" w:type="pct"/>
            <w:tcBorders>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序号</w:t>
            </w:r>
          </w:p>
        </w:tc>
        <w:tc>
          <w:tcPr>
            <w:tcW w:w="2083" w:type="pct"/>
            <w:gridSpan w:val="2"/>
            <w:tcBorders>
              <w:left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参数</w:t>
            </w:r>
          </w:p>
        </w:tc>
        <w:tc>
          <w:tcPr>
            <w:tcW w:w="407" w:type="pct"/>
            <w:tcBorders>
              <w:left w:val="single" w:color="auto" w:sz="4" w:space="0"/>
              <w:bottom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单位</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kern w:val="21"/>
                <w:sz w:val="21"/>
                <w:szCs w:val="21"/>
              </w:rPr>
            </w:pPr>
            <w:r>
              <w:rPr>
                <w:kern w:val="21"/>
                <w:sz w:val="21"/>
                <w:szCs w:val="21"/>
              </w:rPr>
              <w:t>数值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74" w:type="pct"/>
            <w:tcBorders>
              <w:top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1</w:t>
            </w:r>
          </w:p>
        </w:tc>
        <w:tc>
          <w:tcPr>
            <w:tcW w:w="2083"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杆塔塔型</w:t>
            </w:r>
          </w:p>
        </w:tc>
        <w:tc>
          <w:tcPr>
            <w:tcW w:w="407" w:type="pct"/>
            <w:tcBorders>
              <w:top w:val="single" w:color="auto" w:sz="4" w:space="0"/>
              <w:left w:val="single" w:color="auto" w:sz="4" w:space="0"/>
              <w:bottom w:val="single" w:color="auto" w:sz="4" w:space="0"/>
            </w:tcBorders>
            <w:noWrap w:val="0"/>
            <w:vAlign w:val="center"/>
          </w:tcPr>
          <w:p>
            <w:pPr>
              <w:spacing w:line="240" w:lineRule="auto"/>
              <w:jc w:val="center"/>
              <w:rPr>
                <w:sz w:val="21"/>
                <w:szCs w:val="21"/>
              </w:rPr>
            </w:pPr>
            <w:r>
              <w:rPr>
                <w:kern w:val="21"/>
                <w:sz w:val="21"/>
                <w:szCs w:val="21"/>
              </w:rPr>
              <w:t>/</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sz w:val="21"/>
                <w:szCs w:val="21"/>
              </w:rPr>
            </w:pPr>
            <w:r>
              <w:rPr>
                <w:sz w:val="21"/>
                <w:szCs w:val="21"/>
              </w:rPr>
              <w:t>1C3-ZM1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474" w:type="pct"/>
            <w:tcBorders>
              <w:top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2</w:t>
            </w:r>
          </w:p>
        </w:tc>
        <w:tc>
          <w:tcPr>
            <w:tcW w:w="2083"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架设方式</w:t>
            </w:r>
          </w:p>
        </w:tc>
        <w:tc>
          <w:tcPr>
            <w:tcW w:w="407" w:type="pct"/>
            <w:tcBorders>
              <w:top w:val="single" w:color="auto" w:sz="4" w:space="0"/>
              <w:left w:val="single" w:color="auto" w:sz="4" w:space="0"/>
              <w:bottom w:val="single" w:color="auto" w:sz="4" w:space="0"/>
            </w:tcBorders>
            <w:noWrap w:val="0"/>
            <w:vAlign w:val="center"/>
          </w:tcPr>
          <w:p>
            <w:pPr>
              <w:spacing w:line="240" w:lineRule="auto"/>
              <w:jc w:val="center"/>
              <w:rPr>
                <w:sz w:val="21"/>
                <w:szCs w:val="21"/>
              </w:rPr>
            </w:pPr>
            <w:r>
              <w:rPr>
                <w:kern w:val="21"/>
                <w:sz w:val="21"/>
                <w:szCs w:val="21"/>
              </w:rPr>
              <w:t>/</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sz w:val="21"/>
                <w:szCs w:val="21"/>
              </w:rPr>
            </w:pPr>
            <w:r>
              <w:rPr>
                <w:sz w:val="21"/>
                <w:szCs w:val="21"/>
              </w:rPr>
              <w:t>单回架空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2" w:hRule="atLeast"/>
          <w:jc w:val="center"/>
        </w:trPr>
        <w:tc>
          <w:tcPr>
            <w:tcW w:w="474" w:type="pct"/>
            <w:tcBorders>
              <w:top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3</w:t>
            </w:r>
          </w:p>
        </w:tc>
        <w:tc>
          <w:tcPr>
            <w:tcW w:w="2083"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导线排列方式</w:t>
            </w:r>
          </w:p>
        </w:tc>
        <w:tc>
          <w:tcPr>
            <w:tcW w:w="407" w:type="pct"/>
            <w:tcBorders>
              <w:top w:val="single" w:color="auto" w:sz="4" w:space="0"/>
              <w:left w:val="single" w:color="auto" w:sz="4" w:space="0"/>
              <w:bottom w:val="single" w:color="auto" w:sz="4" w:space="0"/>
            </w:tcBorders>
            <w:noWrap w:val="0"/>
            <w:vAlign w:val="center"/>
          </w:tcPr>
          <w:p>
            <w:pPr>
              <w:spacing w:line="240" w:lineRule="auto"/>
              <w:jc w:val="center"/>
              <w:rPr>
                <w:sz w:val="21"/>
                <w:szCs w:val="21"/>
              </w:rPr>
            </w:pPr>
            <w:r>
              <w:rPr>
                <w:kern w:val="21"/>
                <w:sz w:val="21"/>
                <w:szCs w:val="21"/>
              </w:rPr>
              <w:t>/</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sz w:val="21"/>
                <w:szCs w:val="21"/>
              </w:rPr>
            </w:pPr>
            <w:r>
              <w:rPr>
                <w:sz w:val="21"/>
                <w:szCs w:val="21"/>
              </w:rPr>
              <w:t>三角形排列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74" w:type="pct"/>
            <w:tcBorders>
              <w:top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4</w:t>
            </w:r>
          </w:p>
        </w:tc>
        <w:tc>
          <w:tcPr>
            <w:tcW w:w="2083"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导线型号</w:t>
            </w:r>
          </w:p>
        </w:tc>
        <w:tc>
          <w:tcPr>
            <w:tcW w:w="407" w:type="pct"/>
            <w:tcBorders>
              <w:top w:val="single" w:color="auto" w:sz="4" w:space="0"/>
              <w:left w:val="single" w:color="auto" w:sz="4" w:space="0"/>
              <w:bottom w:val="single" w:color="auto" w:sz="4" w:space="0"/>
            </w:tcBorders>
            <w:noWrap w:val="0"/>
            <w:vAlign w:val="center"/>
          </w:tcPr>
          <w:p>
            <w:pPr>
              <w:spacing w:line="240" w:lineRule="auto"/>
              <w:jc w:val="center"/>
              <w:rPr>
                <w:sz w:val="21"/>
                <w:szCs w:val="21"/>
              </w:rPr>
            </w:pPr>
            <w:r>
              <w:rPr>
                <w:kern w:val="21"/>
                <w:sz w:val="21"/>
                <w:szCs w:val="21"/>
              </w:rPr>
              <w:t>/</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sz w:val="21"/>
                <w:szCs w:val="21"/>
              </w:rPr>
            </w:pPr>
            <w:r>
              <w:rPr>
                <w:sz w:val="21"/>
                <w:szCs w:val="21"/>
              </w:rPr>
              <w:t>LGJ-300/40钢芯铝绞线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474" w:type="pct"/>
            <w:tcBorders>
              <w:top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5</w:t>
            </w:r>
          </w:p>
        </w:tc>
        <w:tc>
          <w:tcPr>
            <w:tcW w:w="2083"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分裂数</w:t>
            </w:r>
          </w:p>
        </w:tc>
        <w:tc>
          <w:tcPr>
            <w:tcW w:w="407" w:type="pct"/>
            <w:tcBorders>
              <w:top w:val="single" w:color="auto" w:sz="4" w:space="0"/>
              <w:left w:val="single" w:color="auto" w:sz="4" w:space="0"/>
              <w:bottom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sz w:val="21"/>
                <w:szCs w:val="21"/>
              </w:rPr>
            </w:pPr>
            <w:r>
              <w:rPr>
                <w:sz w:val="21"/>
                <w:szCs w:val="21"/>
              </w:rPr>
              <w:t>双分裂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74" w:type="pct"/>
            <w:tcBorders>
              <w:top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6</w:t>
            </w:r>
          </w:p>
        </w:tc>
        <w:tc>
          <w:tcPr>
            <w:tcW w:w="2083"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分裂间距</w:t>
            </w:r>
          </w:p>
        </w:tc>
        <w:tc>
          <w:tcPr>
            <w:tcW w:w="407" w:type="pct"/>
            <w:tcBorders>
              <w:top w:val="single" w:color="auto" w:sz="4" w:space="0"/>
              <w:left w:val="single" w:color="auto" w:sz="4" w:space="0"/>
              <w:bottom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mm</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sz w:val="21"/>
                <w:szCs w:val="21"/>
              </w:rPr>
            </w:pPr>
            <w:r>
              <w:rPr>
                <w:sz w:val="21"/>
                <w:szCs w:val="21"/>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474" w:type="pct"/>
            <w:tcBorders>
              <w:top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7</w:t>
            </w:r>
          </w:p>
        </w:tc>
        <w:tc>
          <w:tcPr>
            <w:tcW w:w="2083" w:type="pct"/>
            <w:gridSpan w:val="2"/>
            <w:tcBorders>
              <w:top w:val="single" w:color="auto" w:sz="4" w:space="0"/>
              <w:left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导线直径</w:t>
            </w:r>
          </w:p>
        </w:tc>
        <w:tc>
          <w:tcPr>
            <w:tcW w:w="407" w:type="pct"/>
            <w:tcBorders>
              <w:top w:val="single" w:color="auto" w:sz="4" w:space="0"/>
              <w:lef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mm</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sz w:val="21"/>
                <w:szCs w:val="21"/>
              </w:rPr>
            </w:pPr>
            <w:r>
              <w:rPr>
                <w:sz w:val="21"/>
                <w:szCs w:val="21"/>
              </w:rPr>
              <w:t>23.94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4" w:type="pct"/>
            <w:tcBorders>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8</w:t>
            </w:r>
          </w:p>
        </w:tc>
        <w:tc>
          <w:tcPr>
            <w:tcW w:w="2083" w:type="pct"/>
            <w:gridSpan w:val="2"/>
            <w:tcBorders>
              <w:left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计算电压</w:t>
            </w:r>
          </w:p>
        </w:tc>
        <w:tc>
          <w:tcPr>
            <w:tcW w:w="407" w:type="pct"/>
            <w:tcBorders>
              <w:lef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kV</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kern w:val="21"/>
                <w:sz w:val="21"/>
                <w:szCs w:val="21"/>
              </w:rPr>
            </w:pPr>
            <w:r>
              <w:rPr>
                <w:kern w:val="21"/>
                <w:sz w:val="21"/>
                <w:szCs w:val="21"/>
              </w:rPr>
              <w:t>115.5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4" w:type="pct"/>
            <w:tcBorders>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9</w:t>
            </w:r>
          </w:p>
        </w:tc>
        <w:tc>
          <w:tcPr>
            <w:tcW w:w="2083" w:type="pct"/>
            <w:gridSpan w:val="2"/>
            <w:tcBorders>
              <w:left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计算电流</w:t>
            </w:r>
          </w:p>
        </w:tc>
        <w:tc>
          <w:tcPr>
            <w:tcW w:w="407" w:type="pct"/>
            <w:tcBorders>
              <w:lef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A</w:t>
            </w:r>
          </w:p>
        </w:tc>
        <w:tc>
          <w:tcPr>
            <w:tcW w:w="2034" w:type="pct"/>
            <w:gridSpan w:val="2"/>
            <w:tcBorders>
              <w:top w:val="single" w:color="auto" w:sz="4" w:space="0"/>
              <w:bottom w:val="single" w:color="auto" w:sz="4" w:space="0"/>
            </w:tcBorders>
            <w:noWrap w:val="0"/>
            <w:vAlign w:val="center"/>
          </w:tcPr>
          <w:p>
            <w:pPr>
              <w:adjustRightInd w:val="0"/>
              <w:snapToGrid w:val="0"/>
              <w:spacing w:line="240" w:lineRule="auto"/>
              <w:jc w:val="center"/>
              <w:textAlignment w:val="baseline"/>
              <w:rPr>
                <w:kern w:val="21"/>
                <w:sz w:val="21"/>
                <w:szCs w:val="21"/>
              </w:rPr>
            </w:pPr>
            <w:r>
              <w:rPr>
                <w:rFonts w:hint="eastAsia"/>
                <w:kern w:val="21"/>
                <w:sz w:val="21"/>
                <w:szCs w:val="21"/>
              </w:rPr>
              <w:t>1050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4" w:type="pct"/>
            <w:tcBorders>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10</w:t>
            </w:r>
          </w:p>
        </w:tc>
        <w:tc>
          <w:tcPr>
            <w:tcW w:w="2083" w:type="pct"/>
            <w:gridSpan w:val="2"/>
            <w:tcBorders>
              <w:left w:val="single" w:color="auto" w:sz="4" w:space="0"/>
              <w:righ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相序排列方式</w:t>
            </w:r>
          </w:p>
        </w:tc>
        <w:tc>
          <w:tcPr>
            <w:tcW w:w="407" w:type="pct"/>
            <w:tcBorders>
              <w:left w:val="single" w:color="auto" w:sz="4" w:space="0"/>
            </w:tcBorders>
            <w:noWrap w:val="0"/>
            <w:vAlign w:val="center"/>
          </w:tcPr>
          <w:p>
            <w:pPr>
              <w:adjustRightInd w:val="0"/>
              <w:snapToGrid w:val="0"/>
              <w:spacing w:line="240" w:lineRule="auto"/>
              <w:jc w:val="center"/>
              <w:rPr>
                <w:kern w:val="21"/>
                <w:sz w:val="21"/>
                <w:szCs w:val="21"/>
              </w:rPr>
            </w:pPr>
            <w:r>
              <w:rPr>
                <w:kern w:val="21"/>
                <w:sz w:val="21"/>
                <w:szCs w:val="21"/>
              </w:rPr>
              <w:t>/</w:t>
            </w:r>
          </w:p>
        </w:tc>
        <w:tc>
          <w:tcPr>
            <w:tcW w:w="2034" w:type="pct"/>
            <w:gridSpan w:val="2"/>
            <w:tcBorders>
              <w:top w:val="single" w:color="auto" w:sz="4" w:space="0"/>
              <w:right w:val="single" w:color="auto" w:sz="6" w:space="0"/>
            </w:tcBorders>
            <w:noWrap w:val="0"/>
            <w:vAlign w:val="center"/>
          </w:tcPr>
          <w:p>
            <w:pPr>
              <w:adjustRightInd w:val="0"/>
              <w:snapToGrid w:val="0"/>
              <w:spacing w:line="240" w:lineRule="auto"/>
              <w:jc w:val="center"/>
              <w:textAlignment w:val="baseline"/>
              <w:rPr>
                <w:kern w:val="21"/>
                <w:sz w:val="21"/>
                <w:szCs w:val="21"/>
              </w:rPr>
            </w:pPr>
            <w:r>
              <w:rPr>
                <w:kern w:val="21"/>
                <w:sz w:val="21"/>
                <w:szCs w:val="21"/>
              </w:rPr>
              <w:t>见图1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4" w:type="pct"/>
            <w:tcBorders>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11</w:t>
            </w:r>
          </w:p>
        </w:tc>
        <w:tc>
          <w:tcPr>
            <w:tcW w:w="2083" w:type="pct"/>
            <w:gridSpan w:val="2"/>
            <w:tcBorders>
              <w:left w:val="single" w:color="auto" w:sz="4"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导线计算高度</w:t>
            </w:r>
          </w:p>
        </w:tc>
        <w:tc>
          <w:tcPr>
            <w:tcW w:w="407" w:type="pct"/>
            <w:tcBorders>
              <w:left w:val="single" w:color="auto" w:sz="4"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m</w:t>
            </w:r>
          </w:p>
        </w:tc>
        <w:tc>
          <w:tcPr>
            <w:tcW w:w="101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sz w:val="21"/>
                <w:szCs w:val="21"/>
              </w:rPr>
            </w:pPr>
            <w:r>
              <w:rPr>
                <w:sz w:val="21"/>
                <w:szCs w:val="21"/>
              </w:rPr>
              <w:t>非居民区6m</w:t>
            </w:r>
          </w:p>
        </w:tc>
        <w:tc>
          <w:tcPr>
            <w:tcW w:w="102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sz w:val="21"/>
                <w:szCs w:val="21"/>
              </w:rPr>
            </w:pPr>
            <w:r>
              <w:rPr>
                <w:sz w:val="21"/>
                <w:szCs w:val="21"/>
              </w:rPr>
              <w:t>居民区7m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474" w:type="pct"/>
            <w:vMerge w:val="restart"/>
            <w:tcBorders>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12</w:t>
            </w:r>
          </w:p>
        </w:tc>
        <w:tc>
          <w:tcPr>
            <w:tcW w:w="1217" w:type="pct"/>
            <w:vMerge w:val="restart"/>
            <w:tcBorders>
              <w:left w:val="single" w:color="auto" w:sz="4"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线路各相坐标</w:t>
            </w:r>
          </w:p>
        </w:tc>
        <w:tc>
          <w:tcPr>
            <w:tcW w:w="866" w:type="pct"/>
            <w:tcBorders>
              <w:left w:val="single" w:color="auto" w:sz="4" w:space="0"/>
              <w:bottom w:val="single" w:color="auto" w:sz="4"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A(x,y)</w:t>
            </w:r>
          </w:p>
        </w:tc>
        <w:tc>
          <w:tcPr>
            <w:tcW w:w="407" w:type="pct"/>
            <w:tcBorders>
              <w:left w:val="single" w:color="auto" w:sz="4" w:space="0"/>
              <w:bottom w:val="single" w:color="auto" w:sz="4"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m</w:t>
            </w:r>
          </w:p>
        </w:tc>
        <w:tc>
          <w:tcPr>
            <w:tcW w:w="101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sz w:val="21"/>
                <w:szCs w:val="21"/>
              </w:rPr>
            </w:pPr>
            <w:r>
              <w:rPr>
                <w:sz w:val="21"/>
                <w:szCs w:val="21"/>
              </w:rPr>
              <w:t>（-3.</w:t>
            </w:r>
            <w:r>
              <w:rPr>
                <w:rFonts w:hint="eastAsia"/>
                <w:sz w:val="21"/>
                <w:szCs w:val="21"/>
              </w:rPr>
              <w:t>7</w:t>
            </w:r>
            <w:r>
              <w:rPr>
                <w:sz w:val="21"/>
                <w:szCs w:val="21"/>
              </w:rPr>
              <w:t xml:space="preserve"> , 6.0）</w:t>
            </w:r>
          </w:p>
        </w:tc>
        <w:tc>
          <w:tcPr>
            <w:tcW w:w="102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sz w:val="21"/>
                <w:szCs w:val="21"/>
              </w:rPr>
            </w:pPr>
            <w:r>
              <w:rPr>
                <w:sz w:val="21"/>
                <w:szCs w:val="21"/>
              </w:rPr>
              <w:t>（-3.</w:t>
            </w:r>
            <w:r>
              <w:rPr>
                <w:rFonts w:hint="eastAsia"/>
                <w:sz w:val="21"/>
                <w:szCs w:val="21"/>
              </w:rPr>
              <w:t>7</w:t>
            </w:r>
            <w:r>
              <w:rPr>
                <w:sz w:val="21"/>
                <w:szCs w:val="21"/>
              </w:rPr>
              <w:t xml:space="preserve"> , 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474" w:type="pct"/>
            <w:vMerge w:val="continue"/>
            <w:tcBorders>
              <w:right w:val="single" w:color="auto" w:sz="4" w:space="0"/>
            </w:tcBorders>
            <w:shd w:val="clear" w:color="auto" w:fill="auto"/>
            <w:noWrap w:val="0"/>
            <w:vAlign w:val="center"/>
          </w:tcPr>
          <w:p>
            <w:pPr>
              <w:adjustRightInd w:val="0"/>
              <w:snapToGrid w:val="0"/>
              <w:spacing w:line="240" w:lineRule="auto"/>
              <w:jc w:val="center"/>
              <w:rPr>
                <w:kern w:val="21"/>
                <w:sz w:val="21"/>
                <w:szCs w:val="21"/>
              </w:rPr>
            </w:pPr>
          </w:p>
        </w:tc>
        <w:tc>
          <w:tcPr>
            <w:tcW w:w="1217" w:type="pct"/>
            <w:vMerge w:val="continue"/>
            <w:tcBorders>
              <w:left w:val="single" w:color="auto" w:sz="4"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p>
        </w:tc>
        <w:tc>
          <w:tcPr>
            <w:tcW w:w="86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B(x,y)</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m</w:t>
            </w:r>
          </w:p>
        </w:tc>
        <w:tc>
          <w:tcPr>
            <w:tcW w:w="101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sz w:val="21"/>
                <w:szCs w:val="21"/>
              </w:rPr>
            </w:pPr>
            <w:r>
              <w:rPr>
                <w:sz w:val="21"/>
                <w:szCs w:val="21"/>
              </w:rPr>
              <w:t>（0.0 , 10.</w:t>
            </w:r>
            <w:r>
              <w:rPr>
                <w:rFonts w:hint="eastAsia"/>
                <w:sz w:val="21"/>
                <w:szCs w:val="21"/>
              </w:rPr>
              <w:t>4</w:t>
            </w:r>
            <w:r>
              <w:rPr>
                <w:sz w:val="21"/>
                <w:szCs w:val="21"/>
              </w:rPr>
              <w:t>）</w:t>
            </w:r>
          </w:p>
        </w:tc>
        <w:tc>
          <w:tcPr>
            <w:tcW w:w="102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sz w:val="21"/>
                <w:szCs w:val="21"/>
              </w:rPr>
            </w:pPr>
            <w:r>
              <w:rPr>
                <w:sz w:val="21"/>
                <w:szCs w:val="21"/>
              </w:rPr>
              <w:t>（0.0 , 11.</w:t>
            </w:r>
            <w:r>
              <w:rPr>
                <w:rFonts w:hint="eastAsia"/>
                <w:sz w:val="21"/>
                <w:szCs w:val="21"/>
              </w:rPr>
              <w:t>4</w:t>
            </w:r>
            <w:r>
              <w:rPr>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474" w:type="pct"/>
            <w:vMerge w:val="continue"/>
            <w:tcBorders>
              <w:bottom w:val="single" w:color="auto" w:sz="6"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p>
        </w:tc>
        <w:tc>
          <w:tcPr>
            <w:tcW w:w="1217" w:type="pct"/>
            <w:vMerge w:val="continue"/>
            <w:tcBorders>
              <w:left w:val="single" w:color="auto" w:sz="4" w:space="0"/>
              <w:bottom w:val="single" w:color="auto" w:sz="6"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p>
        </w:tc>
        <w:tc>
          <w:tcPr>
            <w:tcW w:w="866" w:type="pct"/>
            <w:tcBorders>
              <w:top w:val="single" w:color="auto" w:sz="4" w:space="0"/>
              <w:left w:val="single" w:color="auto" w:sz="4" w:space="0"/>
              <w:bottom w:val="single" w:color="auto" w:sz="6"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C(x,y)</w:t>
            </w:r>
          </w:p>
        </w:tc>
        <w:tc>
          <w:tcPr>
            <w:tcW w:w="407" w:type="pct"/>
            <w:tcBorders>
              <w:top w:val="single" w:color="auto" w:sz="4" w:space="0"/>
              <w:left w:val="single" w:color="auto" w:sz="4" w:space="0"/>
              <w:bottom w:val="single" w:color="auto" w:sz="6" w:space="0"/>
              <w:right w:val="single" w:color="auto" w:sz="4" w:space="0"/>
            </w:tcBorders>
            <w:shd w:val="clear" w:color="auto" w:fill="auto"/>
            <w:noWrap w:val="0"/>
            <w:vAlign w:val="center"/>
          </w:tcPr>
          <w:p>
            <w:pPr>
              <w:adjustRightInd w:val="0"/>
              <w:snapToGrid w:val="0"/>
              <w:spacing w:line="240" w:lineRule="auto"/>
              <w:jc w:val="center"/>
              <w:rPr>
                <w:kern w:val="21"/>
                <w:sz w:val="21"/>
                <w:szCs w:val="21"/>
              </w:rPr>
            </w:pPr>
            <w:r>
              <w:rPr>
                <w:kern w:val="21"/>
                <w:sz w:val="21"/>
                <w:szCs w:val="21"/>
              </w:rPr>
              <w:t>m</w:t>
            </w:r>
          </w:p>
        </w:tc>
        <w:tc>
          <w:tcPr>
            <w:tcW w:w="101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sz w:val="21"/>
                <w:szCs w:val="21"/>
              </w:rPr>
            </w:pPr>
            <w:r>
              <w:rPr>
                <w:sz w:val="21"/>
                <w:szCs w:val="21"/>
              </w:rPr>
              <w:t>（3.</w:t>
            </w:r>
            <w:r>
              <w:rPr>
                <w:rFonts w:hint="eastAsia"/>
                <w:sz w:val="21"/>
                <w:szCs w:val="21"/>
              </w:rPr>
              <w:t>7</w:t>
            </w:r>
            <w:r>
              <w:rPr>
                <w:sz w:val="21"/>
                <w:szCs w:val="21"/>
              </w:rPr>
              <w:t xml:space="preserve"> , 6.0）</w:t>
            </w:r>
          </w:p>
        </w:tc>
        <w:tc>
          <w:tcPr>
            <w:tcW w:w="102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sz w:val="21"/>
                <w:szCs w:val="21"/>
              </w:rPr>
            </w:pPr>
            <w:r>
              <w:rPr>
                <w:sz w:val="21"/>
                <w:szCs w:val="21"/>
              </w:rPr>
              <w:t>（3.</w:t>
            </w:r>
            <w:r>
              <w:rPr>
                <w:rFonts w:hint="eastAsia"/>
                <w:sz w:val="21"/>
                <w:szCs w:val="21"/>
              </w:rPr>
              <w:t>7</w:t>
            </w:r>
            <w:r>
              <w:rPr>
                <w:sz w:val="21"/>
                <w:szCs w:val="21"/>
              </w:rPr>
              <w:t xml:space="preserve"> , 7.0）</w:t>
            </w:r>
          </w:p>
        </w:tc>
      </w:tr>
    </w:tbl>
    <w:p>
      <w:pPr>
        <w:pStyle w:val="23"/>
        <w:spacing w:line="360" w:lineRule="auto"/>
        <w:ind w:firstLine="0" w:firstLineChars="0"/>
        <w:jc w:val="left"/>
        <w:rPr>
          <w:rFonts w:ascii="Times New Roman" w:eastAsiaTheme="minorEastAsia"/>
          <w:b/>
          <w:bCs/>
          <w:kern w:val="2"/>
          <w:sz w:val="28"/>
          <w:szCs w:val="36"/>
        </w:rPr>
      </w:pPr>
      <w:r>
        <w:rPr>
          <w:rFonts w:hint="eastAsia" w:ascii="Times New Roman" w:eastAsiaTheme="minorEastAsia"/>
          <w:b/>
          <w:bCs/>
          <w:kern w:val="2"/>
          <w:sz w:val="28"/>
          <w:szCs w:val="36"/>
        </w:rPr>
        <w:t>6.3 理论计算结果及分析</w:t>
      </w:r>
    </w:p>
    <w:p>
      <w:pPr>
        <w:pStyle w:val="23"/>
        <w:spacing w:line="360" w:lineRule="auto"/>
        <w:jc w:val="left"/>
        <w:rPr>
          <w:rFonts w:ascii="Times New Roman" w:eastAsiaTheme="minorEastAsia"/>
          <w:kern w:val="2"/>
          <w:sz w:val="24"/>
          <w:szCs w:val="24"/>
        </w:rPr>
      </w:pPr>
      <w:r>
        <w:rPr>
          <w:rFonts w:hint="eastAsia" w:ascii="Times New Roman" w:eastAsiaTheme="minorEastAsia"/>
          <w:b/>
          <w:bCs/>
          <w:kern w:val="2"/>
          <w:sz w:val="28"/>
          <w:szCs w:val="36"/>
        </w:rPr>
        <w:t xml:space="preserve"> </w:t>
      </w:r>
      <w:r>
        <w:rPr>
          <w:rFonts w:hint="eastAsia" w:ascii="Times New Roman" w:eastAsiaTheme="minorEastAsia"/>
          <w:kern w:val="2"/>
          <w:sz w:val="24"/>
          <w:szCs w:val="24"/>
        </w:rPr>
        <w:t>弧垂高度为6m、7m时，</w:t>
      </w:r>
      <w:r>
        <w:rPr>
          <w:rFonts w:hint="eastAsia" w:ascii="Times New Roman" w:eastAsiaTheme="minorEastAsia"/>
          <w:kern w:val="2"/>
          <w:sz w:val="24"/>
          <w:szCs w:val="24"/>
          <w:lang w:eastAsia="zh-CN"/>
        </w:rPr>
        <w:t>1C3-ZM1</w:t>
      </w:r>
      <w:r>
        <w:rPr>
          <w:rFonts w:hint="eastAsia" w:ascii="Times New Roman" w:eastAsiaTheme="minorEastAsia"/>
          <w:kern w:val="2"/>
          <w:sz w:val="24"/>
          <w:szCs w:val="24"/>
        </w:rPr>
        <w:t>型直线塔理论计算结果见表6-</w:t>
      </w:r>
      <w:r>
        <w:rPr>
          <w:rFonts w:hint="eastAsia" w:ascii="Times New Roman" w:eastAsiaTheme="minorEastAsia"/>
          <w:kern w:val="2"/>
          <w:sz w:val="24"/>
          <w:szCs w:val="24"/>
          <w:lang w:val="en-US" w:eastAsia="zh-CN"/>
        </w:rPr>
        <w:t>2</w:t>
      </w:r>
      <w:r>
        <w:rPr>
          <w:rFonts w:hint="eastAsia" w:ascii="Times New Roman" w:eastAsiaTheme="minorEastAsia"/>
          <w:kern w:val="2"/>
          <w:sz w:val="24"/>
          <w:szCs w:val="24"/>
        </w:rPr>
        <w:t>。</w:t>
      </w:r>
    </w:p>
    <w:p>
      <w:pPr>
        <w:pStyle w:val="23"/>
        <w:spacing w:line="360" w:lineRule="auto"/>
        <w:ind w:firstLine="0" w:firstLineChars="0"/>
        <w:jc w:val="center"/>
        <w:rPr>
          <w:rFonts w:ascii="Times New Roman" w:eastAsiaTheme="minorEastAsia"/>
          <w:b/>
          <w:bCs/>
          <w:kern w:val="2"/>
          <w:szCs w:val="21"/>
        </w:rPr>
      </w:pPr>
      <w:r>
        <w:rPr>
          <w:rFonts w:ascii="Times New Roman" w:eastAsiaTheme="minorEastAsia"/>
          <w:b/>
          <w:bCs/>
          <w:kern w:val="2"/>
          <w:szCs w:val="21"/>
        </w:rPr>
        <w:t>表6</w:t>
      </w:r>
      <w:r>
        <w:rPr>
          <w:rFonts w:hint="eastAsia" w:ascii="Times New Roman" w:eastAsiaTheme="minorEastAsia"/>
          <w:b/>
          <w:bCs/>
          <w:kern w:val="2"/>
          <w:szCs w:val="21"/>
        </w:rPr>
        <w:t>-</w:t>
      </w:r>
      <w:r>
        <w:rPr>
          <w:rFonts w:hint="eastAsia" w:ascii="Times New Roman" w:eastAsiaTheme="minorEastAsia"/>
          <w:b/>
          <w:bCs/>
          <w:kern w:val="2"/>
          <w:szCs w:val="21"/>
          <w:lang w:val="en-US" w:eastAsia="zh-CN"/>
        </w:rPr>
        <w:t>2</w:t>
      </w:r>
      <w:r>
        <w:rPr>
          <w:rFonts w:hint="eastAsia" w:ascii="Times New Roman" w:eastAsiaTheme="minorEastAsia"/>
          <w:b/>
          <w:bCs/>
          <w:kern w:val="2"/>
          <w:szCs w:val="21"/>
        </w:rPr>
        <w:t xml:space="preserve">  </w:t>
      </w:r>
      <w:r>
        <w:rPr>
          <w:rFonts w:ascii="Times New Roman" w:eastAsiaTheme="minorEastAsia"/>
          <w:b/>
          <w:bCs/>
          <w:kern w:val="2"/>
          <w:szCs w:val="21"/>
        </w:rPr>
        <w:t>直线塔理论计算结果（弧垂高度为6m、7m时</w:t>
      </w:r>
      <w:r>
        <w:rPr>
          <w:rFonts w:hint="eastAsia" w:ascii="Times New Roman" w:eastAsiaTheme="minorEastAsia"/>
          <w:b/>
          <w:bCs/>
          <w:kern w:val="2"/>
          <w:szCs w:val="21"/>
        </w:rPr>
        <w:t>）</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6"/>
        <w:gridCol w:w="1391"/>
        <w:gridCol w:w="1587"/>
        <w:gridCol w:w="1391"/>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639" w:type="pct"/>
            <w:vMerge w:val="restart"/>
            <w:shd w:val="clear" w:color="auto" w:fill="auto"/>
            <w:noWrap/>
            <w:vAlign w:val="center"/>
          </w:tcPr>
          <w:p>
            <w:pPr>
              <w:widowControl/>
              <w:spacing w:line="240" w:lineRule="auto"/>
              <w:jc w:val="center"/>
              <w:rPr>
                <w:bCs w:val="0"/>
                <w:kern w:val="0"/>
                <w:sz w:val="21"/>
                <w:szCs w:val="21"/>
              </w:rPr>
            </w:pPr>
            <w:r>
              <w:rPr>
                <w:bCs w:val="0"/>
                <w:kern w:val="0"/>
                <w:sz w:val="21"/>
                <w:szCs w:val="21"/>
              </w:rPr>
              <w:t>距</w:t>
            </w:r>
            <w:r>
              <w:rPr>
                <w:rFonts w:hint="eastAsia"/>
                <w:bCs w:val="0"/>
                <w:kern w:val="0"/>
                <w:sz w:val="21"/>
                <w:szCs w:val="21"/>
              </w:rPr>
              <w:t>中相导线投影点水平</w:t>
            </w:r>
            <w:r>
              <w:rPr>
                <w:bCs w:val="0"/>
                <w:kern w:val="0"/>
                <w:sz w:val="21"/>
                <w:szCs w:val="21"/>
              </w:rPr>
              <w:t>距离</w:t>
            </w:r>
          </w:p>
        </w:tc>
        <w:tc>
          <w:tcPr>
            <w:tcW w:w="4360" w:type="pct"/>
            <w:gridSpan w:val="4"/>
            <w:shd w:val="clear" w:color="auto" w:fill="auto"/>
            <w:noWrap/>
            <w:vAlign w:val="center"/>
          </w:tcPr>
          <w:p>
            <w:pPr>
              <w:widowControl/>
              <w:spacing w:line="240" w:lineRule="auto"/>
              <w:jc w:val="center"/>
              <w:rPr>
                <w:bCs w:val="0"/>
                <w:kern w:val="0"/>
                <w:sz w:val="21"/>
                <w:szCs w:val="21"/>
              </w:rPr>
            </w:pPr>
            <w:r>
              <w:rPr>
                <w:sz w:val="21"/>
                <w:szCs w:val="21"/>
              </w:rPr>
              <w:t>1C3-ZM1</w:t>
            </w:r>
            <w:r>
              <w:rPr>
                <w:rFonts w:hint="eastAsia"/>
                <w:sz w:val="21"/>
                <w:szCs w:val="21"/>
              </w:rPr>
              <w:t>型</w:t>
            </w:r>
            <w:r>
              <w:rPr>
                <w:rFonts w:hint="eastAsia"/>
                <w:sz w:val="21"/>
                <w:szCs w:val="21"/>
                <w:lang w:val="en-US" w:eastAsia="zh-CN"/>
              </w:rPr>
              <w:t>单</w:t>
            </w:r>
            <w:r>
              <w:rPr>
                <w:rFonts w:hint="eastAsia"/>
                <w:sz w:val="21"/>
                <w:szCs w:val="21"/>
              </w:rPr>
              <w:t>回输电线路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639" w:type="pct"/>
            <w:vMerge w:val="continue"/>
            <w:shd w:val="clear" w:color="auto" w:fill="auto"/>
            <w:noWrap/>
            <w:vAlign w:val="center"/>
          </w:tcPr>
          <w:p>
            <w:pPr>
              <w:widowControl/>
              <w:spacing w:line="240" w:lineRule="auto"/>
              <w:jc w:val="center"/>
              <w:rPr>
                <w:bCs w:val="0"/>
                <w:kern w:val="0"/>
                <w:sz w:val="21"/>
                <w:szCs w:val="21"/>
              </w:rPr>
            </w:pPr>
          </w:p>
        </w:tc>
        <w:tc>
          <w:tcPr>
            <w:tcW w:w="2180" w:type="pct"/>
            <w:gridSpan w:val="2"/>
            <w:shd w:val="clear" w:color="auto" w:fill="auto"/>
            <w:noWrap/>
            <w:vAlign w:val="center"/>
          </w:tcPr>
          <w:p>
            <w:pPr>
              <w:widowControl/>
              <w:spacing w:line="240" w:lineRule="auto"/>
              <w:jc w:val="center"/>
              <w:rPr>
                <w:bCs w:val="0"/>
                <w:kern w:val="0"/>
                <w:sz w:val="21"/>
                <w:szCs w:val="21"/>
              </w:rPr>
            </w:pPr>
            <w:r>
              <w:rPr>
                <w:bCs w:val="0"/>
                <w:kern w:val="0"/>
                <w:sz w:val="21"/>
                <w:szCs w:val="21"/>
              </w:rPr>
              <w:t>弧垂高度6m</w:t>
            </w:r>
          </w:p>
        </w:tc>
        <w:tc>
          <w:tcPr>
            <w:tcW w:w="2180" w:type="pct"/>
            <w:gridSpan w:val="2"/>
            <w:shd w:val="clear" w:color="auto" w:fill="auto"/>
            <w:noWrap/>
            <w:vAlign w:val="center"/>
          </w:tcPr>
          <w:p>
            <w:pPr>
              <w:widowControl/>
              <w:spacing w:line="240" w:lineRule="auto"/>
              <w:jc w:val="center"/>
              <w:rPr>
                <w:bCs w:val="0"/>
                <w:kern w:val="0"/>
                <w:sz w:val="21"/>
                <w:szCs w:val="21"/>
              </w:rPr>
            </w:pPr>
            <w:r>
              <w:rPr>
                <w:bCs w:val="0"/>
                <w:kern w:val="0"/>
                <w:sz w:val="21"/>
                <w:szCs w:val="21"/>
              </w:rPr>
              <w:t>弧垂高度7m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639" w:type="pct"/>
            <w:vMerge w:val="continue"/>
            <w:shd w:val="clear" w:color="auto" w:fill="auto"/>
            <w:noWrap w:val="0"/>
            <w:vAlign w:val="center"/>
          </w:tcPr>
          <w:p>
            <w:pPr>
              <w:widowControl/>
              <w:spacing w:line="240" w:lineRule="auto"/>
              <w:rPr>
                <w:bCs w:val="0"/>
                <w:kern w:val="0"/>
                <w:sz w:val="21"/>
                <w:szCs w:val="21"/>
              </w:rPr>
            </w:pPr>
          </w:p>
        </w:tc>
        <w:tc>
          <w:tcPr>
            <w:tcW w:w="1090" w:type="pct"/>
            <w:shd w:val="clear" w:color="auto" w:fill="auto"/>
            <w:noWrap/>
            <w:vAlign w:val="center"/>
          </w:tcPr>
          <w:p>
            <w:pPr>
              <w:widowControl/>
              <w:spacing w:line="240" w:lineRule="auto"/>
              <w:jc w:val="center"/>
              <w:rPr>
                <w:bCs w:val="0"/>
                <w:kern w:val="0"/>
                <w:sz w:val="21"/>
                <w:szCs w:val="21"/>
              </w:rPr>
            </w:pPr>
            <w:r>
              <w:rPr>
                <w:bCs w:val="0"/>
                <w:kern w:val="0"/>
                <w:sz w:val="21"/>
                <w:szCs w:val="21"/>
              </w:rPr>
              <w:t>工频电场强度</w:t>
            </w:r>
          </w:p>
        </w:tc>
        <w:tc>
          <w:tcPr>
            <w:tcW w:w="1090" w:type="pct"/>
            <w:shd w:val="clear" w:color="auto" w:fill="auto"/>
            <w:noWrap/>
            <w:vAlign w:val="center"/>
          </w:tcPr>
          <w:p>
            <w:pPr>
              <w:widowControl/>
              <w:spacing w:line="240" w:lineRule="auto"/>
              <w:jc w:val="center"/>
              <w:rPr>
                <w:bCs w:val="0"/>
                <w:kern w:val="0"/>
                <w:sz w:val="21"/>
                <w:szCs w:val="21"/>
              </w:rPr>
            </w:pPr>
            <w:r>
              <w:rPr>
                <w:bCs w:val="0"/>
                <w:kern w:val="0"/>
                <w:sz w:val="21"/>
                <w:szCs w:val="21"/>
              </w:rPr>
              <w:t>工频磁感应强度</w:t>
            </w:r>
          </w:p>
        </w:tc>
        <w:tc>
          <w:tcPr>
            <w:tcW w:w="1090" w:type="pct"/>
            <w:shd w:val="clear" w:color="auto" w:fill="auto"/>
            <w:noWrap/>
            <w:vAlign w:val="center"/>
          </w:tcPr>
          <w:p>
            <w:pPr>
              <w:widowControl/>
              <w:spacing w:line="240" w:lineRule="auto"/>
              <w:jc w:val="center"/>
              <w:rPr>
                <w:bCs w:val="0"/>
                <w:kern w:val="0"/>
                <w:sz w:val="21"/>
                <w:szCs w:val="21"/>
              </w:rPr>
            </w:pPr>
            <w:r>
              <w:rPr>
                <w:bCs w:val="0"/>
                <w:kern w:val="0"/>
                <w:sz w:val="21"/>
                <w:szCs w:val="21"/>
              </w:rPr>
              <w:t>工频电场强度</w:t>
            </w:r>
          </w:p>
        </w:tc>
        <w:tc>
          <w:tcPr>
            <w:tcW w:w="1090" w:type="pct"/>
            <w:shd w:val="clear" w:color="auto" w:fill="auto"/>
            <w:noWrap/>
            <w:vAlign w:val="center"/>
          </w:tcPr>
          <w:p>
            <w:pPr>
              <w:widowControl/>
              <w:spacing w:line="240" w:lineRule="auto"/>
              <w:jc w:val="center"/>
              <w:rPr>
                <w:bCs w:val="0"/>
                <w:kern w:val="0"/>
                <w:sz w:val="21"/>
                <w:szCs w:val="21"/>
              </w:rPr>
            </w:pPr>
            <w:r>
              <w:rPr>
                <w:bCs w:val="0"/>
                <w:kern w:val="0"/>
                <w:sz w:val="21"/>
                <w:szCs w:val="21"/>
              </w:rPr>
              <w:t>工频磁感应强度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639" w:type="pct"/>
            <w:shd w:val="clear" w:color="auto" w:fill="auto"/>
            <w:noWrap w:val="0"/>
            <w:vAlign w:val="center"/>
          </w:tcPr>
          <w:p>
            <w:pPr>
              <w:widowControl/>
              <w:spacing w:line="240" w:lineRule="auto"/>
              <w:jc w:val="center"/>
              <w:rPr>
                <w:bCs w:val="0"/>
                <w:kern w:val="0"/>
                <w:sz w:val="21"/>
                <w:szCs w:val="21"/>
              </w:rPr>
            </w:pPr>
            <w:r>
              <w:rPr>
                <w:bCs w:val="0"/>
                <w:kern w:val="0"/>
                <w:sz w:val="21"/>
                <w:szCs w:val="21"/>
              </w:rPr>
              <w:t>m</w:t>
            </w:r>
          </w:p>
        </w:tc>
        <w:tc>
          <w:tcPr>
            <w:tcW w:w="1090" w:type="pct"/>
            <w:shd w:val="clear" w:color="auto" w:fill="auto"/>
            <w:noWrap/>
            <w:vAlign w:val="center"/>
          </w:tcPr>
          <w:p>
            <w:pPr>
              <w:widowControl/>
              <w:spacing w:line="240" w:lineRule="auto"/>
              <w:jc w:val="center"/>
              <w:rPr>
                <w:bCs w:val="0"/>
                <w:kern w:val="0"/>
                <w:sz w:val="21"/>
                <w:szCs w:val="21"/>
              </w:rPr>
            </w:pPr>
            <w:r>
              <w:rPr>
                <w:bCs w:val="0"/>
                <w:kern w:val="0"/>
                <w:sz w:val="21"/>
                <w:szCs w:val="21"/>
              </w:rPr>
              <w:t>V/m</w:t>
            </w:r>
          </w:p>
        </w:tc>
        <w:tc>
          <w:tcPr>
            <w:tcW w:w="1090" w:type="pct"/>
            <w:shd w:val="clear" w:color="auto" w:fill="auto"/>
            <w:noWrap/>
            <w:vAlign w:val="center"/>
          </w:tcPr>
          <w:p>
            <w:pPr>
              <w:widowControl/>
              <w:spacing w:line="240" w:lineRule="auto"/>
              <w:jc w:val="center"/>
              <w:rPr>
                <w:bCs w:val="0"/>
                <w:kern w:val="0"/>
                <w:sz w:val="21"/>
                <w:szCs w:val="21"/>
              </w:rPr>
            </w:pPr>
            <w:r>
              <w:rPr>
                <w:bCs w:val="0"/>
                <w:kern w:val="0"/>
                <w:sz w:val="21"/>
                <w:szCs w:val="21"/>
              </w:rPr>
              <w:t>μT</w:t>
            </w:r>
          </w:p>
        </w:tc>
        <w:tc>
          <w:tcPr>
            <w:tcW w:w="1090" w:type="pct"/>
            <w:shd w:val="clear" w:color="auto" w:fill="auto"/>
            <w:noWrap/>
            <w:vAlign w:val="center"/>
          </w:tcPr>
          <w:p>
            <w:pPr>
              <w:widowControl/>
              <w:spacing w:line="240" w:lineRule="auto"/>
              <w:jc w:val="center"/>
              <w:rPr>
                <w:bCs w:val="0"/>
                <w:kern w:val="0"/>
                <w:sz w:val="21"/>
                <w:szCs w:val="21"/>
              </w:rPr>
            </w:pPr>
            <w:r>
              <w:rPr>
                <w:bCs w:val="0"/>
                <w:kern w:val="0"/>
                <w:sz w:val="21"/>
                <w:szCs w:val="21"/>
              </w:rPr>
              <w:t>V/m</w:t>
            </w:r>
          </w:p>
        </w:tc>
        <w:tc>
          <w:tcPr>
            <w:tcW w:w="1090" w:type="pct"/>
            <w:shd w:val="clear" w:color="auto" w:fill="auto"/>
            <w:noWrap/>
            <w:vAlign w:val="center"/>
          </w:tcPr>
          <w:p>
            <w:pPr>
              <w:widowControl/>
              <w:spacing w:line="240" w:lineRule="auto"/>
              <w:jc w:val="center"/>
              <w:rPr>
                <w:bCs w:val="0"/>
                <w:kern w:val="0"/>
                <w:sz w:val="21"/>
                <w:szCs w:val="21"/>
              </w:rPr>
            </w:pPr>
            <w:r>
              <w:rPr>
                <w:bCs w:val="0"/>
                <w:kern w:val="0"/>
                <w:sz w:val="21"/>
                <w:szCs w:val="21"/>
              </w:rPr>
              <w:t>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-50</w:t>
            </w:r>
          </w:p>
        </w:tc>
        <w:tc>
          <w:tcPr>
            <w:tcW w:w="1090" w:type="pct"/>
            <w:shd w:val="clear" w:color="auto" w:fill="auto"/>
            <w:noWrap/>
            <w:vAlign w:val="center"/>
          </w:tcPr>
          <w:p>
            <w:pPr>
              <w:jc w:val="center"/>
              <w:rPr>
                <w:sz w:val="21"/>
                <w:szCs w:val="21"/>
              </w:rPr>
            </w:pPr>
            <w:r>
              <w:rPr>
                <w:sz w:val="21"/>
                <w:szCs w:val="21"/>
              </w:rPr>
              <w:t xml:space="preserve">41.020 </w:t>
            </w:r>
          </w:p>
        </w:tc>
        <w:tc>
          <w:tcPr>
            <w:tcW w:w="1090" w:type="pct"/>
            <w:shd w:val="clear" w:color="auto" w:fill="auto"/>
            <w:noWrap/>
            <w:vAlign w:val="center"/>
          </w:tcPr>
          <w:p>
            <w:pPr>
              <w:jc w:val="center"/>
              <w:rPr>
                <w:sz w:val="21"/>
                <w:szCs w:val="21"/>
              </w:rPr>
            </w:pPr>
            <w:r>
              <w:rPr>
                <w:sz w:val="21"/>
                <w:szCs w:val="21"/>
              </w:rPr>
              <w:t xml:space="preserve">0.648 </w:t>
            </w:r>
          </w:p>
        </w:tc>
        <w:tc>
          <w:tcPr>
            <w:tcW w:w="1090" w:type="pct"/>
            <w:shd w:val="clear" w:color="auto" w:fill="auto"/>
            <w:noWrap/>
            <w:vAlign w:val="center"/>
          </w:tcPr>
          <w:p>
            <w:pPr>
              <w:jc w:val="center"/>
              <w:rPr>
                <w:sz w:val="21"/>
                <w:szCs w:val="21"/>
              </w:rPr>
            </w:pPr>
            <w:r>
              <w:rPr>
                <w:sz w:val="21"/>
                <w:szCs w:val="21"/>
              </w:rPr>
              <w:t xml:space="preserve">41.106 </w:t>
            </w:r>
          </w:p>
        </w:tc>
        <w:tc>
          <w:tcPr>
            <w:tcW w:w="1090" w:type="pct"/>
            <w:shd w:val="clear" w:color="auto" w:fill="auto"/>
            <w:noWrap/>
            <w:vAlign w:val="center"/>
          </w:tcPr>
          <w:p>
            <w:pPr>
              <w:jc w:val="center"/>
              <w:rPr>
                <w:sz w:val="21"/>
                <w:szCs w:val="21"/>
              </w:rPr>
            </w:pPr>
            <w:r>
              <w:rPr>
                <w:sz w:val="21"/>
                <w:szCs w:val="21"/>
              </w:rPr>
              <w:t xml:space="preserve">0.645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-49</w:t>
            </w:r>
          </w:p>
        </w:tc>
        <w:tc>
          <w:tcPr>
            <w:tcW w:w="1090" w:type="pct"/>
            <w:shd w:val="clear" w:color="auto" w:fill="auto"/>
            <w:noWrap/>
            <w:vAlign w:val="center"/>
          </w:tcPr>
          <w:p>
            <w:pPr>
              <w:jc w:val="center"/>
              <w:rPr>
                <w:sz w:val="21"/>
                <w:szCs w:val="21"/>
              </w:rPr>
            </w:pPr>
            <w:r>
              <w:rPr>
                <w:sz w:val="21"/>
                <w:szCs w:val="21"/>
              </w:rPr>
              <w:t xml:space="preserve">42.678 </w:t>
            </w:r>
          </w:p>
        </w:tc>
        <w:tc>
          <w:tcPr>
            <w:tcW w:w="1090" w:type="pct"/>
            <w:shd w:val="clear" w:color="auto" w:fill="auto"/>
            <w:noWrap/>
            <w:vAlign w:val="center"/>
          </w:tcPr>
          <w:p>
            <w:pPr>
              <w:jc w:val="center"/>
              <w:rPr>
                <w:sz w:val="21"/>
                <w:szCs w:val="21"/>
              </w:rPr>
            </w:pPr>
            <w:r>
              <w:rPr>
                <w:sz w:val="21"/>
                <w:szCs w:val="21"/>
              </w:rPr>
              <w:t xml:space="preserve">0.675 </w:t>
            </w:r>
          </w:p>
        </w:tc>
        <w:tc>
          <w:tcPr>
            <w:tcW w:w="1090" w:type="pct"/>
            <w:shd w:val="clear" w:color="auto" w:fill="auto"/>
            <w:noWrap/>
            <w:vAlign w:val="center"/>
          </w:tcPr>
          <w:p>
            <w:pPr>
              <w:jc w:val="center"/>
              <w:rPr>
                <w:sz w:val="21"/>
                <w:szCs w:val="21"/>
              </w:rPr>
            </w:pPr>
            <w:r>
              <w:rPr>
                <w:sz w:val="21"/>
                <w:szCs w:val="21"/>
              </w:rPr>
              <w:t xml:space="preserve">42.783 </w:t>
            </w:r>
          </w:p>
        </w:tc>
        <w:tc>
          <w:tcPr>
            <w:tcW w:w="1090" w:type="pct"/>
            <w:shd w:val="clear" w:color="auto" w:fill="auto"/>
            <w:noWrap/>
            <w:vAlign w:val="center"/>
          </w:tcPr>
          <w:p>
            <w:pPr>
              <w:jc w:val="center"/>
              <w:rPr>
                <w:sz w:val="21"/>
                <w:szCs w:val="21"/>
              </w:rPr>
            </w:pPr>
            <w:r>
              <w:rPr>
                <w:sz w:val="21"/>
                <w:szCs w:val="21"/>
              </w:rPr>
              <w:t xml:space="preserve">0.671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-48</w:t>
            </w:r>
          </w:p>
        </w:tc>
        <w:tc>
          <w:tcPr>
            <w:tcW w:w="1090" w:type="pct"/>
            <w:shd w:val="clear" w:color="auto" w:fill="auto"/>
            <w:noWrap/>
            <w:vAlign w:val="center"/>
          </w:tcPr>
          <w:p>
            <w:pPr>
              <w:jc w:val="center"/>
              <w:rPr>
                <w:sz w:val="21"/>
                <w:szCs w:val="21"/>
              </w:rPr>
            </w:pPr>
            <w:r>
              <w:rPr>
                <w:sz w:val="21"/>
                <w:szCs w:val="21"/>
              </w:rPr>
              <w:t xml:space="preserve">44.439 </w:t>
            </w:r>
          </w:p>
        </w:tc>
        <w:tc>
          <w:tcPr>
            <w:tcW w:w="1090" w:type="pct"/>
            <w:shd w:val="clear" w:color="auto" w:fill="auto"/>
            <w:noWrap/>
            <w:vAlign w:val="center"/>
          </w:tcPr>
          <w:p>
            <w:pPr>
              <w:jc w:val="center"/>
              <w:rPr>
                <w:sz w:val="21"/>
                <w:szCs w:val="21"/>
              </w:rPr>
            </w:pPr>
            <w:r>
              <w:rPr>
                <w:sz w:val="21"/>
                <w:szCs w:val="21"/>
              </w:rPr>
              <w:t xml:space="preserve">0.703 </w:t>
            </w:r>
          </w:p>
        </w:tc>
        <w:tc>
          <w:tcPr>
            <w:tcW w:w="1090" w:type="pct"/>
            <w:shd w:val="clear" w:color="auto" w:fill="auto"/>
            <w:noWrap/>
            <w:vAlign w:val="center"/>
          </w:tcPr>
          <w:p>
            <w:pPr>
              <w:jc w:val="center"/>
              <w:rPr>
                <w:sz w:val="21"/>
                <w:szCs w:val="21"/>
              </w:rPr>
            </w:pPr>
            <w:r>
              <w:rPr>
                <w:sz w:val="21"/>
                <w:szCs w:val="21"/>
              </w:rPr>
              <w:t xml:space="preserve">44.566 </w:t>
            </w:r>
          </w:p>
        </w:tc>
        <w:tc>
          <w:tcPr>
            <w:tcW w:w="1090" w:type="pct"/>
            <w:shd w:val="clear" w:color="auto" w:fill="auto"/>
            <w:noWrap/>
            <w:vAlign w:val="center"/>
          </w:tcPr>
          <w:p>
            <w:pPr>
              <w:jc w:val="center"/>
              <w:rPr>
                <w:sz w:val="21"/>
                <w:szCs w:val="21"/>
              </w:rPr>
            </w:pPr>
            <w:r>
              <w:rPr>
                <w:sz w:val="21"/>
                <w:szCs w:val="21"/>
              </w:rPr>
              <w:t xml:space="preserve">0.699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-47</w:t>
            </w:r>
          </w:p>
        </w:tc>
        <w:tc>
          <w:tcPr>
            <w:tcW w:w="1090" w:type="pct"/>
            <w:shd w:val="clear" w:color="auto" w:fill="auto"/>
            <w:noWrap/>
            <w:vAlign w:val="center"/>
          </w:tcPr>
          <w:p>
            <w:pPr>
              <w:jc w:val="center"/>
              <w:rPr>
                <w:sz w:val="21"/>
                <w:szCs w:val="21"/>
              </w:rPr>
            </w:pPr>
            <w:r>
              <w:rPr>
                <w:sz w:val="21"/>
                <w:szCs w:val="21"/>
              </w:rPr>
              <w:t xml:space="preserve">46.312 </w:t>
            </w:r>
          </w:p>
        </w:tc>
        <w:tc>
          <w:tcPr>
            <w:tcW w:w="1090" w:type="pct"/>
            <w:shd w:val="clear" w:color="auto" w:fill="auto"/>
            <w:noWrap/>
            <w:vAlign w:val="center"/>
          </w:tcPr>
          <w:p>
            <w:pPr>
              <w:jc w:val="center"/>
              <w:rPr>
                <w:sz w:val="21"/>
                <w:szCs w:val="21"/>
              </w:rPr>
            </w:pPr>
            <w:r>
              <w:rPr>
                <w:sz w:val="21"/>
                <w:szCs w:val="21"/>
              </w:rPr>
              <w:t xml:space="preserve">0.733 </w:t>
            </w:r>
          </w:p>
        </w:tc>
        <w:tc>
          <w:tcPr>
            <w:tcW w:w="1090" w:type="pct"/>
            <w:shd w:val="clear" w:color="auto" w:fill="auto"/>
            <w:noWrap/>
            <w:vAlign w:val="center"/>
          </w:tcPr>
          <w:p>
            <w:pPr>
              <w:jc w:val="center"/>
              <w:rPr>
                <w:sz w:val="21"/>
                <w:szCs w:val="21"/>
              </w:rPr>
            </w:pPr>
            <w:r>
              <w:rPr>
                <w:sz w:val="21"/>
                <w:szCs w:val="21"/>
              </w:rPr>
              <w:t xml:space="preserve">46.465 </w:t>
            </w:r>
          </w:p>
        </w:tc>
        <w:tc>
          <w:tcPr>
            <w:tcW w:w="1090" w:type="pct"/>
            <w:shd w:val="clear" w:color="auto" w:fill="auto"/>
            <w:noWrap/>
            <w:vAlign w:val="center"/>
          </w:tcPr>
          <w:p>
            <w:pPr>
              <w:jc w:val="center"/>
              <w:rPr>
                <w:sz w:val="21"/>
                <w:szCs w:val="21"/>
              </w:rPr>
            </w:pPr>
            <w:r>
              <w:rPr>
                <w:sz w:val="21"/>
                <w:szCs w:val="21"/>
              </w:rPr>
              <w:t xml:space="preserve">0.729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-46</w:t>
            </w:r>
          </w:p>
        </w:tc>
        <w:tc>
          <w:tcPr>
            <w:tcW w:w="1090" w:type="pct"/>
            <w:shd w:val="clear" w:color="auto" w:fill="auto"/>
            <w:noWrap/>
            <w:vAlign w:val="center"/>
          </w:tcPr>
          <w:p>
            <w:pPr>
              <w:jc w:val="center"/>
              <w:rPr>
                <w:sz w:val="21"/>
                <w:szCs w:val="21"/>
              </w:rPr>
            </w:pPr>
            <w:r>
              <w:rPr>
                <w:sz w:val="21"/>
                <w:szCs w:val="21"/>
              </w:rPr>
              <w:t xml:space="preserve">48.308 </w:t>
            </w:r>
          </w:p>
        </w:tc>
        <w:tc>
          <w:tcPr>
            <w:tcW w:w="1090" w:type="pct"/>
            <w:shd w:val="clear" w:color="auto" w:fill="auto"/>
            <w:noWrap/>
            <w:vAlign w:val="center"/>
          </w:tcPr>
          <w:p>
            <w:pPr>
              <w:jc w:val="center"/>
              <w:rPr>
                <w:sz w:val="21"/>
                <w:szCs w:val="21"/>
              </w:rPr>
            </w:pPr>
            <w:r>
              <w:rPr>
                <w:sz w:val="21"/>
                <w:szCs w:val="21"/>
              </w:rPr>
              <w:t xml:space="preserve">0.765 </w:t>
            </w:r>
          </w:p>
        </w:tc>
        <w:tc>
          <w:tcPr>
            <w:tcW w:w="1090" w:type="pct"/>
            <w:shd w:val="clear" w:color="auto" w:fill="auto"/>
            <w:noWrap/>
            <w:vAlign w:val="center"/>
          </w:tcPr>
          <w:p>
            <w:pPr>
              <w:jc w:val="center"/>
              <w:rPr>
                <w:sz w:val="21"/>
                <w:szCs w:val="21"/>
              </w:rPr>
            </w:pPr>
            <w:r>
              <w:rPr>
                <w:sz w:val="21"/>
                <w:szCs w:val="21"/>
              </w:rPr>
              <w:t xml:space="preserve">48.491 </w:t>
            </w:r>
          </w:p>
        </w:tc>
        <w:tc>
          <w:tcPr>
            <w:tcW w:w="1090" w:type="pct"/>
            <w:shd w:val="clear" w:color="auto" w:fill="auto"/>
            <w:noWrap/>
            <w:vAlign w:val="center"/>
          </w:tcPr>
          <w:p>
            <w:pPr>
              <w:jc w:val="center"/>
              <w:rPr>
                <w:sz w:val="21"/>
                <w:szCs w:val="21"/>
              </w:rPr>
            </w:pPr>
            <w:r>
              <w:rPr>
                <w:sz w:val="21"/>
                <w:szCs w:val="21"/>
              </w:rPr>
              <w:t xml:space="preserve">0.760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-45</w:t>
            </w:r>
          </w:p>
        </w:tc>
        <w:tc>
          <w:tcPr>
            <w:tcW w:w="1090" w:type="pct"/>
            <w:shd w:val="clear" w:color="auto" w:fill="auto"/>
            <w:noWrap/>
            <w:vAlign w:val="center"/>
          </w:tcPr>
          <w:p>
            <w:pPr>
              <w:jc w:val="center"/>
              <w:rPr>
                <w:sz w:val="21"/>
                <w:szCs w:val="21"/>
              </w:rPr>
            </w:pPr>
            <w:r>
              <w:rPr>
                <w:sz w:val="21"/>
                <w:szCs w:val="21"/>
              </w:rPr>
              <w:t xml:space="preserve">50.437 </w:t>
            </w:r>
          </w:p>
        </w:tc>
        <w:tc>
          <w:tcPr>
            <w:tcW w:w="1090" w:type="pct"/>
            <w:shd w:val="clear" w:color="auto" w:fill="auto"/>
            <w:noWrap/>
            <w:vAlign w:val="center"/>
          </w:tcPr>
          <w:p>
            <w:pPr>
              <w:jc w:val="center"/>
              <w:rPr>
                <w:sz w:val="21"/>
                <w:szCs w:val="21"/>
              </w:rPr>
            </w:pPr>
            <w:r>
              <w:rPr>
                <w:sz w:val="21"/>
                <w:szCs w:val="21"/>
              </w:rPr>
              <w:t xml:space="preserve">0.799 </w:t>
            </w:r>
          </w:p>
        </w:tc>
        <w:tc>
          <w:tcPr>
            <w:tcW w:w="1090" w:type="pct"/>
            <w:shd w:val="clear" w:color="auto" w:fill="auto"/>
            <w:noWrap/>
            <w:vAlign w:val="center"/>
          </w:tcPr>
          <w:p>
            <w:pPr>
              <w:jc w:val="center"/>
              <w:rPr>
                <w:sz w:val="21"/>
                <w:szCs w:val="21"/>
              </w:rPr>
            </w:pPr>
            <w:r>
              <w:rPr>
                <w:sz w:val="21"/>
                <w:szCs w:val="21"/>
              </w:rPr>
              <w:t xml:space="preserve">50.654 </w:t>
            </w:r>
          </w:p>
        </w:tc>
        <w:tc>
          <w:tcPr>
            <w:tcW w:w="1090" w:type="pct"/>
            <w:shd w:val="clear" w:color="auto" w:fill="auto"/>
            <w:noWrap/>
            <w:vAlign w:val="center"/>
          </w:tcPr>
          <w:p>
            <w:pPr>
              <w:jc w:val="center"/>
              <w:rPr>
                <w:sz w:val="21"/>
                <w:szCs w:val="21"/>
              </w:rPr>
            </w:pPr>
            <w:r>
              <w:rPr>
                <w:sz w:val="21"/>
                <w:szCs w:val="21"/>
              </w:rPr>
              <w:t xml:space="preserve">0.794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-44</w:t>
            </w:r>
          </w:p>
        </w:tc>
        <w:tc>
          <w:tcPr>
            <w:tcW w:w="1090" w:type="pct"/>
            <w:shd w:val="clear" w:color="auto" w:fill="auto"/>
            <w:noWrap/>
            <w:vAlign w:val="center"/>
          </w:tcPr>
          <w:p>
            <w:pPr>
              <w:jc w:val="center"/>
              <w:rPr>
                <w:sz w:val="21"/>
                <w:szCs w:val="21"/>
              </w:rPr>
            </w:pPr>
            <w:r>
              <w:rPr>
                <w:sz w:val="21"/>
                <w:szCs w:val="21"/>
              </w:rPr>
              <w:t xml:space="preserve">52.711 </w:t>
            </w:r>
          </w:p>
        </w:tc>
        <w:tc>
          <w:tcPr>
            <w:tcW w:w="1090" w:type="pct"/>
            <w:shd w:val="clear" w:color="auto" w:fill="auto"/>
            <w:noWrap/>
            <w:vAlign w:val="center"/>
          </w:tcPr>
          <w:p>
            <w:pPr>
              <w:jc w:val="center"/>
              <w:rPr>
                <w:sz w:val="21"/>
                <w:szCs w:val="21"/>
              </w:rPr>
            </w:pPr>
            <w:r>
              <w:rPr>
                <w:sz w:val="21"/>
                <w:szCs w:val="21"/>
              </w:rPr>
              <w:t xml:space="preserve">0.835 </w:t>
            </w:r>
          </w:p>
        </w:tc>
        <w:tc>
          <w:tcPr>
            <w:tcW w:w="1090" w:type="pct"/>
            <w:shd w:val="clear" w:color="auto" w:fill="auto"/>
            <w:noWrap/>
            <w:vAlign w:val="center"/>
          </w:tcPr>
          <w:p>
            <w:pPr>
              <w:jc w:val="center"/>
              <w:rPr>
                <w:sz w:val="21"/>
                <w:szCs w:val="21"/>
              </w:rPr>
            </w:pPr>
            <w:r>
              <w:rPr>
                <w:sz w:val="21"/>
                <w:szCs w:val="21"/>
              </w:rPr>
              <w:t xml:space="preserve">52.968 </w:t>
            </w:r>
          </w:p>
        </w:tc>
        <w:tc>
          <w:tcPr>
            <w:tcW w:w="1090" w:type="pct"/>
            <w:shd w:val="clear" w:color="auto" w:fill="auto"/>
            <w:noWrap/>
            <w:vAlign w:val="center"/>
          </w:tcPr>
          <w:p>
            <w:pPr>
              <w:jc w:val="center"/>
              <w:rPr>
                <w:sz w:val="21"/>
                <w:szCs w:val="21"/>
              </w:rPr>
            </w:pPr>
            <w:r>
              <w:rPr>
                <w:sz w:val="21"/>
                <w:szCs w:val="21"/>
              </w:rPr>
              <w:t xml:space="preserve">0.830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-43</w:t>
            </w:r>
          </w:p>
        </w:tc>
        <w:tc>
          <w:tcPr>
            <w:tcW w:w="1090" w:type="pct"/>
            <w:shd w:val="clear" w:color="auto" w:fill="auto"/>
            <w:noWrap/>
            <w:vAlign w:val="center"/>
          </w:tcPr>
          <w:p>
            <w:pPr>
              <w:jc w:val="center"/>
              <w:rPr>
                <w:sz w:val="21"/>
                <w:szCs w:val="21"/>
              </w:rPr>
            </w:pPr>
            <w:r>
              <w:rPr>
                <w:sz w:val="21"/>
                <w:szCs w:val="21"/>
              </w:rPr>
              <w:t xml:space="preserve">55.146 </w:t>
            </w:r>
          </w:p>
        </w:tc>
        <w:tc>
          <w:tcPr>
            <w:tcW w:w="1090" w:type="pct"/>
            <w:shd w:val="clear" w:color="auto" w:fill="auto"/>
            <w:noWrap/>
            <w:vAlign w:val="center"/>
          </w:tcPr>
          <w:p>
            <w:pPr>
              <w:jc w:val="center"/>
              <w:rPr>
                <w:sz w:val="21"/>
                <w:szCs w:val="21"/>
              </w:rPr>
            </w:pPr>
            <w:r>
              <w:rPr>
                <w:sz w:val="21"/>
                <w:szCs w:val="21"/>
              </w:rPr>
              <w:t xml:space="preserve">0.874 </w:t>
            </w:r>
          </w:p>
        </w:tc>
        <w:tc>
          <w:tcPr>
            <w:tcW w:w="1090" w:type="pct"/>
            <w:shd w:val="clear" w:color="auto" w:fill="auto"/>
            <w:noWrap/>
            <w:vAlign w:val="center"/>
          </w:tcPr>
          <w:p>
            <w:pPr>
              <w:jc w:val="center"/>
              <w:rPr>
                <w:sz w:val="21"/>
                <w:szCs w:val="21"/>
              </w:rPr>
            </w:pPr>
            <w:r>
              <w:rPr>
                <w:sz w:val="21"/>
                <w:szCs w:val="21"/>
              </w:rPr>
              <w:t xml:space="preserve">55.448 </w:t>
            </w:r>
          </w:p>
        </w:tc>
        <w:tc>
          <w:tcPr>
            <w:tcW w:w="1090" w:type="pct"/>
            <w:shd w:val="clear" w:color="auto" w:fill="auto"/>
            <w:noWrap/>
            <w:vAlign w:val="center"/>
          </w:tcPr>
          <w:p>
            <w:pPr>
              <w:jc w:val="center"/>
              <w:rPr>
                <w:sz w:val="21"/>
                <w:szCs w:val="21"/>
              </w:rPr>
            </w:pPr>
            <w:r>
              <w:rPr>
                <w:sz w:val="21"/>
                <w:szCs w:val="21"/>
              </w:rPr>
              <w:t xml:space="preserve">0.868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-42</w:t>
            </w:r>
          </w:p>
        </w:tc>
        <w:tc>
          <w:tcPr>
            <w:tcW w:w="1090" w:type="pct"/>
            <w:shd w:val="clear" w:color="auto" w:fill="auto"/>
            <w:noWrap/>
            <w:vAlign w:val="center"/>
          </w:tcPr>
          <w:p>
            <w:pPr>
              <w:jc w:val="center"/>
              <w:rPr>
                <w:sz w:val="21"/>
                <w:szCs w:val="21"/>
              </w:rPr>
            </w:pPr>
            <w:r>
              <w:rPr>
                <w:sz w:val="21"/>
                <w:szCs w:val="21"/>
              </w:rPr>
              <w:t xml:space="preserve">57.755 </w:t>
            </w:r>
          </w:p>
        </w:tc>
        <w:tc>
          <w:tcPr>
            <w:tcW w:w="1090" w:type="pct"/>
            <w:shd w:val="clear" w:color="auto" w:fill="auto"/>
            <w:noWrap/>
            <w:vAlign w:val="center"/>
          </w:tcPr>
          <w:p>
            <w:pPr>
              <w:jc w:val="center"/>
              <w:rPr>
                <w:sz w:val="21"/>
                <w:szCs w:val="21"/>
              </w:rPr>
            </w:pPr>
            <w:r>
              <w:rPr>
                <w:sz w:val="21"/>
                <w:szCs w:val="21"/>
              </w:rPr>
              <w:t xml:space="preserve">0.916 </w:t>
            </w:r>
          </w:p>
        </w:tc>
        <w:tc>
          <w:tcPr>
            <w:tcW w:w="1090" w:type="pct"/>
            <w:shd w:val="clear" w:color="auto" w:fill="auto"/>
            <w:noWrap/>
            <w:vAlign w:val="center"/>
          </w:tcPr>
          <w:p>
            <w:pPr>
              <w:jc w:val="center"/>
              <w:rPr>
                <w:sz w:val="21"/>
                <w:szCs w:val="21"/>
              </w:rPr>
            </w:pPr>
            <w:r>
              <w:rPr>
                <w:sz w:val="21"/>
                <w:szCs w:val="21"/>
              </w:rPr>
              <w:t xml:space="preserve">58.111 </w:t>
            </w:r>
          </w:p>
        </w:tc>
        <w:tc>
          <w:tcPr>
            <w:tcW w:w="1090" w:type="pct"/>
            <w:shd w:val="clear" w:color="auto" w:fill="auto"/>
            <w:noWrap/>
            <w:vAlign w:val="center"/>
          </w:tcPr>
          <w:p>
            <w:pPr>
              <w:jc w:val="center"/>
              <w:rPr>
                <w:sz w:val="21"/>
                <w:szCs w:val="21"/>
              </w:rPr>
            </w:pPr>
            <w:r>
              <w:rPr>
                <w:sz w:val="21"/>
                <w:szCs w:val="21"/>
              </w:rPr>
              <w:t xml:space="preserve">0.909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-41</w:t>
            </w:r>
          </w:p>
        </w:tc>
        <w:tc>
          <w:tcPr>
            <w:tcW w:w="1090" w:type="pct"/>
            <w:shd w:val="clear" w:color="auto" w:fill="auto"/>
            <w:noWrap/>
            <w:vAlign w:val="center"/>
          </w:tcPr>
          <w:p>
            <w:pPr>
              <w:jc w:val="center"/>
              <w:rPr>
                <w:sz w:val="21"/>
                <w:szCs w:val="21"/>
              </w:rPr>
            </w:pPr>
            <w:r>
              <w:rPr>
                <w:sz w:val="21"/>
                <w:szCs w:val="21"/>
              </w:rPr>
              <w:t xml:space="preserve">60.558 </w:t>
            </w:r>
          </w:p>
        </w:tc>
        <w:tc>
          <w:tcPr>
            <w:tcW w:w="1090" w:type="pct"/>
            <w:shd w:val="clear" w:color="auto" w:fill="auto"/>
            <w:noWrap/>
            <w:vAlign w:val="center"/>
          </w:tcPr>
          <w:p>
            <w:pPr>
              <w:jc w:val="center"/>
              <w:rPr>
                <w:sz w:val="21"/>
                <w:szCs w:val="21"/>
              </w:rPr>
            </w:pPr>
            <w:r>
              <w:rPr>
                <w:sz w:val="21"/>
                <w:szCs w:val="21"/>
              </w:rPr>
              <w:t xml:space="preserve">0.960 </w:t>
            </w:r>
          </w:p>
        </w:tc>
        <w:tc>
          <w:tcPr>
            <w:tcW w:w="1090" w:type="pct"/>
            <w:shd w:val="clear" w:color="auto" w:fill="auto"/>
            <w:noWrap/>
            <w:vAlign w:val="center"/>
          </w:tcPr>
          <w:p>
            <w:pPr>
              <w:jc w:val="center"/>
              <w:rPr>
                <w:sz w:val="21"/>
                <w:szCs w:val="21"/>
              </w:rPr>
            </w:pPr>
            <w:r>
              <w:rPr>
                <w:sz w:val="21"/>
                <w:szCs w:val="21"/>
              </w:rPr>
              <w:t xml:space="preserve">60.976 </w:t>
            </w:r>
          </w:p>
        </w:tc>
        <w:tc>
          <w:tcPr>
            <w:tcW w:w="1090" w:type="pct"/>
            <w:shd w:val="clear" w:color="auto" w:fill="auto"/>
            <w:noWrap/>
            <w:vAlign w:val="center"/>
          </w:tcPr>
          <w:p>
            <w:pPr>
              <w:jc w:val="center"/>
              <w:rPr>
                <w:sz w:val="21"/>
                <w:szCs w:val="21"/>
              </w:rPr>
            </w:pPr>
            <w:r>
              <w:rPr>
                <w:sz w:val="21"/>
                <w:szCs w:val="21"/>
              </w:rPr>
              <w:t xml:space="preserve">0.953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-40</w:t>
            </w:r>
          </w:p>
        </w:tc>
        <w:tc>
          <w:tcPr>
            <w:tcW w:w="1090" w:type="pct"/>
            <w:shd w:val="clear" w:color="auto" w:fill="auto"/>
            <w:noWrap/>
            <w:vAlign w:val="center"/>
          </w:tcPr>
          <w:p>
            <w:pPr>
              <w:jc w:val="center"/>
              <w:rPr>
                <w:sz w:val="21"/>
                <w:szCs w:val="21"/>
              </w:rPr>
            </w:pPr>
            <w:r>
              <w:rPr>
                <w:sz w:val="21"/>
                <w:szCs w:val="21"/>
              </w:rPr>
              <w:t xml:space="preserve">63.574 </w:t>
            </w:r>
          </w:p>
        </w:tc>
        <w:tc>
          <w:tcPr>
            <w:tcW w:w="1090" w:type="pct"/>
            <w:shd w:val="clear" w:color="auto" w:fill="auto"/>
            <w:noWrap/>
            <w:vAlign w:val="center"/>
          </w:tcPr>
          <w:p>
            <w:pPr>
              <w:jc w:val="center"/>
              <w:rPr>
                <w:sz w:val="21"/>
                <w:szCs w:val="21"/>
              </w:rPr>
            </w:pPr>
            <w:r>
              <w:rPr>
                <w:sz w:val="21"/>
                <w:szCs w:val="21"/>
              </w:rPr>
              <w:t xml:space="preserve">1.008 </w:t>
            </w:r>
          </w:p>
        </w:tc>
        <w:tc>
          <w:tcPr>
            <w:tcW w:w="1090" w:type="pct"/>
            <w:shd w:val="clear" w:color="auto" w:fill="auto"/>
            <w:noWrap/>
            <w:vAlign w:val="center"/>
          </w:tcPr>
          <w:p>
            <w:pPr>
              <w:jc w:val="center"/>
              <w:rPr>
                <w:sz w:val="21"/>
                <w:szCs w:val="21"/>
              </w:rPr>
            </w:pPr>
            <w:r>
              <w:rPr>
                <w:sz w:val="21"/>
                <w:szCs w:val="21"/>
              </w:rPr>
              <w:t xml:space="preserve">64.065 </w:t>
            </w:r>
          </w:p>
        </w:tc>
        <w:tc>
          <w:tcPr>
            <w:tcW w:w="1090" w:type="pct"/>
            <w:shd w:val="clear" w:color="auto" w:fill="auto"/>
            <w:noWrap/>
            <w:vAlign w:val="center"/>
          </w:tcPr>
          <w:p>
            <w:pPr>
              <w:jc w:val="center"/>
              <w:rPr>
                <w:sz w:val="21"/>
                <w:szCs w:val="21"/>
              </w:rPr>
            </w:pPr>
            <w:r>
              <w:rPr>
                <w:sz w:val="21"/>
                <w:szCs w:val="21"/>
              </w:rPr>
              <w:t xml:space="preserve">1.001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-39</w:t>
            </w:r>
          </w:p>
        </w:tc>
        <w:tc>
          <w:tcPr>
            <w:tcW w:w="1090" w:type="pct"/>
            <w:shd w:val="clear" w:color="auto" w:fill="auto"/>
            <w:noWrap/>
            <w:vAlign w:val="center"/>
          </w:tcPr>
          <w:p>
            <w:pPr>
              <w:jc w:val="center"/>
              <w:rPr>
                <w:sz w:val="21"/>
                <w:szCs w:val="21"/>
              </w:rPr>
            </w:pPr>
            <w:r>
              <w:rPr>
                <w:sz w:val="21"/>
                <w:szCs w:val="21"/>
              </w:rPr>
              <w:t xml:space="preserve">66.826 </w:t>
            </w:r>
          </w:p>
        </w:tc>
        <w:tc>
          <w:tcPr>
            <w:tcW w:w="1090" w:type="pct"/>
            <w:shd w:val="clear" w:color="auto" w:fill="auto"/>
            <w:noWrap/>
            <w:vAlign w:val="center"/>
          </w:tcPr>
          <w:p>
            <w:pPr>
              <w:jc w:val="center"/>
              <w:rPr>
                <w:sz w:val="21"/>
                <w:szCs w:val="21"/>
              </w:rPr>
            </w:pPr>
            <w:r>
              <w:rPr>
                <w:sz w:val="21"/>
                <w:szCs w:val="21"/>
              </w:rPr>
              <w:t xml:space="preserve">1.060 </w:t>
            </w:r>
          </w:p>
        </w:tc>
        <w:tc>
          <w:tcPr>
            <w:tcW w:w="1090" w:type="pct"/>
            <w:shd w:val="clear" w:color="auto" w:fill="auto"/>
            <w:noWrap/>
            <w:vAlign w:val="center"/>
          </w:tcPr>
          <w:p>
            <w:pPr>
              <w:jc w:val="center"/>
              <w:rPr>
                <w:sz w:val="21"/>
                <w:szCs w:val="21"/>
              </w:rPr>
            </w:pPr>
            <w:r>
              <w:rPr>
                <w:sz w:val="21"/>
                <w:szCs w:val="21"/>
              </w:rPr>
              <w:t xml:space="preserve">67.402 </w:t>
            </w:r>
          </w:p>
        </w:tc>
        <w:tc>
          <w:tcPr>
            <w:tcW w:w="1090" w:type="pct"/>
            <w:shd w:val="clear" w:color="auto" w:fill="auto"/>
            <w:noWrap/>
            <w:vAlign w:val="center"/>
          </w:tcPr>
          <w:p>
            <w:pPr>
              <w:jc w:val="center"/>
              <w:rPr>
                <w:sz w:val="21"/>
                <w:szCs w:val="21"/>
              </w:rPr>
            </w:pPr>
            <w:r>
              <w:rPr>
                <w:sz w:val="21"/>
                <w:szCs w:val="21"/>
              </w:rPr>
              <w:t xml:space="preserve">1.052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-38</w:t>
            </w:r>
          </w:p>
        </w:tc>
        <w:tc>
          <w:tcPr>
            <w:tcW w:w="1090" w:type="pct"/>
            <w:shd w:val="clear" w:color="auto" w:fill="auto"/>
            <w:noWrap/>
            <w:vAlign w:val="center"/>
          </w:tcPr>
          <w:p>
            <w:pPr>
              <w:jc w:val="center"/>
              <w:rPr>
                <w:sz w:val="21"/>
                <w:szCs w:val="21"/>
              </w:rPr>
            </w:pPr>
            <w:r>
              <w:rPr>
                <w:sz w:val="21"/>
                <w:szCs w:val="21"/>
              </w:rPr>
              <w:t xml:space="preserve">70.342 </w:t>
            </w:r>
          </w:p>
        </w:tc>
        <w:tc>
          <w:tcPr>
            <w:tcW w:w="1090" w:type="pct"/>
            <w:shd w:val="clear" w:color="auto" w:fill="auto"/>
            <w:noWrap/>
            <w:vAlign w:val="center"/>
          </w:tcPr>
          <w:p>
            <w:pPr>
              <w:jc w:val="center"/>
              <w:rPr>
                <w:sz w:val="21"/>
                <w:szCs w:val="21"/>
              </w:rPr>
            </w:pPr>
            <w:r>
              <w:rPr>
                <w:sz w:val="21"/>
                <w:szCs w:val="21"/>
              </w:rPr>
              <w:t xml:space="preserve">1.116 </w:t>
            </w:r>
          </w:p>
        </w:tc>
        <w:tc>
          <w:tcPr>
            <w:tcW w:w="1090" w:type="pct"/>
            <w:shd w:val="clear" w:color="auto" w:fill="auto"/>
            <w:noWrap/>
            <w:vAlign w:val="center"/>
          </w:tcPr>
          <w:p>
            <w:pPr>
              <w:jc w:val="center"/>
              <w:rPr>
                <w:sz w:val="21"/>
                <w:szCs w:val="21"/>
              </w:rPr>
            </w:pPr>
            <w:r>
              <w:rPr>
                <w:sz w:val="21"/>
                <w:szCs w:val="21"/>
              </w:rPr>
              <w:t xml:space="preserve">71.017 </w:t>
            </w:r>
          </w:p>
        </w:tc>
        <w:tc>
          <w:tcPr>
            <w:tcW w:w="1090" w:type="pct"/>
            <w:shd w:val="clear" w:color="auto" w:fill="auto"/>
            <w:noWrap/>
            <w:vAlign w:val="center"/>
          </w:tcPr>
          <w:p>
            <w:pPr>
              <w:jc w:val="center"/>
              <w:rPr>
                <w:sz w:val="21"/>
                <w:szCs w:val="21"/>
              </w:rPr>
            </w:pPr>
            <w:r>
              <w:rPr>
                <w:sz w:val="21"/>
                <w:szCs w:val="21"/>
              </w:rPr>
              <w:t xml:space="preserve">1.107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-37</w:t>
            </w:r>
          </w:p>
        </w:tc>
        <w:tc>
          <w:tcPr>
            <w:tcW w:w="1090" w:type="pct"/>
            <w:shd w:val="clear" w:color="auto" w:fill="auto"/>
            <w:noWrap/>
            <w:vAlign w:val="center"/>
          </w:tcPr>
          <w:p>
            <w:pPr>
              <w:jc w:val="center"/>
              <w:rPr>
                <w:sz w:val="21"/>
                <w:szCs w:val="21"/>
              </w:rPr>
            </w:pPr>
            <w:r>
              <w:rPr>
                <w:sz w:val="21"/>
                <w:szCs w:val="21"/>
              </w:rPr>
              <w:t xml:space="preserve">74.150 </w:t>
            </w:r>
          </w:p>
        </w:tc>
        <w:tc>
          <w:tcPr>
            <w:tcW w:w="1090" w:type="pct"/>
            <w:shd w:val="clear" w:color="auto" w:fill="auto"/>
            <w:noWrap/>
            <w:vAlign w:val="center"/>
          </w:tcPr>
          <w:p>
            <w:pPr>
              <w:jc w:val="center"/>
              <w:rPr>
                <w:sz w:val="21"/>
                <w:szCs w:val="21"/>
              </w:rPr>
            </w:pPr>
            <w:r>
              <w:rPr>
                <w:sz w:val="21"/>
                <w:szCs w:val="21"/>
              </w:rPr>
              <w:t xml:space="preserve">1.176 </w:t>
            </w:r>
          </w:p>
        </w:tc>
        <w:tc>
          <w:tcPr>
            <w:tcW w:w="1090" w:type="pct"/>
            <w:shd w:val="clear" w:color="auto" w:fill="auto"/>
            <w:noWrap/>
            <w:vAlign w:val="center"/>
          </w:tcPr>
          <w:p>
            <w:pPr>
              <w:jc w:val="center"/>
              <w:rPr>
                <w:sz w:val="21"/>
                <w:szCs w:val="21"/>
              </w:rPr>
            </w:pPr>
            <w:r>
              <w:rPr>
                <w:sz w:val="21"/>
                <w:szCs w:val="21"/>
              </w:rPr>
              <w:t xml:space="preserve">74.942 </w:t>
            </w:r>
          </w:p>
        </w:tc>
        <w:tc>
          <w:tcPr>
            <w:tcW w:w="1090" w:type="pct"/>
            <w:shd w:val="clear" w:color="auto" w:fill="auto"/>
            <w:noWrap/>
            <w:vAlign w:val="center"/>
          </w:tcPr>
          <w:p>
            <w:pPr>
              <w:jc w:val="center"/>
              <w:rPr>
                <w:sz w:val="21"/>
                <w:szCs w:val="21"/>
              </w:rPr>
            </w:pPr>
            <w:r>
              <w:rPr>
                <w:sz w:val="21"/>
                <w:szCs w:val="21"/>
              </w:rPr>
              <w:t xml:space="preserve">1.166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-36</w:t>
            </w:r>
          </w:p>
        </w:tc>
        <w:tc>
          <w:tcPr>
            <w:tcW w:w="1090" w:type="pct"/>
            <w:shd w:val="clear" w:color="auto" w:fill="auto"/>
            <w:noWrap/>
            <w:vAlign w:val="center"/>
          </w:tcPr>
          <w:p>
            <w:pPr>
              <w:jc w:val="center"/>
              <w:rPr>
                <w:sz w:val="21"/>
                <w:szCs w:val="21"/>
              </w:rPr>
            </w:pPr>
            <w:r>
              <w:rPr>
                <w:sz w:val="21"/>
                <w:szCs w:val="21"/>
              </w:rPr>
              <w:t xml:space="preserve">78.287 </w:t>
            </w:r>
          </w:p>
        </w:tc>
        <w:tc>
          <w:tcPr>
            <w:tcW w:w="1090" w:type="pct"/>
            <w:shd w:val="clear" w:color="auto" w:fill="auto"/>
            <w:noWrap/>
            <w:vAlign w:val="center"/>
          </w:tcPr>
          <w:p>
            <w:pPr>
              <w:jc w:val="center"/>
              <w:rPr>
                <w:sz w:val="21"/>
                <w:szCs w:val="21"/>
              </w:rPr>
            </w:pPr>
            <w:r>
              <w:rPr>
                <w:sz w:val="21"/>
                <w:szCs w:val="21"/>
              </w:rPr>
              <w:t xml:space="preserve">1.242 </w:t>
            </w:r>
          </w:p>
        </w:tc>
        <w:tc>
          <w:tcPr>
            <w:tcW w:w="1090" w:type="pct"/>
            <w:shd w:val="clear" w:color="auto" w:fill="auto"/>
            <w:noWrap/>
            <w:vAlign w:val="center"/>
          </w:tcPr>
          <w:p>
            <w:pPr>
              <w:jc w:val="center"/>
              <w:rPr>
                <w:sz w:val="21"/>
                <w:szCs w:val="21"/>
              </w:rPr>
            </w:pPr>
            <w:r>
              <w:rPr>
                <w:sz w:val="21"/>
                <w:szCs w:val="21"/>
              </w:rPr>
              <w:t xml:space="preserve">79.216 </w:t>
            </w:r>
          </w:p>
        </w:tc>
        <w:tc>
          <w:tcPr>
            <w:tcW w:w="1090" w:type="pct"/>
            <w:shd w:val="clear" w:color="auto" w:fill="auto"/>
            <w:noWrap/>
            <w:vAlign w:val="center"/>
          </w:tcPr>
          <w:p>
            <w:pPr>
              <w:jc w:val="center"/>
              <w:rPr>
                <w:sz w:val="21"/>
                <w:szCs w:val="21"/>
              </w:rPr>
            </w:pPr>
            <w:r>
              <w:rPr>
                <w:sz w:val="21"/>
                <w:szCs w:val="21"/>
              </w:rPr>
              <w:t xml:space="preserve">1.230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-35</w:t>
            </w:r>
          </w:p>
        </w:tc>
        <w:tc>
          <w:tcPr>
            <w:tcW w:w="1090" w:type="pct"/>
            <w:shd w:val="clear" w:color="auto" w:fill="auto"/>
            <w:noWrap/>
            <w:vAlign w:val="center"/>
          </w:tcPr>
          <w:p>
            <w:pPr>
              <w:jc w:val="center"/>
              <w:rPr>
                <w:sz w:val="21"/>
                <w:szCs w:val="21"/>
              </w:rPr>
            </w:pPr>
            <w:r>
              <w:rPr>
                <w:sz w:val="21"/>
                <w:szCs w:val="21"/>
              </w:rPr>
              <w:t xml:space="preserve">82.793 </w:t>
            </w:r>
          </w:p>
        </w:tc>
        <w:tc>
          <w:tcPr>
            <w:tcW w:w="1090" w:type="pct"/>
            <w:shd w:val="clear" w:color="auto" w:fill="auto"/>
            <w:noWrap/>
            <w:vAlign w:val="center"/>
          </w:tcPr>
          <w:p>
            <w:pPr>
              <w:jc w:val="center"/>
              <w:rPr>
                <w:sz w:val="21"/>
                <w:szCs w:val="21"/>
              </w:rPr>
            </w:pPr>
            <w:r>
              <w:rPr>
                <w:sz w:val="21"/>
                <w:szCs w:val="21"/>
              </w:rPr>
              <w:t xml:space="preserve">1.312 </w:t>
            </w:r>
          </w:p>
        </w:tc>
        <w:tc>
          <w:tcPr>
            <w:tcW w:w="1090" w:type="pct"/>
            <w:shd w:val="clear" w:color="auto" w:fill="auto"/>
            <w:noWrap/>
            <w:vAlign w:val="center"/>
          </w:tcPr>
          <w:p>
            <w:pPr>
              <w:jc w:val="center"/>
              <w:rPr>
                <w:sz w:val="21"/>
                <w:szCs w:val="21"/>
              </w:rPr>
            </w:pPr>
            <w:r>
              <w:rPr>
                <w:sz w:val="21"/>
                <w:szCs w:val="21"/>
              </w:rPr>
              <w:t xml:space="preserve">83.883 </w:t>
            </w:r>
          </w:p>
        </w:tc>
        <w:tc>
          <w:tcPr>
            <w:tcW w:w="1090" w:type="pct"/>
            <w:shd w:val="clear" w:color="auto" w:fill="auto"/>
            <w:noWrap/>
            <w:vAlign w:val="center"/>
          </w:tcPr>
          <w:p>
            <w:pPr>
              <w:jc w:val="center"/>
              <w:rPr>
                <w:sz w:val="21"/>
                <w:szCs w:val="21"/>
              </w:rPr>
            </w:pPr>
            <w:r>
              <w:rPr>
                <w:sz w:val="21"/>
                <w:szCs w:val="21"/>
              </w:rPr>
              <w:t xml:space="preserve">1.299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-34</w:t>
            </w:r>
          </w:p>
        </w:tc>
        <w:tc>
          <w:tcPr>
            <w:tcW w:w="1090" w:type="pct"/>
            <w:shd w:val="clear" w:color="auto" w:fill="auto"/>
            <w:noWrap/>
            <w:vAlign w:val="center"/>
          </w:tcPr>
          <w:p>
            <w:pPr>
              <w:jc w:val="center"/>
              <w:rPr>
                <w:sz w:val="21"/>
                <w:szCs w:val="21"/>
              </w:rPr>
            </w:pPr>
            <w:r>
              <w:rPr>
                <w:sz w:val="21"/>
                <w:szCs w:val="21"/>
              </w:rPr>
              <w:t xml:space="preserve">87.716 </w:t>
            </w:r>
          </w:p>
        </w:tc>
        <w:tc>
          <w:tcPr>
            <w:tcW w:w="1090" w:type="pct"/>
            <w:shd w:val="clear" w:color="auto" w:fill="auto"/>
            <w:noWrap/>
            <w:vAlign w:val="center"/>
          </w:tcPr>
          <w:p>
            <w:pPr>
              <w:jc w:val="center"/>
              <w:rPr>
                <w:sz w:val="21"/>
                <w:szCs w:val="21"/>
              </w:rPr>
            </w:pPr>
            <w:r>
              <w:rPr>
                <w:sz w:val="21"/>
                <w:szCs w:val="21"/>
              </w:rPr>
              <w:t xml:space="preserve">1.389 </w:t>
            </w:r>
          </w:p>
        </w:tc>
        <w:tc>
          <w:tcPr>
            <w:tcW w:w="1090" w:type="pct"/>
            <w:shd w:val="clear" w:color="auto" w:fill="auto"/>
            <w:noWrap/>
            <w:vAlign w:val="center"/>
          </w:tcPr>
          <w:p>
            <w:pPr>
              <w:jc w:val="center"/>
              <w:rPr>
                <w:sz w:val="21"/>
                <w:szCs w:val="21"/>
              </w:rPr>
            </w:pPr>
            <w:r>
              <w:rPr>
                <w:sz w:val="21"/>
                <w:szCs w:val="21"/>
              </w:rPr>
              <w:t xml:space="preserve">88.996 </w:t>
            </w:r>
          </w:p>
        </w:tc>
        <w:tc>
          <w:tcPr>
            <w:tcW w:w="1090" w:type="pct"/>
            <w:shd w:val="clear" w:color="auto" w:fill="auto"/>
            <w:noWrap/>
            <w:vAlign w:val="center"/>
          </w:tcPr>
          <w:p>
            <w:pPr>
              <w:jc w:val="center"/>
              <w:rPr>
                <w:sz w:val="21"/>
                <w:szCs w:val="21"/>
              </w:rPr>
            </w:pPr>
            <w:r>
              <w:rPr>
                <w:sz w:val="21"/>
                <w:szCs w:val="21"/>
              </w:rPr>
              <w:t xml:space="preserve">1.375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-33</w:t>
            </w:r>
          </w:p>
        </w:tc>
        <w:tc>
          <w:tcPr>
            <w:tcW w:w="1090" w:type="pct"/>
            <w:shd w:val="clear" w:color="auto" w:fill="auto"/>
            <w:noWrap/>
            <w:vAlign w:val="center"/>
          </w:tcPr>
          <w:p>
            <w:pPr>
              <w:jc w:val="center"/>
              <w:rPr>
                <w:sz w:val="21"/>
                <w:szCs w:val="21"/>
              </w:rPr>
            </w:pPr>
            <w:r>
              <w:rPr>
                <w:sz w:val="21"/>
                <w:szCs w:val="21"/>
              </w:rPr>
              <w:t xml:space="preserve">93.112 </w:t>
            </w:r>
          </w:p>
        </w:tc>
        <w:tc>
          <w:tcPr>
            <w:tcW w:w="1090" w:type="pct"/>
            <w:shd w:val="clear" w:color="auto" w:fill="auto"/>
            <w:noWrap/>
            <w:vAlign w:val="center"/>
          </w:tcPr>
          <w:p>
            <w:pPr>
              <w:jc w:val="center"/>
              <w:rPr>
                <w:sz w:val="21"/>
                <w:szCs w:val="21"/>
              </w:rPr>
            </w:pPr>
            <w:r>
              <w:rPr>
                <w:sz w:val="21"/>
                <w:szCs w:val="21"/>
              </w:rPr>
              <w:t xml:space="preserve">1.474 </w:t>
            </w:r>
          </w:p>
        </w:tc>
        <w:tc>
          <w:tcPr>
            <w:tcW w:w="1090" w:type="pct"/>
            <w:shd w:val="clear" w:color="auto" w:fill="auto"/>
            <w:noWrap/>
            <w:vAlign w:val="center"/>
          </w:tcPr>
          <w:p>
            <w:pPr>
              <w:jc w:val="center"/>
              <w:rPr>
                <w:sz w:val="21"/>
                <w:szCs w:val="21"/>
              </w:rPr>
            </w:pPr>
            <w:r>
              <w:rPr>
                <w:sz w:val="21"/>
                <w:szCs w:val="21"/>
              </w:rPr>
              <w:t xml:space="preserve">94.617 </w:t>
            </w:r>
          </w:p>
        </w:tc>
        <w:tc>
          <w:tcPr>
            <w:tcW w:w="1090" w:type="pct"/>
            <w:shd w:val="clear" w:color="auto" w:fill="auto"/>
            <w:noWrap/>
            <w:vAlign w:val="center"/>
          </w:tcPr>
          <w:p>
            <w:pPr>
              <w:jc w:val="center"/>
              <w:rPr>
                <w:sz w:val="21"/>
                <w:szCs w:val="21"/>
              </w:rPr>
            </w:pPr>
            <w:r>
              <w:rPr>
                <w:sz w:val="21"/>
                <w:szCs w:val="21"/>
              </w:rPr>
              <w:t xml:space="preserve">1.457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-32</w:t>
            </w:r>
          </w:p>
        </w:tc>
        <w:tc>
          <w:tcPr>
            <w:tcW w:w="1090" w:type="pct"/>
            <w:shd w:val="clear" w:color="auto" w:fill="auto"/>
            <w:noWrap/>
            <w:vAlign w:val="center"/>
          </w:tcPr>
          <w:p>
            <w:pPr>
              <w:jc w:val="center"/>
              <w:rPr>
                <w:sz w:val="21"/>
                <w:szCs w:val="21"/>
              </w:rPr>
            </w:pPr>
            <w:r>
              <w:rPr>
                <w:sz w:val="21"/>
                <w:szCs w:val="21"/>
              </w:rPr>
              <w:t xml:space="preserve">99.048 </w:t>
            </w:r>
          </w:p>
        </w:tc>
        <w:tc>
          <w:tcPr>
            <w:tcW w:w="1090" w:type="pct"/>
            <w:shd w:val="clear" w:color="auto" w:fill="auto"/>
            <w:noWrap/>
            <w:vAlign w:val="center"/>
          </w:tcPr>
          <w:p>
            <w:pPr>
              <w:jc w:val="center"/>
              <w:rPr>
                <w:sz w:val="21"/>
                <w:szCs w:val="21"/>
              </w:rPr>
            </w:pPr>
            <w:r>
              <w:rPr>
                <w:sz w:val="21"/>
                <w:szCs w:val="21"/>
              </w:rPr>
              <w:t xml:space="preserve">1.565 </w:t>
            </w:r>
          </w:p>
        </w:tc>
        <w:tc>
          <w:tcPr>
            <w:tcW w:w="1090" w:type="pct"/>
            <w:shd w:val="clear" w:color="auto" w:fill="auto"/>
            <w:noWrap/>
            <w:vAlign w:val="center"/>
          </w:tcPr>
          <w:p>
            <w:pPr>
              <w:jc w:val="center"/>
              <w:rPr>
                <w:sz w:val="21"/>
                <w:szCs w:val="21"/>
              </w:rPr>
            </w:pPr>
            <w:r>
              <w:rPr>
                <w:sz w:val="21"/>
                <w:szCs w:val="21"/>
              </w:rPr>
              <w:t xml:space="preserve">100.818 </w:t>
            </w:r>
          </w:p>
        </w:tc>
        <w:tc>
          <w:tcPr>
            <w:tcW w:w="1090" w:type="pct"/>
            <w:shd w:val="clear" w:color="auto" w:fill="auto"/>
            <w:noWrap/>
            <w:vAlign w:val="center"/>
          </w:tcPr>
          <w:p>
            <w:pPr>
              <w:jc w:val="center"/>
              <w:rPr>
                <w:sz w:val="21"/>
                <w:szCs w:val="21"/>
              </w:rPr>
            </w:pPr>
            <w:r>
              <w:rPr>
                <w:sz w:val="21"/>
                <w:szCs w:val="21"/>
              </w:rPr>
              <w:t xml:space="preserve">1.547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-31</w:t>
            </w:r>
          </w:p>
        </w:tc>
        <w:tc>
          <w:tcPr>
            <w:tcW w:w="1090" w:type="pct"/>
            <w:shd w:val="clear" w:color="auto" w:fill="auto"/>
            <w:noWrap/>
            <w:vAlign w:val="center"/>
          </w:tcPr>
          <w:p>
            <w:pPr>
              <w:jc w:val="center"/>
              <w:rPr>
                <w:sz w:val="21"/>
                <w:szCs w:val="21"/>
              </w:rPr>
            </w:pPr>
            <w:r>
              <w:rPr>
                <w:sz w:val="21"/>
                <w:szCs w:val="21"/>
              </w:rPr>
              <w:t xml:space="preserve">105.602 </w:t>
            </w:r>
          </w:p>
        </w:tc>
        <w:tc>
          <w:tcPr>
            <w:tcW w:w="1090" w:type="pct"/>
            <w:shd w:val="clear" w:color="auto" w:fill="auto"/>
            <w:noWrap/>
            <w:vAlign w:val="center"/>
          </w:tcPr>
          <w:p>
            <w:pPr>
              <w:jc w:val="center"/>
              <w:rPr>
                <w:sz w:val="21"/>
                <w:szCs w:val="21"/>
              </w:rPr>
            </w:pPr>
            <w:r>
              <w:rPr>
                <w:sz w:val="21"/>
                <w:szCs w:val="21"/>
              </w:rPr>
              <w:t xml:space="preserve">1.666 </w:t>
            </w:r>
          </w:p>
        </w:tc>
        <w:tc>
          <w:tcPr>
            <w:tcW w:w="1090" w:type="pct"/>
            <w:shd w:val="clear" w:color="auto" w:fill="auto"/>
            <w:noWrap/>
            <w:vAlign w:val="center"/>
          </w:tcPr>
          <w:p>
            <w:pPr>
              <w:jc w:val="center"/>
              <w:rPr>
                <w:sz w:val="21"/>
                <w:szCs w:val="21"/>
              </w:rPr>
            </w:pPr>
            <w:r>
              <w:rPr>
                <w:sz w:val="21"/>
                <w:szCs w:val="21"/>
              </w:rPr>
              <w:t xml:space="preserve">107.689 </w:t>
            </w:r>
          </w:p>
        </w:tc>
        <w:tc>
          <w:tcPr>
            <w:tcW w:w="1090" w:type="pct"/>
            <w:shd w:val="clear" w:color="auto" w:fill="auto"/>
            <w:noWrap/>
            <w:vAlign w:val="center"/>
          </w:tcPr>
          <w:p>
            <w:pPr>
              <w:jc w:val="center"/>
              <w:rPr>
                <w:sz w:val="21"/>
                <w:szCs w:val="21"/>
              </w:rPr>
            </w:pPr>
            <w:r>
              <w:rPr>
                <w:sz w:val="21"/>
                <w:szCs w:val="21"/>
              </w:rPr>
              <w:t xml:space="preserve">1.645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-30</w:t>
            </w:r>
          </w:p>
        </w:tc>
        <w:tc>
          <w:tcPr>
            <w:tcW w:w="1090" w:type="pct"/>
            <w:shd w:val="clear" w:color="auto" w:fill="auto"/>
            <w:noWrap/>
            <w:vAlign w:val="center"/>
          </w:tcPr>
          <w:p>
            <w:pPr>
              <w:jc w:val="center"/>
              <w:rPr>
                <w:sz w:val="21"/>
                <w:szCs w:val="21"/>
              </w:rPr>
            </w:pPr>
            <w:r>
              <w:rPr>
                <w:sz w:val="21"/>
                <w:szCs w:val="21"/>
              </w:rPr>
              <w:t xml:space="preserve">112.871 </w:t>
            </w:r>
          </w:p>
        </w:tc>
        <w:tc>
          <w:tcPr>
            <w:tcW w:w="1090" w:type="pct"/>
            <w:shd w:val="clear" w:color="auto" w:fill="auto"/>
            <w:noWrap/>
            <w:vAlign w:val="center"/>
          </w:tcPr>
          <w:p>
            <w:pPr>
              <w:jc w:val="center"/>
              <w:rPr>
                <w:sz w:val="21"/>
                <w:szCs w:val="21"/>
              </w:rPr>
            </w:pPr>
            <w:r>
              <w:rPr>
                <w:sz w:val="21"/>
                <w:szCs w:val="21"/>
              </w:rPr>
              <w:t xml:space="preserve">1.777 </w:t>
            </w:r>
          </w:p>
        </w:tc>
        <w:tc>
          <w:tcPr>
            <w:tcW w:w="1090" w:type="pct"/>
            <w:shd w:val="clear" w:color="auto" w:fill="auto"/>
            <w:noWrap/>
            <w:vAlign w:val="center"/>
          </w:tcPr>
          <w:p>
            <w:pPr>
              <w:jc w:val="center"/>
              <w:rPr>
                <w:sz w:val="21"/>
                <w:szCs w:val="21"/>
              </w:rPr>
            </w:pPr>
            <w:r>
              <w:rPr>
                <w:sz w:val="21"/>
                <w:szCs w:val="21"/>
              </w:rPr>
              <w:t xml:space="preserve">115.332 </w:t>
            </w:r>
          </w:p>
        </w:tc>
        <w:tc>
          <w:tcPr>
            <w:tcW w:w="1090" w:type="pct"/>
            <w:shd w:val="clear" w:color="auto" w:fill="auto"/>
            <w:noWrap/>
            <w:vAlign w:val="center"/>
          </w:tcPr>
          <w:p>
            <w:pPr>
              <w:jc w:val="center"/>
              <w:rPr>
                <w:sz w:val="21"/>
                <w:szCs w:val="21"/>
              </w:rPr>
            </w:pPr>
            <w:r>
              <w:rPr>
                <w:sz w:val="21"/>
                <w:szCs w:val="21"/>
              </w:rPr>
              <w:t xml:space="preserve">1.753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-29</w:t>
            </w:r>
          </w:p>
        </w:tc>
        <w:tc>
          <w:tcPr>
            <w:tcW w:w="1090" w:type="pct"/>
            <w:shd w:val="clear" w:color="auto" w:fill="auto"/>
            <w:noWrap/>
            <w:vAlign w:val="center"/>
          </w:tcPr>
          <w:p>
            <w:pPr>
              <w:jc w:val="center"/>
              <w:rPr>
                <w:sz w:val="21"/>
                <w:szCs w:val="21"/>
              </w:rPr>
            </w:pPr>
            <w:r>
              <w:rPr>
                <w:sz w:val="21"/>
                <w:szCs w:val="21"/>
              </w:rPr>
              <w:t xml:space="preserve">120.969 </w:t>
            </w:r>
          </w:p>
        </w:tc>
        <w:tc>
          <w:tcPr>
            <w:tcW w:w="1090" w:type="pct"/>
            <w:shd w:val="clear" w:color="auto" w:fill="auto"/>
            <w:noWrap/>
            <w:vAlign w:val="center"/>
          </w:tcPr>
          <w:p>
            <w:pPr>
              <w:jc w:val="center"/>
              <w:rPr>
                <w:sz w:val="21"/>
                <w:szCs w:val="21"/>
              </w:rPr>
            </w:pPr>
            <w:r>
              <w:rPr>
                <w:sz w:val="21"/>
                <w:szCs w:val="21"/>
              </w:rPr>
              <w:t xml:space="preserve">1.899 </w:t>
            </w:r>
          </w:p>
        </w:tc>
        <w:tc>
          <w:tcPr>
            <w:tcW w:w="1090" w:type="pct"/>
            <w:shd w:val="clear" w:color="auto" w:fill="auto"/>
            <w:noWrap/>
            <w:vAlign w:val="center"/>
          </w:tcPr>
          <w:p>
            <w:pPr>
              <w:jc w:val="center"/>
              <w:rPr>
                <w:sz w:val="21"/>
                <w:szCs w:val="21"/>
              </w:rPr>
            </w:pPr>
            <w:r>
              <w:rPr>
                <w:sz w:val="21"/>
                <w:szCs w:val="21"/>
              </w:rPr>
              <w:t xml:space="preserve">123.874 </w:t>
            </w:r>
          </w:p>
        </w:tc>
        <w:tc>
          <w:tcPr>
            <w:tcW w:w="1090" w:type="pct"/>
            <w:shd w:val="clear" w:color="auto" w:fill="auto"/>
            <w:noWrap/>
            <w:vAlign w:val="center"/>
          </w:tcPr>
          <w:p>
            <w:pPr>
              <w:jc w:val="center"/>
              <w:rPr>
                <w:sz w:val="21"/>
                <w:szCs w:val="21"/>
              </w:rPr>
            </w:pPr>
            <w:r>
              <w:rPr>
                <w:sz w:val="21"/>
                <w:szCs w:val="21"/>
              </w:rPr>
              <w:t xml:space="preserve">1.871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-28</w:t>
            </w:r>
          </w:p>
        </w:tc>
        <w:tc>
          <w:tcPr>
            <w:tcW w:w="1090" w:type="pct"/>
            <w:shd w:val="clear" w:color="auto" w:fill="auto"/>
            <w:noWrap/>
            <w:vAlign w:val="center"/>
          </w:tcPr>
          <w:p>
            <w:pPr>
              <w:jc w:val="center"/>
              <w:rPr>
                <w:sz w:val="21"/>
                <w:szCs w:val="21"/>
              </w:rPr>
            </w:pPr>
            <w:r>
              <w:rPr>
                <w:sz w:val="21"/>
                <w:szCs w:val="21"/>
              </w:rPr>
              <w:t xml:space="preserve">130.037 </w:t>
            </w:r>
          </w:p>
        </w:tc>
        <w:tc>
          <w:tcPr>
            <w:tcW w:w="1090" w:type="pct"/>
            <w:shd w:val="clear" w:color="auto" w:fill="auto"/>
            <w:noWrap/>
            <w:vAlign w:val="center"/>
          </w:tcPr>
          <w:p>
            <w:pPr>
              <w:jc w:val="center"/>
              <w:rPr>
                <w:sz w:val="21"/>
                <w:szCs w:val="21"/>
              </w:rPr>
            </w:pPr>
            <w:r>
              <w:rPr>
                <w:sz w:val="21"/>
                <w:szCs w:val="21"/>
              </w:rPr>
              <w:t xml:space="preserve">2.033 </w:t>
            </w:r>
          </w:p>
        </w:tc>
        <w:tc>
          <w:tcPr>
            <w:tcW w:w="1090" w:type="pct"/>
            <w:shd w:val="clear" w:color="auto" w:fill="auto"/>
            <w:noWrap/>
            <w:vAlign w:val="center"/>
          </w:tcPr>
          <w:p>
            <w:pPr>
              <w:jc w:val="center"/>
              <w:rPr>
                <w:sz w:val="21"/>
                <w:szCs w:val="21"/>
              </w:rPr>
            </w:pPr>
            <w:r>
              <w:rPr>
                <w:sz w:val="21"/>
                <w:szCs w:val="21"/>
              </w:rPr>
              <w:t xml:space="preserve">133.470 </w:t>
            </w:r>
          </w:p>
        </w:tc>
        <w:tc>
          <w:tcPr>
            <w:tcW w:w="1090" w:type="pct"/>
            <w:shd w:val="clear" w:color="auto" w:fill="auto"/>
            <w:noWrap/>
            <w:vAlign w:val="center"/>
          </w:tcPr>
          <w:p>
            <w:pPr>
              <w:jc w:val="center"/>
              <w:rPr>
                <w:sz w:val="21"/>
                <w:szCs w:val="21"/>
              </w:rPr>
            </w:pPr>
            <w:r>
              <w:rPr>
                <w:sz w:val="21"/>
                <w:szCs w:val="21"/>
              </w:rPr>
              <w:t xml:space="preserve">2.002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-27</w:t>
            </w:r>
          </w:p>
        </w:tc>
        <w:tc>
          <w:tcPr>
            <w:tcW w:w="1090" w:type="pct"/>
            <w:shd w:val="clear" w:color="auto" w:fill="auto"/>
            <w:noWrap/>
            <w:vAlign w:val="center"/>
          </w:tcPr>
          <w:p>
            <w:pPr>
              <w:jc w:val="center"/>
              <w:rPr>
                <w:sz w:val="21"/>
                <w:szCs w:val="21"/>
              </w:rPr>
            </w:pPr>
            <w:r>
              <w:rPr>
                <w:sz w:val="21"/>
                <w:szCs w:val="21"/>
              </w:rPr>
              <w:t xml:space="preserve">140.246 </w:t>
            </w:r>
          </w:p>
        </w:tc>
        <w:tc>
          <w:tcPr>
            <w:tcW w:w="1090" w:type="pct"/>
            <w:shd w:val="clear" w:color="auto" w:fill="auto"/>
            <w:noWrap/>
            <w:vAlign w:val="center"/>
          </w:tcPr>
          <w:p>
            <w:pPr>
              <w:jc w:val="center"/>
              <w:rPr>
                <w:sz w:val="21"/>
                <w:szCs w:val="21"/>
              </w:rPr>
            </w:pPr>
            <w:r>
              <w:rPr>
                <w:sz w:val="21"/>
                <w:szCs w:val="21"/>
              </w:rPr>
              <w:t xml:space="preserve">2.183 </w:t>
            </w:r>
          </w:p>
        </w:tc>
        <w:tc>
          <w:tcPr>
            <w:tcW w:w="1090" w:type="pct"/>
            <w:shd w:val="clear" w:color="auto" w:fill="auto"/>
            <w:noWrap/>
            <w:vAlign w:val="center"/>
          </w:tcPr>
          <w:p>
            <w:pPr>
              <w:jc w:val="center"/>
              <w:rPr>
                <w:sz w:val="21"/>
                <w:szCs w:val="21"/>
              </w:rPr>
            </w:pPr>
            <w:r>
              <w:rPr>
                <w:sz w:val="21"/>
                <w:szCs w:val="21"/>
              </w:rPr>
              <w:t xml:space="preserve">144.306 </w:t>
            </w:r>
          </w:p>
        </w:tc>
        <w:tc>
          <w:tcPr>
            <w:tcW w:w="1090" w:type="pct"/>
            <w:shd w:val="clear" w:color="auto" w:fill="auto"/>
            <w:noWrap/>
            <w:vAlign w:val="center"/>
          </w:tcPr>
          <w:p>
            <w:pPr>
              <w:jc w:val="center"/>
              <w:rPr>
                <w:sz w:val="21"/>
                <w:szCs w:val="21"/>
              </w:rPr>
            </w:pPr>
            <w:r>
              <w:rPr>
                <w:sz w:val="21"/>
                <w:szCs w:val="21"/>
              </w:rPr>
              <w:t xml:space="preserve">2.147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-26</w:t>
            </w:r>
          </w:p>
        </w:tc>
        <w:tc>
          <w:tcPr>
            <w:tcW w:w="1090" w:type="pct"/>
            <w:shd w:val="clear" w:color="auto" w:fill="auto"/>
            <w:noWrap/>
            <w:vAlign w:val="center"/>
          </w:tcPr>
          <w:p>
            <w:pPr>
              <w:jc w:val="center"/>
              <w:rPr>
                <w:sz w:val="21"/>
                <w:szCs w:val="21"/>
              </w:rPr>
            </w:pPr>
            <w:r>
              <w:rPr>
                <w:sz w:val="21"/>
                <w:szCs w:val="21"/>
              </w:rPr>
              <w:t xml:space="preserve">151.811 </w:t>
            </w:r>
          </w:p>
        </w:tc>
        <w:tc>
          <w:tcPr>
            <w:tcW w:w="1090" w:type="pct"/>
            <w:shd w:val="clear" w:color="auto" w:fill="auto"/>
            <w:noWrap/>
            <w:vAlign w:val="center"/>
          </w:tcPr>
          <w:p>
            <w:pPr>
              <w:jc w:val="center"/>
              <w:rPr>
                <w:sz w:val="21"/>
                <w:szCs w:val="21"/>
              </w:rPr>
            </w:pPr>
            <w:r>
              <w:rPr>
                <w:sz w:val="21"/>
                <w:szCs w:val="21"/>
              </w:rPr>
              <w:t xml:space="preserve">2.349 </w:t>
            </w:r>
          </w:p>
        </w:tc>
        <w:tc>
          <w:tcPr>
            <w:tcW w:w="1090" w:type="pct"/>
            <w:shd w:val="clear" w:color="auto" w:fill="auto"/>
            <w:noWrap/>
            <w:vAlign w:val="center"/>
          </w:tcPr>
          <w:p>
            <w:pPr>
              <w:jc w:val="center"/>
              <w:rPr>
                <w:sz w:val="21"/>
                <w:szCs w:val="21"/>
              </w:rPr>
            </w:pPr>
            <w:r>
              <w:rPr>
                <w:sz w:val="21"/>
                <w:szCs w:val="21"/>
              </w:rPr>
              <w:t xml:space="preserve">156.613 </w:t>
            </w:r>
          </w:p>
        </w:tc>
        <w:tc>
          <w:tcPr>
            <w:tcW w:w="1090" w:type="pct"/>
            <w:shd w:val="clear" w:color="auto" w:fill="auto"/>
            <w:noWrap/>
            <w:vAlign w:val="center"/>
          </w:tcPr>
          <w:p>
            <w:pPr>
              <w:jc w:val="center"/>
              <w:rPr>
                <w:sz w:val="21"/>
                <w:szCs w:val="21"/>
              </w:rPr>
            </w:pPr>
            <w:r>
              <w:rPr>
                <w:sz w:val="21"/>
                <w:szCs w:val="21"/>
              </w:rPr>
              <w:t xml:space="preserve">2.308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-25</w:t>
            </w:r>
          </w:p>
        </w:tc>
        <w:tc>
          <w:tcPr>
            <w:tcW w:w="1090" w:type="pct"/>
            <w:shd w:val="clear" w:color="auto" w:fill="auto"/>
            <w:noWrap/>
            <w:vAlign w:val="center"/>
          </w:tcPr>
          <w:p>
            <w:pPr>
              <w:jc w:val="center"/>
              <w:rPr>
                <w:sz w:val="21"/>
                <w:szCs w:val="21"/>
              </w:rPr>
            </w:pPr>
            <w:r>
              <w:rPr>
                <w:sz w:val="21"/>
                <w:szCs w:val="21"/>
              </w:rPr>
              <w:t xml:space="preserve">164.997 </w:t>
            </w:r>
          </w:p>
        </w:tc>
        <w:tc>
          <w:tcPr>
            <w:tcW w:w="1090" w:type="pct"/>
            <w:shd w:val="clear" w:color="auto" w:fill="auto"/>
            <w:noWrap/>
            <w:vAlign w:val="center"/>
          </w:tcPr>
          <w:p>
            <w:pPr>
              <w:jc w:val="center"/>
              <w:rPr>
                <w:sz w:val="21"/>
                <w:szCs w:val="21"/>
              </w:rPr>
            </w:pPr>
            <w:r>
              <w:rPr>
                <w:sz w:val="21"/>
                <w:szCs w:val="21"/>
              </w:rPr>
              <w:t xml:space="preserve">2.535 </w:t>
            </w:r>
          </w:p>
        </w:tc>
        <w:tc>
          <w:tcPr>
            <w:tcW w:w="1090" w:type="pct"/>
            <w:shd w:val="clear" w:color="auto" w:fill="auto"/>
            <w:noWrap/>
            <w:vAlign w:val="center"/>
          </w:tcPr>
          <w:p>
            <w:pPr>
              <w:jc w:val="center"/>
              <w:rPr>
                <w:sz w:val="21"/>
                <w:szCs w:val="21"/>
              </w:rPr>
            </w:pPr>
            <w:r>
              <w:rPr>
                <w:sz w:val="21"/>
                <w:szCs w:val="21"/>
              </w:rPr>
              <w:t xml:space="preserve">170.679 </w:t>
            </w:r>
          </w:p>
        </w:tc>
        <w:tc>
          <w:tcPr>
            <w:tcW w:w="1090" w:type="pct"/>
            <w:shd w:val="clear" w:color="auto" w:fill="auto"/>
            <w:noWrap/>
            <w:vAlign w:val="center"/>
          </w:tcPr>
          <w:p>
            <w:pPr>
              <w:jc w:val="center"/>
              <w:rPr>
                <w:sz w:val="21"/>
                <w:szCs w:val="21"/>
              </w:rPr>
            </w:pPr>
            <w:r>
              <w:rPr>
                <w:sz w:val="21"/>
                <w:szCs w:val="21"/>
              </w:rPr>
              <w:t xml:space="preserve">2.487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-24</w:t>
            </w:r>
          </w:p>
        </w:tc>
        <w:tc>
          <w:tcPr>
            <w:tcW w:w="1090" w:type="pct"/>
            <w:shd w:val="clear" w:color="auto" w:fill="auto"/>
            <w:noWrap/>
            <w:vAlign w:val="center"/>
          </w:tcPr>
          <w:p>
            <w:pPr>
              <w:jc w:val="center"/>
              <w:rPr>
                <w:sz w:val="21"/>
                <w:szCs w:val="21"/>
              </w:rPr>
            </w:pPr>
            <w:r>
              <w:rPr>
                <w:sz w:val="21"/>
                <w:szCs w:val="21"/>
              </w:rPr>
              <w:t xml:space="preserve">180.140 </w:t>
            </w:r>
          </w:p>
        </w:tc>
        <w:tc>
          <w:tcPr>
            <w:tcW w:w="1090" w:type="pct"/>
            <w:shd w:val="clear" w:color="auto" w:fill="auto"/>
            <w:noWrap/>
            <w:vAlign w:val="center"/>
          </w:tcPr>
          <w:p>
            <w:pPr>
              <w:jc w:val="center"/>
              <w:rPr>
                <w:sz w:val="21"/>
                <w:szCs w:val="21"/>
              </w:rPr>
            </w:pPr>
            <w:r>
              <w:rPr>
                <w:sz w:val="21"/>
                <w:szCs w:val="21"/>
              </w:rPr>
              <w:t xml:space="preserve">2.744 </w:t>
            </w:r>
          </w:p>
        </w:tc>
        <w:tc>
          <w:tcPr>
            <w:tcW w:w="1090" w:type="pct"/>
            <w:shd w:val="clear" w:color="auto" w:fill="auto"/>
            <w:noWrap/>
            <w:vAlign w:val="center"/>
          </w:tcPr>
          <w:p>
            <w:pPr>
              <w:jc w:val="center"/>
              <w:rPr>
                <w:sz w:val="21"/>
                <w:szCs w:val="21"/>
              </w:rPr>
            </w:pPr>
            <w:r>
              <w:rPr>
                <w:sz w:val="21"/>
                <w:szCs w:val="21"/>
              </w:rPr>
              <w:t xml:space="preserve">186.857 </w:t>
            </w:r>
          </w:p>
        </w:tc>
        <w:tc>
          <w:tcPr>
            <w:tcW w:w="1090" w:type="pct"/>
            <w:shd w:val="clear" w:color="auto" w:fill="auto"/>
            <w:noWrap/>
            <w:vAlign w:val="center"/>
          </w:tcPr>
          <w:p>
            <w:pPr>
              <w:jc w:val="center"/>
              <w:rPr>
                <w:sz w:val="21"/>
                <w:szCs w:val="21"/>
              </w:rPr>
            </w:pPr>
            <w:r>
              <w:rPr>
                <w:sz w:val="21"/>
                <w:szCs w:val="21"/>
              </w:rPr>
              <w:t xml:space="preserve">2.688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-23</w:t>
            </w:r>
          </w:p>
        </w:tc>
        <w:tc>
          <w:tcPr>
            <w:tcW w:w="1090" w:type="pct"/>
            <w:shd w:val="clear" w:color="auto" w:fill="auto"/>
            <w:noWrap/>
            <w:vAlign w:val="center"/>
          </w:tcPr>
          <w:p>
            <w:pPr>
              <w:jc w:val="center"/>
              <w:rPr>
                <w:sz w:val="21"/>
                <w:szCs w:val="21"/>
              </w:rPr>
            </w:pPr>
            <w:r>
              <w:rPr>
                <w:sz w:val="21"/>
                <w:szCs w:val="21"/>
              </w:rPr>
              <w:t xml:space="preserve">197.668 </w:t>
            </w:r>
          </w:p>
        </w:tc>
        <w:tc>
          <w:tcPr>
            <w:tcW w:w="1090" w:type="pct"/>
            <w:shd w:val="clear" w:color="auto" w:fill="auto"/>
            <w:noWrap/>
            <w:vAlign w:val="center"/>
          </w:tcPr>
          <w:p>
            <w:pPr>
              <w:jc w:val="center"/>
              <w:rPr>
                <w:sz w:val="21"/>
                <w:szCs w:val="21"/>
              </w:rPr>
            </w:pPr>
            <w:r>
              <w:rPr>
                <w:sz w:val="21"/>
                <w:szCs w:val="21"/>
              </w:rPr>
              <w:t xml:space="preserve">2.980 </w:t>
            </w:r>
          </w:p>
        </w:tc>
        <w:tc>
          <w:tcPr>
            <w:tcW w:w="1090" w:type="pct"/>
            <w:shd w:val="clear" w:color="auto" w:fill="auto"/>
            <w:noWrap/>
            <w:vAlign w:val="center"/>
          </w:tcPr>
          <w:p>
            <w:pPr>
              <w:jc w:val="center"/>
              <w:rPr>
                <w:sz w:val="21"/>
                <w:szCs w:val="21"/>
              </w:rPr>
            </w:pPr>
            <w:r>
              <w:rPr>
                <w:sz w:val="21"/>
                <w:szCs w:val="21"/>
              </w:rPr>
              <w:t xml:space="preserve">205.594 </w:t>
            </w:r>
          </w:p>
        </w:tc>
        <w:tc>
          <w:tcPr>
            <w:tcW w:w="1090" w:type="pct"/>
            <w:shd w:val="clear" w:color="auto" w:fill="auto"/>
            <w:noWrap/>
            <w:vAlign w:val="center"/>
          </w:tcPr>
          <w:p>
            <w:pPr>
              <w:jc w:val="center"/>
              <w:rPr>
                <w:sz w:val="21"/>
                <w:szCs w:val="21"/>
              </w:rPr>
            </w:pPr>
            <w:r>
              <w:rPr>
                <w:sz w:val="21"/>
                <w:szCs w:val="21"/>
              </w:rPr>
              <w:t xml:space="preserve">2.913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-22</w:t>
            </w:r>
          </w:p>
        </w:tc>
        <w:tc>
          <w:tcPr>
            <w:tcW w:w="1090" w:type="pct"/>
            <w:shd w:val="clear" w:color="auto" w:fill="auto"/>
            <w:noWrap/>
            <w:vAlign w:val="center"/>
          </w:tcPr>
          <w:p>
            <w:pPr>
              <w:jc w:val="center"/>
              <w:rPr>
                <w:sz w:val="21"/>
                <w:szCs w:val="21"/>
              </w:rPr>
            </w:pPr>
            <w:r>
              <w:rPr>
                <w:sz w:val="21"/>
                <w:szCs w:val="21"/>
              </w:rPr>
              <w:t xml:space="preserve">218.125 </w:t>
            </w:r>
          </w:p>
        </w:tc>
        <w:tc>
          <w:tcPr>
            <w:tcW w:w="1090" w:type="pct"/>
            <w:shd w:val="clear" w:color="auto" w:fill="auto"/>
            <w:noWrap/>
            <w:vAlign w:val="center"/>
          </w:tcPr>
          <w:p>
            <w:pPr>
              <w:jc w:val="center"/>
              <w:rPr>
                <w:sz w:val="21"/>
                <w:szCs w:val="21"/>
              </w:rPr>
            </w:pPr>
            <w:r>
              <w:rPr>
                <w:sz w:val="21"/>
                <w:szCs w:val="21"/>
              </w:rPr>
              <w:t xml:space="preserve">3.246 </w:t>
            </w:r>
          </w:p>
        </w:tc>
        <w:tc>
          <w:tcPr>
            <w:tcW w:w="1090" w:type="pct"/>
            <w:shd w:val="clear" w:color="auto" w:fill="auto"/>
            <w:noWrap/>
            <w:vAlign w:val="center"/>
          </w:tcPr>
          <w:p>
            <w:pPr>
              <w:jc w:val="center"/>
              <w:rPr>
                <w:sz w:val="21"/>
                <w:szCs w:val="21"/>
              </w:rPr>
            </w:pPr>
            <w:r>
              <w:rPr>
                <w:sz w:val="21"/>
                <w:szCs w:val="21"/>
              </w:rPr>
              <w:t xml:space="preserve">227.450 </w:t>
            </w:r>
          </w:p>
        </w:tc>
        <w:tc>
          <w:tcPr>
            <w:tcW w:w="1090" w:type="pct"/>
            <w:shd w:val="clear" w:color="auto" w:fill="auto"/>
            <w:noWrap/>
            <w:vAlign w:val="center"/>
          </w:tcPr>
          <w:p>
            <w:pPr>
              <w:jc w:val="center"/>
              <w:rPr>
                <w:sz w:val="21"/>
                <w:szCs w:val="21"/>
              </w:rPr>
            </w:pPr>
            <w:r>
              <w:rPr>
                <w:sz w:val="21"/>
                <w:szCs w:val="21"/>
              </w:rPr>
              <w:t xml:space="preserve">3.167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-21</w:t>
            </w:r>
          </w:p>
        </w:tc>
        <w:tc>
          <w:tcPr>
            <w:tcW w:w="1090" w:type="pct"/>
            <w:shd w:val="clear" w:color="auto" w:fill="auto"/>
            <w:noWrap/>
            <w:vAlign w:val="center"/>
          </w:tcPr>
          <w:p>
            <w:pPr>
              <w:jc w:val="center"/>
              <w:rPr>
                <w:sz w:val="21"/>
                <w:szCs w:val="21"/>
              </w:rPr>
            </w:pPr>
            <w:r>
              <w:rPr>
                <w:sz w:val="21"/>
                <w:szCs w:val="21"/>
              </w:rPr>
              <w:t xml:space="preserve">242.217 </w:t>
            </w:r>
          </w:p>
        </w:tc>
        <w:tc>
          <w:tcPr>
            <w:tcW w:w="1090" w:type="pct"/>
            <w:shd w:val="clear" w:color="auto" w:fill="auto"/>
            <w:noWrap/>
            <w:vAlign w:val="center"/>
          </w:tcPr>
          <w:p>
            <w:pPr>
              <w:jc w:val="center"/>
              <w:rPr>
                <w:sz w:val="21"/>
                <w:szCs w:val="21"/>
              </w:rPr>
            </w:pPr>
            <w:r>
              <w:rPr>
                <w:sz w:val="21"/>
                <w:szCs w:val="21"/>
              </w:rPr>
              <w:t xml:space="preserve">3.550 </w:t>
            </w:r>
          </w:p>
        </w:tc>
        <w:tc>
          <w:tcPr>
            <w:tcW w:w="1090" w:type="pct"/>
            <w:shd w:val="clear" w:color="auto" w:fill="auto"/>
            <w:noWrap/>
            <w:vAlign w:val="center"/>
          </w:tcPr>
          <w:p>
            <w:pPr>
              <w:jc w:val="center"/>
              <w:rPr>
                <w:sz w:val="21"/>
                <w:szCs w:val="21"/>
              </w:rPr>
            </w:pPr>
            <w:r>
              <w:rPr>
                <w:sz w:val="21"/>
                <w:szCs w:val="21"/>
              </w:rPr>
              <w:t xml:space="preserve">253.135 </w:t>
            </w:r>
          </w:p>
        </w:tc>
        <w:tc>
          <w:tcPr>
            <w:tcW w:w="1090" w:type="pct"/>
            <w:shd w:val="clear" w:color="auto" w:fill="auto"/>
            <w:noWrap/>
            <w:vAlign w:val="center"/>
          </w:tcPr>
          <w:p>
            <w:pPr>
              <w:jc w:val="center"/>
              <w:rPr>
                <w:sz w:val="21"/>
                <w:szCs w:val="21"/>
              </w:rPr>
            </w:pPr>
            <w:r>
              <w:rPr>
                <w:sz w:val="21"/>
                <w:szCs w:val="21"/>
              </w:rPr>
              <w:t xml:space="preserve">3.455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-20</w:t>
            </w:r>
          </w:p>
        </w:tc>
        <w:tc>
          <w:tcPr>
            <w:tcW w:w="1090" w:type="pct"/>
            <w:shd w:val="clear" w:color="auto" w:fill="auto"/>
            <w:noWrap/>
            <w:vAlign w:val="center"/>
          </w:tcPr>
          <w:p>
            <w:pPr>
              <w:jc w:val="center"/>
              <w:rPr>
                <w:sz w:val="21"/>
                <w:szCs w:val="21"/>
              </w:rPr>
            </w:pPr>
            <w:r>
              <w:rPr>
                <w:sz w:val="21"/>
                <w:szCs w:val="21"/>
              </w:rPr>
              <w:t xml:space="preserve">270.858 </w:t>
            </w:r>
          </w:p>
        </w:tc>
        <w:tc>
          <w:tcPr>
            <w:tcW w:w="1090" w:type="pct"/>
            <w:shd w:val="clear" w:color="auto" w:fill="auto"/>
            <w:noWrap/>
            <w:vAlign w:val="center"/>
          </w:tcPr>
          <w:p>
            <w:pPr>
              <w:jc w:val="center"/>
              <w:rPr>
                <w:sz w:val="21"/>
                <w:szCs w:val="21"/>
              </w:rPr>
            </w:pPr>
            <w:r>
              <w:rPr>
                <w:sz w:val="21"/>
                <w:szCs w:val="21"/>
              </w:rPr>
              <w:t xml:space="preserve">3.897 </w:t>
            </w:r>
          </w:p>
        </w:tc>
        <w:tc>
          <w:tcPr>
            <w:tcW w:w="1090" w:type="pct"/>
            <w:shd w:val="clear" w:color="auto" w:fill="auto"/>
            <w:noWrap/>
            <w:vAlign w:val="center"/>
          </w:tcPr>
          <w:p>
            <w:pPr>
              <w:jc w:val="center"/>
              <w:rPr>
                <w:sz w:val="21"/>
                <w:szCs w:val="21"/>
              </w:rPr>
            </w:pPr>
            <w:r>
              <w:rPr>
                <w:sz w:val="21"/>
                <w:szCs w:val="21"/>
              </w:rPr>
              <w:t xml:space="preserve">283.548 </w:t>
            </w:r>
          </w:p>
        </w:tc>
        <w:tc>
          <w:tcPr>
            <w:tcW w:w="1090" w:type="pct"/>
            <w:shd w:val="clear" w:color="auto" w:fill="auto"/>
            <w:noWrap/>
            <w:vAlign w:val="center"/>
          </w:tcPr>
          <w:p>
            <w:pPr>
              <w:jc w:val="center"/>
              <w:rPr>
                <w:sz w:val="21"/>
                <w:szCs w:val="21"/>
              </w:rPr>
            </w:pPr>
            <w:r>
              <w:rPr>
                <w:sz w:val="21"/>
                <w:szCs w:val="21"/>
              </w:rPr>
              <w:t xml:space="preserve">3.783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-19</w:t>
            </w:r>
          </w:p>
        </w:tc>
        <w:tc>
          <w:tcPr>
            <w:tcW w:w="1090" w:type="pct"/>
            <w:shd w:val="clear" w:color="auto" w:fill="auto"/>
            <w:noWrap/>
            <w:vAlign w:val="center"/>
          </w:tcPr>
          <w:p>
            <w:pPr>
              <w:jc w:val="center"/>
              <w:rPr>
                <w:sz w:val="21"/>
                <w:szCs w:val="21"/>
              </w:rPr>
            </w:pPr>
            <w:r>
              <w:rPr>
                <w:sz w:val="21"/>
                <w:szCs w:val="21"/>
              </w:rPr>
              <w:t xml:space="preserve">305.244 </w:t>
            </w:r>
          </w:p>
        </w:tc>
        <w:tc>
          <w:tcPr>
            <w:tcW w:w="1090" w:type="pct"/>
            <w:shd w:val="clear" w:color="auto" w:fill="auto"/>
            <w:noWrap/>
            <w:vAlign w:val="center"/>
          </w:tcPr>
          <w:p>
            <w:pPr>
              <w:jc w:val="center"/>
              <w:rPr>
                <w:sz w:val="21"/>
                <w:szCs w:val="21"/>
              </w:rPr>
            </w:pPr>
            <w:r>
              <w:rPr>
                <w:sz w:val="21"/>
                <w:szCs w:val="21"/>
              </w:rPr>
              <w:t xml:space="preserve">4.297 </w:t>
            </w:r>
          </w:p>
        </w:tc>
        <w:tc>
          <w:tcPr>
            <w:tcW w:w="1090" w:type="pct"/>
            <w:shd w:val="clear" w:color="auto" w:fill="auto"/>
            <w:noWrap/>
            <w:vAlign w:val="center"/>
          </w:tcPr>
          <w:p>
            <w:pPr>
              <w:jc w:val="center"/>
              <w:rPr>
                <w:sz w:val="21"/>
                <w:szCs w:val="21"/>
              </w:rPr>
            </w:pPr>
            <w:r>
              <w:rPr>
                <w:sz w:val="21"/>
                <w:szCs w:val="21"/>
              </w:rPr>
              <w:t xml:space="preserve">319.833 </w:t>
            </w:r>
          </w:p>
        </w:tc>
        <w:tc>
          <w:tcPr>
            <w:tcW w:w="1090" w:type="pct"/>
            <w:shd w:val="clear" w:color="auto" w:fill="auto"/>
            <w:noWrap/>
            <w:vAlign w:val="center"/>
          </w:tcPr>
          <w:p>
            <w:pPr>
              <w:jc w:val="center"/>
              <w:rPr>
                <w:sz w:val="21"/>
                <w:szCs w:val="21"/>
              </w:rPr>
            </w:pPr>
            <w:r>
              <w:rPr>
                <w:sz w:val="21"/>
                <w:szCs w:val="21"/>
              </w:rPr>
              <w:t xml:space="preserve">4.158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-18</w:t>
            </w:r>
          </w:p>
        </w:tc>
        <w:tc>
          <w:tcPr>
            <w:tcW w:w="1090" w:type="pct"/>
            <w:shd w:val="clear" w:color="auto" w:fill="auto"/>
            <w:noWrap/>
            <w:vAlign w:val="center"/>
          </w:tcPr>
          <w:p>
            <w:pPr>
              <w:jc w:val="center"/>
              <w:rPr>
                <w:sz w:val="21"/>
                <w:szCs w:val="21"/>
              </w:rPr>
            </w:pPr>
            <w:r>
              <w:rPr>
                <w:sz w:val="21"/>
                <w:szCs w:val="21"/>
              </w:rPr>
              <w:t xml:space="preserve">346.949 </w:t>
            </w:r>
          </w:p>
        </w:tc>
        <w:tc>
          <w:tcPr>
            <w:tcW w:w="1090" w:type="pct"/>
            <w:shd w:val="clear" w:color="auto" w:fill="auto"/>
            <w:noWrap/>
            <w:vAlign w:val="center"/>
          </w:tcPr>
          <w:p>
            <w:pPr>
              <w:jc w:val="center"/>
              <w:rPr>
                <w:sz w:val="21"/>
                <w:szCs w:val="21"/>
              </w:rPr>
            </w:pPr>
            <w:r>
              <w:rPr>
                <w:sz w:val="21"/>
                <w:szCs w:val="21"/>
              </w:rPr>
              <w:t xml:space="preserve">4.760 </w:t>
            </w:r>
          </w:p>
        </w:tc>
        <w:tc>
          <w:tcPr>
            <w:tcW w:w="1090" w:type="pct"/>
            <w:shd w:val="clear" w:color="auto" w:fill="auto"/>
            <w:noWrap/>
            <w:vAlign w:val="center"/>
          </w:tcPr>
          <w:p>
            <w:pPr>
              <w:jc w:val="center"/>
              <w:rPr>
                <w:sz w:val="21"/>
                <w:szCs w:val="21"/>
              </w:rPr>
            </w:pPr>
            <w:r>
              <w:rPr>
                <w:sz w:val="21"/>
                <w:szCs w:val="21"/>
              </w:rPr>
              <w:t xml:space="preserve">363.446 </w:t>
            </w:r>
          </w:p>
        </w:tc>
        <w:tc>
          <w:tcPr>
            <w:tcW w:w="1090" w:type="pct"/>
            <w:shd w:val="clear" w:color="auto" w:fill="auto"/>
            <w:noWrap/>
            <w:vAlign w:val="center"/>
          </w:tcPr>
          <w:p>
            <w:pPr>
              <w:jc w:val="center"/>
              <w:rPr>
                <w:sz w:val="21"/>
                <w:szCs w:val="21"/>
              </w:rPr>
            </w:pPr>
            <w:r>
              <w:rPr>
                <w:sz w:val="21"/>
                <w:szCs w:val="21"/>
              </w:rPr>
              <w:t xml:space="preserve">4.590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-17</w:t>
            </w:r>
          </w:p>
        </w:tc>
        <w:tc>
          <w:tcPr>
            <w:tcW w:w="1090" w:type="pct"/>
            <w:shd w:val="clear" w:color="auto" w:fill="auto"/>
            <w:noWrap/>
            <w:vAlign w:val="center"/>
          </w:tcPr>
          <w:p>
            <w:pPr>
              <w:jc w:val="center"/>
              <w:rPr>
                <w:sz w:val="21"/>
                <w:szCs w:val="21"/>
              </w:rPr>
            </w:pPr>
            <w:r>
              <w:rPr>
                <w:sz w:val="21"/>
                <w:szCs w:val="21"/>
              </w:rPr>
              <w:t xml:space="preserve">398.044 </w:t>
            </w:r>
          </w:p>
        </w:tc>
        <w:tc>
          <w:tcPr>
            <w:tcW w:w="1090" w:type="pct"/>
            <w:shd w:val="clear" w:color="auto" w:fill="auto"/>
            <w:noWrap/>
            <w:vAlign w:val="center"/>
          </w:tcPr>
          <w:p>
            <w:pPr>
              <w:jc w:val="center"/>
              <w:rPr>
                <w:sz w:val="21"/>
                <w:szCs w:val="21"/>
              </w:rPr>
            </w:pPr>
            <w:r>
              <w:rPr>
                <w:sz w:val="21"/>
                <w:szCs w:val="21"/>
              </w:rPr>
              <w:t xml:space="preserve">5.301 </w:t>
            </w:r>
          </w:p>
        </w:tc>
        <w:tc>
          <w:tcPr>
            <w:tcW w:w="1090" w:type="pct"/>
            <w:shd w:val="clear" w:color="auto" w:fill="auto"/>
            <w:noWrap/>
            <w:vAlign w:val="center"/>
          </w:tcPr>
          <w:p>
            <w:pPr>
              <w:jc w:val="center"/>
              <w:rPr>
                <w:sz w:val="21"/>
                <w:szCs w:val="21"/>
              </w:rPr>
            </w:pPr>
            <w:r>
              <w:rPr>
                <w:sz w:val="21"/>
                <w:szCs w:val="21"/>
              </w:rPr>
              <w:t xml:space="preserve">416.236 </w:t>
            </w:r>
          </w:p>
        </w:tc>
        <w:tc>
          <w:tcPr>
            <w:tcW w:w="1090" w:type="pct"/>
            <w:shd w:val="clear" w:color="auto" w:fill="auto"/>
            <w:noWrap/>
            <w:vAlign w:val="center"/>
          </w:tcPr>
          <w:p>
            <w:pPr>
              <w:jc w:val="center"/>
              <w:rPr>
                <w:sz w:val="21"/>
                <w:szCs w:val="21"/>
              </w:rPr>
            </w:pPr>
            <w:r>
              <w:rPr>
                <w:sz w:val="21"/>
                <w:szCs w:val="21"/>
              </w:rPr>
              <w:t xml:space="preserve">5.089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-16</w:t>
            </w:r>
          </w:p>
        </w:tc>
        <w:tc>
          <w:tcPr>
            <w:tcW w:w="1090" w:type="pct"/>
            <w:shd w:val="clear" w:color="auto" w:fill="auto"/>
            <w:noWrap/>
            <w:vAlign w:val="center"/>
          </w:tcPr>
          <w:p>
            <w:pPr>
              <w:jc w:val="center"/>
              <w:rPr>
                <w:sz w:val="21"/>
                <w:szCs w:val="21"/>
              </w:rPr>
            </w:pPr>
            <w:r>
              <w:rPr>
                <w:sz w:val="21"/>
                <w:szCs w:val="21"/>
              </w:rPr>
              <w:t xml:space="preserve">461.272 </w:t>
            </w:r>
          </w:p>
        </w:tc>
        <w:tc>
          <w:tcPr>
            <w:tcW w:w="1090" w:type="pct"/>
            <w:shd w:val="clear" w:color="auto" w:fill="auto"/>
            <w:noWrap/>
            <w:vAlign w:val="center"/>
          </w:tcPr>
          <w:p>
            <w:pPr>
              <w:jc w:val="center"/>
              <w:rPr>
                <w:sz w:val="21"/>
                <w:szCs w:val="21"/>
              </w:rPr>
            </w:pPr>
            <w:r>
              <w:rPr>
                <w:sz w:val="21"/>
                <w:szCs w:val="21"/>
              </w:rPr>
              <w:t xml:space="preserve">5.936 </w:t>
            </w:r>
          </w:p>
        </w:tc>
        <w:tc>
          <w:tcPr>
            <w:tcW w:w="1090" w:type="pct"/>
            <w:shd w:val="clear" w:color="auto" w:fill="auto"/>
            <w:noWrap/>
            <w:vAlign w:val="center"/>
          </w:tcPr>
          <w:p>
            <w:pPr>
              <w:jc w:val="center"/>
              <w:rPr>
                <w:sz w:val="21"/>
                <w:szCs w:val="21"/>
              </w:rPr>
            </w:pPr>
            <w:r>
              <w:rPr>
                <w:sz w:val="21"/>
                <w:szCs w:val="21"/>
              </w:rPr>
              <w:t xml:space="preserve">480.542 </w:t>
            </w:r>
          </w:p>
        </w:tc>
        <w:tc>
          <w:tcPr>
            <w:tcW w:w="1090" w:type="pct"/>
            <w:shd w:val="clear" w:color="auto" w:fill="auto"/>
            <w:noWrap/>
            <w:vAlign w:val="center"/>
          </w:tcPr>
          <w:p>
            <w:pPr>
              <w:jc w:val="center"/>
              <w:rPr>
                <w:sz w:val="21"/>
                <w:szCs w:val="21"/>
              </w:rPr>
            </w:pPr>
            <w:r>
              <w:rPr>
                <w:sz w:val="21"/>
                <w:szCs w:val="21"/>
              </w:rPr>
              <w:t xml:space="preserve">5.671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-15</w:t>
            </w:r>
          </w:p>
        </w:tc>
        <w:tc>
          <w:tcPr>
            <w:tcW w:w="1090" w:type="pct"/>
            <w:shd w:val="clear" w:color="auto" w:fill="auto"/>
            <w:noWrap/>
            <w:vAlign w:val="center"/>
          </w:tcPr>
          <w:p>
            <w:pPr>
              <w:jc w:val="center"/>
              <w:rPr>
                <w:sz w:val="21"/>
                <w:szCs w:val="21"/>
              </w:rPr>
            </w:pPr>
            <w:r>
              <w:rPr>
                <w:sz w:val="21"/>
                <w:szCs w:val="21"/>
              </w:rPr>
              <w:t xml:space="preserve">540.247 </w:t>
            </w:r>
          </w:p>
        </w:tc>
        <w:tc>
          <w:tcPr>
            <w:tcW w:w="1090" w:type="pct"/>
            <w:shd w:val="clear" w:color="auto" w:fill="auto"/>
            <w:noWrap/>
            <w:vAlign w:val="center"/>
          </w:tcPr>
          <w:p>
            <w:pPr>
              <w:jc w:val="center"/>
              <w:rPr>
                <w:sz w:val="21"/>
                <w:szCs w:val="21"/>
              </w:rPr>
            </w:pPr>
            <w:r>
              <w:rPr>
                <w:sz w:val="21"/>
                <w:szCs w:val="21"/>
              </w:rPr>
              <w:t xml:space="preserve">6.688 </w:t>
            </w:r>
          </w:p>
        </w:tc>
        <w:tc>
          <w:tcPr>
            <w:tcW w:w="1090" w:type="pct"/>
            <w:shd w:val="clear" w:color="auto" w:fill="auto"/>
            <w:noWrap/>
            <w:vAlign w:val="center"/>
          </w:tcPr>
          <w:p>
            <w:pPr>
              <w:jc w:val="center"/>
              <w:rPr>
                <w:sz w:val="21"/>
                <w:szCs w:val="21"/>
              </w:rPr>
            </w:pPr>
            <w:r>
              <w:rPr>
                <w:sz w:val="21"/>
                <w:szCs w:val="21"/>
              </w:rPr>
              <w:t xml:space="preserve">559.290 </w:t>
            </w:r>
          </w:p>
        </w:tc>
        <w:tc>
          <w:tcPr>
            <w:tcW w:w="1090" w:type="pct"/>
            <w:shd w:val="clear" w:color="auto" w:fill="auto"/>
            <w:noWrap/>
            <w:vAlign w:val="center"/>
          </w:tcPr>
          <w:p>
            <w:pPr>
              <w:jc w:val="center"/>
              <w:rPr>
                <w:sz w:val="21"/>
                <w:szCs w:val="21"/>
              </w:rPr>
            </w:pPr>
            <w:r>
              <w:rPr>
                <w:sz w:val="21"/>
                <w:szCs w:val="21"/>
              </w:rPr>
              <w:t xml:space="preserve">6.352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-14</w:t>
            </w:r>
          </w:p>
        </w:tc>
        <w:tc>
          <w:tcPr>
            <w:tcW w:w="1090" w:type="pct"/>
            <w:shd w:val="clear" w:color="auto" w:fill="auto"/>
            <w:noWrap/>
            <w:vAlign w:val="center"/>
          </w:tcPr>
          <w:p>
            <w:pPr>
              <w:jc w:val="center"/>
              <w:rPr>
                <w:sz w:val="21"/>
                <w:szCs w:val="21"/>
              </w:rPr>
            </w:pPr>
            <w:r>
              <w:rPr>
                <w:sz w:val="21"/>
                <w:szCs w:val="21"/>
              </w:rPr>
              <w:t xml:space="preserve">639.715 </w:t>
            </w:r>
          </w:p>
        </w:tc>
        <w:tc>
          <w:tcPr>
            <w:tcW w:w="1090" w:type="pct"/>
            <w:shd w:val="clear" w:color="auto" w:fill="auto"/>
            <w:noWrap/>
            <w:vAlign w:val="center"/>
          </w:tcPr>
          <w:p>
            <w:pPr>
              <w:jc w:val="center"/>
              <w:rPr>
                <w:sz w:val="21"/>
                <w:szCs w:val="21"/>
              </w:rPr>
            </w:pPr>
            <w:r>
              <w:rPr>
                <w:sz w:val="21"/>
                <w:szCs w:val="21"/>
              </w:rPr>
              <w:t xml:space="preserve">7.586 </w:t>
            </w:r>
          </w:p>
        </w:tc>
        <w:tc>
          <w:tcPr>
            <w:tcW w:w="1090" w:type="pct"/>
            <w:shd w:val="clear" w:color="auto" w:fill="auto"/>
            <w:noWrap/>
            <w:vAlign w:val="center"/>
          </w:tcPr>
          <w:p>
            <w:pPr>
              <w:jc w:val="center"/>
              <w:rPr>
                <w:sz w:val="21"/>
                <w:szCs w:val="21"/>
              </w:rPr>
            </w:pPr>
            <w:r>
              <w:rPr>
                <w:sz w:val="21"/>
                <w:szCs w:val="21"/>
              </w:rPr>
              <w:t xml:space="preserve">656.080 </w:t>
            </w:r>
          </w:p>
        </w:tc>
        <w:tc>
          <w:tcPr>
            <w:tcW w:w="1090" w:type="pct"/>
            <w:shd w:val="clear" w:color="auto" w:fill="auto"/>
            <w:noWrap/>
            <w:vAlign w:val="center"/>
          </w:tcPr>
          <w:p>
            <w:pPr>
              <w:jc w:val="center"/>
              <w:rPr>
                <w:sz w:val="21"/>
                <w:szCs w:val="21"/>
              </w:rPr>
            </w:pPr>
            <w:r>
              <w:rPr>
                <w:sz w:val="21"/>
                <w:szCs w:val="21"/>
              </w:rPr>
              <w:t xml:space="preserve">7.154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-13</w:t>
            </w:r>
          </w:p>
        </w:tc>
        <w:tc>
          <w:tcPr>
            <w:tcW w:w="1090" w:type="pct"/>
            <w:shd w:val="clear" w:color="auto" w:fill="auto"/>
            <w:noWrap/>
            <w:vAlign w:val="center"/>
          </w:tcPr>
          <w:p>
            <w:pPr>
              <w:jc w:val="center"/>
              <w:rPr>
                <w:sz w:val="21"/>
                <w:szCs w:val="21"/>
              </w:rPr>
            </w:pPr>
            <w:r>
              <w:rPr>
                <w:sz w:val="21"/>
                <w:szCs w:val="21"/>
              </w:rPr>
              <w:t xml:space="preserve">765.826 </w:t>
            </w:r>
          </w:p>
        </w:tc>
        <w:tc>
          <w:tcPr>
            <w:tcW w:w="1090" w:type="pct"/>
            <w:shd w:val="clear" w:color="auto" w:fill="auto"/>
            <w:noWrap/>
            <w:vAlign w:val="center"/>
          </w:tcPr>
          <w:p>
            <w:pPr>
              <w:jc w:val="center"/>
              <w:rPr>
                <w:sz w:val="21"/>
                <w:szCs w:val="21"/>
              </w:rPr>
            </w:pPr>
            <w:r>
              <w:rPr>
                <w:sz w:val="21"/>
                <w:szCs w:val="21"/>
              </w:rPr>
              <w:t xml:space="preserve">8.668 </w:t>
            </w:r>
          </w:p>
        </w:tc>
        <w:tc>
          <w:tcPr>
            <w:tcW w:w="1090" w:type="pct"/>
            <w:shd w:val="clear" w:color="auto" w:fill="auto"/>
            <w:noWrap/>
            <w:vAlign w:val="center"/>
          </w:tcPr>
          <w:p>
            <w:pPr>
              <w:jc w:val="center"/>
              <w:rPr>
                <w:sz w:val="21"/>
                <w:szCs w:val="21"/>
              </w:rPr>
            </w:pPr>
            <w:r>
              <w:rPr>
                <w:sz w:val="21"/>
                <w:szCs w:val="21"/>
              </w:rPr>
              <w:t xml:space="preserve">775.196 </w:t>
            </w:r>
          </w:p>
        </w:tc>
        <w:tc>
          <w:tcPr>
            <w:tcW w:w="1090" w:type="pct"/>
            <w:shd w:val="clear" w:color="auto" w:fill="auto"/>
            <w:noWrap/>
            <w:vAlign w:val="center"/>
          </w:tcPr>
          <w:p>
            <w:pPr>
              <w:jc w:val="center"/>
              <w:rPr>
                <w:sz w:val="21"/>
                <w:szCs w:val="21"/>
              </w:rPr>
            </w:pPr>
            <w:r>
              <w:rPr>
                <w:sz w:val="21"/>
                <w:szCs w:val="21"/>
              </w:rPr>
              <w:t xml:space="preserve">8.103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-12</w:t>
            </w:r>
          </w:p>
        </w:tc>
        <w:tc>
          <w:tcPr>
            <w:tcW w:w="1090" w:type="pct"/>
            <w:shd w:val="clear" w:color="auto" w:fill="auto"/>
            <w:noWrap/>
            <w:vAlign w:val="center"/>
          </w:tcPr>
          <w:p>
            <w:pPr>
              <w:jc w:val="center"/>
              <w:rPr>
                <w:sz w:val="21"/>
                <w:szCs w:val="21"/>
              </w:rPr>
            </w:pPr>
            <w:r>
              <w:rPr>
                <w:sz w:val="21"/>
                <w:szCs w:val="21"/>
              </w:rPr>
              <w:t xml:space="preserve">926.354 </w:t>
            </w:r>
          </w:p>
        </w:tc>
        <w:tc>
          <w:tcPr>
            <w:tcW w:w="1090" w:type="pct"/>
            <w:shd w:val="clear" w:color="auto" w:fill="auto"/>
            <w:noWrap/>
            <w:vAlign w:val="center"/>
          </w:tcPr>
          <w:p>
            <w:pPr>
              <w:jc w:val="center"/>
              <w:rPr>
                <w:sz w:val="21"/>
                <w:szCs w:val="21"/>
              </w:rPr>
            </w:pPr>
            <w:r>
              <w:rPr>
                <w:sz w:val="21"/>
                <w:szCs w:val="21"/>
              </w:rPr>
              <w:t xml:space="preserve">9.982 </w:t>
            </w:r>
          </w:p>
        </w:tc>
        <w:tc>
          <w:tcPr>
            <w:tcW w:w="1090" w:type="pct"/>
            <w:shd w:val="clear" w:color="auto" w:fill="auto"/>
            <w:noWrap/>
            <w:vAlign w:val="center"/>
          </w:tcPr>
          <w:p>
            <w:pPr>
              <w:jc w:val="center"/>
              <w:rPr>
                <w:sz w:val="21"/>
                <w:szCs w:val="21"/>
              </w:rPr>
            </w:pPr>
            <w:r>
              <w:rPr>
                <w:sz w:val="21"/>
                <w:szCs w:val="21"/>
              </w:rPr>
              <w:t xml:space="preserve">921.466 </w:t>
            </w:r>
          </w:p>
        </w:tc>
        <w:tc>
          <w:tcPr>
            <w:tcW w:w="1090" w:type="pct"/>
            <w:shd w:val="clear" w:color="auto" w:fill="auto"/>
            <w:noWrap/>
            <w:vAlign w:val="center"/>
          </w:tcPr>
          <w:p>
            <w:pPr>
              <w:jc w:val="center"/>
              <w:rPr>
                <w:sz w:val="21"/>
                <w:szCs w:val="21"/>
              </w:rPr>
            </w:pPr>
            <w:r>
              <w:rPr>
                <w:sz w:val="21"/>
                <w:szCs w:val="21"/>
              </w:rPr>
              <w:t xml:space="preserve">9.234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-11</w:t>
            </w:r>
          </w:p>
        </w:tc>
        <w:tc>
          <w:tcPr>
            <w:tcW w:w="1090" w:type="pct"/>
            <w:shd w:val="clear" w:color="auto" w:fill="auto"/>
            <w:noWrap/>
            <w:vAlign w:val="center"/>
          </w:tcPr>
          <w:p>
            <w:pPr>
              <w:jc w:val="center"/>
              <w:rPr>
                <w:sz w:val="21"/>
                <w:szCs w:val="21"/>
              </w:rPr>
            </w:pPr>
            <w:r>
              <w:rPr>
                <w:sz w:val="21"/>
                <w:szCs w:val="21"/>
              </w:rPr>
              <w:t xml:space="preserve">1130.677 </w:t>
            </w:r>
          </w:p>
        </w:tc>
        <w:tc>
          <w:tcPr>
            <w:tcW w:w="1090" w:type="pct"/>
            <w:shd w:val="clear" w:color="auto" w:fill="auto"/>
            <w:noWrap/>
            <w:vAlign w:val="center"/>
          </w:tcPr>
          <w:p>
            <w:pPr>
              <w:jc w:val="center"/>
              <w:rPr>
                <w:sz w:val="21"/>
                <w:szCs w:val="21"/>
              </w:rPr>
            </w:pPr>
            <w:r>
              <w:rPr>
                <w:sz w:val="21"/>
                <w:szCs w:val="21"/>
              </w:rPr>
              <w:t xml:space="preserve">11.592 </w:t>
            </w:r>
          </w:p>
        </w:tc>
        <w:tc>
          <w:tcPr>
            <w:tcW w:w="1090" w:type="pct"/>
            <w:shd w:val="clear" w:color="auto" w:fill="auto"/>
            <w:noWrap/>
            <w:vAlign w:val="center"/>
          </w:tcPr>
          <w:p>
            <w:pPr>
              <w:jc w:val="center"/>
              <w:rPr>
                <w:sz w:val="21"/>
                <w:szCs w:val="21"/>
              </w:rPr>
            </w:pPr>
            <w:r>
              <w:rPr>
                <w:sz w:val="21"/>
                <w:szCs w:val="21"/>
              </w:rPr>
              <w:t xml:space="preserve">1099.743 </w:t>
            </w:r>
          </w:p>
        </w:tc>
        <w:tc>
          <w:tcPr>
            <w:tcW w:w="1090" w:type="pct"/>
            <w:shd w:val="clear" w:color="auto" w:fill="auto"/>
            <w:noWrap/>
            <w:vAlign w:val="center"/>
          </w:tcPr>
          <w:p>
            <w:pPr>
              <w:jc w:val="center"/>
              <w:rPr>
                <w:sz w:val="21"/>
                <w:szCs w:val="21"/>
              </w:rPr>
            </w:pPr>
            <w:r>
              <w:rPr>
                <w:sz w:val="21"/>
                <w:szCs w:val="21"/>
              </w:rPr>
              <w:t xml:space="preserve">10.584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-10</w:t>
            </w:r>
          </w:p>
        </w:tc>
        <w:tc>
          <w:tcPr>
            <w:tcW w:w="1090" w:type="pct"/>
            <w:shd w:val="clear" w:color="auto" w:fill="auto"/>
            <w:noWrap/>
            <w:vAlign w:val="center"/>
          </w:tcPr>
          <w:p>
            <w:pPr>
              <w:jc w:val="center"/>
              <w:rPr>
                <w:sz w:val="21"/>
                <w:szCs w:val="21"/>
              </w:rPr>
            </w:pPr>
            <w:r>
              <w:rPr>
                <w:sz w:val="21"/>
                <w:szCs w:val="21"/>
              </w:rPr>
              <w:t xml:space="preserve">1389.058 </w:t>
            </w:r>
          </w:p>
        </w:tc>
        <w:tc>
          <w:tcPr>
            <w:tcW w:w="1090" w:type="pct"/>
            <w:shd w:val="clear" w:color="auto" w:fill="auto"/>
            <w:noWrap/>
            <w:vAlign w:val="center"/>
          </w:tcPr>
          <w:p>
            <w:pPr>
              <w:jc w:val="center"/>
              <w:rPr>
                <w:sz w:val="21"/>
                <w:szCs w:val="21"/>
              </w:rPr>
            </w:pPr>
            <w:r>
              <w:rPr>
                <w:sz w:val="21"/>
                <w:szCs w:val="21"/>
              </w:rPr>
              <w:t xml:space="preserve">13.575 </w:t>
            </w:r>
          </w:p>
        </w:tc>
        <w:tc>
          <w:tcPr>
            <w:tcW w:w="1090" w:type="pct"/>
            <w:shd w:val="clear" w:color="auto" w:fill="auto"/>
            <w:noWrap/>
            <w:vAlign w:val="center"/>
          </w:tcPr>
          <w:p>
            <w:pPr>
              <w:jc w:val="center"/>
              <w:rPr>
                <w:sz w:val="21"/>
                <w:szCs w:val="21"/>
              </w:rPr>
            </w:pPr>
            <w:r>
              <w:rPr>
                <w:sz w:val="21"/>
                <w:szCs w:val="21"/>
              </w:rPr>
              <w:t xml:space="preserve">1313.699 </w:t>
            </w:r>
          </w:p>
        </w:tc>
        <w:tc>
          <w:tcPr>
            <w:tcW w:w="1090" w:type="pct"/>
            <w:shd w:val="clear" w:color="auto" w:fill="auto"/>
            <w:noWrap/>
            <w:vAlign w:val="center"/>
          </w:tcPr>
          <w:p>
            <w:pPr>
              <w:jc w:val="center"/>
              <w:rPr>
                <w:sz w:val="21"/>
                <w:szCs w:val="21"/>
              </w:rPr>
            </w:pPr>
            <w:r>
              <w:rPr>
                <w:sz w:val="21"/>
                <w:szCs w:val="21"/>
              </w:rPr>
              <w:t xml:space="preserve">12.195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-9</w:t>
            </w:r>
          </w:p>
        </w:tc>
        <w:tc>
          <w:tcPr>
            <w:tcW w:w="1090" w:type="pct"/>
            <w:shd w:val="clear" w:color="auto" w:fill="auto"/>
            <w:noWrap/>
            <w:vAlign w:val="center"/>
          </w:tcPr>
          <w:p>
            <w:pPr>
              <w:jc w:val="center"/>
              <w:rPr>
                <w:sz w:val="21"/>
                <w:szCs w:val="21"/>
              </w:rPr>
            </w:pPr>
            <w:r>
              <w:rPr>
                <w:sz w:val="21"/>
                <w:szCs w:val="21"/>
              </w:rPr>
              <w:t xml:space="preserve">1710.307 </w:t>
            </w:r>
          </w:p>
        </w:tc>
        <w:tc>
          <w:tcPr>
            <w:tcW w:w="1090" w:type="pct"/>
            <w:shd w:val="clear" w:color="auto" w:fill="auto"/>
            <w:noWrap/>
            <w:vAlign w:val="center"/>
          </w:tcPr>
          <w:p>
            <w:pPr>
              <w:jc w:val="center"/>
              <w:rPr>
                <w:sz w:val="21"/>
                <w:szCs w:val="21"/>
              </w:rPr>
            </w:pPr>
            <w:r>
              <w:rPr>
                <w:sz w:val="21"/>
                <w:szCs w:val="21"/>
              </w:rPr>
              <w:t xml:space="preserve">16.023 </w:t>
            </w:r>
          </w:p>
        </w:tc>
        <w:tc>
          <w:tcPr>
            <w:tcW w:w="1090" w:type="pct"/>
            <w:shd w:val="clear" w:color="auto" w:fill="auto"/>
            <w:noWrap/>
            <w:vAlign w:val="center"/>
          </w:tcPr>
          <w:p>
            <w:pPr>
              <w:jc w:val="center"/>
              <w:rPr>
                <w:sz w:val="21"/>
                <w:szCs w:val="21"/>
              </w:rPr>
            </w:pPr>
            <w:r>
              <w:rPr>
                <w:sz w:val="21"/>
                <w:szCs w:val="21"/>
              </w:rPr>
              <w:t xml:space="preserve">1563.399 </w:t>
            </w:r>
          </w:p>
        </w:tc>
        <w:tc>
          <w:tcPr>
            <w:tcW w:w="1090" w:type="pct"/>
            <w:shd w:val="clear" w:color="auto" w:fill="auto"/>
            <w:noWrap/>
            <w:vAlign w:val="center"/>
          </w:tcPr>
          <w:p>
            <w:pPr>
              <w:jc w:val="center"/>
              <w:rPr>
                <w:sz w:val="21"/>
                <w:szCs w:val="21"/>
              </w:rPr>
            </w:pPr>
            <w:r>
              <w:rPr>
                <w:sz w:val="21"/>
                <w:szCs w:val="21"/>
              </w:rPr>
              <w:t xml:space="preserve">14.110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-8</w:t>
            </w:r>
          </w:p>
        </w:tc>
        <w:tc>
          <w:tcPr>
            <w:tcW w:w="1090" w:type="pct"/>
            <w:shd w:val="clear" w:color="auto" w:fill="auto"/>
            <w:noWrap/>
            <w:vAlign w:val="center"/>
          </w:tcPr>
          <w:p>
            <w:pPr>
              <w:jc w:val="center"/>
              <w:rPr>
                <w:sz w:val="21"/>
                <w:szCs w:val="21"/>
              </w:rPr>
            </w:pPr>
            <w:r>
              <w:rPr>
                <w:sz w:val="21"/>
                <w:szCs w:val="21"/>
              </w:rPr>
              <w:t xml:space="preserve">2096.115 </w:t>
            </w:r>
          </w:p>
        </w:tc>
        <w:tc>
          <w:tcPr>
            <w:tcW w:w="1090" w:type="pct"/>
            <w:shd w:val="clear" w:color="auto" w:fill="auto"/>
            <w:noWrap/>
            <w:vAlign w:val="center"/>
          </w:tcPr>
          <w:p>
            <w:pPr>
              <w:jc w:val="center"/>
              <w:rPr>
                <w:sz w:val="21"/>
                <w:szCs w:val="21"/>
              </w:rPr>
            </w:pPr>
            <w:r>
              <w:rPr>
                <w:sz w:val="21"/>
                <w:szCs w:val="21"/>
              </w:rPr>
              <w:t xml:space="preserve">19.029 </w:t>
            </w:r>
          </w:p>
        </w:tc>
        <w:tc>
          <w:tcPr>
            <w:tcW w:w="1090" w:type="pct"/>
            <w:shd w:val="clear" w:color="auto" w:fill="auto"/>
            <w:noWrap/>
            <w:vAlign w:val="center"/>
          </w:tcPr>
          <w:p>
            <w:pPr>
              <w:jc w:val="center"/>
              <w:rPr>
                <w:sz w:val="21"/>
                <w:szCs w:val="21"/>
              </w:rPr>
            </w:pPr>
            <w:r>
              <w:rPr>
                <w:sz w:val="21"/>
                <w:szCs w:val="21"/>
              </w:rPr>
              <w:t xml:space="preserve">1841.062 </w:t>
            </w:r>
          </w:p>
        </w:tc>
        <w:tc>
          <w:tcPr>
            <w:tcW w:w="1090" w:type="pct"/>
            <w:shd w:val="clear" w:color="auto" w:fill="auto"/>
            <w:noWrap/>
            <w:vAlign w:val="center"/>
          </w:tcPr>
          <w:p>
            <w:pPr>
              <w:jc w:val="center"/>
              <w:rPr>
                <w:sz w:val="21"/>
                <w:szCs w:val="21"/>
              </w:rPr>
            </w:pPr>
            <w:r>
              <w:rPr>
                <w:sz w:val="21"/>
                <w:szCs w:val="21"/>
              </w:rPr>
              <w:t xml:space="preserve">16.353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-7</w:t>
            </w:r>
          </w:p>
        </w:tc>
        <w:tc>
          <w:tcPr>
            <w:tcW w:w="1090" w:type="pct"/>
            <w:shd w:val="clear" w:color="auto" w:fill="auto"/>
            <w:noWrap/>
            <w:vAlign w:val="center"/>
          </w:tcPr>
          <w:p>
            <w:pPr>
              <w:jc w:val="center"/>
              <w:rPr>
                <w:sz w:val="21"/>
                <w:szCs w:val="21"/>
              </w:rPr>
            </w:pPr>
            <w:r>
              <w:rPr>
                <w:sz w:val="21"/>
                <w:szCs w:val="21"/>
              </w:rPr>
              <w:t xml:space="preserve">2529.719 </w:t>
            </w:r>
          </w:p>
        </w:tc>
        <w:tc>
          <w:tcPr>
            <w:tcW w:w="1090" w:type="pct"/>
            <w:shd w:val="clear" w:color="auto" w:fill="auto"/>
            <w:noWrap/>
            <w:vAlign w:val="center"/>
          </w:tcPr>
          <w:p>
            <w:pPr>
              <w:jc w:val="center"/>
              <w:rPr>
                <w:sz w:val="21"/>
                <w:szCs w:val="21"/>
              </w:rPr>
            </w:pPr>
            <w:r>
              <w:rPr>
                <w:sz w:val="21"/>
                <w:szCs w:val="21"/>
              </w:rPr>
              <w:t xml:space="preserve">22.638 </w:t>
            </w:r>
          </w:p>
        </w:tc>
        <w:tc>
          <w:tcPr>
            <w:tcW w:w="1090" w:type="pct"/>
            <w:shd w:val="clear" w:color="auto" w:fill="auto"/>
            <w:noWrap/>
            <w:vAlign w:val="center"/>
          </w:tcPr>
          <w:p>
            <w:pPr>
              <w:jc w:val="center"/>
              <w:rPr>
                <w:sz w:val="21"/>
                <w:szCs w:val="21"/>
              </w:rPr>
            </w:pPr>
            <w:r>
              <w:rPr>
                <w:sz w:val="21"/>
                <w:szCs w:val="21"/>
              </w:rPr>
              <w:t xml:space="preserve">2124.980 </w:t>
            </w:r>
          </w:p>
        </w:tc>
        <w:tc>
          <w:tcPr>
            <w:tcW w:w="1090" w:type="pct"/>
            <w:shd w:val="clear" w:color="auto" w:fill="auto"/>
            <w:noWrap/>
            <w:vAlign w:val="center"/>
          </w:tcPr>
          <w:p>
            <w:pPr>
              <w:jc w:val="center"/>
              <w:rPr>
                <w:sz w:val="21"/>
                <w:szCs w:val="21"/>
              </w:rPr>
            </w:pPr>
            <w:r>
              <w:rPr>
                <w:sz w:val="21"/>
                <w:szCs w:val="21"/>
              </w:rPr>
              <w:t xml:space="preserve">18.908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-6</w:t>
            </w:r>
          </w:p>
        </w:tc>
        <w:tc>
          <w:tcPr>
            <w:tcW w:w="1090" w:type="pct"/>
            <w:shd w:val="clear" w:color="auto" w:fill="auto"/>
            <w:noWrap/>
            <w:vAlign w:val="center"/>
          </w:tcPr>
          <w:p>
            <w:pPr>
              <w:jc w:val="center"/>
              <w:rPr>
                <w:sz w:val="21"/>
                <w:szCs w:val="21"/>
              </w:rPr>
            </w:pPr>
            <w:r>
              <w:rPr>
                <w:sz w:val="21"/>
                <w:szCs w:val="21"/>
              </w:rPr>
              <w:t xml:space="preserve">2958.397 </w:t>
            </w:r>
          </w:p>
        </w:tc>
        <w:tc>
          <w:tcPr>
            <w:tcW w:w="1090" w:type="pct"/>
            <w:shd w:val="clear" w:color="auto" w:fill="auto"/>
            <w:noWrap/>
            <w:vAlign w:val="center"/>
          </w:tcPr>
          <w:p>
            <w:pPr>
              <w:jc w:val="center"/>
              <w:rPr>
                <w:sz w:val="21"/>
                <w:szCs w:val="21"/>
              </w:rPr>
            </w:pPr>
            <w:r>
              <w:rPr>
                <w:sz w:val="21"/>
                <w:szCs w:val="21"/>
              </w:rPr>
              <w:t xml:space="preserve">26.767 </w:t>
            </w:r>
          </w:p>
        </w:tc>
        <w:tc>
          <w:tcPr>
            <w:tcW w:w="1090" w:type="pct"/>
            <w:shd w:val="clear" w:color="auto" w:fill="auto"/>
            <w:noWrap/>
            <w:vAlign w:val="center"/>
          </w:tcPr>
          <w:p>
            <w:pPr>
              <w:jc w:val="center"/>
              <w:rPr>
                <w:sz w:val="21"/>
                <w:szCs w:val="21"/>
              </w:rPr>
            </w:pPr>
            <w:r>
              <w:rPr>
                <w:sz w:val="21"/>
                <w:szCs w:val="21"/>
              </w:rPr>
              <w:t xml:space="preserve">2373.713 </w:t>
            </w:r>
          </w:p>
        </w:tc>
        <w:tc>
          <w:tcPr>
            <w:tcW w:w="1090" w:type="pct"/>
            <w:shd w:val="clear" w:color="auto" w:fill="auto"/>
            <w:noWrap/>
            <w:vAlign w:val="center"/>
          </w:tcPr>
          <w:p>
            <w:pPr>
              <w:jc w:val="center"/>
              <w:rPr>
                <w:sz w:val="21"/>
                <w:szCs w:val="21"/>
              </w:rPr>
            </w:pPr>
            <w:r>
              <w:rPr>
                <w:sz w:val="21"/>
                <w:szCs w:val="21"/>
              </w:rPr>
              <w:t xml:space="preserve">21.679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-5</w:t>
            </w:r>
          </w:p>
        </w:tc>
        <w:tc>
          <w:tcPr>
            <w:tcW w:w="1090" w:type="pct"/>
            <w:shd w:val="clear" w:color="auto" w:fill="auto"/>
            <w:noWrap/>
            <w:vAlign w:val="center"/>
          </w:tcPr>
          <w:p>
            <w:pPr>
              <w:jc w:val="center"/>
              <w:rPr>
                <w:sz w:val="21"/>
                <w:szCs w:val="21"/>
              </w:rPr>
            </w:pPr>
            <w:r>
              <w:rPr>
                <w:sz w:val="21"/>
                <w:szCs w:val="21"/>
              </w:rPr>
              <w:t xml:space="preserve">3279.781 </w:t>
            </w:r>
          </w:p>
        </w:tc>
        <w:tc>
          <w:tcPr>
            <w:tcW w:w="1090" w:type="pct"/>
            <w:shd w:val="clear" w:color="auto" w:fill="auto"/>
            <w:noWrap/>
            <w:vAlign w:val="center"/>
          </w:tcPr>
          <w:p>
            <w:pPr>
              <w:jc w:val="center"/>
              <w:rPr>
                <w:sz w:val="21"/>
                <w:szCs w:val="21"/>
              </w:rPr>
            </w:pPr>
            <w:r>
              <w:rPr>
                <w:sz w:val="21"/>
                <w:szCs w:val="21"/>
              </w:rPr>
              <w:t xml:space="preserve">31.069 </w:t>
            </w:r>
          </w:p>
        </w:tc>
        <w:tc>
          <w:tcPr>
            <w:tcW w:w="1090" w:type="pct"/>
            <w:shd w:val="clear" w:color="auto" w:fill="auto"/>
            <w:noWrap/>
            <w:vAlign w:val="center"/>
          </w:tcPr>
          <w:p>
            <w:pPr>
              <w:jc w:val="center"/>
              <w:rPr>
                <w:sz w:val="21"/>
                <w:szCs w:val="21"/>
              </w:rPr>
            </w:pPr>
            <w:r>
              <w:rPr>
                <w:sz w:val="21"/>
                <w:szCs w:val="21"/>
              </w:rPr>
              <w:t xml:space="preserve">2527.188 </w:t>
            </w:r>
          </w:p>
        </w:tc>
        <w:tc>
          <w:tcPr>
            <w:tcW w:w="1090" w:type="pct"/>
            <w:shd w:val="clear" w:color="auto" w:fill="auto"/>
            <w:noWrap/>
            <w:vAlign w:val="center"/>
          </w:tcPr>
          <w:p>
            <w:pPr>
              <w:jc w:val="center"/>
              <w:rPr>
                <w:sz w:val="21"/>
                <w:szCs w:val="21"/>
              </w:rPr>
            </w:pPr>
            <w:r>
              <w:rPr>
                <w:sz w:val="21"/>
                <w:szCs w:val="21"/>
              </w:rPr>
              <w:t xml:space="preserve">24.459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-4</w:t>
            </w:r>
          </w:p>
        </w:tc>
        <w:tc>
          <w:tcPr>
            <w:tcW w:w="1090" w:type="pct"/>
            <w:shd w:val="clear" w:color="auto" w:fill="auto"/>
            <w:noWrap/>
            <w:vAlign w:val="center"/>
          </w:tcPr>
          <w:p>
            <w:pPr>
              <w:jc w:val="center"/>
              <w:rPr>
                <w:sz w:val="21"/>
                <w:szCs w:val="21"/>
              </w:rPr>
            </w:pPr>
            <w:r>
              <w:rPr>
                <w:sz w:val="21"/>
                <w:szCs w:val="21"/>
              </w:rPr>
              <w:t xml:space="preserve">3362.698 </w:t>
            </w:r>
          </w:p>
        </w:tc>
        <w:tc>
          <w:tcPr>
            <w:tcW w:w="1090" w:type="pct"/>
            <w:shd w:val="clear" w:color="auto" w:fill="auto"/>
            <w:noWrap/>
            <w:vAlign w:val="center"/>
          </w:tcPr>
          <w:p>
            <w:pPr>
              <w:jc w:val="center"/>
              <w:rPr>
                <w:sz w:val="21"/>
                <w:szCs w:val="21"/>
              </w:rPr>
            </w:pPr>
            <w:r>
              <w:rPr>
                <w:sz w:val="21"/>
                <w:szCs w:val="21"/>
              </w:rPr>
              <w:t xml:space="preserve">34.912 </w:t>
            </w:r>
          </w:p>
        </w:tc>
        <w:tc>
          <w:tcPr>
            <w:tcW w:w="1090" w:type="pct"/>
            <w:shd w:val="clear" w:color="auto" w:fill="auto"/>
            <w:noWrap/>
            <w:vAlign w:val="center"/>
          </w:tcPr>
          <w:p>
            <w:pPr>
              <w:jc w:val="center"/>
              <w:rPr>
                <w:sz w:val="21"/>
                <w:szCs w:val="21"/>
              </w:rPr>
            </w:pPr>
            <w:r>
              <w:rPr>
                <w:sz w:val="21"/>
                <w:szCs w:val="21"/>
              </w:rPr>
              <w:t xml:space="preserve">2524.388 </w:t>
            </w:r>
          </w:p>
        </w:tc>
        <w:tc>
          <w:tcPr>
            <w:tcW w:w="1090" w:type="pct"/>
            <w:shd w:val="clear" w:color="auto" w:fill="auto"/>
            <w:noWrap/>
            <w:vAlign w:val="center"/>
          </w:tcPr>
          <w:p>
            <w:pPr>
              <w:jc w:val="center"/>
              <w:rPr>
                <w:sz w:val="21"/>
                <w:szCs w:val="21"/>
              </w:rPr>
            </w:pPr>
            <w:r>
              <w:rPr>
                <w:sz w:val="21"/>
                <w:szCs w:val="21"/>
              </w:rPr>
              <w:t xml:space="preserve">26.954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-3</w:t>
            </w:r>
          </w:p>
        </w:tc>
        <w:tc>
          <w:tcPr>
            <w:tcW w:w="1090" w:type="pct"/>
            <w:shd w:val="clear" w:color="auto" w:fill="auto"/>
            <w:noWrap/>
            <w:vAlign w:val="center"/>
          </w:tcPr>
          <w:p>
            <w:pPr>
              <w:jc w:val="center"/>
              <w:rPr>
                <w:sz w:val="21"/>
                <w:szCs w:val="21"/>
              </w:rPr>
            </w:pPr>
            <w:r>
              <w:rPr>
                <w:sz w:val="21"/>
                <w:szCs w:val="21"/>
              </w:rPr>
              <w:t xml:space="preserve">3127.699 </w:t>
            </w:r>
          </w:p>
        </w:tc>
        <w:tc>
          <w:tcPr>
            <w:tcW w:w="1090" w:type="pct"/>
            <w:shd w:val="clear" w:color="auto" w:fill="auto"/>
            <w:noWrap/>
            <w:vAlign w:val="center"/>
          </w:tcPr>
          <w:p>
            <w:pPr>
              <w:jc w:val="center"/>
              <w:rPr>
                <w:sz w:val="21"/>
                <w:szCs w:val="21"/>
              </w:rPr>
            </w:pPr>
            <w:r>
              <w:rPr>
                <w:sz w:val="21"/>
                <w:szCs w:val="21"/>
              </w:rPr>
              <w:t xml:space="preserve">31.804 </w:t>
            </w:r>
          </w:p>
        </w:tc>
        <w:tc>
          <w:tcPr>
            <w:tcW w:w="1090" w:type="pct"/>
            <w:shd w:val="clear" w:color="auto" w:fill="auto"/>
            <w:noWrap/>
            <w:vAlign w:val="center"/>
          </w:tcPr>
          <w:p>
            <w:pPr>
              <w:jc w:val="center"/>
              <w:rPr>
                <w:sz w:val="21"/>
                <w:szCs w:val="21"/>
              </w:rPr>
            </w:pPr>
            <w:r>
              <w:rPr>
                <w:sz w:val="21"/>
                <w:szCs w:val="21"/>
              </w:rPr>
              <w:t xml:space="preserve">2338.583 </w:t>
            </w:r>
          </w:p>
        </w:tc>
        <w:tc>
          <w:tcPr>
            <w:tcW w:w="1090" w:type="pct"/>
            <w:shd w:val="clear" w:color="auto" w:fill="auto"/>
            <w:noWrap/>
            <w:vAlign w:val="center"/>
          </w:tcPr>
          <w:p>
            <w:pPr>
              <w:jc w:val="center"/>
              <w:rPr>
                <w:sz w:val="21"/>
                <w:szCs w:val="21"/>
              </w:rPr>
            </w:pPr>
            <w:r>
              <w:rPr>
                <w:sz w:val="21"/>
                <w:szCs w:val="21"/>
              </w:rPr>
              <w:t xml:space="preserve">24.485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-2</w:t>
            </w:r>
          </w:p>
        </w:tc>
        <w:tc>
          <w:tcPr>
            <w:tcW w:w="1090" w:type="pct"/>
            <w:shd w:val="clear" w:color="auto" w:fill="auto"/>
            <w:noWrap/>
            <w:vAlign w:val="center"/>
          </w:tcPr>
          <w:p>
            <w:pPr>
              <w:jc w:val="center"/>
              <w:rPr>
                <w:sz w:val="21"/>
                <w:szCs w:val="21"/>
              </w:rPr>
            </w:pPr>
            <w:r>
              <w:rPr>
                <w:sz w:val="21"/>
                <w:szCs w:val="21"/>
              </w:rPr>
              <w:t xml:space="preserve">2634.176 </w:t>
            </w:r>
          </w:p>
        </w:tc>
        <w:tc>
          <w:tcPr>
            <w:tcW w:w="1090" w:type="pct"/>
            <w:shd w:val="clear" w:color="auto" w:fill="auto"/>
            <w:noWrap/>
            <w:vAlign w:val="center"/>
          </w:tcPr>
          <w:p>
            <w:pPr>
              <w:jc w:val="center"/>
              <w:rPr>
                <w:sz w:val="21"/>
                <w:szCs w:val="21"/>
              </w:rPr>
            </w:pPr>
            <w:r>
              <w:rPr>
                <w:sz w:val="21"/>
                <w:szCs w:val="21"/>
              </w:rPr>
              <w:t xml:space="preserve">26.036 </w:t>
            </w:r>
          </w:p>
        </w:tc>
        <w:tc>
          <w:tcPr>
            <w:tcW w:w="1090" w:type="pct"/>
            <w:shd w:val="clear" w:color="auto" w:fill="auto"/>
            <w:noWrap/>
            <w:vAlign w:val="center"/>
          </w:tcPr>
          <w:p>
            <w:pPr>
              <w:jc w:val="center"/>
              <w:rPr>
                <w:sz w:val="21"/>
                <w:szCs w:val="21"/>
              </w:rPr>
            </w:pPr>
            <w:r>
              <w:rPr>
                <w:sz w:val="21"/>
                <w:szCs w:val="21"/>
              </w:rPr>
              <w:t xml:space="preserve">2011.799 </w:t>
            </w:r>
          </w:p>
        </w:tc>
        <w:tc>
          <w:tcPr>
            <w:tcW w:w="1090" w:type="pct"/>
            <w:shd w:val="clear" w:color="auto" w:fill="auto"/>
            <w:noWrap/>
            <w:vAlign w:val="center"/>
          </w:tcPr>
          <w:p>
            <w:pPr>
              <w:jc w:val="center"/>
              <w:rPr>
                <w:sz w:val="21"/>
                <w:szCs w:val="21"/>
              </w:rPr>
            </w:pPr>
            <w:r>
              <w:rPr>
                <w:sz w:val="21"/>
                <w:szCs w:val="21"/>
              </w:rPr>
              <w:t xml:space="preserve">20.259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39" w:type="pct"/>
            <w:shd w:val="clear" w:color="auto" w:fill="auto"/>
            <w:noWrap/>
            <w:vAlign w:val="center"/>
          </w:tcPr>
          <w:p>
            <w:pPr>
              <w:spacing w:line="240" w:lineRule="auto"/>
              <w:jc w:val="center"/>
              <w:rPr>
                <w:color w:val="000000"/>
                <w:sz w:val="22"/>
                <w:szCs w:val="22"/>
              </w:rPr>
            </w:pPr>
            <w:r>
              <w:rPr>
                <w:color w:val="000000"/>
                <w:sz w:val="22"/>
                <w:szCs w:val="22"/>
              </w:rPr>
              <w:t>-1</w:t>
            </w:r>
          </w:p>
        </w:tc>
        <w:tc>
          <w:tcPr>
            <w:tcW w:w="1090" w:type="pct"/>
            <w:shd w:val="clear" w:color="auto" w:fill="auto"/>
            <w:noWrap/>
            <w:vAlign w:val="center"/>
          </w:tcPr>
          <w:p>
            <w:pPr>
              <w:jc w:val="center"/>
              <w:rPr>
                <w:sz w:val="21"/>
                <w:szCs w:val="21"/>
              </w:rPr>
            </w:pPr>
            <w:r>
              <w:rPr>
                <w:sz w:val="21"/>
                <w:szCs w:val="21"/>
              </w:rPr>
              <w:t xml:space="preserve">2095.000 </w:t>
            </w:r>
          </w:p>
        </w:tc>
        <w:tc>
          <w:tcPr>
            <w:tcW w:w="1090" w:type="pct"/>
            <w:shd w:val="clear" w:color="auto" w:fill="auto"/>
            <w:noWrap/>
            <w:vAlign w:val="center"/>
          </w:tcPr>
          <w:p>
            <w:pPr>
              <w:jc w:val="center"/>
              <w:rPr>
                <w:sz w:val="21"/>
                <w:szCs w:val="21"/>
              </w:rPr>
            </w:pPr>
            <w:r>
              <w:rPr>
                <w:sz w:val="21"/>
                <w:szCs w:val="21"/>
              </w:rPr>
              <w:t xml:space="preserve">22.635 </w:t>
            </w:r>
          </w:p>
        </w:tc>
        <w:tc>
          <w:tcPr>
            <w:tcW w:w="1090" w:type="pct"/>
            <w:shd w:val="clear" w:color="auto" w:fill="auto"/>
            <w:noWrap/>
            <w:vAlign w:val="center"/>
          </w:tcPr>
          <w:p>
            <w:pPr>
              <w:jc w:val="center"/>
              <w:rPr>
                <w:sz w:val="21"/>
                <w:szCs w:val="21"/>
              </w:rPr>
            </w:pPr>
            <w:r>
              <w:rPr>
                <w:sz w:val="21"/>
                <w:szCs w:val="21"/>
              </w:rPr>
              <w:t xml:space="preserve">1671.428 </w:t>
            </w:r>
          </w:p>
        </w:tc>
        <w:tc>
          <w:tcPr>
            <w:tcW w:w="1090" w:type="pct"/>
            <w:shd w:val="clear" w:color="auto" w:fill="auto"/>
            <w:noWrap/>
            <w:vAlign w:val="center"/>
          </w:tcPr>
          <w:p>
            <w:pPr>
              <w:jc w:val="center"/>
              <w:rPr>
                <w:sz w:val="21"/>
                <w:szCs w:val="21"/>
              </w:rPr>
            </w:pPr>
            <w:r>
              <w:rPr>
                <w:sz w:val="21"/>
                <w:szCs w:val="21"/>
              </w:rPr>
              <w:t xml:space="preserve">17.819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0</w:t>
            </w:r>
          </w:p>
        </w:tc>
        <w:tc>
          <w:tcPr>
            <w:tcW w:w="1090" w:type="pct"/>
            <w:shd w:val="clear" w:color="auto" w:fill="auto"/>
            <w:noWrap/>
            <w:vAlign w:val="center"/>
          </w:tcPr>
          <w:p>
            <w:pPr>
              <w:jc w:val="center"/>
              <w:rPr>
                <w:sz w:val="21"/>
                <w:szCs w:val="21"/>
              </w:rPr>
            </w:pPr>
            <w:r>
              <w:rPr>
                <w:sz w:val="21"/>
                <w:szCs w:val="21"/>
              </w:rPr>
              <w:t xml:space="preserve">1843.182 </w:t>
            </w:r>
          </w:p>
        </w:tc>
        <w:tc>
          <w:tcPr>
            <w:tcW w:w="1090" w:type="pct"/>
            <w:shd w:val="clear" w:color="auto" w:fill="auto"/>
            <w:noWrap/>
            <w:vAlign w:val="center"/>
          </w:tcPr>
          <w:p>
            <w:pPr>
              <w:jc w:val="center"/>
              <w:rPr>
                <w:sz w:val="21"/>
                <w:szCs w:val="21"/>
              </w:rPr>
            </w:pPr>
            <w:r>
              <w:rPr>
                <w:sz w:val="21"/>
                <w:szCs w:val="21"/>
              </w:rPr>
              <w:t xml:space="preserve">23.284 </w:t>
            </w:r>
          </w:p>
        </w:tc>
        <w:tc>
          <w:tcPr>
            <w:tcW w:w="1090" w:type="pct"/>
            <w:shd w:val="clear" w:color="auto" w:fill="auto"/>
            <w:noWrap/>
            <w:vAlign w:val="center"/>
          </w:tcPr>
          <w:p>
            <w:pPr>
              <w:jc w:val="center"/>
              <w:rPr>
                <w:sz w:val="21"/>
                <w:szCs w:val="21"/>
              </w:rPr>
            </w:pPr>
            <w:r>
              <w:rPr>
                <w:sz w:val="21"/>
                <w:szCs w:val="21"/>
              </w:rPr>
              <w:t xml:space="preserve">1517.043 </w:t>
            </w:r>
          </w:p>
        </w:tc>
        <w:tc>
          <w:tcPr>
            <w:tcW w:w="1090" w:type="pct"/>
            <w:shd w:val="clear" w:color="auto" w:fill="auto"/>
            <w:noWrap/>
            <w:vAlign w:val="center"/>
          </w:tcPr>
          <w:p>
            <w:pPr>
              <w:jc w:val="center"/>
              <w:rPr>
                <w:sz w:val="21"/>
                <w:szCs w:val="21"/>
              </w:rPr>
            </w:pPr>
            <w:r>
              <w:rPr>
                <w:sz w:val="21"/>
                <w:szCs w:val="21"/>
              </w:rPr>
              <w:t xml:space="preserve">18.397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w:t>
            </w:r>
          </w:p>
        </w:tc>
        <w:tc>
          <w:tcPr>
            <w:tcW w:w="1090" w:type="pct"/>
            <w:shd w:val="clear" w:color="auto" w:fill="auto"/>
            <w:noWrap/>
            <w:vAlign w:val="center"/>
          </w:tcPr>
          <w:p>
            <w:pPr>
              <w:jc w:val="center"/>
              <w:rPr>
                <w:sz w:val="21"/>
                <w:szCs w:val="21"/>
              </w:rPr>
            </w:pPr>
            <w:r>
              <w:rPr>
                <w:sz w:val="21"/>
                <w:szCs w:val="21"/>
              </w:rPr>
              <w:t xml:space="preserve">2095.000 </w:t>
            </w:r>
          </w:p>
        </w:tc>
        <w:tc>
          <w:tcPr>
            <w:tcW w:w="1090" w:type="pct"/>
            <w:shd w:val="clear" w:color="auto" w:fill="auto"/>
            <w:noWrap/>
            <w:vAlign w:val="center"/>
          </w:tcPr>
          <w:p>
            <w:pPr>
              <w:jc w:val="center"/>
              <w:rPr>
                <w:sz w:val="21"/>
                <w:szCs w:val="21"/>
              </w:rPr>
            </w:pPr>
            <w:r>
              <w:rPr>
                <w:sz w:val="21"/>
                <w:szCs w:val="21"/>
              </w:rPr>
              <w:t xml:space="preserve">22.635 </w:t>
            </w:r>
          </w:p>
        </w:tc>
        <w:tc>
          <w:tcPr>
            <w:tcW w:w="1090" w:type="pct"/>
            <w:shd w:val="clear" w:color="auto" w:fill="auto"/>
            <w:noWrap/>
            <w:vAlign w:val="center"/>
          </w:tcPr>
          <w:p>
            <w:pPr>
              <w:jc w:val="center"/>
              <w:rPr>
                <w:sz w:val="21"/>
                <w:szCs w:val="21"/>
              </w:rPr>
            </w:pPr>
            <w:r>
              <w:rPr>
                <w:sz w:val="21"/>
                <w:szCs w:val="21"/>
              </w:rPr>
              <w:t xml:space="preserve">1671.428 </w:t>
            </w:r>
          </w:p>
        </w:tc>
        <w:tc>
          <w:tcPr>
            <w:tcW w:w="1090" w:type="pct"/>
            <w:shd w:val="clear" w:color="auto" w:fill="auto"/>
            <w:noWrap/>
            <w:vAlign w:val="center"/>
          </w:tcPr>
          <w:p>
            <w:pPr>
              <w:jc w:val="center"/>
              <w:rPr>
                <w:sz w:val="21"/>
                <w:szCs w:val="21"/>
              </w:rPr>
            </w:pPr>
            <w:r>
              <w:rPr>
                <w:sz w:val="21"/>
                <w:szCs w:val="21"/>
              </w:rPr>
              <w:t xml:space="preserve">17.819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w:t>
            </w:r>
          </w:p>
        </w:tc>
        <w:tc>
          <w:tcPr>
            <w:tcW w:w="1090" w:type="pct"/>
            <w:shd w:val="clear" w:color="auto" w:fill="auto"/>
            <w:noWrap/>
            <w:vAlign w:val="center"/>
          </w:tcPr>
          <w:p>
            <w:pPr>
              <w:jc w:val="center"/>
              <w:rPr>
                <w:sz w:val="21"/>
                <w:szCs w:val="21"/>
              </w:rPr>
            </w:pPr>
            <w:r>
              <w:rPr>
                <w:sz w:val="21"/>
                <w:szCs w:val="21"/>
              </w:rPr>
              <w:t xml:space="preserve">2634.176 </w:t>
            </w:r>
          </w:p>
        </w:tc>
        <w:tc>
          <w:tcPr>
            <w:tcW w:w="1090" w:type="pct"/>
            <w:shd w:val="clear" w:color="auto" w:fill="auto"/>
            <w:noWrap/>
            <w:vAlign w:val="center"/>
          </w:tcPr>
          <w:p>
            <w:pPr>
              <w:jc w:val="center"/>
              <w:rPr>
                <w:sz w:val="21"/>
                <w:szCs w:val="21"/>
              </w:rPr>
            </w:pPr>
            <w:r>
              <w:rPr>
                <w:sz w:val="21"/>
                <w:szCs w:val="21"/>
              </w:rPr>
              <w:t xml:space="preserve">26.036 </w:t>
            </w:r>
          </w:p>
        </w:tc>
        <w:tc>
          <w:tcPr>
            <w:tcW w:w="1090" w:type="pct"/>
            <w:shd w:val="clear" w:color="auto" w:fill="auto"/>
            <w:noWrap/>
            <w:vAlign w:val="center"/>
          </w:tcPr>
          <w:p>
            <w:pPr>
              <w:jc w:val="center"/>
              <w:rPr>
                <w:sz w:val="21"/>
                <w:szCs w:val="21"/>
              </w:rPr>
            </w:pPr>
            <w:r>
              <w:rPr>
                <w:sz w:val="21"/>
                <w:szCs w:val="21"/>
              </w:rPr>
              <w:t xml:space="preserve">2011.799 </w:t>
            </w:r>
          </w:p>
        </w:tc>
        <w:tc>
          <w:tcPr>
            <w:tcW w:w="1090" w:type="pct"/>
            <w:shd w:val="clear" w:color="auto" w:fill="auto"/>
            <w:noWrap/>
            <w:vAlign w:val="center"/>
          </w:tcPr>
          <w:p>
            <w:pPr>
              <w:jc w:val="center"/>
              <w:rPr>
                <w:sz w:val="21"/>
                <w:szCs w:val="21"/>
              </w:rPr>
            </w:pPr>
            <w:r>
              <w:rPr>
                <w:sz w:val="21"/>
                <w:szCs w:val="21"/>
              </w:rPr>
              <w:t xml:space="preserve">20.259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w:t>
            </w:r>
          </w:p>
        </w:tc>
        <w:tc>
          <w:tcPr>
            <w:tcW w:w="1090" w:type="pct"/>
            <w:shd w:val="clear" w:color="auto" w:fill="auto"/>
            <w:noWrap/>
            <w:vAlign w:val="center"/>
          </w:tcPr>
          <w:p>
            <w:pPr>
              <w:jc w:val="center"/>
              <w:rPr>
                <w:sz w:val="21"/>
                <w:szCs w:val="21"/>
              </w:rPr>
            </w:pPr>
            <w:r>
              <w:rPr>
                <w:sz w:val="21"/>
                <w:szCs w:val="21"/>
              </w:rPr>
              <w:t xml:space="preserve">3127.700 </w:t>
            </w:r>
          </w:p>
        </w:tc>
        <w:tc>
          <w:tcPr>
            <w:tcW w:w="1090" w:type="pct"/>
            <w:shd w:val="clear" w:color="auto" w:fill="auto"/>
            <w:noWrap/>
            <w:vAlign w:val="center"/>
          </w:tcPr>
          <w:p>
            <w:pPr>
              <w:jc w:val="center"/>
              <w:rPr>
                <w:sz w:val="21"/>
                <w:szCs w:val="21"/>
              </w:rPr>
            </w:pPr>
            <w:r>
              <w:rPr>
                <w:sz w:val="21"/>
                <w:szCs w:val="21"/>
              </w:rPr>
              <w:t xml:space="preserve">31.804 </w:t>
            </w:r>
          </w:p>
        </w:tc>
        <w:tc>
          <w:tcPr>
            <w:tcW w:w="1090" w:type="pct"/>
            <w:shd w:val="clear" w:color="auto" w:fill="auto"/>
            <w:noWrap/>
            <w:vAlign w:val="center"/>
          </w:tcPr>
          <w:p>
            <w:pPr>
              <w:jc w:val="center"/>
              <w:rPr>
                <w:sz w:val="21"/>
                <w:szCs w:val="21"/>
              </w:rPr>
            </w:pPr>
            <w:r>
              <w:rPr>
                <w:sz w:val="21"/>
                <w:szCs w:val="21"/>
              </w:rPr>
              <w:t xml:space="preserve">2338.584 </w:t>
            </w:r>
          </w:p>
        </w:tc>
        <w:tc>
          <w:tcPr>
            <w:tcW w:w="1090" w:type="pct"/>
            <w:shd w:val="clear" w:color="auto" w:fill="auto"/>
            <w:noWrap/>
            <w:vAlign w:val="center"/>
          </w:tcPr>
          <w:p>
            <w:pPr>
              <w:jc w:val="center"/>
              <w:rPr>
                <w:sz w:val="21"/>
                <w:szCs w:val="21"/>
              </w:rPr>
            </w:pPr>
            <w:r>
              <w:rPr>
                <w:sz w:val="21"/>
                <w:szCs w:val="21"/>
              </w:rPr>
              <w:t xml:space="preserve">24.485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4</w:t>
            </w:r>
          </w:p>
        </w:tc>
        <w:tc>
          <w:tcPr>
            <w:tcW w:w="1090" w:type="pct"/>
            <w:shd w:val="clear" w:color="auto" w:fill="auto"/>
            <w:noWrap/>
            <w:vAlign w:val="center"/>
          </w:tcPr>
          <w:p>
            <w:pPr>
              <w:jc w:val="center"/>
              <w:rPr>
                <w:sz w:val="21"/>
                <w:szCs w:val="21"/>
              </w:rPr>
            </w:pPr>
            <w:r>
              <w:rPr>
                <w:sz w:val="21"/>
                <w:szCs w:val="21"/>
              </w:rPr>
              <w:t xml:space="preserve">3362.699 </w:t>
            </w:r>
          </w:p>
        </w:tc>
        <w:tc>
          <w:tcPr>
            <w:tcW w:w="1090" w:type="pct"/>
            <w:shd w:val="clear" w:color="auto" w:fill="auto"/>
            <w:noWrap/>
            <w:vAlign w:val="center"/>
          </w:tcPr>
          <w:p>
            <w:pPr>
              <w:jc w:val="center"/>
              <w:rPr>
                <w:sz w:val="21"/>
                <w:szCs w:val="21"/>
              </w:rPr>
            </w:pPr>
            <w:r>
              <w:rPr>
                <w:sz w:val="21"/>
                <w:szCs w:val="21"/>
              </w:rPr>
              <w:t xml:space="preserve">34.912 </w:t>
            </w:r>
          </w:p>
        </w:tc>
        <w:tc>
          <w:tcPr>
            <w:tcW w:w="1090" w:type="pct"/>
            <w:shd w:val="clear" w:color="auto" w:fill="auto"/>
            <w:noWrap/>
            <w:vAlign w:val="center"/>
          </w:tcPr>
          <w:p>
            <w:pPr>
              <w:jc w:val="center"/>
              <w:rPr>
                <w:sz w:val="21"/>
                <w:szCs w:val="21"/>
              </w:rPr>
            </w:pPr>
            <w:r>
              <w:rPr>
                <w:sz w:val="21"/>
                <w:szCs w:val="21"/>
              </w:rPr>
              <w:t xml:space="preserve">2524.388 </w:t>
            </w:r>
          </w:p>
        </w:tc>
        <w:tc>
          <w:tcPr>
            <w:tcW w:w="1090" w:type="pct"/>
            <w:shd w:val="clear" w:color="auto" w:fill="auto"/>
            <w:noWrap/>
            <w:vAlign w:val="center"/>
          </w:tcPr>
          <w:p>
            <w:pPr>
              <w:jc w:val="center"/>
              <w:rPr>
                <w:sz w:val="21"/>
                <w:szCs w:val="21"/>
              </w:rPr>
            </w:pPr>
            <w:r>
              <w:rPr>
                <w:sz w:val="21"/>
                <w:szCs w:val="21"/>
              </w:rPr>
              <w:t xml:space="preserve">26.954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5</w:t>
            </w:r>
          </w:p>
        </w:tc>
        <w:tc>
          <w:tcPr>
            <w:tcW w:w="1090" w:type="pct"/>
            <w:shd w:val="clear" w:color="auto" w:fill="auto"/>
            <w:noWrap/>
            <w:vAlign w:val="center"/>
          </w:tcPr>
          <w:p>
            <w:pPr>
              <w:jc w:val="center"/>
              <w:rPr>
                <w:sz w:val="21"/>
                <w:szCs w:val="21"/>
              </w:rPr>
            </w:pPr>
            <w:r>
              <w:rPr>
                <w:sz w:val="21"/>
                <w:szCs w:val="21"/>
              </w:rPr>
              <w:t xml:space="preserve">3279.781 </w:t>
            </w:r>
          </w:p>
        </w:tc>
        <w:tc>
          <w:tcPr>
            <w:tcW w:w="1090" w:type="pct"/>
            <w:shd w:val="clear" w:color="auto" w:fill="auto"/>
            <w:noWrap/>
            <w:vAlign w:val="center"/>
          </w:tcPr>
          <w:p>
            <w:pPr>
              <w:jc w:val="center"/>
              <w:rPr>
                <w:sz w:val="21"/>
                <w:szCs w:val="21"/>
              </w:rPr>
            </w:pPr>
            <w:r>
              <w:rPr>
                <w:sz w:val="21"/>
                <w:szCs w:val="21"/>
              </w:rPr>
              <w:t xml:space="preserve">31.069 </w:t>
            </w:r>
          </w:p>
        </w:tc>
        <w:tc>
          <w:tcPr>
            <w:tcW w:w="1090" w:type="pct"/>
            <w:shd w:val="clear" w:color="auto" w:fill="auto"/>
            <w:noWrap/>
            <w:vAlign w:val="center"/>
          </w:tcPr>
          <w:p>
            <w:pPr>
              <w:jc w:val="center"/>
              <w:rPr>
                <w:sz w:val="21"/>
                <w:szCs w:val="21"/>
              </w:rPr>
            </w:pPr>
            <w:r>
              <w:rPr>
                <w:sz w:val="21"/>
                <w:szCs w:val="21"/>
              </w:rPr>
              <w:t xml:space="preserve">2527.188 </w:t>
            </w:r>
          </w:p>
        </w:tc>
        <w:tc>
          <w:tcPr>
            <w:tcW w:w="1090" w:type="pct"/>
            <w:shd w:val="clear" w:color="auto" w:fill="auto"/>
            <w:noWrap/>
            <w:vAlign w:val="center"/>
          </w:tcPr>
          <w:p>
            <w:pPr>
              <w:jc w:val="center"/>
              <w:rPr>
                <w:sz w:val="21"/>
                <w:szCs w:val="21"/>
              </w:rPr>
            </w:pPr>
            <w:r>
              <w:rPr>
                <w:sz w:val="21"/>
                <w:szCs w:val="21"/>
              </w:rPr>
              <w:t xml:space="preserve">24.459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6</w:t>
            </w:r>
          </w:p>
        </w:tc>
        <w:tc>
          <w:tcPr>
            <w:tcW w:w="1090" w:type="pct"/>
            <w:shd w:val="clear" w:color="auto" w:fill="auto"/>
            <w:noWrap/>
            <w:vAlign w:val="center"/>
          </w:tcPr>
          <w:p>
            <w:pPr>
              <w:jc w:val="center"/>
              <w:rPr>
                <w:sz w:val="21"/>
                <w:szCs w:val="21"/>
              </w:rPr>
            </w:pPr>
            <w:r>
              <w:rPr>
                <w:sz w:val="21"/>
                <w:szCs w:val="21"/>
              </w:rPr>
              <w:t xml:space="preserve">2958.397 </w:t>
            </w:r>
          </w:p>
        </w:tc>
        <w:tc>
          <w:tcPr>
            <w:tcW w:w="1090" w:type="pct"/>
            <w:shd w:val="clear" w:color="auto" w:fill="auto"/>
            <w:noWrap/>
            <w:vAlign w:val="center"/>
          </w:tcPr>
          <w:p>
            <w:pPr>
              <w:jc w:val="center"/>
              <w:rPr>
                <w:sz w:val="21"/>
                <w:szCs w:val="21"/>
              </w:rPr>
            </w:pPr>
            <w:r>
              <w:rPr>
                <w:sz w:val="21"/>
                <w:szCs w:val="21"/>
              </w:rPr>
              <w:t xml:space="preserve">26.767 </w:t>
            </w:r>
          </w:p>
        </w:tc>
        <w:tc>
          <w:tcPr>
            <w:tcW w:w="1090" w:type="pct"/>
            <w:shd w:val="clear" w:color="auto" w:fill="auto"/>
            <w:noWrap/>
            <w:vAlign w:val="center"/>
          </w:tcPr>
          <w:p>
            <w:pPr>
              <w:jc w:val="center"/>
              <w:rPr>
                <w:sz w:val="21"/>
                <w:szCs w:val="21"/>
              </w:rPr>
            </w:pPr>
            <w:r>
              <w:rPr>
                <w:sz w:val="21"/>
                <w:szCs w:val="21"/>
              </w:rPr>
              <w:t xml:space="preserve">2373.713 </w:t>
            </w:r>
          </w:p>
        </w:tc>
        <w:tc>
          <w:tcPr>
            <w:tcW w:w="1090" w:type="pct"/>
            <w:shd w:val="clear" w:color="auto" w:fill="auto"/>
            <w:noWrap/>
            <w:vAlign w:val="center"/>
          </w:tcPr>
          <w:p>
            <w:pPr>
              <w:jc w:val="center"/>
              <w:rPr>
                <w:sz w:val="21"/>
                <w:szCs w:val="21"/>
              </w:rPr>
            </w:pPr>
            <w:r>
              <w:rPr>
                <w:sz w:val="21"/>
                <w:szCs w:val="21"/>
              </w:rPr>
              <w:t xml:space="preserve">21.679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7</w:t>
            </w:r>
          </w:p>
        </w:tc>
        <w:tc>
          <w:tcPr>
            <w:tcW w:w="1090" w:type="pct"/>
            <w:shd w:val="clear" w:color="auto" w:fill="auto"/>
            <w:noWrap/>
            <w:vAlign w:val="center"/>
          </w:tcPr>
          <w:p>
            <w:pPr>
              <w:jc w:val="center"/>
              <w:rPr>
                <w:sz w:val="21"/>
                <w:szCs w:val="21"/>
              </w:rPr>
            </w:pPr>
            <w:r>
              <w:rPr>
                <w:sz w:val="21"/>
                <w:szCs w:val="21"/>
              </w:rPr>
              <w:t xml:space="preserve">2529.719 </w:t>
            </w:r>
          </w:p>
        </w:tc>
        <w:tc>
          <w:tcPr>
            <w:tcW w:w="1090" w:type="pct"/>
            <w:shd w:val="clear" w:color="auto" w:fill="auto"/>
            <w:noWrap/>
            <w:vAlign w:val="center"/>
          </w:tcPr>
          <w:p>
            <w:pPr>
              <w:jc w:val="center"/>
              <w:rPr>
                <w:sz w:val="21"/>
                <w:szCs w:val="21"/>
              </w:rPr>
            </w:pPr>
            <w:r>
              <w:rPr>
                <w:sz w:val="21"/>
                <w:szCs w:val="21"/>
              </w:rPr>
              <w:t xml:space="preserve">22.638 </w:t>
            </w:r>
          </w:p>
        </w:tc>
        <w:tc>
          <w:tcPr>
            <w:tcW w:w="1090" w:type="pct"/>
            <w:shd w:val="clear" w:color="auto" w:fill="auto"/>
            <w:noWrap/>
            <w:vAlign w:val="center"/>
          </w:tcPr>
          <w:p>
            <w:pPr>
              <w:jc w:val="center"/>
              <w:rPr>
                <w:sz w:val="21"/>
                <w:szCs w:val="21"/>
              </w:rPr>
            </w:pPr>
            <w:r>
              <w:rPr>
                <w:sz w:val="21"/>
                <w:szCs w:val="21"/>
              </w:rPr>
              <w:t xml:space="preserve">2124.980 </w:t>
            </w:r>
          </w:p>
        </w:tc>
        <w:tc>
          <w:tcPr>
            <w:tcW w:w="1090" w:type="pct"/>
            <w:shd w:val="clear" w:color="auto" w:fill="auto"/>
            <w:noWrap/>
            <w:vAlign w:val="center"/>
          </w:tcPr>
          <w:p>
            <w:pPr>
              <w:jc w:val="center"/>
              <w:rPr>
                <w:sz w:val="21"/>
                <w:szCs w:val="21"/>
              </w:rPr>
            </w:pPr>
            <w:r>
              <w:rPr>
                <w:sz w:val="21"/>
                <w:szCs w:val="21"/>
              </w:rPr>
              <w:t xml:space="preserve">18.908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8</w:t>
            </w:r>
          </w:p>
        </w:tc>
        <w:tc>
          <w:tcPr>
            <w:tcW w:w="1090" w:type="pct"/>
            <w:shd w:val="clear" w:color="auto" w:fill="auto"/>
            <w:noWrap/>
            <w:vAlign w:val="center"/>
          </w:tcPr>
          <w:p>
            <w:pPr>
              <w:jc w:val="center"/>
              <w:rPr>
                <w:sz w:val="21"/>
                <w:szCs w:val="21"/>
              </w:rPr>
            </w:pPr>
            <w:r>
              <w:rPr>
                <w:sz w:val="21"/>
                <w:szCs w:val="21"/>
              </w:rPr>
              <w:t xml:space="preserve">2096.115 </w:t>
            </w:r>
          </w:p>
        </w:tc>
        <w:tc>
          <w:tcPr>
            <w:tcW w:w="1090" w:type="pct"/>
            <w:shd w:val="clear" w:color="auto" w:fill="auto"/>
            <w:noWrap/>
            <w:vAlign w:val="center"/>
          </w:tcPr>
          <w:p>
            <w:pPr>
              <w:jc w:val="center"/>
              <w:rPr>
                <w:sz w:val="21"/>
                <w:szCs w:val="21"/>
              </w:rPr>
            </w:pPr>
            <w:r>
              <w:rPr>
                <w:sz w:val="21"/>
                <w:szCs w:val="21"/>
              </w:rPr>
              <w:t xml:space="preserve">19.029 </w:t>
            </w:r>
          </w:p>
        </w:tc>
        <w:tc>
          <w:tcPr>
            <w:tcW w:w="1090" w:type="pct"/>
            <w:shd w:val="clear" w:color="auto" w:fill="auto"/>
            <w:noWrap/>
            <w:vAlign w:val="center"/>
          </w:tcPr>
          <w:p>
            <w:pPr>
              <w:jc w:val="center"/>
              <w:rPr>
                <w:sz w:val="21"/>
                <w:szCs w:val="21"/>
              </w:rPr>
            </w:pPr>
            <w:r>
              <w:rPr>
                <w:sz w:val="21"/>
                <w:szCs w:val="21"/>
              </w:rPr>
              <w:t xml:space="preserve">1841.063 </w:t>
            </w:r>
          </w:p>
        </w:tc>
        <w:tc>
          <w:tcPr>
            <w:tcW w:w="1090" w:type="pct"/>
            <w:shd w:val="clear" w:color="auto" w:fill="auto"/>
            <w:noWrap/>
            <w:vAlign w:val="center"/>
          </w:tcPr>
          <w:p>
            <w:pPr>
              <w:jc w:val="center"/>
              <w:rPr>
                <w:sz w:val="21"/>
                <w:szCs w:val="21"/>
              </w:rPr>
            </w:pPr>
            <w:r>
              <w:rPr>
                <w:sz w:val="21"/>
                <w:szCs w:val="21"/>
              </w:rPr>
              <w:t xml:space="preserve">16.353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9</w:t>
            </w:r>
          </w:p>
        </w:tc>
        <w:tc>
          <w:tcPr>
            <w:tcW w:w="1090" w:type="pct"/>
            <w:shd w:val="clear" w:color="auto" w:fill="auto"/>
            <w:noWrap/>
            <w:vAlign w:val="center"/>
          </w:tcPr>
          <w:p>
            <w:pPr>
              <w:jc w:val="center"/>
              <w:rPr>
                <w:sz w:val="21"/>
                <w:szCs w:val="21"/>
              </w:rPr>
            </w:pPr>
            <w:r>
              <w:rPr>
                <w:sz w:val="21"/>
                <w:szCs w:val="21"/>
              </w:rPr>
              <w:t xml:space="preserve">1710.307 </w:t>
            </w:r>
          </w:p>
        </w:tc>
        <w:tc>
          <w:tcPr>
            <w:tcW w:w="1090" w:type="pct"/>
            <w:shd w:val="clear" w:color="auto" w:fill="auto"/>
            <w:noWrap/>
            <w:vAlign w:val="center"/>
          </w:tcPr>
          <w:p>
            <w:pPr>
              <w:jc w:val="center"/>
              <w:rPr>
                <w:sz w:val="21"/>
                <w:szCs w:val="21"/>
              </w:rPr>
            </w:pPr>
            <w:r>
              <w:rPr>
                <w:sz w:val="21"/>
                <w:szCs w:val="21"/>
              </w:rPr>
              <w:t xml:space="preserve">16.023 </w:t>
            </w:r>
          </w:p>
        </w:tc>
        <w:tc>
          <w:tcPr>
            <w:tcW w:w="1090" w:type="pct"/>
            <w:shd w:val="clear" w:color="auto" w:fill="auto"/>
            <w:noWrap/>
            <w:vAlign w:val="center"/>
          </w:tcPr>
          <w:p>
            <w:pPr>
              <w:jc w:val="center"/>
              <w:rPr>
                <w:sz w:val="21"/>
                <w:szCs w:val="21"/>
              </w:rPr>
            </w:pPr>
            <w:r>
              <w:rPr>
                <w:sz w:val="21"/>
                <w:szCs w:val="21"/>
              </w:rPr>
              <w:t xml:space="preserve">1563.399 </w:t>
            </w:r>
          </w:p>
        </w:tc>
        <w:tc>
          <w:tcPr>
            <w:tcW w:w="1090" w:type="pct"/>
            <w:shd w:val="clear" w:color="auto" w:fill="auto"/>
            <w:noWrap/>
            <w:vAlign w:val="center"/>
          </w:tcPr>
          <w:p>
            <w:pPr>
              <w:jc w:val="center"/>
              <w:rPr>
                <w:sz w:val="21"/>
                <w:szCs w:val="21"/>
              </w:rPr>
            </w:pPr>
            <w:r>
              <w:rPr>
                <w:sz w:val="21"/>
                <w:szCs w:val="21"/>
              </w:rPr>
              <w:t xml:space="preserve">14.110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10</w:t>
            </w:r>
          </w:p>
        </w:tc>
        <w:tc>
          <w:tcPr>
            <w:tcW w:w="1090" w:type="pct"/>
            <w:shd w:val="clear" w:color="auto" w:fill="auto"/>
            <w:noWrap/>
            <w:vAlign w:val="center"/>
          </w:tcPr>
          <w:p>
            <w:pPr>
              <w:jc w:val="center"/>
              <w:rPr>
                <w:sz w:val="21"/>
                <w:szCs w:val="21"/>
              </w:rPr>
            </w:pPr>
            <w:r>
              <w:rPr>
                <w:sz w:val="21"/>
                <w:szCs w:val="21"/>
              </w:rPr>
              <w:t xml:space="preserve">1389.059 </w:t>
            </w:r>
          </w:p>
        </w:tc>
        <w:tc>
          <w:tcPr>
            <w:tcW w:w="1090" w:type="pct"/>
            <w:shd w:val="clear" w:color="auto" w:fill="auto"/>
            <w:noWrap/>
            <w:vAlign w:val="center"/>
          </w:tcPr>
          <w:p>
            <w:pPr>
              <w:jc w:val="center"/>
              <w:rPr>
                <w:sz w:val="21"/>
                <w:szCs w:val="21"/>
              </w:rPr>
            </w:pPr>
            <w:r>
              <w:rPr>
                <w:sz w:val="21"/>
                <w:szCs w:val="21"/>
              </w:rPr>
              <w:t xml:space="preserve">13.575 </w:t>
            </w:r>
          </w:p>
        </w:tc>
        <w:tc>
          <w:tcPr>
            <w:tcW w:w="1090" w:type="pct"/>
            <w:shd w:val="clear" w:color="auto" w:fill="auto"/>
            <w:noWrap/>
            <w:vAlign w:val="center"/>
          </w:tcPr>
          <w:p>
            <w:pPr>
              <w:jc w:val="center"/>
              <w:rPr>
                <w:sz w:val="21"/>
                <w:szCs w:val="21"/>
              </w:rPr>
            </w:pPr>
            <w:r>
              <w:rPr>
                <w:sz w:val="21"/>
                <w:szCs w:val="21"/>
              </w:rPr>
              <w:t xml:space="preserve">1313.699 </w:t>
            </w:r>
          </w:p>
        </w:tc>
        <w:tc>
          <w:tcPr>
            <w:tcW w:w="1090" w:type="pct"/>
            <w:shd w:val="clear" w:color="auto" w:fill="auto"/>
            <w:noWrap/>
            <w:vAlign w:val="center"/>
          </w:tcPr>
          <w:p>
            <w:pPr>
              <w:jc w:val="center"/>
              <w:rPr>
                <w:sz w:val="21"/>
                <w:szCs w:val="21"/>
              </w:rPr>
            </w:pPr>
            <w:r>
              <w:rPr>
                <w:sz w:val="21"/>
                <w:szCs w:val="21"/>
              </w:rPr>
              <w:t xml:space="preserve">12.195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11</w:t>
            </w:r>
          </w:p>
        </w:tc>
        <w:tc>
          <w:tcPr>
            <w:tcW w:w="1090" w:type="pct"/>
            <w:shd w:val="clear" w:color="auto" w:fill="auto"/>
            <w:noWrap/>
            <w:vAlign w:val="center"/>
          </w:tcPr>
          <w:p>
            <w:pPr>
              <w:jc w:val="center"/>
              <w:rPr>
                <w:sz w:val="21"/>
                <w:szCs w:val="21"/>
              </w:rPr>
            </w:pPr>
            <w:r>
              <w:rPr>
                <w:sz w:val="21"/>
                <w:szCs w:val="21"/>
              </w:rPr>
              <w:t xml:space="preserve">1130.677 </w:t>
            </w:r>
          </w:p>
        </w:tc>
        <w:tc>
          <w:tcPr>
            <w:tcW w:w="1090" w:type="pct"/>
            <w:shd w:val="clear" w:color="auto" w:fill="auto"/>
            <w:noWrap/>
            <w:vAlign w:val="center"/>
          </w:tcPr>
          <w:p>
            <w:pPr>
              <w:jc w:val="center"/>
              <w:rPr>
                <w:sz w:val="21"/>
                <w:szCs w:val="21"/>
              </w:rPr>
            </w:pPr>
            <w:r>
              <w:rPr>
                <w:sz w:val="21"/>
                <w:szCs w:val="21"/>
              </w:rPr>
              <w:t xml:space="preserve">11.592 </w:t>
            </w:r>
          </w:p>
        </w:tc>
        <w:tc>
          <w:tcPr>
            <w:tcW w:w="1090" w:type="pct"/>
            <w:shd w:val="clear" w:color="auto" w:fill="auto"/>
            <w:noWrap/>
            <w:vAlign w:val="center"/>
          </w:tcPr>
          <w:p>
            <w:pPr>
              <w:jc w:val="center"/>
              <w:rPr>
                <w:sz w:val="21"/>
                <w:szCs w:val="21"/>
              </w:rPr>
            </w:pPr>
            <w:r>
              <w:rPr>
                <w:sz w:val="21"/>
                <w:szCs w:val="21"/>
              </w:rPr>
              <w:t xml:space="preserve">1099.743 </w:t>
            </w:r>
          </w:p>
        </w:tc>
        <w:tc>
          <w:tcPr>
            <w:tcW w:w="1090" w:type="pct"/>
            <w:shd w:val="clear" w:color="auto" w:fill="auto"/>
            <w:noWrap/>
            <w:vAlign w:val="center"/>
          </w:tcPr>
          <w:p>
            <w:pPr>
              <w:jc w:val="center"/>
              <w:rPr>
                <w:sz w:val="21"/>
                <w:szCs w:val="21"/>
              </w:rPr>
            </w:pPr>
            <w:r>
              <w:rPr>
                <w:sz w:val="21"/>
                <w:szCs w:val="21"/>
              </w:rPr>
              <w:t xml:space="preserve">10.584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12</w:t>
            </w:r>
          </w:p>
        </w:tc>
        <w:tc>
          <w:tcPr>
            <w:tcW w:w="1090" w:type="pct"/>
            <w:shd w:val="clear" w:color="auto" w:fill="auto"/>
            <w:noWrap/>
            <w:vAlign w:val="center"/>
          </w:tcPr>
          <w:p>
            <w:pPr>
              <w:jc w:val="center"/>
              <w:rPr>
                <w:sz w:val="21"/>
                <w:szCs w:val="21"/>
              </w:rPr>
            </w:pPr>
            <w:r>
              <w:rPr>
                <w:sz w:val="21"/>
                <w:szCs w:val="21"/>
              </w:rPr>
              <w:t xml:space="preserve">926.354 </w:t>
            </w:r>
          </w:p>
        </w:tc>
        <w:tc>
          <w:tcPr>
            <w:tcW w:w="1090" w:type="pct"/>
            <w:shd w:val="clear" w:color="auto" w:fill="auto"/>
            <w:noWrap/>
            <w:vAlign w:val="center"/>
          </w:tcPr>
          <w:p>
            <w:pPr>
              <w:jc w:val="center"/>
              <w:rPr>
                <w:sz w:val="21"/>
                <w:szCs w:val="21"/>
              </w:rPr>
            </w:pPr>
            <w:r>
              <w:rPr>
                <w:sz w:val="21"/>
                <w:szCs w:val="21"/>
              </w:rPr>
              <w:t xml:space="preserve">9.982 </w:t>
            </w:r>
          </w:p>
        </w:tc>
        <w:tc>
          <w:tcPr>
            <w:tcW w:w="1090" w:type="pct"/>
            <w:shd w:val="clear" w:color="auto" w:fill="auto"/>
            <w:noWrap/>
            <w:vAlign w:val="center"/>
          </w:tcPr>
          <w:p>
            <w:pPr>
              <w:jc w:val="center"/>
              <w:rPr>
                <w:sz w:val="21"/>
                <w:szCs w:val="21"/>
              </w:rPr>
            </w:pPr>
            <w:r>
              <w:rPr>
                <w:sz w:val="21"/>
                <w:szCs w:val="21"/>
              </w:rPr>
              <w:t xml:space="preserve">921.466 </w:t>
            </w:r>
          </w:p>
        </w:tc>
        <w:tc>
          <w:tcPr>
            <w:tcW w:w="1090" w:type="pct"/>
            <w:shd w:val="clear" w:color="auto" w:fill="auto"/>
            <w:noWrap/>
            <w:vAlign w:val="center"/>
          </w:tcPr>
          <w:p>
            <w:pPr>
              <w:jc w:val="center"/>
              <w:rPr>
                <w:sz w:val="21"/>
                <w:szCs w:val="21"/>
              </w:rPr>
            </w:pPr>
            <w:r>
              <w:rPr>
                <w:sz w:val="21"/>
                <w:szCs w:val="21"/>
              </w:rPr>
              <w:t xml:space="preserve">9.234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13</w:t>
            </w:r>
          </w:p>
        </w:tc>
        <w:tc>
          <w:tcPr>
            <w:tcW w:w="1090" w:type="pct"/>
            <w:shd w:val="clear" w:color="auto" w:fill="auto"/>
            <w:noWrap/>
            <w:vAlign w:val="center"/>
          </w:tcPr>
          <w:p>
            <w:pPr>
              <w:jc w:val="center"/>
              <w:rPr>
                <w:sz w:val="21"/>
                <w:szCs w:val="21"/>
              </w:rPr>
            </w:pPr>
            <w:r>
              <w:rPr>
                <w:sz w:val="21"/>
                <w:szCs w:val="21"/>
              </w:rPr>
              <w:t xml:space="preserve">765.826 </w:t>
            </w:r>
          </w:p>
        </w:tc>
        <w:tc>
          <w:tcPr>
            <w:tcW w:w="1090" w:type="pct"/>
            <w:shd w:val="clear" w:color="auto" w:fill="auto"/>
            <w:noWrap/>
            <w:vAlign w:val="center"/>
          </w:tcPr>
          <w:p>
            <w:pPr>
              <w:jc w:val="center"/>
              <w:rPr>
                <w:sz w:val="21"/>
                <w:szCs w:val="21"/>
              </w:rPr>
            </w:pPr>
            <w:r>
              <w:rPr>
                <w:sz w:val="21"/>
                <w:szCs w:val="21"/>
              </w:rPr>
              <w:t xml:space="preserve">8.668 </w:t>
            </w:r>
          </w:p>
        </w:tc>
        <w:tc>
          <w:tcPr>
            <w:tcW w:w="1090" w:type="pct"/>
            <w:shd w:val="clear" w:color="auto" w:fill="auto"/>
            <w:noWrap/>
            <w:vAlign w:val="center"/>
          </w:tcPr>
          <w:p>
            <w:pPr>
              <w:jc w:val="center"/>
              <w:rPr>
                <w:sz w:val="21"/>
                <w:szCs w:val="21"/>
              </w:rPr>
            </w:pPr>
            <w:r>
              <w:rPr>
                <w:sz w:val="21"/>
                <w:szCs w:val="21"/>
              </w:rPr>
              <w:t xml:space="preserve">775.196 </w:t>
            </w:r>
          </w:p>
        </w:tc>
        <w:tc>
          <w:tcPr>
            <w:tcW w:w="1090" w:type="pct"/>
            <w:shd w:val="clear" w:color="auto" w:fill="auto"/>
            <w:noWrap/>
            <w:vAlign w:val="center"/>
          </w:tcPr>
          <w:p>
            <w:pPr>
              <w:jc w:val="center"/>
              <w:rPr>
                <w:sz w:val="21"/>
                <w:szCs w:val="21"/>
              </w:rPr>
            </w:pPr>
            <w:r>
              <w:rPr>
                <w:sz w:val="21"/>
                <w:szCs w:val="21"/>
              </w:rPr>
              <w:t xml:space="preserve">8.103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14</w:t>
            </w:r>
          </w:p>
        </w:tc>
        <w:tc>
          <w:tcPr>
            <w:tcW w:w="1090" w:type="pct"/>
            <w:shd w:val="clear" w:color="auto" w:fill="auto"/>
            <w:noWrap/>
            <w:vAlign w:val="center"/>
          </w:tcPr>
          <w:p>
            <w:pPr>
              <w:jc w:val="center"/>
              <w:rPr>
                <w:sz w:val="21"/>
                <w:szCs w:val="21"/>
              </w:rPr>
            </w:pPr>
            <w:r>
              <w:rPr>
                <w:sz w:val="21"/>
                <w:szCs w:val="21"/>
              </w:rPr>
              <w:t xml:space="preserve">639.715 </w:t>
            </w:r>
          </w:p>
        </w:tc>
        <w:tc>
          <w:tcPr>
            <w:tcW w:w="1090" w:type="pct"/>
            <w:shd w:val="clear" w:color="auto" w:fill="auto"/>
            <w:noWrap/>
            <w:vAlign w:val="center"/>
          </w:tcPr>
          <w:p>
            <w:pPr>
              <w:jc w:val="center"/>
              <w:rPr>
                <w:sz w:val="21"/>
                <w:szCs w:val="21"/>
              </w:rPr>
            </w:pPr>
            <w:r>
              <w:rPr>
                <w:sz w:val="21"/>
                <w:szCs w:val="21"/>
              </w:rPr>
              <w:t xml:space="preserve">7.586 </w:t>
            </w:r>
          </w:p>
        </w:tc>
        <w:tc>
          <w:tcPr>
            <w:tcW w:w="1090" w:type="pct"/>
            <w:shd w:val="clear" w:color="auto" w:fill="auto"/>
            <w:noWrap/>
            <w:vAlign w:val="center"/>
          </w:tcPr>
          <w:p>
            <w:pPr>
              <w:jc w:val="center"/>
              <w:rPr>
                <w:sz w:val="21"/>
                <w:szCs w:val="21"/>
              </w:rPr>
            </w:pPr>
            <w:r>
              <w:rPr>
                <w:sz w:val="21"/>
                <w:szCs w:val="21"/>
              </w:rPr>
              <w:t xml:space="preserve">656.080 </w:t>
            </w:r>
          </w:p>
        </w:tc>
        <w:tc>
          <w:tcPr>
            <w:tcW w:w="1090" w:type="pct"/>
            <w:shd w:val="clear" w:color="auto" w:fill="auto"/>
            <w:noWrap/>
            <w:vAlign w:val="center"/>
          </w:tcPr>
          <w:p>
            <w:pPr>
              <w:jc w:val="center"/>
              <w:rPr>
                <w:sz w:val="21"/>
                <w:szCs w:val="21"/>
              </w:rPr>
            </w:pPr>
            <w:r>
              <w:rPr>
                <w:sz w:val="21"/>
                <w:szCs w:val="21"/>
              </w:rPr>
              <w:t xml:space="preserve">7.154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15</w:t>
            </w:r>
          </w:p>
        </w:tc>
        <w:tc>
          <w:tcPr>
            <w:tcW w:w="1090" w:type="pct"/>
            <w:shd w:val="clear" w:color="auto" w:fill="auto"/>
            <w:noWrap/>
            <w:vAlign w:val="center"/>
          </w:tcPr>
          <w:p>
            <w:pPr>
              <w:jc w:val="center"/>
              <w:rPr>
                <w:sz w:val="21"/>
                <w:szCs w:val="21"/>
              </w:rPr>
            </w:pPr>
            <w:r>
              <w:rPr>
                <w:sz w:val="21"/>
                <w:szCs w:val="21"/>
              </w:rPr>
              <w:t xml:space="preserve">540.247 </w:t>
            </w:r>
          </w:p>
        </w:tc>
        <w:tc>
          <w:tcPr>
            <w:tcW w:w="1090" w:type="pct"/>
            <w:shd w:val="clear" w:color="auto" w:fill="auto"/>
            <w:noWrap/>
            <w:vAlign w:val="center"/>
          </w:tcPr>
          <w:p>
            <w:pPr>
              <w:jc w:val="center"/>
              <w:rPr>
                <w:sz w:val="21"/>
                <w:szCs w:val="21"/>
              </w:rPr>
            </w:pPr>
            <w:r>
              <w:rPr>
                <w:sz w:val="21"/>
                <w:szCs w:val="21"/>
              </w:rPr>
              <w:t xml:space="preserve">6.688 </w:t>
            </w:r>
          </w:p>
        </w:tc>
        <w:tc>
          <w:tcPr>
            <w:tcW w:w="1090" w:type="pct"/>
            <w:shd w:val="clear" w:color="auto" w:fill="auto"/>
            <w:noWrap/>
            <w:vAlign w:val="center"/>
          </w:tcPr>
          <w:p>
            <w:pPr>
              <w:jc w:val="center"/>
              <w:rPr>
                <w:sz w:val="21"/>
                <w:szCs w:val="21"/>
              </w:rPr>
            </w:pPr>
            <w:r>
              <w:rPr>
                <w:sz w:val="21"/>
                <w:szCs w:val="21"/>
              </w:rPr>
              <w:t xml:space="preserve">559.290 </w:t>
            </w:r>
          </w:p>
        </w:tc>
        <w:tc>
          <w:tcPr>
            <w:tcW w:w="1090" w:type="pct"/>
            <w:shd w:val="clear" w:color="auto" w:fill="auto"/>
            <w:noWrap/>
            <w:vAlign w:val="center"/>
          </w:tcPr>
          <w:p>
            <w:pPr>
              <w:jc w:val="center"/>
              <w:rPr>
                <w:sz w:val="21"/>
                <w:szCs w:val="21"/>
              </w:rPr>
            </w:pPr>
            <w:r>
              <w:rPr>
                <w:sz w:val="21"/>
                <w:szCs w:val="21"/>
              </w:rPr>
              <w:t xml:space="preserve">6.352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16</w:t>
            </w:r>
          </w:p>
        </w:tc>
        <w:tc>
          <w:tcPr>
            <w:tcW w:w="1090" w:type="pct"/>
            <w:shd w:val="clear" w:color="auto" w:fill="auto"/>
            <w:noWrap/>
            <w:vAlign w:val="center"/>
          </w:tcPr>
          <w:p>
            <w:pPr>
              <w:jc w:val="center"/>
              <w:rPr>
                <w:sz w:val="21"/>
                <w:szCs w:val="21"/>
              </w:rPr>
            </w:pPr>
            <w:r>
              <w:rPr>
                <w:sz w:val="21"/>
                <w:szCs w:val="21"/>
              </w:rPr>
              <w:t xml:space="preserve">461.272 </w:t>
            </w:r>
          </w:p>
        </w:tc>
        <w:tc>
          <w:tcPr>
            <w:tcW w:w="1090" w:type="pct"/>
            <w:shd w:val="clear" w:color="auto" w:fill="auto"/>
            <w:noWrap/>
            <w:vAlign w:val="center"/>
          </w:tcPr>
          <w:p>
            <w:pPr>
              <w:jc w:val="center"/>
              <w:rPr>
                <w:sz w:val="21"/>
                <w:szCs w:val="21"/>
              </w:rPr>
            </w:pPr>
            <w:r>
              <w:rPr>
                <w:sz w:val="21"/>
                <w:szCs w:val="21"/>
              </w:rPr>
              <w:t xml:space="preserve">5.936 </w:t>
            </w:r>
          </w:p>
        </w:tc>
        <w:tc>
          <w:tcPr>
            <w:tcW w:w="1090" w:type="pct"/>
            <w:shd w:val="clear" w:color="auto" w:fill="auto"/>
            <w:noWrap/>
            <w:vAlign w:val="center"/>
          </w:tcPr>
          <w:p>
            <w:pPr>
              <w:jc w:val="center"/>
              <w:rPr>
                <w:sz w:val="21"/>
                <w:szCs w:val="21"/>
              </w:rPr>
            </w:pPr>
            <w:r>
              <w:rPr>
                <w:sz w:val="21"/>
                <w:szCs w:val="21"/>
              </w:rPr>
              <w:t xml:space="preserve">480.542 </w:t>
            </w:r>
          </w:p>
        </w:tc>
        <w:tc>
          <w:tcPr>
            <w:tcW w:w="1090" w:type="pct"/>
            <w:shd w:val="clear" w:color="auto" w:fill="auto"/>
            <w:noWrap/>
            <w:vAlign w:val="center"/>
          </w:tcPr>
          <w:p>
            <w:pPr>
              <w:jc w:val="center"/>
              <w:rPr>
                <w:sz w:val="21"/>
                <w:szCs w:val="21"/>
              </w:rPr>
            </w:pPr>
            <w:r>
              <w:rPr>
                <w:sz w:val="21"/>
                <w:szCs w:val="21"/>
              </w:rPr>
              <w:t xml:space="preserve">5.671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17</w:t>
            </w:r>
          </w:p>
        </w:tc>
        <w:tc>
          <w:tcPr>
            <w:tcW w:w="1090" w:type="pct"/>
            <w:shd w:val="clear" w:color="auto" w:fill="auto"/>
            <w:noWrap/>
            <w:vAlign w:val="center"/>
          </w:tcPr>
          <w:p>
            <w:pPr>
              <w:jc w:val="center"/>
              <w:rPr>
                <w:sz w:val="21"/>
                <w:szCs w:val="21"/>
              </w:rPr>
            </w:pPr>
            <w:r>
              <w:rPr>
                <w:sz w:val="21"/>
                <w:szCs w:val="21"/>
              </w:rPr>
              <w:t xml:space="preserve">398.045 </w:t>
            </w:r>
          </w:p>
        </w:tc>
        <w:tc>
          <w:tcPr>
            <w:tcW w:w="1090" w:type="pct"/>
            <w:shd w:val="clear" w:color="auto" w:fill="auto"/>
            <w:noWrap/>
            <w:vAlign w:val="center"/>
          </w:tcPr>
          <w:p>
            <w:pPr>
              <w:jc w:val="center"/>
              <w:rPr>
                <w:sz w:val="21"/>
                <w:szCs w:val="21"/>
              </w:rPr>
            </w:pPr>
            <w:r>
              <w:rPr>
                <w:sz w:val="21"/>
                <w:szCs w:val="21"/>
              </w:rPr>
              <w:t xml:space="preserve">5.301 </w:t>
            </w:r>
          </w:p>
        </w:tc>
        <w:tc>
          <w:tcPr>
            <w:tcW w:w="1090" w:type="pct"/>
            <w:shd w:val="clear" w:color="auto" w:fill="auto"/>
            <w:noWrap/>
            <w:vAlign w:val="center"/>
          </w:tcPr>
          <w:p>
            <w:pPr>
              <w:jc w:val="center"/>
              <w:rPr>
                <w:sz w:val="21"/>
                <w:szCs w:val="21"/>
              </w:rPr>
            </w:pPr>
            <w:r>
              <w:rPr>
                <w:sz w:val="21"/>
                <w:szCs w:val="21"/>
              </w:rPr>
              <w:t xml:space="preserve">416.236 </w:t>
            </w:r>
          </w:p>
        </w:tc>
        <w:tc>
          <w:tcPr>
            <w:tcW w:w="1090" w:type="pct"/>
            <w:shd w:val="clear" w:color="auto" w:fill="auto"/>
            <w:noWrap/>
            <w:vAlign w:val="center"/>
          </w:tcPr>
          <w:p>
            <w:pPr>
              <w:jc w:val="center"/>
              <w:rPr>
                <w:sz w:val="21"/>
                <w:szCs w:val="21"/>
              </w:rPr>
            </w:pPr>
            <w:r>
              <w:rPr>
                <w:sz w:val="21"/>
                <w:szCs w:val="21"/>
              </w:rPr>
              <w:t xml:space="preserve">5.089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18</w:t>
            </w:r>
          </w:p>
        </w:tc>
        <w:tc>
          <w:tcPr>
            <w:tcW w:w="1090" w:type="pct"/>
            <w:shd w:val="clear" w:color="auto" w:fill="auto"/>
            <w:noWrap/>
            <w:vAlign w:val="center"/>
          </w:tcPr>
          <w:p>
            <w:pPr>
              <w:jc w:val="center"/>
              <w:rPr>
                <w:sz w:val="21"/>
                <w:szCs w:val="21"/>
              </w:rPr>
            </w:pPr>
            <w:r>
              <w:rPr>
                <w:sz w:val="21"/>
                <w:szCs w:val="21"/>
              </w:rPr>
              <w:t xml:space="preserve">346.949 </w:t>
            </w:r>
          </w:p>
        </w:tc>
        <w:tc>
          <w:tcPr>
            <w:tcW w:w="1090" w:type="pct"/>
            <w:shd w:val="clear" w:color="auto" w:fill="auto"/>
            <w:noWrap/>
            <w:vAlign w:val="center"/>
          </w:tcPr>
          <w:p>
            <w:pPr>
              <w:jc w:val="center"/>
              <w:rPr>
                <w:sz w:val="21"/>
                <w:szCs w:val="21"/>
              </w:rPr>
            </w:pPr>
            <w:r>
              <w:rPr>
                <w:sz w:val="21"/>
                <w:szCs w:val="21"/>
              </w:rPr>
              <w:t xml:space="preserve">4.760 </w:t>
            </w:r>
          </w:p>
        </w:tc>
        <w:tc>
          <w:tcPr>
            <w:tcW w:w="1090" w:type="pct"/>
            <w:shd w:val="clear" w:color="auto" w:fill="auto"/>
            <w:noWrap/>
            <w:vAlign w:val="center"/>
          </w:tcPr>
          <w:p>
            <w:pPr>
              <w:jc w:val="center"/>
              <w:rPr>
                <w:sz w:val="21"/>
                <w:szCs w:val="21"/>
              </w:rPr>
            </w:pPr>
            <w:r>
              <w:rPr>
                <w:sz w:val="21"/>
                <w:szCs w:val="21"/>
              </w:rPr>
              <w:t xml:space="preserve">363.446 </w:t>
            </w:r>
          </w:p>
        </w:tc>
        <w:tc>
          <w:tcPr>
            <w:tcW w:w="1090" w:type="pct"/>
            <w:shd w:val="clear" w:color="auto" w:fill="auto"/>
            <w:noWrap/>
            <w:vAlign w:val="center"/>
          </w:tcPr>
          <w:p>
            <w:pPr>
              <w:jc w:val="center"/>
              <w:rPr>
                <w:sz w:val="21"/>
                <w:szCs w:val="21"/>
              </w:rPr>
            </w:pPr>
            <w:r>
              <w:rPr>
                <w:sz w:val="21"/>
                <w:szCs w:val="21"/>
              </w:rPr>
              <w:t xml:space="preserve">4.590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19</w:t>
            </w:r>
          </w:p>
        </w:tc>
        <w:tc>
          <w:tcPr>
            <w:tcW w:w="1090" w:type="pct"/>
            <w:shd w:val="clear" w:color="auto" w:fill="auto"/>
            <w:noWrap/>
            <w:vAlign w:val="center"/>
          </w:tcPr>
          <w:p>
            <w:pPr>
              <w:jc w:val="center"/>
              <w:rPr>
                <w:sz w:val="21"/>
                <w:szCs w:val="21"/>
              </w:rPr>
            </w:pPr>
            <w:r>
              <w:rPr>
                <w:sz w:val="21"/>
                <w:szCs w:val="21"/>
              </w:rPr>
              <w:t xml:space="preserve">305.244 </w:t>
            </w:r>
          </w:p>
        </w:tc>
        <w:tc>
          <w:tcPr>
            <w:tcW w:w="1090" w:type="pct"/>
            <w:shd w:val="clear" w:color="auto" w:fill="auto"/>
            <w:noWrap/>
            <w:vAlign w:val="center"/>
          </w:tcPr>
          <w:p>
            <w:pPr>
              <w:jc w:val="center"/>
              <w:rPr>
                <w:sz w:val="21"/>
                <w:szCs w:val="21"/>
              </w:rPr>
            </w:pPr>
            <w:r>
              <w:rPr>
                <w:sz w:val="21"/>
                <w:szCs w:val="21"/>
              </w:rPr>
              <w:t xml:space="preserve">4.297 </w:t>
            </w:r>
          </w:p>
        </w:tc>
        <w:tc>
          <w:tcPr>
            <w:tcW w:w="1090" w:type="pct"/>
            <w:shd w:val="clear" w:color="auto" w:fill="auto"/>
            <w:noWrap/>
            <w:vAlign w:val="center"/>
          </w:tcPr>
          <w:p>
            <w:pPr>
              <w:jc w:val="center"/>
              <w:rPr>
                <w:sz w:val="21"/>
                <w:szCs w:val="21"/>
              </w:rPr>
            </w:pPr>
            <w:r>
              <w:rPr>
                <w:sz w:val="21"/>
                <w:szCs w:val="21"/>
              </w:rPr>
              <w:t xml:space="preserve">319.833 </w:t>
            </w:r>
          </w:p>
        </w:tc>
        <w:tc>
          <w:tcPr>
            <w:tcW w:w="1090" w:type="pct"/>
            <w:shd w:val="clear" w:color="auto" w:fill="auto"/>
            <w:noWrap/>
            <w:vAlign w:val="center"/>
          </w:tcPr>
          <w:p>
            <w:pPr>
              <w:jc w:val="center"/>
              <w:rPr>
                <w:sz w:val="21"/>
                <w:szCs w:val="21"/>
              </w:rPr>
            </w:pPr>
            <w:r>
              <w:rPr>
                <w:sz w:val="21"/>
                <w:szCs w:val="21"/>
              </w:rPr>
              <w:t xml:space="preserve">4.158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20</w:t>
            </w:r>
          </w:p>
        </w:tc>
        <w:tc>
          <w:tcPr>
            <w:tcW w:w="1090" w:type="pct"/>
            <w:shd w:val="clear" w:color="auto" w:fill="auto"/>
            <w:noWrap/>
            <w:vAlign w:val="center"/>
          </w:tcPr>
          <w:p>
            <w:pPr>
              <w:jc w:val="center"/>
              <w:rPr>
                <w:sz w:val="21"/>
                <w:szCs w:val="21"/>
              </w:rPr>
            </w:pPr>
            <w:r>
              <w:rPr>
                <w:sz w:val="21"/>
                <w:szCs w:val="21"/>
              </w:rPr>
              <w:t xml:space="preserve">270.858 </w:t>
            </w:r>
          </w:p>
        </w:tc>
        <w:tc>
          <w:tcPr>
            <w:tcW w:w="1090" w:type="pct"/>
            <w:shd w:val="clear" w:color="auto" w:fill="auto"/>
            <w:noWrap/>
            <w:vAlign w:val="center"/>
          </w:tcPr>
          <w:p>
            <w:pPr>
              <w:jc w:val="center"/>
              <w:rPr>
                <w:sz w:val="21"/>
                <w:szCs w:val="21"/>
              </w:rPr>
            </w:pPr>
            <w:r>
              <w:rPr>
                <w:sz w:val="21"/>
                <w:szCs w:val="21"/>
              </w:rPr>
              <w:t xml:space="preserve">3.897 </w:t>
            </w:r>
          </w:p>
        </w:tc>
        <w:tc>
          <w:tcPr>
            <w:tcW w:w="1090" w:type="pct"/>
            <w:shd w:val="clear" w:color="auto" w:fill="auto"/>
            <w:noWrap/>
            <w:vAlign w:val="center"/>
          </w:tcPr>
          <w:p>
            <w:pPr>
              <w:jc w:val="center"/>
              <w:rPr>
                <w:sz w:val="21"/>
                <w:szCs w:val="21"/>
              </w:rPr>
            </w:pPr>
            <w:r>
              <w:rPr>
                <w:sz w:val="21"/>
                <w:szCs w:val="21"/>
              </w:rPr>
              <w:t xml:space="preserve">283.549 </w:t>
            </w:r>
          </w:p>
        </w:tc>
        <w:tc>
          <w:tcPr>
            <w:tcW w:w="1090" w:type="pct"/>
            <w:shd w:val="clear" w:color="auto" w:fill="auto"/>
            <w:noWrap/>
            <w:vAlign w:val="center"/>
          </w:tcPr>
          <w:p>
            <w:pPr>
              <w:jc w:val="center"/>
              <w:rPr>
                <w:sz w:val="21"/>
                <w:szCs w:val="21"/>
              </w:rPr>
            </w:pPr>
            <w:r>
              <w:rPr>
                <w:sz w:val="21"/>
                <w:szCs w:val="21"/>
              </w:rPr>
              <w:t xml:space="preserve">3.783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21</w:t>
            </w:r>
          </w:p>
        </w:tc>
        <w:tc>
          <w:tcPr>
            <w:tcW w:w="1090" w:type="pct"/>
            <w:shd w:val="clear" w:color="auto" w:fill="auto"/>
            <w:noWrap/>
            <w:vAlign w:val="center"/>
          </w:tcPr>
          <w:p>
            <w:pPr>
              <w:jc w:val="center"/>
              <w:rPr>
                <w:sz w:val="21"/>
                <w:szCs w:val="21"/>
              </w:rPr>
            </w:pPr>
            <w:r>
              <w:rPr>
                <w:sz w:val="21"/>
                <w:szCs w:val="21"/>
              </w:rPr>
              <w:t xml:space="preserve">242.217 </w:t>
            </w:r>
          </w:p>
        </w:tc>
        <w:tc>
          <w:tcPr>
            <w:tcW w:w="1090" w:type="pct"/>
            <w:shd w:val="clear" w:color="auto" w:fill="auto"/>
            <w:noWrap/>
            <w:vAlign w:val="center"/>
          </w:tcPr>
          <w:p>
            <w:pPr>
              <w:jc w:val="center"/>
              <w:rPr>
                <w:sz w:val="21"/>
                <w:szCs w:val="21"/>
              </w:rPr>
            </w:pPr>
            <w:r>
              <w:rPr>
                <w:sz w:val="21"/>
                <w:szCs w:val="21"/>
              </w:rPr>
              <w:t xml:space="preserve">3.550 </w:t>
            </w:r>
          </w:p>
        </w:tc>
        <w:tc>
          <w:tcPr>
            <w:tcW w:w="1090" w:type="pct"/>
            <w:shd w:val="clear" w:color="auto" w:fill="auto"/>
            <w:noWrap/>
            <w:vAlign w:val="center"/>
          </w:tcPr>
          <w:p>
            <w:pPr>
              <w:jc w:val="center"/>
              <w:rPr>
                <w:sz w:val="21"/>
                <w:szCs w:val="21"/>
              </w:rPr>
            </w:pPr>
            <w:r>
              <w:rPr>
                <w:sz w:val="21"/>
                <w:szCs w:val="21"/>
              </w:rPr>
              <w:t xml:space="preserve">253.135 </w:t>
            </w:r>
          </w:p>
        </w:tc>
        <w:tc>
          <w:tcPr>
            <w:tcW w:w="1090" w:type="pct"/>
            <w:shd w:val="clear" w:color="auto" w:fill="auto"/>
            <w:noWrap/>
            <w:vAlign w:val="center"/>
          </w:tcPr>
          <w:p>
            <w:pPr>
              <w:jc w:val="center"/>
              <w:rPr>
                <w:sz w:val="21"/>
                <w:szCs w:val="21"/>
              </w:rPr>
            </w:pPr>
            <w:r>
              <w:rPr>
                <w:sz w:val="21"/>
                <w:szCs w:val="21"/>
              </w:rPr>
              <w:t xml:space="preserve">3.455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22</w:t>
            </w:r>
          </w:p>
        </w:tc>
        <w:tc>
          <w:tcPr>
            <w:tcW w:w="1090" w:type="pct"/>
            <w:shd w:val="clear" w:color="auto" w:fill="auto"/>
            <w:noWrap/>
            <w:vAlign w:val="center"/>
          </w:tcPr>
          <w:p>
            <w:pPr>
              <w:jc w:val="center"/>
              <w:rPr>
                <w:sz w:val="21"/>
                <w:szCs w:val="21"/>
              </w:rPr>
            </w:pPr>
            <w:r>
              <w:rPr>
                <w:sz w:val="21"/>
                <w:szCs w:val="21"/>
              </w:rPr>
              <w:t xml:space="preserve">218.126 </w:t>
            </w:r>
          </w:p>
        </w:tc>
        <w:tc>
          <w:tcPr>
            <w:tcW w:w="1090" w:type="pct"/>
            <w:shd w:val="clear" w:color="auto" w:fill="auto"/>
            <w:noWrap/>
            <w:vAlign w:val="center"/>
          </w:tcPr>
          <w:p>
            <w:pPr>
              <w:jc w:val="center"/>
              <w:rPr>
                <w:sz w:val="21"/>
                <w:szCs w:val="21"/>
              </w:rPr>
            </w:pPr>
            <w:r>
              <w:rPr>
                <w:sz w:val="21"/>
                <w:szCs w:val="21"/>
              </w:rPr>
              <w:t xml:space="preserve">3.246 </w:t>
            </w:r>
          </w:p>
        </w:tc>
        <w:tc>
          <w:tcPr>
            <w:tcW w:w="1090" w:type="pct"/>
            <w:shd w:val="clear" w:color="auto" w:fill="auto"/>
            <w:noWrap/>
            <w:vAlign w:val="center"/>
          </w:tcPr>
          <w:p>
            <w:pPr>
              <w:jc w:val="center"/>
              <w:rPr>
                <w:sz w:val="21"/>
                <w:szCs w:val="21"/>
              </w:rPr>
            </w:pPr>
            <w:r>
              <w:rPr>
                <w:sz w:val="21"/>
                <w:szCs w:val="21"/>
              </w:rPr>
              <w:t xml:space="preserve">227.450 </w:t>
            </w:r>
          </w:p>
        </w:tc>
        <w:tc>
          <w:tcPr>
            <w:tcW w:w="1090" w:type="pct"/>
            <w:shd w:val="clear" w:color="auto" w:fill="auto"/>
            <w:noWrap/>
            <w:vAlign w:val="center"/>
          </w:tcPr>
          <w:p>
            <w:pPr>
              <w:jc w:val="center"/>
              <w:rPr>
                <w:sz w:val="21"/>
                <w:szCs w:val="21"/>
              </w:rPr>
            </w:pPr>
            <w:r>
              <w:rPr>
                <w:sz w:val="21"/>
                <w:szCs w:val="21"/>
              </w:rPr>
              <w:t xml:space="preserve">3.167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23</w:t>
            </w:r>
          </w:p>
        </w:tc>
        <w:tc>
          <w:tcPr>
            <w:tcW w:w="1090" w:type="pct"/>
            <w:shd w:val="clear" w:color="auto" w:fill="auto"/>
            <w:noWrap/>
            <w:vAlign w:val="center"/>
          </w:tcPr>
          <w:p>
            <w:pPr>
              <w:jc w:val="center"/>
              <w:rPr>
                <w:sz w:val="21"/>
                <w:szCs w:val="21"/>
              </w:rPr>
            </w:pPr>
            <w:r>
              <w:rPr>
                <w:sz w:val="21"/>
                <w:szCs w:val="21"/>
              </w:rPr>
              <w:t xml:space="preserve">197.668 </w:t>
            </w:r>
          </w:p>
        </w:tc>
        <w:tc>
          <w:tcPr>
            <w:tcW w:w="1090" w:type="pct"/>
            <w:shd w:val="clear" w:color="auto" w:fill="auto"/>
            <w:noWrap/>
            <w:vAlign w:val="center"/>
          </w:tcPr>
          <w:p>
            <w:pPr>
              <w:jc w:val="center"/>
              <w:rPr>
                <w:sz w:val="21"/>
                <w:szCs w:val="21"/>
              </w:rPr>
            </w:pPr>
            <w:r>
              <w:rPr>
                <w:sz w:val="21"/>
                <w:szCs w:val="21"/>
              </w:rPr>
              <w:t xml:space="preserve">2.980 </w:t>
            </w:r>
          </w:p>
        </w:tc>
        <w:tc>
          <w:tcPr>
            <w:tcW w:w="1090" w:type="pct"/>
            <w:shd w:val="clear" w:color="auto" w:fill="auto"/>
            <w:noWrap/>
            <w:vAlign w:val="center"/>
          </w:tcPr>
          <w:p>
            <w:pPr>
              <w:jc w:val="center"/>
              <w:rPr>
                <w:sz w:val="21"/>
                <w:szCs w:val="21"/>
              </w:rPr>
            </w:pPr>
            <w:r>
              <w:rPr>
                <w:sz w:val="21"/>
                <w:szCs w:val="21"/>
              </w:rPr>
              <w:t xml:space="preserve">205.594 </w:t>
            </w:r>
          </w:p>
        </w:tc>
        <w:tc>
          <w:tcPr>
            <w:tcW w:w="1090" w:type="pct"/>
            <w:shd w:val="clear" w:color="auto" w:fill="auto"/>
            <w:noWrap/>
            <w:vAlign w:val="center"/>
          </w:tcPr>
          <w:p>
            <w:pPr>
              <w:jc w:val="center"/>
              <w:rPr>
                <w:sz w:val="21"/>
                <w:szCs w:val="21"/>
              </w:rPr>
            </w:pPr>
            <w:r>
              <w:rPr>
                <w:sz w:val="21"/>
                <w:szCs w:val="21"/>
              </w:rPr>
              <w:t xml:space="preserve">2.913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24</w:t>
            </w:r>
          </w:p>
        </w:tc>
        <w:tc>
          <w:tcPr>
            <w:tcW w:w="1090" w:type="pct"/>
            <w:shd w:val="clear" w:color="auto" w:fill="auto"/>
            <w:noWrap/>
            <w:vAlign w:val="center"/>
          </w:tcPr>
          <w:p>
            <w:pPr>
              <w:jc w:val="center"/>
              <w:rPr>
                <w:sz w:val="21"/>
                <w:szCs w:val="21"/>
              </w:rPr>
            </w:pPr>
            <w:r>
              <w:rPr>
                <w:sz w:val="21"/>
                <w:szCs w:val="21"/>
              </w:rPr>
              <w:t xml:space="preserve">180.140 </w:t>
            </w:r>
          </w:p>
        </w:tc>
        <w:tc>
          <w:tcPr>
            <w:tcW w:w="1090" w:type="pct"/>
            <w:shd w:val="clear" w:color="auto" w:fill="auto"/>
            <w:noWrap/>
            <w:vAlign w:val="center"/>
          </w:tcPr>
          <w:p>
            <w:pPr>
              <w:jc w:val="center"/>
              <w:rPr>
                <w:sz w:val="21"/>
                <w:szCs w:val="21"/>
              </w:rPr>
            </w:pPr>
            <w:r>
              <w:rPr>
                <w:sz w:val="21"/>
                <w:szCs w:val="21"/>
              </w:rPr>
              <w:t xml:space="preserve">2.744 </w:t>
            </w:r>
          </w:p>
        </w:tc>
        <w:tc>
          <w:tcPr>
            <w:tcW w:w="1090" w:type="pct"/>
            <w:shd w:val="clear" w:color="auto" w:fill="auto"/>
            <w:noWrap/>
            <w:vAlign w:val="center"/>
          </w:tcPr>
          <w:p>
            <w:pPr>
              <w:jc w:val="center"/>
              <w:rPr>
                <w:sz w:val="21"/>
                <w:szCs w:val="21"/>
              </w:rPr>
            </w:pPr>
            <w:r>
              <w:rPr>
                <w:sz w:val="21"/>
                <w:szCs w:val="21"/>
              </w:rPr>
              <w:t xml:space="preserve">186.857 </w:t>
            </w:r>
          </w:p>
        </w:tc>
        <w:tc>
          <w:tcPr>
            <w:tcW w:w="1090" w:type="pct"/>
            <w:shd w:val="clear" w:color="auto" w:fill="auto"/>
            <w:noWrap/>
            <w:vAlign w:val="center"/>
          </w:tcPr>
          <w:p>
            <w:pPr>
              <w:jc w:val="center"/>
              <w:rPr>
                <w:sz w:val="21"/>
                <w:szCs w:val="21"/>
              </w:rPr>
            </w:pPr>
            <w:r>
              <w:rPr>
                <w:sz w:val="21"/>
                <w:szCs w:val="21"/>
              </w:rPr>
              <w:t xml:space="preserve">2.688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25</w:t>
            </w:r>
          </w:p>
        </w:tc>
        <w:tc>
          <w:tcPr>
            <w:tcW w:w="1090" w:type="pct"/>
            <w:shd w:val="clear" w:color="auto" w:fill="auto"/>
            <w:noWrap/>
            <w:vAlign w:val="center"/>
          </w:tcPr>
          <w:p>
            <w:pPr>
              <w:jc w:val="center"/>
              <w:rPr>
                <w:sz w:val="21"/>
                <w:szCs w:val="21"/>
              </w:rPr>
            </w:pPr>
            <w:r>
              <w:rPr>
                <w:sz w:val="21"/>
                <w:szCs w:val="21"/>
              </w:rPr>
              <w:t xml:space="preserve">164.997 </w:t>
            </w:r>
          </w:p>
        </w:tc>
        <w:tc>
          <w:tcPr>
            <w:tcW w:w="1090" w:type="pct"/>
            <w:shd w:val="clear" w:color="auto" w:fill="auto"/>
            <w:noWrap/>
            <w:vAlign w:val="center"/>
          </w:tcPr>
          <w:p>
            <w:pPr>
              <w:jc w:val="center"/>
              <w:rPr>
                <w:sz w:val="21"/>
                <w:szCs w:val="21"/>
              </w:rPr>
            </w:pPr>
            <w:r>
              <w:rPr>
                <w:sz w:val="21"/>
                <w:szCs w:val="21"/>
              </w:rPr>
              <w:t xml:space="preserve">2.535 </w:t>
            </w:r>
          </w:p>
        </w:tc>
        <w:tc>
          <w:tcPr>
            <w:tcW w:w="1090" w:type="pct"/>
            <w:shd w:val="clear" w:color="auto" w:fill="auto"/>
            <w:noWrap/>
            <w:vAlign w:val="center"/>
          </w:tcPr>
          <w:p>
            <w:pPr>
              <w:jc w:val="center"/>
              <w:rPr>
                <w:sz w:val="21"/>
                <w:szCs w:val="21"/>
              </w:rPr>
            </w:pPr>
            <w:r>
              <w:rPr>
                <w:sz w:val="21"/>
                <w:szCs w:val="21"/>
              </w:rPr>
              <w:t xml:space="preserve">170.679 </w:t>
            </w:r>
          </w:p>
        </w:tc>
        <w:tc>
          <w:tcPr>
            <w:tcW w:w="1090" w:type="pct"/>
            <w:shd w:val="clear" w:color="auto" w:fill="auto"/>
            <w:noWrap/>
            <w:vAlign w:val="center"/>
          </w:tcPr>
          <w:p>
            <w:pPr>
              <w:jc w:val="center"/>
              <w:rPr>
                <w:sz w:val="21"/>
                <w:szCs w:val="21"/>
              </w:rPr>
            </w:pPr>
            <w:r>
              <w:rPr>
                <w:sz w:val="21"/>
                <w:szCs w:val="21"/>
              </w:rPr>
              <w:t xml:space="preserve">2.487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26</w:t>
            </w:r>
          </w:p>
        </w:tc>
        <w:tc>
          <w:tcPr>
            <w:tcW w:w="1090" w:type="pct"/>
            <w:shd w:val="clear" w:color="auto" w:fill="auto"/>
            <w:noWrap/>
            <w:vAlign w:val="center"/>
          </w:tcPr>
          <w:p>
            <w:pPr>
              <w:jc w:val="center"/>
              <w:rPr>
                <w:sz w:val="21"/>
                <w:szCs w:val="21"/>
              </w:rPr>
            </w:pPr>
            <w:r>
              <w:rPr>
                <w:sz w:val="21"/>
                <w:szCs w:val="21"/>
              </w:rPr>
              <w:t xml:space="preserve">151.811 </w:t>
            </w:r>
          </w:p>
        </w:tc>
        <w:tc>
          <w:tcPr>
            <w:tcW w:w="1090" w:type="pct"/>
            <w:shd w:val="clear" w:color="auto" w:fill="auto"/>
            <w:noWrap/>
            <w:vAlign w:val="center"/>
          </w:tcPr>
          <w:p>
            <w:pPr>
              <w:jc w:val="center"/>
              <w:rPr>
                <w:sz w:val="21"/>
                <w:szCs w:val="21"/>
              </w:rPr>
            </w:pPr>
            <w:r>
              <w:rPr>
                <w:sz w:val="21"/>
                <w:szCs w:val="21"/>
              </w:rPr>
              <w:t xml:space="preserve">2.349 </w:t>
            </w:r>
          </w:p>
        </w:tc>
        <w:tc>
          <w:tcPr>
            <w:tcW w:w="1090" w:type="pct"/>
            <w:shd w:val="clear" w:color="auto" w:fill="auto"/>
            <w:noWrap/>
            <w:vAlign w:val="center"/>
          </w:tcPr>
          <w:p>
            <w:pPr>
              <w:jc w:val="center"/>
              <w:rPr>
                <w:sz w:val="21"/>
                <w:szCs w:val="21"/>
              </w:rPr>
            </w:pPr>
            <w:r>
              <w:rPr>
                <w:sz w:val="21"/>
                <w:szCs w:val="21"/>
              </w:rPr>
              <w:t xml:space="preserve">156.613 </w:t>
            </w:r>
          </w:p>
        </w:tc>
        <w:tc>
          <w:tcPr>
            <w:tcW w:w="1090" w:type="pct"/>
            <w:shd w:val="clear" w:color="auto" w:fill="auto"/>
            <w:noWrap/>
            <w:vAlign w:val="center"/>
          </w:tcPr>
          <w:p>
            <w:pPr>
              <w:jc w:val="center"/>
              <w:rPr>
                <w:sz w:val="21"/>
                <w:szCs w:val="21"/>
              </w:rPr>
            </w:pPr>
            <w:r>
              <w:rPr>
                <w:sz w:val="21"/>
                <w:szCs w:val="21"/>
              </w:rPr>
              <w:t xml:space="preserve">2.308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27</w:t>
            </w:r>
          </w:p>
        </w:tc>
        <w:tc>
          <w:tcPr>
            <w:tcW w:w="1090" w:type="pct"/>
            <w:shd w:val="clear" w:color="auto" w:fill="auto"/>
            <w:noWrap/>
            <w:vAlign w:val="center"/>
          </w:tcPr>
          <w:p>
            <w:pPr>
              <w:jc w:val="center"/>
              <w:rPr>
                <w:sz w:val="21"/>
                <w:szCs w:val="21"/>
              </w:rPr>
            </w:pPr>
            <w:r>
              <w:rPr>
                <w:sz w:val="21"/>
                <w:szCs w:val="21"/>
              </w:rPr>
              <w:t xml:space="preserve">140.246 </w:t>
            </w:r>
          </w:p>
        </w:tc>
        <w:tc>
          <w:tcPr>
            <w:tcW w:w="1090" w:type="pct"/>
            <w:shd w:val="clear" w:color="auto" w:fill="auto"/>
            <w:noWrap/>
            <w:vAlign w:val="center"/>
          </w:tcPr>
          <w:p>
            <w:pPr>
              <w:jc w:val="center"/>
              <w:rPr>
                <w:sz w:val="21"/>
                <w:szCs w:val="21"/>
              </w:rPr>
            </w:pPr>
            <w:r>
              <w:rPr>
                <w:sz w:val="21"/>
                <w:szCs w:val="21"/>
              </w:rPr>
              <w:t xml:space="preserve">2.183 </w:t>
            </w:r>
          </w:p>
        </w:tc>
        <w:tc>
          <w:tcPr>
            <w:tcW w:w="1090" w:type="pct"/>
            <w:shd w:val="clear" w:color="auto" w:fill="auto"/>
            <w:noWrap/>
            <w:vAlign w:val="center"/>
          </w:tcPr>
          <w:p>
            <w:pPr>
              <w:jc w:val="center"/>
              <w:rPr>
                <w:sz w:val="21"/>
                <w:szCs w:val="21"/>
              </w:rPr>
            </w:pPr>
            <w:r>
              <w:rPr>
                <w:sz w:val="21"/>
                <w:szCs w:val="21"/>
              </w:rPr>
              <w:t xml:space="preserve">144.306 </w:t>
            </w:r>
          </w:p>
        </w:tc>
        <w:tc>
          <w:tcPr>
            <w:tcW w:w="1090" w:type="pct"/>
            <w:shd w:val="clear" w:color="auto" w:fill="auto"/>
            <w:noWrap/>
            <w:vAlign w:val="center"/>
          </w:tcPr>
          <w:p>
            <w:pPr>
              <w:jc w:val="center"/>
              <w:rPr>
                <w:sz w:val="21"/>
                <w:szCs w:val="21"/>
              </w:rPr>
            </w:pPr>
            <w:r>
              <w:rPr>
                <w:sz w:val="21"/>
                <w:szCs w:val="21"/>
              </w:rPr>
              <w:t xml:space="preserve">2.147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28</w:t>
            </w:r>
          </w:p>
        </w:tc>
        <w:tc>
          <w:tcPr>
            <w:tcW w:w="1090" w:type="pct"/>
            <w:shd w:val="clear" w:color="auto" w:fill="auto"/>
            <w:noWrap/>
            <w:vAlign w:val="center"/>
          </w:tcPr>
          <w:p>
            <w:pPr>
              <w:jc w:val="center"/>
              <w:rPr>
                <w:sz w:val="21"/>
                <w:szCs w:val="21"/>
              </w:rPr>
            </w:pPr>
            <w:r>
              <w:rPr>
                <w:sz w:val="21"/>
                <w:szCs w:val="21"/>
              </w:rPr>
              <w:t xml:space="preserve">130.037 </w:t>
            </w:r>
          </w:p>
        </w:tc>
        <w:tc>
          <w:tcPr>
            <w:tcW w:w="1090" w:type="pct"/>
            <w:shd w:val="clear" w:color="auto" w:fill="auto"/>
            <w:noWrap/>
            <w:vAlign w:val="center"/>
          </w:tcPr>
          <w:p>
            <w:pPr>
              <w:jc w:val="center"/>
              <w:rPr>
                <w:sz w:val="21"/>
                <w:szCs w:val="21"/>
              </w:rPr>
            </w:pPr>
            <w:r>
              <w:rPr>
                <w:sz w:val="21"/>
                <w:szCs w:val="21"/>
              </w:rPr>
              <w:t xml:space="preserve">2.033 </w:t>
            </w:r>
          </w:p>
        </w:tc>
        <w:tc>
          <w:tcPr>
            <w:tcW w:w="1090" w:type="pct"/>
            <w:shd w:val="clear" w:color="auto" w:fill="auto"/>
            <w:noWrap/>
            <w:vAlign w:val="center"/>
          </w:tcPr>
          <w:p>
            <w:pPr>
              <w:jc w:val="center"/>
              <w:rPr>
                <w:sz w:val="21"/>
                <w:szCs w:val="21"/>
              </w:rPr>
            </w:pPr>
            <w:r>
              <w:rPr>
                <w:sz w:val="21"/>
                <w:szCs w:val="21"/>
              </w:rPr>
              <w:t xml:space="preserve">133.470 </w:t>
            </w:r>
          </w:p>
        </w:tc>
        <w:tc>
          <w:tcPr>
            <w:tcW w:w="1090" w:type="pct"/>
            <w:shd w:val="clear" w:color="auto" w:fill="auto"/>
            <w:noWrap/>
            <w:vAlign w:val="center"/>
          </w:tcPr>
          <w:p>
            <w:pPr>
              <w:jc w:val="center"/>
              <w:rPr>
                <w:sz w:val="21"/>
                <w:szCs w:val="21"/>
              </w:rPr>
            </w:pPr>
            <w:r>
              <w:rPr>
                <w:sz w:val="21"/>
                <w:szCs w:val="21"/>
              </w:rPr>
              <w:t xml:space="preserve">2.002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29</w:t>
            </w:r>
          </w:p>
        </w:tc>
        <w:tc>
          <w:tcPr>
            <w:tcW w:w="1090" w:type="pct"/>
            <w:shd w:val="clear" w:color="auto" w:fill="auto"/>
            <w:noWrap/>
            <w:vAlign w:val="center"/>
          </w:tcPr>
          <w:p>
            <w:pPr>
              <w:jc w:val="center"/>
              <w:rPr>
                <w:sz w:val="21"/>
                <w:szCs w:val="21"/>
              </w:rPr>
            </w:pPr>
            <w:r>
              <w:rPr>
                <w:sz w:val="21"/>
                <w:szCs w:val="21"/>
              </w:rPr>
              <w:t xml:space="preserve">120.969 </w:t>
            </w:r>
          </w:p>
        </w:tc>
        <w:tc>
          <w:tcPr>
            <w:tcW w:w="1090" w:type="pct"/>
            <w:shd w:val="clear" w:color="auto" w:fill="auto"/>
            <w:noWrap/>
            <w:vAlign w:val="center"/>
          </w:tcPr>
          <w:p>
            <w:pPr>
              <w:jc w:val="center"/>
              <w:rPr>
                <w:sz w:val="21"/>
                <w:szCs w:val="21"/>
              </w:rPr>
            </w:pPr>
            <w:r>
              <w:rPr>
                <w:sz w:val="21"/>
                <w:szCs w:val="21"/>
              </w:rPr>
              <w:t xml:space="preserve">1.899 </w:t>
            </w:r>
          </w:p>
        </w:tc>
        <w:tc>
          <w:tcPr>
            <w:tcW w:w="1090" w:type="pct"/>
            <w:shd w:val="clear" w:color="auto" w:fill="auto"/>
            <w:noWrap/>
            <w:vAlign w:val="center"/>
          </w:tcPr>
          <w:p>
            <w:pPr>
              <w:jc w:val="center"/>
              <w:rPr>
                <w:sz w:val="21"/>
                <w:szCs w:val="21"/>
              </w:rPr>
            </w:pPr>
            <w:r>
              <w:rPr>
                <w:sz w:val="21"/>
                <w:szCs w:val="21"/>
              </w:rPr>
              <w:t xml:space="preserve">123.874 </w:t>
            </w:r>
          </w:p>
        </w:tc>
        <w:tc>
          <w:tcPr>
            <w:tcW w:w="1090" w:type="pct"/>
            <w:shd w:val="clear" w:color="auto" w:fill="auto"/>
            <w:noWrap/>
            <w:vAlign w:val="center"/>
          </w:tcPr>
          <w:p>
            <w:pPr>
              <w:jc w:val="center"/>
              <w:rPr>
                <w:sz w:val="21"/>
                <w:szCs w:val="21"/>
              </w:rPr>
            </w:pPr>
            <w:r>
              <w:rPr>
                <w:sz w:val="21"/>
                <w:szCs w:val="21"/>
              </w:rPr>
              <w:t xml:space="preserve">1.871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30</w:t>
            </w:r>
          </w:p>
        </w:tc>
        <w:tc>
          <w:tcPr>
            <w:tcW w:w="1090" w:type="pct"/>
            <w:shd w:val="clear" w:color="auto" w:fill="auto"/>
            <w:noWrap/>
            <w:vAlign w:val="center"/>
          </w:tcPr>
          <w:p>
            <w:pPr>
              <w:jc w:val="center"/>
              <w:rPr>
                <w:sz w:val="21"/>
                <w:szCs w:val="21"/>
              </w:rPr>
            </w:pPr>
            <w:r>
              <w:rPr>
                <w:sz w:val="21"/>
                <w:szCs w:val="21"/>
              </w:rPr>
              <w:t xml:space="preserve">112.871 </w:t>
            </w:r>
          </w:p>
        </w:tc>
        <w:tc>
          <w:tcPr>
            <w:tcW w:w="1090" w:type="pct"/>
            <w:shd w:val="clear" w:color="auto" w:fill="auto"/>
            <w:noWrap/>
            <w:vAlign w:val="center"/>
          </w:tcPr>
          <w:p>
            <w:pPr>
              <w:jc w:val="center"/>
              <w:rPr>
                <w:sz w:val="21"/>
                <w:szCs w:val="21"/>
              </w:rPr>
            </w:pPr>
            <w:r>
              <w:rPr>
                <w:sz w:val="21"/>
                <w:szCs w:val="21"/>
              </w:rPr>
              <w:t xml:space="preserve">1.777 </w:t>
            </w:r>
          </w:p>
        </w:tc>
        <w:tc>
          <w:tcPr>
            <w:tcW w:w="1090" w:type="pct"/>
            <w:shd w:val="clear" w:color="auto" w:fill="auto"/>
            <w:noWrap/>
            <w:vAlign w:val="center"/>
          </w:tcPr>
          <w:p>
            <w:pPr>
              <w:jc w:val="center"/>
              <w:rPr>
                <w:sz w:val="21"/>
                <w:szCs w:val="21"/>
              </w:rPr>
            </w:pPr>
            <w:r>
              <w:rPr>
                <w:sz w:val="21"/>
                <w:szCs w:val="21"/>
              </w:rPr>
              <w:t xml:space="preserve">115.332 </w:t>
            </w:r>
          </w:p>
        </w:tc>
        <w:tc>
          <w:tcPr>
            <w:tcW w:w="1090" w:type="pct"/>
            <w:shd w:val="clear" w:color="auto" w:fill="auto"/>
            <w:noWrap/>
            <w:vAlign w:val="center"/>
          </w:tcPr>
          <w:p>
            <w:pPr>
              <w:jc w:val="center"/>
              <w:rPr>
                <w:sz w:val="21"/>
                <w:szCs w:val="21"/>
              </w:rPr>
            </w:pPr>
            <w:r>
              <w:rPr>
                <w:sz w:val="21"/>
                <w:szCs w:val="21"/>
              </w:rPr>
              <w:t xml:space="preserve">1.753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31</w:t>
            </w:r>
          </w:p>
        </w:tc>
        <w:tc>
          <w:tcPr>
            <w:tcW w:w="1090" w:type="pct"/>
            <w:shd w:val="clear" w:color="auto" w:fill="auto"/>
            <w:noWrap/>
            <w:vAlign w:val="center"/>
          </w:tcPr>
          <w:p>
            <w:pPr>
              <w:jc w:val="center"/>
              <w:rPr>
                <w:sz w:val="21"/>
                <w:szCs w:val="21"/>
              </w:rPr>
            </w:pPr>
            <w:r>
              <w:rPr>
                <w:sz w:val="21"/>
                <w:szCs w:val="21"/>
              </w:rPr>
              <w:t xml:space="preserve">105.602 </w:t>
            </w:r>
          </w:p>
        </w:tc>
        <w:tc>
          <w:tcPr>
            <w:tcW w:w="1090" w:type="pct"/>
            <w:shd w:val="clear" w:color="auto" w:fill="auto"/>
            <w:noWrap/>
            <w:vAlign w:val="center"/>
          </w:tcPr>
          <w:p>
            <w:pPr>
              <w:jc w:val="center"/>
              <w:rPr>
                <w:sz w:val="21"/>
                <w:szCs w:val="21"/>
              </w:rPr>
            </w:pPr>
            <w:r>
              <w:rPr>
                <w:sz w:val="21"/>
                <w:szCs w:val="21"/>
              </w:rPr>
              <w:t xml:space="preserve">1.666 </w:t>
            </w:r>
          </w:p>
        </w:tc>
        <w:tc>
          <w:tcPr>
            <w:tcW w:w="1090" w:type="pct"/>
            <w:shd w:val="clear" w:color="auto" w:fill="auto"/>
            <w:noWrap/>
            <w:vAlign w:val="center"/>
          </w:tcPr>
          <w:p>
            <w:pPr>
              <w:jc w:val="center"/>
              <w:rPr>
                <w:sz w:val="21"/>
                <w:szCs w:val="21"/>
              </w:rPr>
            </w:pPr>
            <w:r>
              <w:rPr>
                <w:sz w:val="21"/>
                <w:szCs w:val="21"/>
              </w:rPr>
              <w:t xml:space="preserve">107.689 </w:t>
            </w:r>
          </w:p>
        </w:tc>
        <w:tc>
          <w:tcPr>
            <w:tcW w:w="1090" w:type="pct"/>
            <w:shd w:val="clear" w:color="auto" w:fill="auto"/>
            <w:noWrap/>
            <w:vAlign w:val="center"/>
          </w:tcPr>
          <w:p>
            <w:pPr>
              <w:jc w:val="center"/>
              <w:rPr>
                <w:sz w:val="21"/>
                <w:szCs w:val="21"/>
              </w:rPr>
            </w:pPr>
            <w:r>
              <w:rPr>
                <w:sz w:val="21"/>
                <w:szCs w:val="21"/>
              </w:rPr>
              <w:t xml:space="preserve">1.645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32</w:t>
            </w:r>
          </w:p>
        </w:tc>
        <w:tc>
          <w:tcPr>
            <w:tcW w:w="1090" w:type="pct"/>
            <w:shd w:val="clear" w:color="auto" w:fill="auto"/>
            <w:noWrap/>
            <w:vAlign w:val="center"/>
          </w:tcPr>
          <w:p>
            <w:pPr>
              <w:jc w:val="center"/>
              <w:rPr>
                <w:sz w:val="21"/>
                <w:szCs w:val="21"/>
              </w:rPr>
            </w:pPr>
            <w:r>
              <w:rPr>
                <w:sz w:val="21"/>
                <w:szCs w:val="21"/>
              </w:rPr>
              <w:t xml:space="preserve">99.048 </w:t>
            </w:r>
          </w:p>
        </w:tc>
        <w:tc>
          <w:tcPr>
            <w:tcW w:w="1090" w:type="pct"/>
            <w:shd w:val="clear" w:color="auto" w:fill="auto"/>
            <w:noWrap/>
            <w:vAlign w:val="center"/>
          </w:tcPr>
          <w:p>
            <w:pPr>
              <w:jc w:val="center"/>
              <w:rPr>
                <w:sz w:val="21"/>
                <w:szCs w:val="21"/>
              </w:rPr>
            </w:pPr>
            <w:r>
              <w:rPr>
                <w:sz w:val="21"/>
                <w:szCs w:val="21"/>
              </w:rPr>
              <w:t xml:space="preserve">1.565 </w:t>
            </w:r>
          </w:p>
        </w:tc>
        <w:tc>
          <w:tcPr>
            <w:tcW w:w="1090" w:type="pct"/>
            <w:shd w:val="clear" w:color="auto" w:fill="auto"/>
            <w:noWrap/>
            <w:vAlign w:val="center"/>
          </w:tcPr>
          <w:p>
            <w:pPr>
              <w:jc w:val="center"/>
              <w:rPr>
                <w:sz w:val="21"/>
                <w:szCs w:val="21"/>
              </w:rPr>
            </w:pPr>
            <w:r>
              <w:rPr>
                <w:sz w:val="21"/>
                <w:szCs w:val="21"/>
              </w:rPr>
              <w:t xml:space="preserve">100.819 </w:t>
            </w:r>
          </w:p>
        </w:tc>
        <w:tc>
          <w:tcPr>
            <w:tcW w:w="1090" w:type="pct"/>
            <w:shd w:val="clear" w:color="auto" w:fill="auto"/>
            <w:noWrap/>
            <w:vAlign w:val="center"/>
          </w:tcPr>
          <w:p>
            <w:pPr>
              <w:jc w:val="center"/>
              <w:rPr>
                <w:sz w:val="21"/>
                <w:szCs w:val="21"/>
              </w:rPr>
            </w:pPr>
            <w:r>
              <w:rPr>
                <w:sz w:val="21"/>
                <w:szCs w:val="21"/>
              </w:rPr>
              <w:t xml:space="preserve">1.547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33</w:t>
            </w:r>
          </w:p>
        </w:tc>
        <w:tc>
          <w:tcPr>
            <w:tcW w:w="1090" w:type="pct"/>
            <w:shd w:val="clear" w:color="auto" w:fill="auto"/>
            <w:noWrap/>
            <w:vAlign w:val="center"/>
          </w:tcPr>
          <w:p>
            <w:pPr>
              <w:jc w:val="center"/>
              <w:rPr>
                <w:sz w:val="21"/>
                <w:szCs w:val="21"/>
              </w:rPr>
            </w:pPr>
            <w:r>
              <w:rPr>
                <w:sz w:val="21"/>
                <w:szCs w:val="21"/>
              </w:rPr>
              <w:t xml:space="preserve">93.112 </w:t>
            </w:r>
          </w:p>
        </w:tc>
        <w:tc>
          <w:tcPr>
            <w:tcW w:w="1090" w:type="pct"/>
            <w:shd w:val="clear" w:color="auto" w:fill="auto"/>
            <w:noWrap/>
            <w:vAlign w:val="center"/>
          </w:tcPr>
          <w:p>
            <w:pPr>
              <w:jc w:val="center"/>
              <w:rPr>
                <w:sz w:val="21"/>
                <w:szCs w:val="21"/>
              </w:rPr>
            </w:pPr>
            <w:r>
              <w:rPr>
                <w:sz w:val="21"/>
                <w:szCs w:val="21"/>
              </w:rPr>
              <w:t xml:space="preserve">1.474 </w:t>
            </w:r>
          </w:p>
        </w:tc>
        <w:tc>
          <w:tcPr>
            <w:tcW w:w="1090" w:type="pct"/>
            <w:shd w:val="clear" w:color="auto" w:fill="auto"/>
            <w:noWrap/>
            <w:vAlign w:val="center"/>
          </w:tcPr>
          <w:p>
            <w:pPr>
              <w:jc w:val="center"/>
              <w:rPr>
                <w:sz w:val="21"/>
                <w:szCs w:val="21"/>
              </w:rPr>
            </w:pPr>
            <w:r>
              <w:rPr>
                <w:sz w:val="21"/>
                <w:szCs w:val="21"/>
              </w:rPr>
              <w:t xml:space="preserve">94.617 </w:t>
            </w:r>
          </w:p>
        </w:tc>
        <w:tc>
          <w:tcPr>
            <w:tcW w:w="1090" w:type="pct"/>
            <w:shd w:val="clear" w:color="auto" w:fill="auto"/>
            <w:noWrap/>
            <w:vAlign w:val="center"/>
          </w:tcPr>
          <w:p>
            <w:pPr>
              <w:jc w:val="center"/>
              <w:rPr>
                <w:sz w:val="21"/>
                <w:szCs w:val="21"/>
              </w:rPr>
            </w:pPr>
            <w:r>
              <w:rPr>
                <w:sz w:val="21"/>
                <w:szCs w:val="21"/>
              </w:rPr>
              <w:t xml:space="preserve">1.457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34</w:t>
            </w:r>
          </w:p>
        </w:tc>
        <w:tc>
          <w:tcPr>
            <w:tcW w:w="1090" w:type="pct"/>
            <w:shd w:val="clear" w:color="auto" w:fill="auto"/>
            <w:noWrap/>
            <w:vAlign w:val="center"/>
          </w:tcPr>
          <w:p>
            <w:pPr>
              <w:jc w:val="center"/>
              <w:rPr>
                <w:sz w:val="21"/>
                <w:szCs w:val="21"/>
              </w:rPr>
            </w:pPr>
            <w:r>
              <w:rPr>
                <w:sz w:val="21"/>
                <w:szCs w:val="21"/>
              </w:rPr>
              <w:t xml:space="preserve">87.716 </w:t>
            </w:r>
          </w:p>
        </w:tc>
        <w:tc>
          <w:tcPr>
            <w:tcW w:w="1090" w:type="pct"/>
            <w:shd w:val="clear" w:color="auto" w:fill="auto"/>
            <w:noWrap/>
            <w:vAlign w:val="center"/>
          </w:tcPr>
          <w:p>
            <w:pPr>
              <w:jc w:val="center"/>
              <w:rPr>
                <w:sz w:val="21"/>
                <w:szCs w:val="21"/>
              </w:rPr>
            </w:pPr>
            <w:r>
              <w:rPr>
                <w:sz w:val="21"/>
                <w:szCs w:val="21"/>
              </w:rPr>
              <w:t xml:space="preserve">1.389 </w:t>
            </w:r>
          </w:p>
        </w:tc>
        <w:tc>
          <w:tcPr>
            <w:tcW w:w="1090" w:type="pct"/>
            <w:shd w:val="clear" w:color="auto" w:fill="auto"/>
            <w:noWrap/>
            <w:vAlign w:val="center"/>
          </w:tcPr>
          <w:p>
            <w:pPr>
              <w:jc w:val="center"/>
              <w:rPr>
                <w:sz w:val="21"/>
                <w:szCs w:val="21"/>
              </w:rPr>
            </w:pPr>
            <w:r>
              <w:rPr>
                <w:sz w:val="21"/>
                <w:szCs w:val="21"/>
              </w:rPr>
              <w:t xml:space="preserve">88.996 </w:t>
            </w:r>
          </w:p>
        </w:tc>
        <w:tc>
          <w:tcPr>
            <w:tcW w:w="1090" w:type="pct"/>
            <w:shd w:val="clear" w:color="auto" w:fill="auto"/>
            <w:noWrap/>
            <w:vAlign w:val="center"/>
          </w:tcPr>
          <w:p>
            <w:pPr>
              <w:jc w:val="center"/>
              <w:rPr>
                <w:sz w:val="21"/>
                <w:szCs w:val="21"/>
              </w:rPr>
            </w:pPr>
            <w:r>
              <w:rPr>
                <w:sz w:val="21"/>
                <w:szCs w:val="21"/>
              </w:rPr>
              <w:t xml:space="preserve">1.375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35</w:t>
            </w:r>
          </w:p>
        </w:tc>
        <w:tc>
          <w:tcPr>
            <w:tcW w:w="1090" w:type="pct"/>
            <w:shd w:val="clear" w:color="auto" w:fill="auto"/>
            <w:noWrap/>
            <w:vAlign w:val="center"/>
          </w:tcPr>
          <w:p>
            <w:pPr>
              <w:jc w:val="center"/>
              <w:rPr>
                <w:sz w:val="21"/>
                <w:szCs w:val="21"/>
              </w:rPr>
            </w:pPr>
            <w:r>
              <w:rPr>
                <w:sz w:val="21"/>
                <w:szCs w:val="21"/>
              </w:rPr>
              <w:t xml:space="preserve">82.793 </w:t>
            </w:r>
          </w:p>
        </w:tc>
        <w:tc>
          <w:tcPr>
            <w:tcW w:w="1090" w:type="pct"/>
            <w:shd w:val="clear" w:color="auto" w:fill="auto"/>
            <w:noWrap/>
            <w:vAlign w:val="center"/>
          </w:tcPr>
          <w:p>
            <w:pPr>
              <w:jc w:val="center"/>
              <w:rPr>
                <w:sz w:val="21"/>
                <w:szCs w:val="21"/>
              </w:rPr>
            </w:pPr>
            <w:r>
              <w:rPr>
                <w:sz w:val="21"/>
                <w:szCs w:val="21"/>
              </w:rPr>
              <w:t xml:space="preserve">1.312 </w:t>
            </w:r>
          </w:p>
        </w:tc>
        <w:tc>
          <w:tcPr>
            <w:tcW w:w="1090" w:type="pct"/>
            <w:shd w:val="clear" w:color="auto" w:fill="auto"/>
            <w:noWrap/>
            <w:vAlign w:val="center"/>
          </w:tcPr>
          <w:p>
            <w:pPr>
              <w:jc w:val="center"/>
              <w:rPr>
                <w:sz w:val="21"/>
                <w:szCs w:val="21"/>
              </w:rPr>
            </w:pPr>
            <w:r>
              <w:rPr>
                <w:sz w:val="21"/>
                <w:szCs w:val="21"/>
              </w:rPr>
              <w:t xml:space="preserve">83.883 </w:t>
            </w:r>
          </w:p>
        </w:tc>
        <w:tc>
          <w:tcPr>
            <w:tcW w:w="1090" w:type="pct"/>
            <w:shd w:val="clear" w:color="auto" w:fill="auto"/>
            <w:noWrap/>
            <w:vAlign w:val="center"/>
          </w:tcPr>
          <w:p>
            <w:pPr>
              <w:jc w:val="center"/>
              <w:rPr>
                <w:sz w:val="21"/>
                <w:szCs w:val="21"/>
              </w:rPr>
            </w:pPr>
            <w:r>
              <w:rPr>
                <w:sz w:val="21"/>
                <w:szCs w:val="21"/>
              </w:rPr>
              <w:t xml:space="preserve">1.299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36</w:t>
            </w:r>
          </w:p>
        </w:tc>
        <w:tc>
          <w:tcPr>
            <w:tcW w:w="1090" w:type="pct"/>
            <w:shd w:val="clear" w:color="auto" w:fill="auto"/>
            <w:noWrap/>
            <w:vAlign w:val="center"/>
          </w:tcPr>
          <w:p>
            <w:pPr>
              <w:jc w:val="center"/>
              <w:rPr>
                <w:sz w:val="21"/>
                <w:szCs w:val="21"/>
              </w:rPr>
            </w:pPr>
            <w:r>
              <w:rPr>
                <w:sz w:val="21"/>
                <w:szCs w:val="21"/>
              </w:rPr>
              <w:t xml:space="preserve">78.287 </w:t>
            </w:r>
          </w:p>
        </w:tc>
        <w:tc>
          <w:tcPr>
            <w:tcW w:w="1090" w:type="pct"/>
            <w:shd w:val="clear" w:color="auto" w:fill="auto"/>
            <w:noWrap/>
            <w:vAlign w:val="center"/>
          </w:tcPr>
          <w:p>
            <w:pPr>
              <w:jc w:val="center"/>
              <w:rPr>
                <w:sz w:val="21"/>
                <w:szCs w:val="21"/>
              </w:rPr>
            </w:pPr>
            <w:r>
              <w:rPr>
                <w:sz w:val="21"/>
                <w:szCs w:val="21"/>
              </w:rPr>
              <w:t xml:space="preserve">1.242 </w:t>
            </w:r>
          </w:p>
        </w:tc>
        <w:tc>
          <w:tcPr>
            <w:tcW w:w="1090" w:type="pct"/>
            <w:shd w:val="clear" w:color="auto" w:fill="auto"/>
            <w:noWrap/>
            <w:vAlign w:val="center"/>
          </w:tcPr>
          <w:p>
            <w:pPr>
              <w:jc w:val="center"/>
              <w:rPr>
                <w:sz w:val="21"/>
                <w:szCs w:val="21"/>
              </w:rPr>
            </w:pPr>
            <w:r>
              <w:rPr>
                <w:sz w:val="21"/>
                <w:szCs w:val="21"/>
              </w:rPr>
              <w:t xml:space="preserve">79.216 </w:t>
            </w:r>
          </w:p>
        </w:tc>
        <w:tc>
          <w:tcPr>
            <w:tcW w:w="1090" w:type="pct"/>
            <w:shd w:val="clear" w:color="auto" w:fill="auto"/>
            <w:noWrap/>
            <w:vAlign w:val="center"/>
          </w:tcPr>
          <w:p>
            <w:pPr>
              <w:jc w:val="center"/>
              <w:rPr>
                <w:sz w:val="21"/>
                <w:szCs w:val="21"/>
              </w:rPr>
            </w:pPr>
            <w:r>
              <w:rPr>
                <w:sz w:val="21"/>
                <w:szCs w:val="21"/>
              </w:rPr>
              <w:t xml:space="preserve">1.230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37</w:t>
            </w:r>
          </w:p>
        </w:tc>
        <w:tc>
          <w:tcPr>
            <w:tcW w:w="1090" w:type="pct"/>
            <w:shd w:val="clear" w:color="auto" w:fill="auto"/>
            <w:noWrap/>
            <w:vAlign w:val="center"/>
          </w:tcPr>
          <w:p>
            <w:pPr>
              <w:jc w:val="center"/>
              <w:rPr>
                <w:sz w:val="21"/>
                <w:szCs w:val="21"/>
              </w:rPr>
            </w:pPr>
            <w:r>
              <w:rPr>
                <w:sz w:val="21"/>
                <w:szCs w:val="21"/>
              </w:rPr>
              <w:t xml:space="preserve">74.150 </w:t>
            </w:r>
          </w:p>
        </w:tc>
        <w:tc>
          <w:tcPr>
            <w:tcW w:w="1090" w:type="pct"/>
            <w:shd w:val="clear" w:color="auto" w:fill="auto"/>
            <w:noWrap/>
            <w:vAlign w:val="center"/>
          </w:tcPr>
          <w:p>
            <w:pPr>
              <w:jc w:val="center"/>
              <w:rPr>
                <w:sz w:val="21"/>
                <w:szCs w:val="21"/>
              </w:rPr>
            </w:pPr>
            <w:r>
              <w:rPr>
                <w:sz w:val="21"/>
                <w:szCs w:val="21"/>
              </w:rPr>
              <w:t xml:space="preserve">1.176 </w:t>
            </w:r>
          </w:p>
        </w:tc>
        <w:tc>
          <w:tcPr>
            <w:tcW w:w="1090" w:type="pct"/>
            <w:shd w:val="clear" w:color="auto" w:fill="auto"/>
            <w:noWrap/>
            <w:vAlign w:val="center"/>
          </w:tcPr>
          <w:p>
            <w:pPr>
              <w:jc w:val="center"/>
              <w:rPr>
                <w:sz w:val="21"/>
                <w:szCs w:val="21"/>
              </w:rPr>
            </w:pPr>
            <w:r>
              <w:rPr>
                <w:sz w:val="21"/>
                <w:szCs w:val="21"/>
              </w:rPr>
              <w:t xml:space="preserve">74.942 </w:t>
            </w:r>
          </w:p>
        </w:tc>
        <w:tc>
          <w:tcPr>
            <w:tcW w:w="1090" w:type="pct"/>
            <w:shd w:val="clear" w:color="auto" w:fill="auto"/>
            <w:noWrap/>
            <w:vAlign w:val="center"/>
          </w:tcPr>
          <w:p>
            <w:pPr>
              <w:jc w:val="center"/>
              <w:rPr>
                <w:sz w:val="21"/>
                <w:szCs w:val="21"/>
              </w:rPr>
            </w:pPr>
            <w:r>
              <w:rPr>
                <w:sz w:val="21"/>
                <w:szCs w:val="21"/>
              </w:rPr>
              <w:t xml:space="preserve">1.166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38</w:t>
            </w:r>
          </w:p>
        </w:tc>
        <w:tc>
          <w:tcPr>
            <w:tcW w:w="1090" w:type="pct"/>
            <w:shd w:val="clear" w:color="auto" w:fill="auto"/>
            <w:noWrap/>
            <w:vAlign w:val="center"/>
          </w:tcPr>
          <w:p>
            <w:pPr>
              <w:jc w:val="center"/>
              <w:rPr>
                <w:sz w:val="21"/>
                <w:szCs w:val="21"/>
              </w:rPr>
            </w:pPr>
            <w:r>
              <w:rPr>
                <w:sz w:val="21"/>
                <w:szCs w:val="21"/>
              </w:rPr>
              <w:t xml:space="preserve">70.342 </w:t>
            </w:r>
          </w:p>
        </w:tc>
        <w:tc>
          <w:tcPr>
            <w:tcW w:w="1090" w:type="pct"/>
            <w:shd w:val="clear" w:color="auto" w:fill="auto"/>
            <w:noWrap/>
            <w:vAlign w:val="center"/>
          </w:tcPr>
          <w:p>
            <w:pPr>
              <w:jc w:val="center"/>
              <w:rPr>
                <w:sz w:val="21"/>
                <w:szCs w:val="21"/>
              </w:rPr>
            </w:pPr>
            <w:r>
              <w:rPr>
                <w:sz w:val="21"/>
                <w:szCs w:val="21"/>
              </w:rPr>
              <w:t xml:space="preserve">1.116 </w:t>
            </w:r>
          </w:p>
        </w:tc>
        <w:tc>
          <w:tcPr>
            <w:tcW w:w="1090" w:type="pct"/>
            <w:shd w:val="clear" w:color="auto" w:fill="auto"/>
            <w:noWrap/>
            <w:vAlign w:val="center"/>
          </w:tcPr>
          <w:p>
            <w:pPr>
              <w:jc w:val="center"/>
              <w:rPr>
                <w:sz w:val="21"/>
                <w:szCs w:val="21"/>
              </w:rPr>
            </w:pPr>
            <w:r>
              <w:rPr>
                <w:sz w:val="21"/>
                <w:szCs w:val="21"/>
              </w:rPr>
              <w:t xml:space="preserve">71.017 </w:t>
            </w:r>
          </w:p>
        </w:tc>
        <w:tc>
          <w:tcPr>
            <w:tcW w:w="1090" w:type="pct"/>
            <w:shd w:val="clear" w:color="auto" w:fill="auto"/>
            <w:noWrap/>
            <w:vAlign w:val="center"/>
          </w:tcPr>
          <w:p>
            <w:pPr>
              <w:jc w:val="center"/>
              <w:rPr>
                <w:sz w:val="21"/>
                <w:szCs w:val="21"/>
              </w:rPr>
            </w:pPr>
            <w:r>
              <w:rPr>
                <w:sz w:val="21"/>
                <w:szCs w:val="21"/>
              </w:rPr>
              <w:t xml:space="preserve">1.107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39</w:t>
            </w:r>
          </w:p>
        </w:tc>
        <w:tc>
          <w:tcPr>
            <w:tcW w:w="1090" w:type="pct"/>
            <w:shd w:val="clear" w:color="auto" w:fill="auto"/>
            <w:noWrap/>
            <w:vAlign w:val="center"/>
          </w:tcPr>
          <w:p>
            <w:pPr>
              <w:jc w:val="center"/>
              <w:rPr>
                <w:sz w:val="21"/>
                <w:szCs w:val="21"/>
              </w:rPr>
            </w:pPr>
            <w:r>
              <w:rPr>
                <w:sz w:val="21"/>
                <w:szCs w:val="21"/>
              </w:rPr>
              <w:t xml:space="preserve">66.826 </w:t>
            </w:r>
          </w:p>
        </w:tc>
        <w:tc>
          <w:tcPr>
            <w:tcW w:w="1090" w:type="pct"/>
            <w:shd w:val="clear" w:color="auto" w:fill="auto"/>
            <w:noWrap/>
            <w:vAlign w:val="center"/>
          </w:tcPr>
          <w:p>
            <w:pPr>
              <w:jc w:val="center"/>
              <w:rPr>
                <w:sz w:val="21"/>
                <w:szCs w:val="21"/>
              </w:rPr>
            </w:pPr>
            <w:r>
              <w:rPr>
                <w:sz w:val="21"/>
                <w:szCs w:val="21"/>
              </w:rPr>
              <w:t xml:space="preserve">1.060 </w:t>
            </w:r>
          </w:p>
        </w:tc>
        <w:tc>
          <w:tcPr>
            <w:tcW w:w="1090" w:type="pct"/>
            <w:shd w:val="clear" w:color="auto" w:fill="auto"/>
            <w:noWrap/>
            <w:vAlign w:val="center"/>
          </w:tcPr>
          <w:p>
            <w:pPr>
              <w:jc w:val="center"/>
              <w:rPr>
                <w:sz w:val="21"/>
                <w:szCs w:val="21"/>
              </w:rPr>
            </w:pPr>
            <w:r>
              <w:rPr>
                <w:sz w:val="21"/>
                <w:szCs w:val="21"/>
              </w:rPr>
              <w:t xml:space="preserve">67.402 </w:t>
            </w:r>
          </w:p>
        </w:tc>
        <w:tc>
          <w:tcPr>
            <w:tcW w:w="1090" w:type="pct"/>
            <w:shd w:val="clear" w:color="auto" w:fill="auto"/>
            <w:noWrap/>
            <w:vAlign w:val="center"/>
          </w:tcPr>
          <w:p>
            <w:pPr>
              <w:jc w:val="center"/>
              <w:rPr>
                <w:sz w:val="21"/>
                <w:szCs w:val="21"/>
              </w:rPr>
            </w:pPr>
            <w:r>
              <w:rPr>
                <w:sz w:val="21"/>
                <w:szCs w:val="21"/>
              </w:rPr>
              <w:t xml:space="preserve">1.052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40</w:t>
            </w:r>
          </w:p>
        </w:tc>
        <w:tc>
          <w:tcPr>
            <w:tcW w:w="1090" w:type="pct"/>
            <w:shd w:val="clear" w:color="auto" w:fill="auto"/>
            <w:noWrap/>
            <w:vAlign w:val="center"/>
          </w:tcPr>
          <w:p>
            <w:pPr>
              <w:jc w:val="center"/>
              <w:rPr>
                <w:sz w:val="21"/>
                <w:szCs w:val="21"/>
              </w:rPr>
            </w:pPr>
            <w:r>
              <w:rPr>
                <w:sz w:val="21"/>
                <w:szCs w:val="21"/>
              </w:rPr>
              <w:t xml:space="preserve">63.574 </w:t>
            </w:r>
          </w:p>
        </w:tc>
        <w:tc>
          <w:tcPr>
            <w:tcW w:w="1090" w:type="pct"/>
            <w:shd w:val="clear" w:color="auto" w:fill="auto"/>
            <w:noWrap/>
            <w:vAlign w:val="center"/>
          </w:tcPr>
          <w:p>
            <w:pPr>
              <w:jc w:val="center"/>
              <w:rPr>
                <w:sz w:val="21"/>
                <w:szCs w:val="21"/>
              </w:rPr>
            </w:pPr>
            <w:r>
              <w:rPr>
                <w:sz w:val="21"/>
                <w:szCs w:val="21"/>
              </w:rPr>
              <w:t xml:space="preserve">1.008 </w:t>
            </w:r>
          </w:p>
        </w:tc>
        <w:tc>
          <w:tcPr>
            <w:tcW w:w="1090" w:type="pct"/>
            <w:shd w:val="clear" w:color="auto" w:fill="auto"/>
            <w:noWrap/>
            <w:vAlign w:val="center"/>
          </w:tcPr>
          <w:p>
            <w:pPr>
              <w:jc w:val="center"/>
              <w:rPr>
                <w:sz w:val="21"/>
                <w:szCs w:val="21"/>
              </w:rPr>
            </w:pPr>
            <w:r>
              <w:rPr>
                <w:sz w:val="21"/>
                <w:szCs w:val="21"/>
              </w:rPr>
              <w:t xml:space="preserve">64.065 </w:t>
            </w:r>
          </w:p>
        </w:tc>
        <w:tc>
          <w:tcPr>
            <w:tcW w:w="1090" w:type="pct"/>
            <w:shd w:val="clear" w:color="auto" w:fill="auto"/>
            <w:noWrap/>
            <w:vAlign w:val="center"/>
          </w:tcPr>
          <w:p>
            <w:pPr>
              <w:jc w:val="center"/>
              <w:rPr>
                <w:sz w:val="21"/>
                <w:szCs w:val="21"/>
              </w:rPr>
            </w:pPr>
            <w:r>
              <w:rPr>
                <w:sz w:val="21"/>
                <w:szCs w:val="21"/>
              </w:rPr>
              <w:t xml:space="preserve">1.001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41</w:t>
            </w:r>
          </w:p>
        </w:tc>
        <w:tc>
          <w:tcPr>
            <w:tcW w:w="1090" w:type="pct"/>
            <w:shd w:val="clear" w:color="auto" w:fill="auto"/>
            <w:noWrap/>
            <w:vAlign w:val="center"/>
          </w:tcPr>
          <w:p>
            <w:pPr>
              <w:jc w:val="center"/>
              <w:rPr>
                <w:sz w:val="21"/>
                <w:szCs w:val="21"/>
              </w:rPr>
            </w:pPr>
            <w:r>
              <w:rPr>
                <w:sz w:val="21"/>
                <w:szCs w:val="21"/>
              </w:rPr>
              <w:t xml:space="preserve">60.558 </w:t>
            </w:r>
          </w:p>
        </w:tc>
        <w:tc>
          <w:tcPr>
            <w:tcW w:w="1090" w:type="pct"/>
            <w:shd w:val="clear" w:color="auto" w:fill="auto"/>
            <w:noWrap/>
            <w:vAlign w:val="center"/>
          </w:tcPr>
          <w:p>
            <w:pPr>
              <w:jc w:val="center"/>
              <w:rPr>
                <w:sz w:val="21"/>
                <w:szCs w:val="21"/>
              </w:rPr>
            </w:pPr>
            <w:r>
              <w:rPr>
                <w:sz w:val="21"/>
                <w:szCs w:val="21"/>
              </w:rPr>
              <w:t xml:space="preserve">0.960 </w:t>
            </w:r>
          </w:p>
        </w:tc>
        <w:tc>
          <w:tcPr>
            <w:tcW w:w="1090" w:type="pct"/>
            <w:shd w:val="clear" w:color="auto" w:fill="auto"/>
            <w:noWrap/>
            <w:vAlign w:val="center"/>
          </w:tcPr>
          <w:p>
            <w:pPr>
              <w:jc w:val="center"/>
              <w:rPr>
                <w:sz w:val="21"/>
                <w:szCs w:val="21"/>
              </w:rPr>
            </w:pPr>
            <w:r>
              <w:rPr>
                <w:sz w:val="21"/>
                <w:szCs w:val="21"/>
              </w:rPr>
              <w:t xml:space="preserve">60.976 </w:t>
            </w:r>
          </w:p>
        </w:tc>
        <w:tc>
          <w:tcPr>
            <w:tcW w:w="1090" w:type="pct"/>
            <w:shd w:val="clear" w:color="auto" w:fill="auto"/>
            <w:noWrap/>
            <w:vAlign w:val="center"/>
          </w:tcPr>
          <w:p>
            <w:pPr>
              <w:jc w:val="center"/>
              <w:rPr>
                <w:sz w:val="21"/>
                <w:szCs w:val="21"/>
              </w:rPr>
            </w:pPr>
            <w:r>
              <w:rPr>
                <w:sz w:val="21"/>
                <w:szCs w:val="21"/>
              </w:rPr>
              <w:t xml:space="preserve">0.953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42</w:t>
            </w:r>
          </w:p>
        </w:tc>
        <w:tc>
          <w:tcPr>
            <w:tcW w:w="1090" w:type="pct"/>
            <w:shd w:val="clear" w:color="auto" w:fill="auto"/>
            <w:noWrap/>
            <w:vAlign w:val="center"/>
          </w:tcPr>
          <w:p>
            <w:pPr>
              <w:jc w:val="center"/>
              <w:rPr>
                <w:sz w:val="21"/>
                <w:szCs w:val="21"/>
              </w:rPr>
            </w:pPr>
            <w:r>
              <w:rPr>
                <w:sz w:val="21"/>
                <w:szCs w:val="21"/>
              </w:rPr>
              <w:t xml:space="preserve">57.755 </w:t>
            </w:r>
          </w:p>
        </w:tc>
        <w:tc>
          <w:tcPr>
            <w:tcW w:w="1090" w:type="pct"/>
            <w:shd w:val="clear" w:color="auto" w:fill="auto"/>
            <w:noWrap/>
            <w:vAlign w:val="center"/>
          </w:tcPr>
          <w:p>
            <w:pPr>
              <w:jc w:val="center"/>
              <w:rPr>
                <w:sz w:val="21"/>
                <w:szCs w:val="21"/>
              </w:rPr>
            </w:pPr>
            <w:r>
              <w:rPr>
                <w:sz w:val="21"/>
                <w:szCs w:val="21"/>
              </w:rPr>
              <w:t xml:space="preserve">0.916 </w:t>
            </w:r>
          </w:p>
        </w:tc>
        <w:tc>
          <w:tcPr>
            <w:tcW w:w="1090" w:type="pct"/>
            <w:shd w:val="clear" w:color="auto" w:fill="auto"/>
            <w:noWrap/>
            <w:vAlign w:val="center"/>
          </w:tcPr>
          <w:p>
            <w:pPr>
              <w:jc w:val="center"/>
              <w:rPr>
                <w:sz w:val="21"/>
                <w:szCs w:val="21"/>
              </w:rPr>
            </w:pPr>
            <w:r>
              <w:rPr>
                <w:sz w:val="21"/>
                <w:szCs w:val="21"/>
              </w:rPr>
              <w:t xml:space="preserve">58.111 </w:t>
            </w:r>
          </w:p>
        </w:tc>
        <w:tc>
          <w:tcPr>
            <w:tcW w:w="1090" w:type="pct"/>
            <w:shd w:val="clear" w:color="auto" w:fill="auto"/>
            <w:noWrap/>
            <w:vAlign w:val="center"/>
          </w:tcPr>
          <w:p>
            <w:pPr>
              <w:jc w:val="center"/>
              <w:rPr>
                <w:sz w:val="21"/>
                <w:szCs w:val="21"/>
              </w:rPr>
            </w:pPr>
            <w:r>
              <w:rPr>
                <w:sz w:val="21"/>
                <w:szCs w:val="21"/>
              </w:rPr>
              <w:t xml:space="preserve">0.909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639" w:type="pct"/>
            <w:shd w:val="clear" w:color="auto" w:fill="auto"/>
            <w:noWrap/>
            <w:vAlign w:val="center"/>
          </w:tcPr>
          <w:p>
            <w:pPr>
              <w:widowControl/>
              <w:spacing w:line="240" w:lineRule="auto"/>
              <w:jc w:val="center"/>
              <w:rPr>
                <w:bCs w:val="0"/>
                <w:kern w:val="0"/>
                <w:sz w:val="21"/>
                <w:szCs w:val="21"/>
              </w:rPr>
            </w:pPr>
            <w:r>
              <w:rPr>
                <w:bCs w:val="0"/>
                <w:kern w:val="0"/>
                <w:sz w:val="21"/>
                <w:szCs w:val="21"/>
              </w:rPr>
              <w:t>43</w:t>
            </w:r>
          </w:p>
        </w:tc>
        <w:tc>
          <w:tcPr>
            <w:tcW w:w="1090" w:type="pct"/>
            <w:shd w:val="clear" w:color="auto" w:fill="auto"/>
            <w:noWrap/>
            <w:vAlign w:val="center"/>
          </w:tcPr>
          <w:p>
            <w:pPr>
              <w:jc w:val="center"/>
              <w:rPr>
                <w:sz w:val="21"/>
                <w:szCs w:val="21"/>
              </w:rPr>
            </w:pPr>
            <w:r>
              <w:rPr>
                <w:sz w:val="21"/>
                <w:szCs w:val="21"/>
              </w:rPr>
              <w:t xml:space="preserve">55.146 </w:t>
            </w:r>
          </w:p>
        </w:tc>
        <w:tc>
          <w:tcPr>
            <w:tcW w:w="1090" w:type="pct"/>
            <w:shd w:val="clear" w:color="auto" w:fill="auto"/>
            <w:noWrap/>
            <w:vAlign w:val="center"/>
          </w:tcPr>
          <w:p>
            <w:pPr>
              <w:jc w:val="center"/>
              <w:rPr>
                <w:sz w:val="21"/>
                <w:szCs w:val="21"/>
              </w:rPr>
            </w:pPr>
            <w:r>
              <w:rPr>
                <w:sz w:val="21"/>
                <w:szCs w:val="21"/>
              </w:rPr>
              <w:t xml:space="preserve">0.874 </w:t>
            </w:r>
          </w:p>
        </w:tc>
        <w:tc>
          <w:tcPr>
            <w:tcW w:w="1090" w:type="pct"/>
            <w:shd w:val="clear" w:color="auto" w:fill="auto"/>
            <w:noWrap/>
            <w:vAlign w:val="center"/>
          </w:tcPr>
          <w:p>
            <w:pPr>
              <w:jc w:val="center"/>
              <w:rPr>
                <w:sz w:val="21"/>
                <w:szCs w:val="21"/>
              </w:rPr>
            </w:pPr>
            <w:r>
              <w:rPr>
                <w:sz w:val="21"/>
                <w:szCs w:val="21"/>
              </w:rPr>
              <w:t xml:space="preserve">55.448 </w:t>
            </w:r>
          </w:p>
        </w:tc>
        <w:tc>
          <w:tcPr>
            <w:tcW w:w="1090" w:type="pct"/>
            <w:shd w:val="clear" w:color="auto" w:fill="auto"/>
            <w:noWrap/>
            <w:vAlign w:val="center"/>
          </w:tcPr>
          <w:p>
            <w:pPr>
              <w:jc w:val="center"/>
              <w:rPr>
                <w:sz w:val="21"/>
                <w:szCs w:val="21"/>
              </w:rPr>
            </w:pPr>
            <w:r>
              <w:rPr>
                <w:sz w:val="21"/>
                <w:szCs w:val="21"/>
              </w:rPr>
              <w:t xml:space="preserve">0.868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39" w:type="pct"/>
            <w:shd w:val="clear" w:color="auto" w:fill="auto"/>
            <w:noWrap/>
            <w:vAlign w:val="center"/>
          </w:tcPr>
          <w:p>
            <w:pPr>
              <w:spacing w:line="240" w:lineRule="auto"/>
              <w:jc w:val="center"/>
              <w:rPr>
                <w:bCs w:val="0"/>
                <w:kern w:val="0"/>
                <w:sz w:val="21"/>
                <w:szCs w:val="21"/>
              </w:rPr>
            </w:pPr>
            <w:r>
              <w:rPr>
                <w:rFonts w:hint="eastAsia"/>
                <w:bCs w:val="0"/>
                <w:kern w:val="0"/>
                <w:sz w:val="21"/>
                <w:szCs w:val="21"/>
              </w:rPr>
              <w:t>44</w:t>
            </w:r>
          </w:p>
        </w:tc>
        <w:tc>
          <w:tcPr>
            <w:tcW w:w="1090" w:type="pct"/>
            <w:shd w:val="clear" w:color="auto" w:fill="auto"/>
            <w:noWrap/>
            <w:vAlign w:val="center"/>
          </w:tcPr>
          <w:p>
            <w:pPr>
              <w:jc w:val="center"/>
              <w:rPr>
                <w:sz w:val="21"/>
                <w:szCs w:val="21"/>
              </w:rPr>
            </w:pPr>
            <w:r>
              <w:rPr>
                <w:sz w:val="21"/>
                <w:szCs w:val="21"/>
              </w:rPr>
              <w:t xml:space="preserve">52.711 </w:t>
            </w:r>
          </w:p>
        </w:tc>
        <w:tc>
          <w:tcPr>
            <w:tcW w:w="1090" w:type="pct"/>
            <w:shd w:val="clear" w:color="auto" w:fill="auto"/>
            <w:noWrap/>
            <w:vAlign w:val="center"/>
          </w:tcPr>
          <w:p>
            <w:pPr>
              <w:jc w:val="center"/>
              <w:rPr>
                <w:sz w:val="21"/>
                <w:szCs w:val="21"/>
              </w:rPr>
            </w:pPr>
            <w:r>
              <w:rPr>
                <w:sz w:val="21"/>
                <w:szCs w:val="21"/>
              </w:rPr>
              <w:t xml:space="preserve">0.835 </w:t>
            </w:r>
          </w:p>
        </w:tc>
        <w:tc>
          <w:tcPr>
            <w:tcW w:w="1090" w:type="pct"/>
            <w:shd w:val="clear" w:color="auto" w:fill="auto"/>
            <w:noWrap/>
            <w:vAlign w:val="center"/>
          </w:tcPr>
          <w:p>
            <w:pPr>
              <w:jc w:val="center"/>
              <w:rPr>
                <w:sz w:val="21"/>
                <w:szCs w:val="21"/>
              </w:rPr>
            </w:pPr>
            <w:r>
              <w:rPr>
                <w:sz w:val="21"/>
                <w:szCs w:val="21"/>
              </w:rPr>
              <w:t xml:space="preserve">52.968 </w:t>
            </w:r>
          </w:p>
        </w:tc>
        <w:tc>
          <w:tcPr>
            <w:tcW w:w="1090" w:type="pct"/>
            <w:shd w:val="clear" w:color="auto" w:fill="auto"/>
            <w:noWrap/>
            <w:vAlign w:val="center"/>
          </w:tcPr>
          <w:p>
            <w:pPr>
              <w:jc w:val="center"/>
              <w:rPr>
                <w:sz w:val="21"/>
                <w:szCs w:val="21"/>
              </w:rPr>
            </w:pPr>
            <w:r>
              <w:rPr>
                <w:sz w:val="21"/>
                <w:szCs w:val="21"/>
              </w:rPr>
              <w:t xml:space="preserve">0.830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9" w:type="pct"/>
            <w:shd w:val="clear" w:color="auto" w:fill="auto"/>
            <w:noWrap/>
            <w:vAlign w:val="center"/>
          </w:tcPr>
          <w:p>
            <w:pPr>
              <w:spacing w:line="240" w:lineRule="auto"/>
              <w:jc w:val="center"/>
              <w:rPr>
                <w:bCs w:val="0"/>
                <w:kern w:val="0"/>
                <w:sz w:val="21"/>
                <w:szCs w:val="21"/>
              </w:rPr>
            </w:pPr>
            <w:r>
              <w:rPr>
                <w:rFonts w:hint="eastAsia"/>
                <w:bCs w:val="0"/>
                <w:kern w:val="0"/>
                <w:sz w:val="21"/>
                <w:szCs w:val="21"/>
              </w:rPr>
              <w:t>45</w:t>
            </w:r>
          </w:p>
        </w:tc>
        <w:tc>
          <w:tcPr>
            <w:tcW w:w="1090" w:type="pct"/>
            <w:shd w:val="clear" w:color="auto" w:fill="auto"/>
            <w:noWrap/>
            <w:vAlign w:val="center"/>
          </w:tcPr>
          <w:p>
            <w:pPr>
              <w:jc w:val="center"/>
              <w:rPr>
                <w:sz w:val="21"/>
                <w:szCs w:val="21"/>
              </w:rPr>
            </w:pPr>
            <w:r>
              <w:rPr>
                <w:sz w:val="21"/>
                <w:szCs w:val="21"/>
              </w:rPr>
              <w:t xml:space="preserve">50.437 </w:t>
            </w:r>
          </w:p>
        </w:tc>
        <w:tc>
          <w:tcPr>
            <w:tcW w:w="1090" w:type="pct"/>
            <w:shd w:val="clear" w:color="auto" w:fill="auto"/>
            <w:noWrap/>
            <w:vAlign w:val="center"/>
          </w:tcPr>
          <w:p>
            <w:pPr>
              <w:jc w:val="center"/>
              <w:rPr>
                <w:sz w:val="21"/>
                <w:szCs w:val="21"/>
              </w:rPr>
            </w:pPr>
            <w:r>
              <w:rPr>
                <w:sz w:val="21"/>
                <w:szCs w:val="21"/>
              </w:rPr>
              <w:t xml:space="preserve">0.799 </w:t>
            </w:r>
          </w:p>
        </w:tc>
        <w:tc>
          <w:tcPr>
            <w:tcW w:w="1090" w:type="pct"/>
            <w:shd w:val="clear" w:color="auto" w:fill="auto"/>
            <w:noWrap/>
            <w:vAlign w:val="center"/>
          </w:tcPr>
          <w:p>
            <w:pPr>
              <w:jc w:val="center"/>
              <w:rPr>
                <w:sz w:val="21"/>
                <w:szCs w:val="21"/>
              </w:rPr>
            </w:pPr>
            <w:r>
              <w:rPr>
                <w:sz w:val="21"/>
                <w:szCs w:val="21"/>
              </w:rPr>
              <w:t xml:space="preserve">50.654 </w:t>
            </w:r>
          </w:p>
        </w:tc>
        <w:tc>
          <w:tcPr>
            <w:tcW w:w="1090" w:type="pct"/>
            <w:shd w:val="clear" w:color="auto" w:fill="auto"/>
            <w:noWrap/>
            <w:vAlign w:val="center"/>
          </w:tcPr>
          <w:p>
            <w:pPr>
              <w:jc w:val="center"/>
              <w:rPr>
                <w:sz w:val="21"/>
                <w:szCs w:val="21"/>
              </w:rPr>
            </w:pPr>
            <w:r>
              <w:rPr>
                <w:sz w:val="21"/>
                <w:szCs w:val="21"/>
              </w:rPr>
              <w:t xml:space="preserve">0.794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39" w:type="pct"/>
            <w:shd w:val="clear" w:color="auto" w:fill="auto"/>
            <w:noWrap/>
            <w:vAlign w:val="center"/>
          </w:tcPr>
          <w:p>
            <w:pPr>
              <w:spacing w:line="240" w:lineRule="auto"/>
              <w:jc w:val="center"/>
              <w:rPr>
                <w:bCs w:val="0"/>
                <w:kern w:val="0"/>
                <w:sz w:val="21"/>
                <w:szCs w:val="21"/>
              </w:rPr>
            </w:pPr>
            <w:r>
              <w:rPr>
                <w:rFonts w:hint="eastAsia"/>
                <w:bCs w:val="0"/>
                <w:kern w:val="0"/>
                <w:sz w:val="21"/>
                <w:szCs w:val="21"/>
              </w:rPr>
              <w:t>46</w:t>
            </w:r>
          </w:p>
        </w:tc>
        <w:tc>
          <w:tcPr>
            <w:tcW w:w="1090" w:type="pct"/>
            <w:shd w:val="clear" w:color="auto" w:fill="auto"/>
            <w:noWrap/>
            <w:vAlign w:val="center"/>
          </w:tcPr>
          <w:p>
            <w:pPr>
              <w:jc w:val="center"/>
              <w:rPr>
                <w:sz w:val="21"/>
                <w:szCs w:val="21"/>
              </w:rPr>
            </w:pPr>
            <w:r>
              <w:rPr>
                <w:sz w:val="21"/>
                <w:szCs w:val="21"/>
              </w:rPr>
              <w:t xml:space="preserve">48.308 </w:t>
            </w:r>
          </w:p>
        </w:tc>
        <w:tc>
          <w:tcPr>
            <w:tcW w:w="1090" w:type="pct"/>
            <w:shd w:val="clear" w:color="auto" w:fill="auto"/>
            <w:noWrap/>
            <w:vAlign w:val="center"/>
          </w:tcPr>
          <w:p>
            <w:pPr>
              <w:jc w:val="center"/>
              <w:rPr>
                <w:sz w:val="21"/>
                <w:szCs w:val="21"/>
              </w:rPr>
            </w:pPr>
            <w:r>
              <w:rPr>
                <w:sz w:val="21"/>
                <w:szCs w:val="21"/>
              </w:rPr>
              <w:t xml:space="preserve">0.765 </w:t>
            </w:r>
          </w:p>
        </w:tc>
        <w:tc>
          <w:tcPr>
            <w:tcW w:w="1090" w:type="pct"/>
            <w:shd w:val="clear" w:color="auto" w:fill="auto"/>
            <w:noWrap/>
            <w:vAlign w:val="center"/>
          </w:tcPr>
          <w:p>
            <w:pPr>
              <w:jc w:val="center"/>
              <w:rPr>
                <w:sz w:val="21"/>
                <w:szCs w:val="21"/>
              </w:rPr>
            </w:pPr>
            <w:r>
              <w:rPr>
                <w:sz w:val="21"/>
                <w:szCs w:val="21"/>
              </w:rPr>
              <w:t xml:space="preserve">48.491 </w:t>
            </w:r>
          </w:p>
        </w:tc>
        <w:tc>
          <w:tcPr>
            <w:tcW w:w="1090" w:type="pct"/>
            <w:shd w:val="clear" w:color="auto" w:fill="auto"/>
            <w:noWrap/>
            <w:vAlign w:val="center"/>
          </w:tcPr>
          <w:p>
            <w:pPr>
              <w:jc w:val="center"/>
              <w:rPr>
                <w:sz w:val="21"/>
                <w:szCs w:val="21"/>
              </w:rPr>
            </w:pPr>
            <w:r>
              <w:rPr>
                <w:sz w:val="21"/>
                <w:szCs w:val="21"/>
              </w:rPr>
              <w:t xml:space="preserve">0.760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39" w:type="pct"/>
            <w:shd w:val="clear" w:color="auto" w:fill="auto"/>
            <w:noWrap/>
            <w:vAlign w:val="center"/>
          </w:tcPr>
          <w:p>
            <w:pPr>
              <w:spacing w:line="240" w:lineRule="auto"/>
              <w:jc w:val="center"/>
              <w:rPr>
                <w:bCs w:val="0"/>
                <w:kern w:val="0"/>
                <w:sz w:val="21"/>
                <w:szCs w:val="21"/>
              </w:rPr>
            </w:pPr>
            <w:r>
              <w:rPr>
                <w:rFonts w:hint="eastAsia"/>
                <w:bCs w:val="0"/>
                <w:kern w:val="0"/>
                <w:sz w:val="21"/>
                <w:szCs w:val="21"/>
              </w:rPr>
              <w:t>47</w:t>
            </w:r>
          </w:p>
        </w:tc>
        <w:tc>
          <w:tcPr>
            <w:tcW w:w="1090" w:type="pct"/>
            <w:shd w:val="clear" w:color="auto" w:fill="auto"/>
            <w:noWrap/>
            <w:vAlign w:val="center"/>
          </w:tcPr>
          <w:p>
            <w:pPr>
              <w:jc w:val="center"/>
              <w:rPr>
                <w:sz w:val="21"/>
                <w:szCs w:val="21"/>
              </w:rPr>
            </w:pPr>
            <w:r>
              <w:rPr>
                <w:sz w:val="21"/>
                <w:szCs w:val="21"/>
              </w:rPr>
              <w:t xml:space="preserve">46.312 </w:t>
            </w:r>
          </w:p>
        </w:tc>
        <w:tc>
          <w:tcPr>
            <w:tcW w:w="1090" w:type="pct"/>
            <w:shd w:val="clear" w:color="auto" w:fill="auto"/>
            <w:noWrap/>
            <w:vAlign w:val="center"/>
          </w:tcPr>
          <w:p>
            <w:pPr>
              <w:jc w:val="center"/>
              <w:rPr>
                <w:sz w:val="21"/>
                <w:szCs w:val="21"/>
              </w:rPr>
            </w:pPr>
            <w:r>
              <w:rPr>
                <w:sz w:val="21"/>
                <w:szCs w:val="21"/>
              </w:rPr>
              <w:t xml:space="preserve">0.733 </w:t>
            </w:r>
          </w:p>
        </w:tc>
        <w:tc>
          <w:tcPr>
            <w:tcW w:w="1090" w:type="pct"/>
            <w:shd w:val="clear" w:color="auto" w:fill="auto"/>
            <w:noWrap/>
            <w:vAlign w:val="center"/>
          </w:tcPr>
          <w:p>
            <w:pPr>
              <w:jc w:val="center"/>
              <w:rPr>
                <w:sz w:val="21"/>
                <w:szCs w:val="21"/>
              </w:rPr>
            </w:pPr>
            <w:r>
              <w:rPr>
                <w:sz w:val="21"/>
                <w:szCs w:val="21"/>
              </w:rPr>
              <w:t xml:space="preserve">46.465 </w:t>
            </w:r>
          </w:p>
        </w:tc>
        <w:tc>
          <w:tcPr>
            <w:tcW w:w="1090" w:type="pct"/>
            <w:shd w:val="clear" w:color="auto" w:fill="auto"/>
            <w:noWrap/>
            <w:vAlign w:val="center"/>
          </w:tcPr>
          <w:p>
            <w:pPr>
              <w:jc w:val="center"/>
              <w:rPr>
                <w:sz w:val="21"/>
                <w:szCs w:val="21"/>
              </w:rPr>
            </w:pPr>
            <w:r>
              <w:rPr>
                <w:sz w:val="21"/>
                <w:szCs w:val="21"/>
              </w:rPr>
              <w:t xml:space="preserve">0.729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39" w:type="pct"/>
            <w:shd w:val="clear" w:color="auto" w:fill="auto"/>
            <w:noWrap/>
            <w:vAlign w:val="center"/>
          </w:tcPr>
          <w:p>
            <w:pPr>
              <w:spacing w:line="240" w:lineRule="auto"/>
              <w:jc w:val="center"/>
              <w:rPr>
                <w:bCs w:val="0"/>
                <w:kern w:val="0"/>
                <w:sz w:val="21"/>
                <w:szCs w:val="21"/>
              </w:rPr>
            </w:pPr>
            <w:r>
              <w:rPr>
                <w:rFonts w:hint="eastAsia"/>
                <w:bCs w:val="0"/>
                <w:kern w:val="0"/>
                <w:sz w:val="21"/>
                <w:szCs w:val="21"/>
              </w:rPr>
              <w:t>48</w:t>
            </w:r>
          </w:p>
        </w:tc>
        <w:tc>
          <w:tcPr>
            <w:tcW w:w="1090" w:type="pct"/>
            <w:shd w:val="clear" w:color="auto" w:fill="auto"/>
            <w:noWrap/>
            <w:vAlign w:val="center"/>
          </w:tcPr>
          <w:p>
            <w:pPr>
              <w:jc w:val="center"/>
              <w:rPr>
                <w:sz w:val="21"/>
                <w:szCs w:val="21"/>
              </w:rPr>
            </w:pPr>
            <w:r>
              <w:rPr>
                <w:sz w:val="21"/>
                <w:szCs w:val="21"/>
              </w:rPr>
              <w:t xml:space="preserve">44.439 </w:t>
            </w:r>
          </w:p>
        </w:tc>
        <w:tc>
          <w:tcPr>
            <w:tcW w:w="1090" w:type="pct"/>
            <w:shd w:val="clear" w:color="auto" w:fill="auto"/>
            <w:noWrap/>
            <w:vAlign w:val="center"/>
          </w:tcPr>
          <w:p>
            <w:pPr>
              <w:jc w:val="center"/>
              <w:rPr>
                <w:sz w:val="21"/>
                <w:szCs w:val="21"/>
              </w:rPr>
            </w:pPr>
            <w:r>
              <w:rPr>
                <w:sz w:val="21"/>
                <w:szCs w:val="21"/>
              </w:rPr>
              <w:t xml:space="preserve">0.703 </w:t>
            </w:r>
          </w:p>
        </w:tc>
        <w:tc>
          <w:tcPr>
            <w:tcW w:w="1090" w:type="pct"/>
            <w:shd w:val="clear" w:color="auto" w:fill="auto"/>
            <w:noWrap/>
            <w:vAlign w:val="center"/>
          </w:tcPr>
          <w:p>
            <w:pPr>
              <w:jc w:val="center"/>
              <w:rPr>
                <w:sz w:val="21"/>
                <w:szCs w:val="21"/>
              </w:rPr>
            </w:pPr>
            <w:r>
              <w:rPr>
                <w:sz w:val="21"/>
                <w:szCs w:val="21"/>
              </w:rPr>
              <w:t xml:space="preserve">44.566 </w:t>
            </w:r>
          </w:p>
        </w:tc>
        <w:tc>
          <w:tcPr>
            <w:tcW w:w="1090" w:type="pct"/>
            <w:shd w:val="clear" w:color="auto" w:fill="auto"/>
            <w:noWrap/>
            <w:vAlign w:val="center"/>
          </w:tcPr>
          <w:p>
            <w:pPr>
              <w:jc w:val="center"/>
              <w:rPr>
                <w:sz w:val="21"/>
                <w:szCs w:val="21"/>
              </w:rPr>
            </w:pPr>
            <w:r>
              <w:rPr>
                <w:sz w:val="21"/>
                <w:szCs w:val="21"/>
              </w:rPr>
              <w:t xml:space="preserve">0.699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9" w:type="pct"/>
            <w:shd w:val="clear" w:color="auto" w:fill="auto"/>
            <w:noWrap/>
            <w:vAlign w:val="center"/>
          </w:tcPr>
          <w:p>
            <w:pPr>
              <w:spacing w:line="240" w:lineRule="auto"/>
              <w:jc w:val="center"/>
              <w:rPr>
                <w:bCs w:val="0"/>
                <w:kern w:val="0"/>
                <w:sz w:val="21"/>
                <w:szCs w:val="21"/>
              </w:rPr>
            </w:pPr>
            <w:r>
              <w:rPr>
                <w:rFonts w:hint="eastAsia"/>
                <w:bCs w:val="0"/>
                <w:kern w:val="0"/>
                <w:sz w:val="21"/>
                <w:szCs w:val="21"/>
              </w:rPr>
              <w:t>49</w:t>
            </w:r>
          </w:p>
        </w:tc>
        <w:tc>
          <w:tcPr>
            <w:tcW w:w="1090" w:type="pct"/>
            <w:shd w:val="clear" w:color="auto" w:fill="auto"/>
            <w:noWrap/>
            <w:vAlign w:val="center"/>
          </w:tcPr>
          <w:p>
            <w:pPr>
              <w:jc w:val="center"/>
              <w:rPr>
                <w:sz w:val="21"/>
                <w:szCs w:val="21"/>
              </w:rPr>
            </w:pPr>
            <w:r>
              <w:rPr>
                <w:sz w:val="21"/>
                <w:szCs w:val="21"/>
              </w:rPr>
              <w:t xml:space="preserve">42.678 </w:t>
            </w:r>
          </w:p>
        </w:tc>
        <w:tc>
          <w:tcPr>
            <w:tcW w:w="1090" w:type="pct"/>
            <w:shd w:val="clear" w:color="auto" w:fill="auto"/>
            <w:noWrap/>
            <w:vAlign w:val="center"/>
          </w:tcPr>
          <w:p>
            <w:pPr>
              <w:jc w:val="center"/>
              <w:rPr>
                <w:sz w:val="21"/>
                <w:szCs w:val="21"/>
              </w:rPr>
            </w:pPr>
            <w:r>
              <w:rPr>
                <w:sz w:val="21"/>
                <w:szCs w:val="21"/>
              </w:rPr>
              <w:t xml:space="preserve">0.675 </w:t>
            </w:r>
          </w:p>
        </w:tc>
        <w:tc>
          <w:tcPr>
            <w:tcW w:w="1090" w:type="pct"/>
            <w:shd w:val="clear" w:color="auto" w:fill="auto"/>
            <w:noWrap/>
            <w:vAlign w:val="center"/>
          </w:tcPr>
          <w:p>
            <w:pPr>
              <w:jc w:val="center"/>
              <w:rPr>
                <w:sz w:val="21"/>
                <w:szCs w:val="21"/>
              </w:rPr>
            </w:pPr>
            <w:r>
              <w:rPr>
                <w:sz w:val="21"/>
                <w:szCs w:val="21"/>
              </w:rPr>
              <w:t xml:space="preserve">42.783 </w:t>
            </w:r>
          </w:p>
        </w:tc>
        <w:tc>
          <w:tcPr>
            <w:tcW w:w="1090" w:type="pct"/>
            <w:shd w:val="clear" w:color="auto" w:fill="auto"/>
            <w:noWrap/>
            <w:vAlign w:val="center"/>
          </w:tcPr>
          <w:p>
            <w:pPr>
              <w:jc w:val="center"/>
              <w:rPr>
                <w:sz w:val="21"/>
                <w:szCs w:val="21"/>
              </w:rPr>
            </w:pPr>
            <w:r>
              <w:rPr>
                <w:sz w:val="21"/>
                <w:szCs w:val="21"/>
              </w:rPr>
              <w:t xml:space="preserve">0.671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639" w:type="pct"/>
            <w:shd w:val="clear" w:color="auto" w:fill="auto"/>
            <w:noWrap/>
            <w:vAlign w:val="center"/>
          </w:tcPr>
          <w:p>
            <w:pPr>
              <w:spacing w:line="240" w:lineRule="auto"/>
              <w:jc w:val="center"/>
              <w:rPr>
                <w:bCs w:val="0"/>
                <w:kern w:val="0"/>
                <w:sz w:val="21"/>
                <w:szCs w:val="21"/>
              </w:rPr>
            </w:pPr>
            <w:r>
              <w:rPr>
                <w:rFonts w:hint="eastAsia"/>
                <w:bCs w:val="0"/>
                <w:kern w:val="0"/>
                <w:sz w:val="21"/>
                <w:szCs w:val="21"/>
              </w:rPr>
              <w:t>50</w:t>
            </w:r>
          </w:p>
        </w:tc>
        <w:tc>
          <w:tcPr>
            <w:tcW w:w="1090" w:type="pct"/>
            <w:shd w:val="clear" w:color="auto" w:fill="auto"/>
            <w:noWrap/>
            <w:vAlign w:val="center"/>
          </w:tcPr>
          <w:p>
            <w:pPr>
              <w:jc w:val="center"/>
              <w:rPr>
                <w:sz w:val="21"/>
                <w:szCs w:val="21"/>
              </w:rPr>
            </w:pPr>
            <w:r>
              <w:rPr>
                <w:sz w:val="21"/>
                <w:szCs w:val="21"/>
              </w:rPr>
              <w:t xml:space="preserve">41.020 </w:t>
            </w:r>
          </w:p>
        </w:tc>
        <w:tc>
          <w:tcPr>
            <w:tcW w:w="1090" w:type="pct"/>
            <w:shd w:val="clear" w:color="auto" w:fill="auto"/>
            <w:noWrap/>
            <w:vAlign w:val="center"/>
          </w:tcPr>
          <w:p>
            <w:pPr>
              <w:jc w:val="center"/>
              <w:rPr>
                <w:sz w:val="21"/>
                <w:szCs w:val="21"/>
              </w:rPr>
            </w:pPr>
            <w:r>
              <w:rPr>
                <w:sz w:val="21"/>
                <w:szCs w:val="21"/>
              </w:rPr>
              <w:t xml:space="preserve">0.648 </w:t>
            </w:r>
          </w:p>
        </w:tc>
        <w:tc>
          <w:tcPr>
            <w:tcW w:w="1090" w:type="pct"/>
            <w:shd w:val="clear" w:color="auto" w:fill="auto"/>
            <w:noWrap/>
            <w:vAlign w:val="center"/>
          </w:tcPr>
          <w:p>
            <w:pPr>
              <w:jc w:val="center"/>
              <w:rPr>
                <w:sz w:val="21"/>
                <w:szCs w:val="21"/>
              </w:rPr>
            </w:pPr>
            <w:r>
              <w:rPr>
                <w:sz w:val="21"/>
                <w:szCs w:val="21"/>
              </w:rPr>
              <w:t xml:space="preserve">41.106 </w:t>
            </w:r>
          </w:p>
        </w:tc>
        <w:tc>
          <w:tcPr>
            <w:tcW w:w="1090" w:type="pct"/>
            <w:shd w:val="clear" w:color="auto" w:fill="auto"/>
            <w:noWrap/>
            <w:vAlign w:val="center"/>
          </w:tcPr>
          <w:p>
            <w:pPr>
              <w:jc w:val="center"/>
              <w:rPr>
                <w:sz w:val="21"/>
                <w:szCs w:val="21"/>
              </w:rPr>
            </w:pPr>
            <w:r>
              <w:rPr>
                <w:sz w:val="21"/>
                <w:szCs w:val="21"/>
              </w:rPr>
              <w:t xml:space="preserve">0.645 </w:t>
            </w:r>
          </w:p>
        </w:tc>
      </w:tr>
    </w:tbl>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根据理论计算结果可以看出：</w:t>
      </w:r>
      <w:r>
        <w:rPr>
          <w:rFonts w:hint="eastAsia" w:ascii="Times New Roman" w:eastAsiaTheme="minorEastAsia"/>
          <w:kern w:val="2"/>
          <w:sz w:val="24"/>
          <w:szCs w:val="24"/>
          <w:lang w:eastAsia="zh-CN"/>
        </w:rPr>
        <w:t>1C3-ZM1</w:t>
      </w:r>
      <w:r>
        <w:rPr>
          <w:rFonts w:ascii="Times New Roman" w:eastAsiaTheme="minorEastAsia"/>
          <w:kern w:val="2"/>
          <w:sz w:val="24"/>
          <w:szCs w:val="24"/>
        </w:rPr>
        <w:t>直线塔最小对地高度为6m时（</w:t>
      </w:r>
      <w:r>
        <w:rPr>
          <w:rFonts w:hint="eastAsia" w:ascii="Times New Roman" w:eastAsiaTheme="minorEastAsia"/>
          <w:kern w:val="2"/>
          <w:sz w:val="24"/>
          <w:szCs w:val="24"/>
        </w:rPr>
        <w:t>110</w:t>
      </w:r>
      <w:r>
        <w:rPr>
          <w:rFonts w:ascii="Times New Roman" w:eastAsiaTheme="minorEastAsia"/>
          <w:kern w:val="2"/>
          <w:sz w:val="24"/>
          <w:szCs w:val="24"/>
        </w:rPr>
        <w:t>kV输电线路在途经非居民区时），</w:t>
      </w:r>
      <w:r>
        <w:rPr>
          <w:rFonts w:hint="eastAsia" w:ascii="Times New Roman" w:eastAsiaTheme="minorEastAsia"/>
          <w:kern w:val="2"/>
          <w:sz w:val="24"/>
          <w:szCs w:val="24"/>
        </w:rPr>
        <w:t xml:space="preserve">工频电场强度在中心线0m处为1843.182 </w:t>
      </w:r>
      <w:r>
        <w:rPr>
          <w:rFonts w:ascii="Times New Roman" w:eastAsiaTheme="minorEastAsia"/>
          <w:kern w:val="2"/>
          <w:sz w:val="24"/>
          <w:szCs w:val="24"/>
        </w:rPr>
        <w:t>V/m</w:t>
      </w:r>
      <w:r>
        <w:rPr>
          <w:rFonts w:hint="eastAsia" w:ascii="Times New Roman" w:eastAsiaTheme="minorEastAsia"/>
          <w:kern w:val="2"/>
          <w:sz w:val="24"/>
          <w:szCs w:val="24"/>
        </w:rPr>
        <w:t>，逐渐增大。</w:t>
      </w:r>
      <w:r>
        <w:rPr>
          <w:rFonts w:ascii="Times New Roman" w:eastAsiaTheme="minorEastAsia"/>
          <w:kern w:val="2"/>
          <w:sz w:val="24"/>
          <w:szCs w:val="24"/>
        </w:rPr>
        <w:t>产生的最大工频电场强度位于距走廊中心线4m处，为</w:t>
      </w:r>
      <w:r>
        <w:rPr>
          <w:rFonts w:hint="eastAsia" w:ascii="Times New Roman" w:eastAsiaTheme="minorEastAsia"/>
          <w:kern w:val="2"/>
          <w:sz w:val="24"/>
          <w:szCs w:val="24"/>
        </w:rPr>
        <w:t>3362.699</w:t>
      </w:r>
      <w:r>
        <w:rPr>
          <w:rFonts w:ascii="Times New Roman" w:eastAsiaTheme="minorEastAsia"/>
          <w:kern w:val="2"/>
          <w:sz w:val="24"/>
          <w:szCs w:val="24"/>
        </w:rPr>
        <w:t>V/m，低于4000V/m评价标准限值。</w:t>
      </w:r>
      <w:r>
        <w:rPr>
          <w:rFonts w:hint="eastAsia" w:ascii="Times New Roman" w:eastAsiaTheme="minorEastAsia"/>
          <w:kern w:val="2"/>
          <w:sz w:val="24"/>
          <w:szCs w:val="24"/>
        </w:rPr>
        <w:t>之后</w:t>
      </w:r>
      <w:r>
        <w:rPr>
          <w:rFonts w:ascii="Times New Roman" w:eastAsiaTheme="minorEastAsia"/>
          <w:kern w:val="2"/>
          <w:sz w:val="24"/>
          <w:szCs w:val="24"/>
        </w:rPr>
        <w:t>随着与走廊中心线距离的增大，工频电场强度衰减迅速</w:t>
      </w:r>
      <w:r>
        <w:rPr>
          <w:rFonts w:hint="eastAsia" w:ascii="Times New Roman" w:eastAsiaTheme="minorEastAsia"/>
          <w:kern w:val="2"/>
          <w:sz w:val="24"/>
          <w:szCs w:val="24"/>
        </w:rPr>
        <w:t>。</w:t>
      </w:r>
    </w:p>
    <w:p>
      <w:pPr>
        <w:pStyle w:val="23"/>
        <w:spacing w:line="360" w:lineRule="auto"/>
        <w:ind w:firstLine="480"/>
        <w:jc w:val="left"/>
        <w:rPr>
          <w:rFonts w:ascii="Times New Roman" w:eastAsiaTheme="minorEastAsia"/>
          <w:kern w:val="2"/>
          <w:sz w:val="24"/>
          <w:szCs w:val="24"/>
        </w:rPr>
      </w:pPr>
      <w:r>
        <w:rPr>
          <w:rFonts w:ascii="Times New Roman" w:eastAsiaTheme="minorEastAsia"/>
          <w:kern w:val="2"/>
          <w:sz w:val="24"/>
          <w:szCs w:val="24"/>
        </w:rPr>
        <w:t>导线最小对地高度为6m时（110kV输电线路在途经非居民区时），</w:t>
      </w:r>
      <w:r>
        <w:rPr>
          <w:rFonts w:hint="eastAsia" w:ascii="Times New Roman" w:eastAsiaTheme="minorEastAsia"/>
          <w:kern w:val="2"/>
          <w:sz w:val="24"/>
          <w:szCs w:val="24"/>
        </w:rPr>
        <w:t>工频磁感应强度在中心线0m处为23.284 7</w:t>
      </w:r>
      <w:r>
        <w:rPr>
          <w:rFonts w:ascii="Times New Roman" w:eastAsiaTheme="minorEastAsia"/>
          <w:kern w:val="2"/>
          <w:sz w:val="24"/>
          <w:szCs w:val="24"/>
        </w:rPr>
        <w:t>μT</w:t>
      </w:r>
      <w:r>
        <w:rPr>
          <w:rFonts w:hint="eastAsia" w:ascii="Times New Roman" w:eastAsiaTheme="minorEastAsia"/>
          <w:kern w:val="2"/>
          <w:sz w:val="24"/>
          <w:szCs w:val="24"/>
        </w:rPr>
        <w:t>，逐渐增大。</w:t>
      </w:r>
      <w:r>
        <w:rPr>
          <w:rFonts w:ascii="Times New Roman" w:eastAsiaTheme="minorEastAsia"/>
          <w:kern w:val="2"/>
          <w:sz w:val="24"/>
          <w:szCs w:val="24"/>
        </w:rPr>
        <w:t>产生最大工频磁感应强度位于距走廊中心线4m处，为</w:t>
      </w:r>
      <w:r>
        <w:rPr>
          <w:rFonts w:hint="eastAsia" w:ascii="Times New Roman" w:eastAsiaTheme="minorEastAsia"/>
          <w:kern w:val="2"/>
          <w:sz w:val="24"/>
          <w:szCs w:val="24"/>
        </w:rPr>
        <w:t xml:space="preserve">34.912 </w:t>
      </w:r>
      <w:r>
        <w:rPr>
          <w:rFonts w:ascii="Times New Roman" w:eastAsiaTheme="minorEastAsia"/>
          <w:kern w:val="2"/>
          <w:sz w:val="24"/>
          <w:szCs w:val="24"/>
        </w:rPr>
        <w:t>μT，远低于100μT评价标准限值。随着与走廊中心线距离的增大，工频磁感应强度衰减迅速。</w:t>
      </w:r>
    </w:p>
    <w:p>
      <w:pPr>
        <w:pStyle w:val="23"/>
        <w:spacing w:line="360" w:lineRule="auto"/>
        <w:ind w:firstLine="480"/>
        <w:jc w:val="left"/>
        <w:rPr>
          <w:rFonts w:ascii="Times New Roman" w:eastAsiaTheme="minorEastAsia"/>
          <w:kern w:val="2"/>
          <w:sz w:val="24"/>
          <w:szCs w:val="24"/>
          <w:highlight w:val="yellow"/>
        </w:rPr>
      </w:pPr>
      <w:r>
        <w:rPr>
          <w:rFonts w:ascii="Times New Roman" w:eastAsiaTheme="minorEastAsia"/>
          <w:kern w:val="2"/>
          <w:sz w:val="24"/>
          <w:szCs w:val="24"/>
        </w:rPr>
        <w:t>综上，由理论计算结果可知，本项目单回输电线路运行后，距地面1.5m处工频电磁场均满足评价标准的要求，对沿线和环保目标处的电磁环境影响很小</w:t>
      </w:r>
      <w:r>
        <w:rPr>
          <w:rFonts w:hint="eastAsia" w:ascii="Times New Roman" w:eastAsiaTheme="minorEastAsia"/>
          <w:kern w:val="2"/>
          <w:sz w:val="24"/>
          <w:szCs w:val="24"/>
        </w:rPr>
        <w:t>。</w:t>
      </w:r>
    </w:p>
    <w:p>
      <w:pPr>
        <w:pStyle w:val="23"/>
        <w:widowControl w:val="0"/>
        <w:spacing w:line="360" w:lineRule="auto"/>
        <w:ind w:firstLine="0" w:firstLineChars="0"/>
        <w:jc w:val="left"/>
        <w:outlineLvl w:val="0"/>
        <w:rPr>
          <w:rFonts w:hAnsi="宋体" w:cs="宋体"/>
          <w:b/>
          <w:bCs/>
          <w:sz w:val="32"/>
          <w:szCs w:val="32"/>
        </w:rPr>
      </w:pPr>
      <w:bookmarkStart w:id="42" w:name="_Toc3746"/>
      <w:r>
        <w:rPr>
          <w:rFonts w:hint="eastAsia" w:hAnsi="宋体" w:cs="宋体"/>
          <w:b/>
          <w:bCs/>
          <w:sz w:val="32"/>
          <w:szCs w:val="32"/>
        </w:rPr>
        <w:t>7 结论</w:t>
      </w:r>
      <w:bookmarkEnd w:id="42"/>
    </w:p>
    <w:p>
      <w:pPr>
        <w:pStyle w:val="23"/>
        <w:spacing w:line="360" w:lineRule="auto"/>
        <w:ind w:firstLine="480"/>
        <w:jc w:val="both"/>
        <w:rPr>
          <w:rFonts w:ascii="Times New Roman" w:eastAsiaTheme="minorEastAsia"/>
          <w:kern w:val="2"/>
          <w:sz w:val="24"/>
          <w:szCs w:val="24"/>
        </w:rPr>
      </w:pPr>
      <w:r>
        <w:rPr>
          <w:rFonts w:ascii="Times New Roman" w:eastAsiaTheme="minorEastAsia"/>
          <w:kern w:val="2"/>
          <w:sz w:val="24"/>
          <w:szCs w:val="24"/>
        </w:rPr>
        <w:t>通过对输电线路预测计算表明：</w:t>
      </w:r>
      <w:r>
        <w:rPr>
          <w:rFonts w:hint="eastAsia" w:ascii="Times New Roman" w:eastAsiaTheme="minorEastAsia"/>
          <w:kern w:val="2"/>
          <w:sz w:val="24"/>
          <w:szCs w:val="24"/>
        </w:rPr>
        <w:t>国华神木墩梁风电场薛家畔、李家畔、槐树峁风电项目110KV送出线路</w:t>
      </w:r>
      <w:r>
        <w:rPr>
          <w:rFonts w:ascii="Times New Roman" w:eastAsiaTheme="minorEastAsia"/>
          <w:kern w:val="2"/>
          <w:sz w:val="24"/>
          <w:szCs w:val="24"/>
        </w:rPr>
        <w:t>建成投运后，110kV单回架空线路在经过非居民区、居民区时控制导线最小对地高度为6m、7m时可满足《电磁环境控制限值》（GB8702-2014）中频率为50Hz的电场、磁场公众曝露控制限值，即以4000V</w:t>
      </w:r>
      <w:r>
        <w:rPr>
          <w:rFonts w:hint="eastAsia" w:ascii="Times New Roman" w:eastAsiaTheme="minorEastAsia"/>
          <w:kern w:val="2"/>
          <w:sz w:val="24"/>
          <w:szCs w:val="24"/>
        </w:rPr>
        <w:t>/</w:t>
      </w:r>
      <w:r>
        <w:rPr>
          <w:rFonts w:ascii="Times New Roman" w:eastAsiaTheme="minorEastAsia"/>
          <w:kern w:val="2"/>
          <w:sz w:val="24"/>
          <w:szCs w:val="24"/>
        </w:rPr>
        <w:t>m作为工频电场强度控制限值，以100μT作为工频磁感应强度控制限值。由于设计线路导线最小对地高度为6m以上，因此当架空线路经过耕地、园地、牧草地</w:t>
      </w:r>
      <w:r>
        <w:rPr>
          <w:rFonts w:hint="eastAsia" w:ascii="Times New Roman" w:eastAsiaTheme="minorEastAsia"/>
          <w:kern w:val="2"/>
          <w:sz w:val="24"/>
          <w:szCs w:val="24"/>
        </w:rPr>
        <w:t>、</w:t>
      </w:r>
      <w:r>
        <w:rPr>
          <w:rFonts w:ascii="Times New Roman" w:eastAsiaTheme="minorEastAsia"/>
          <w:kern w:val="2"/>
          <w:sz w:val="24"/>
          <w:szCs w:val="24"/>
        </w:rPr>
        <w:t>畜禽饲养地、养殖水面、道路等非居民区时能够满足线下工频电场强度小于l0kV</w:t>
      </w:r>
      <w:r>
        <w:rPr>
          <w:rFonts w:hint="eastAsia" w:ascii="Times New Roman" w:eastAsiaTheme="minorEastAsia"/>
          <w:kern w:val="2"/>
          <w:sz w:val="24"/>
          <w:szCs w:val="24"/>
        </w:rPr>
        <w:t>/</w:t>
      </w:r>
      <w:r>
        <w:rPr>
          <w:rFonts w:ascii="Times New Roman" w:eastAsiaTheme="minorEastAsia"/>
          <w:kern w:val="2"/>
          <w:sz w:val="24"/>
          <w:szCs w:val="24"/>
        </w:rPr>
        <w:t>m的控制限值的要求。因此，</w:t>
      </w:r>
      <w:r>
        <w:rPr>
          <w:rFonts w:hint="eastAsia" w:ascii="Times New Roman" w:eastAsiaTheme="minorEastAsia"/>
          <w:kern w:val="2"/>
          <w:sz w:val="24"/>
          <w:szCs w:val="24"/>
        </w:rPr>
        <w:t>国华神木墩梁风电场薛家畔、李家畔、槐树峁风电项目110KV送出线路</w:t>
      </w:r>
      <w:r>
        <w:rPr>
          <w:rFonts w:ascii="Times New Roman" w:eastAsiaTheme="minorEastAsia"/>
          <w:kern w:val="2"/>
          <w:sz w:val="24"/>
          <w:szCs w:val="24"/>
        </w:rPr>
        <w:t>建成投运后，对沿线区域居住或聚集人群的电磁环境影响较小，对其工作、生活基本不会产生影响。</w:t>
      </w:r>
    </w:p>
    <w:p>
      <w:pPr>
        <w:pStyle w:val="23"/>
        <w:spacing w:line="360" w:lineRule="auto"/>
        <w:ind w:firstLine="480"/>
        <w:jc w:val="left"/>
        <w:rPr>
          <w:rFonts w:ascii="Times New Roman" w:eastAsiaTheme="minorEastAsia"/>
          <w:kern w:val="2"/>
          <w:sz w:val="24"/>
          <w:szCs w:val="24"/>
        </w:rPr>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p>
      <w:pPr>
        <w:pStyle w:val="16"/>
        <w:keepNext w:val="0"/>
        <w:keepLines w:val="0"/>
        <w:pageBreakBefore w:val="0"/>
        <w:widowControl w:val="0"/>
        <w:kinsoku/>
        <w:wordWrap/>
        <w:topLinePunct w:val="0"/>
        <w:bidi w:val="0"/>
      </w:pPr>
    </w:p>
    <w:p>
      <w:pPr>
        <w:keepNext w:val="0"/>
        <w:keepLines w:val="0"/>
        <w:pageBreakBefore w:val="0"/>
        <w:widowControl w:val="0"/>
        <w:kinsoku/>
        <w:wordWrap/>
        <w:topLinePunct w:val="0"/>
        <w:bidi w:val="0"/>
      </w:pPr>
    </w:p>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56"/>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NewRomanPSMT">
    <w:altName w:val="Times New Roman"/>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560" w:hanging="560"/>
      <w:jc w:val="center"/>
      <w:rPr>
        <w:rFonts w:ascii="Calibri Light" w:hAnsi="Calibri Light"/>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560" w:hanging="560"/>
      <w:jc w:val="center"/>
      <w:rPr>
        <w:rFonts w:ascii="Calibri Light" w:hAnsi="Calibri Light"/>
        <w:sz w:val="28"/>
        <w:szCs w:val="28"/>
      </w:rPr>
    </w:pP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293115"/>
    <w:multiLevelType w:val="singleLevel"/>
    <w:tmpl w:val="8B293115"/>
    <w:lvl w:ilvl="0" w:tentative="0">
      <w:start w:val="1"/>
      <w:numFmt w:val="decimal"/>
      <w:suff w:val="nothing"/>
      <w:lvlText w:val="（%1）"/>
      <w:lvlJc w:val="left"/>
    </w:lvl>
  </w:abstractNum>
  <w:abstractNum w:abstractNumId="1">
    <w:nsid w:val="9239341B"/>
    <w:multiLevelType w:val="multilevel"/>
    <w:tmpl w:val="9239341B"/>
    <w:lvl w:ilvl="0" w:tentative="0">
      <w:start w:val="1"/>
      <w:numFmt w:val="decimal"/>
      <w:lvlText w:val="%1）"/>
      <w:lvlJc w:val="left"/>
      <w:pPr>
        <w:ind w:left="1072"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16" w:hanging="361"/>
      </w:pPr>
      <w:rPr>
        <w:rFonts w:hint="default"/>
        <w:lang w:val="zh-CN" w:eastAsia="zh-CN" w:bidi="zh-CN"/>
      </w:rPr>
    </w:lvl>
    <w:lvl w:ilvl="2" w:tentative="0">
      <w:start w:val="0"/>
      <w:numFmt w:val="bullet"/>
      <w:lvlText w:val="•"/>
      <w:lvlJc w:val="left"/>
      <w:pPr>
        <w:ind w:left="2753" w:hanging="361"/>
      </w:pPr>
      <w:rPr>
        <w:rFonts w:hint="default"/>
        <w:lang w:val="zh-CN" w:eastAsia="zh-CN" w:bidi="zh-CN"/>
      </w:rPr>
    </w:lvl>
    <w:lvl w:ilvl="3" w:tentative="0">
      <w:start w:val="0"/>
      <w:numFmt w:val="bullet"/>
      <w:lvlText w:val="•"/>
      <w:lvlJc w:val="left"/>
      <w:pPr>
        <w:ind w:left="3589" w:hanging="361"/>
      </w:pPr>
      <w:rPr>
        <w:rFonts w:hint="default"/>
        <w:lang w:val="zh-CN" w:eastAsia="zh-CN" w:bidi="zh-CN"/>
      </w:rPr>
    </w:lvl>
    <w:lvl w:ilvl="4" w:tentative="0">
      <w:start w:val="0"/>
      <w:numFmt w:val="bullet"/>
      <w:lvlText w:val="•"/>
      <w:lvlJc w:val="left"/>
      <w:pPr>
        <w:ind w:left="4426" w:hanging="361"/>
      </w:pPr>
      <w:rPr>
        <w:rFonts w:hint="default"/>
        <w:lang w:val="zh-CN" w:eastAsia="zh-CN" w:bidi="zh-CN"/>
      </w:rPr>
    </w:lvl>
    <w:lvl w:ilvl="5" w:tentative="0">
      <w:start w:val="0"/>
      <w:numFmt w:val="bullet"/>
      <w:lvlText w:val="•"/>
      <w:lvlJc w:val="left"/>
      <w:pPr>
        <w:ind w:left="5263" w:hanging="361"/>
      </w:pPr>
      <w:rPr>
        <w:rFonts w:hint="default"/>
        <w:lang w:val="zh-CN" w:eastAsia="zh-CN" w:bidi="zh-CN"/>
      </w:rPr>
    </w:lvl>
    <w:lvl w:ilvl="6" w:tentative="0">
      <w:start w:val="0"/>
      <w:numFmt w:val="bullet"/>
      <w:lvlText w:val="•"/>
      <w:lvlJc w:val="left"/>
      <w:pPr>
        <w:ind w:left="6099" w:hanging="361"/>
      </w:pPr>
      <w:rPr>
        <w:rFonts w:hint="default"/>
        <w:lang w:val="zh-CN" w:eastAsia="zh-CN" w:bidi="zh-CN"/>
      </w:rPr>
    </w:lvl>
    <w:lvl w:ilvl="7" w:tentative="0">
      <w:start w:val="0"/>
      <w:numFmt w:val="bullet"/>
      <w:lvlText w:val="•"/>
      <w:lvlJc w:val="left"/>
      <w:pPr>
        <w:ind w:left="6936" w:hanging="361"/>
      </w:pPr>
      <w:rPr>
        <w:rFonts w:hint="default"/>
        <w:lang w:val="zh-CN" w:eastAsia="zh-CN" w:bidi="zh-CN"/>
      </w:rPr>
    </w:lvl>
    <w:lvl w:ilvl="8" w:tentative="0">
      <w:start w:val="0"/>
      <w:numFmt w:val="bullet"/>
      <w:lvlText w:val="•"/>
      <w:lvlJc w:val="left"/>
      <w:pPr>
        <w:ind w:left="7772" w:hanging="361"/>
      </w:pPr>
      <w:rPr>
        <w:rFonts w:hint="default"/>
        <w:lang w:val="zh-CN" w:eastAsia="zh-CN" w:bidi="zh-CN"/>
      </w:rPr>
    </w:lvl>
  </w:abstractNum>
  <w:abstractNum w:abstractNumId="2">
    <w:nsid w:val="07509D8F"/>
    <w:multiLevelType w:val="singleLevel"/>
    <w:tmpl w:val="07509D8F"/>
    <w:lvl w:ilvl="0" w:tentative="0">
      <w:start w:val="8"/>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3B80022"/>
    <w:rsid w:val="03FA57D5"/>
    <w:rsid w:val="04567743"/>
    <w:rsid w:val="05783BD6"/>
    <w:rsid w:val="059B7DED"/>
    <w:rsid w:val="0A5105A8"/>
    <w:rsid w:val="0A7E3E83"/>
    <w:rsid w:val="0E9A453B"/>
    <w:rsid w:val="11310603"/>
    <w:rsid w:val="11AF317C"/>
    <w:rsid w:val="11D067FB"/>
    <w:rsid w:val="15357B5F"/>
    <w:rsid w:val="186C1FBE"/>
    <w:rsid w:val="1B3A0054"/>
    <w:rsid w:val="1E6D5D22"/>
    <w:rsid w:val="1EE8103C"/>
    <w:rsid w:val="1F60509A"/>
    <w:rsid w:val="20B952F0"/>
    <w:rsid w:val="219B5914"/>
    <w:rsid w:val="25CC7722"/>
    <w:rsid w:val="26E23028"/>
    <w:rsid w:val="2A9054F5"/>
    <w:rsid w:val="31DC3FDF"/>
    <w:rsid w:val="320B4BD5"/>
    <w:rsid w:val="32965DE5"/>
    <w:rsid w:val="338C6B85"/>
    <w:rsid w:val="36E7662E"/>
    <w:rsid w:val="396F45C8"/>
    <w:rsid w:val="3D033A27"/>
    <w:rsid w:val="3D2A7909"/>
    <w:rsid w:val="402C05D8"/>
    <w:rsid w:val="43136F7F"/>
    <w:rsid w:val="43F04D35"/>
    <w:rsid w:val="454C79E2"/>
    <w:rsid w:val="46FF3D60"/>
    <w:rsid w:val="48363BFF"/>
    <w:rsid w:val="48C70559"/>
    <w:rsid w:val="48CB4E16"/>
    <w:rsid w:val="4940549B"/>
    <w:rsid w:val="4B7E01C7"/>
    <w:rsid w:val="4C5D0013"/>
    <w:rsid w:val="4E2B32EB"/>
    <w:rsid w:val="4E5341DB"/>
    <w:rsid w:val="50D34289"/>
    <w:rsid w:val="513205E4"/>
    <w:rsid w:val="53BA2C87"/>
    <w:rsid w:val="54452AC7"/>
    <w:rsid w:val="56B708A0"/>
    <w:rsid w:val="59854FC5"/>
    <w:rsid w:val="59B97350"/>
    <w:rsid w:val="5CDB721F"/>
    <w:rsid w:val="60F36784"/>
    <w:rsid w:val="62BE1BCC"/>
    <w:rsid w:val="65131822"/>
    <w:rsid w:val="66BE50EB"/>
    <w:rsid w:val="66E706F4"/>
    <w:rsid w:val="68541C67"/>
    <w:rsid w:val="6A0E2C92"/>
    <w:rsid w:val="6CFD1F85"/>
    <w:rsid w:val="70297D96"/>
    <w:rsid w:val="703D4509"/>
    <w:rsid w:val="70DD5F4A"/>
    <w:rsid w:val="74202E34"/>
    <w:rsid w:val="75AF21AA"/>
    <w:rsid w:val="78865948"/>
    <w:rsid w:val="79045D62"/>
    <w:rsid w:val="79B268ED"/>
    <w:rsid w:val="7A2018AB"/>
    <w:rsid w:val="7DD470AC"/>
    <w:rsid w:val="7DFD0E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宋体" w:cs="Times New Roman"/>
      <w:bCs/>
      <w:kern w:val="2"/>
      <w:sz w:val="24"/>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rFonts w:ascii="Times New Roman" w:hAnsi="Times New Roman" w:eastAsia="宋体" w:cs="Times New Roman"/>
      <w:b/>
      <w:kern w:val="44"/>
      <w:sz w:val="32"/>
    </w:rPr>
  </w:style>
  <w:style w:type="paragraph" w:styleId="5">
    <w:name w:val="heading 2"/>
    <w:basedOn w:val="1"/>
    <w:next w:val="1"/>
    <w:semiHidden/>
    <w:unhideWhenUsed/>
    <w:qFormat/>
    <w:uiPriority w:val="0"/>
    <w:pPr>
      <w:keepNext/>
      <w:snapToGrid w:val="0"/>
      <w:jc w:val="left"/>
      <w:outlineLvl w:val="1"/>
    </w:pPr>
    <w:rPr>
      <w:rFonts w:ascii="宋体" w:hAnsi="宋体" w:eastAsia="宋体"/>
      <w:b/>
      <w:sz w:val="30"/>
    </w:rPr>
  </w:style>
  <w:style w:type="paragraph" w:styleId="6">
    <w:name w:val="heading 3"/>
    <w:basedOn w:val="1"/>
    <w:next w:val="1"/>
    <w:link w:val="21"/>
    <w:unhideWhenUsed/>
    <w:qFormat/>
    <w:uiPriority w:val="0"/>
    <w:pPr>
      <w:keepNext/>
      <w:keepLines/>
      <w:adjustRightInd w:val="0"/>
      <w:snapToGrid w:val="0"/>
      <w:spacing w:line="360" w:lineRule="auto"/>
      <w:outlineLvl w:val="2"/>
    </w:pPr>
    <w:rPr>
      <w:rFonts w:ascii="Times New Roman" w:hAnsi="Times New Roman" w:eastAsia="黑体"/>
      <w:b/>
      <w:sz w:val="28"/>
      <w:szCs w:val="30"/>
    </w:rPr>
  </w:style>
  <w:style w:type="paragraph" w:styleId="7">
    <w:name w:val="heading 4"/>
    <w:basedOn w:val="1"/>
    <w:next w:val="1"/>
    <w:qFormat/>
    <w:uiPriority w:val="1"/>
    <w:pPr>
      <w:spacing w:before="161"/>
      <w:ind w:left="231"/>
      <w:outlineLvl w:val="4"/>
    </w:pPr>
    <w:rPr>
      <w:rFonts w:ascii="宋体" w:hAnsi="宋体" w:eastAsia="宋体" w:cs="宋体"/>
      <w:b/>
      <w:sz w:val="24"/>
      <w:szCs w:val="24"/>
      <w:lang w:val="zh-CN" w:eastAsia="zh-CN" w:bidi="zh-CN"/>
    </w:rPr>
  </w:style>
  <w:style w:type="character" w:default="1" w:styleId="19">
    <w:name w:val="Default Paragraph Font"/>
    <w:link w:val="20"/>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0"/>
    <w:pPr>
      <w:spacing w:after="120" w:line="240" w:lineRule="auto"/>
      <w:ind w:firstLine="420" w:firstLineChars="100"/>
    </w:pPr>
    <w:rPr>
      <w:rFonts w:ascii="Times New Roman" w:hAnsi="Times New Roman"/>
      <w:sz w:val="20"/>
      <w:szCs w:val="20"/>
    </w:rPr>
  </w:style>
  <w:style w:type="paragraph" w:styleId="3">
    <w:name w:val="Body Text"/>
    <w:basedOn w:val="1"/>
    <w:qFormat/>
    <w:uiPriority w:val="1"/>
    <w:rPr>
      <w:rFonts w:ascii="宋体" w:hAnsi="宋体" w:eastAsia="宋体" w:cs="宋体"/>
      <w:sz w:val="24"/>
      <w:szCs w:val="24"/>
      <w:lang w:val="zh-CN" w:eastAsia="zh-CN" w:bidi="zh-CN"/>
    </w:rPr>
  </w:style>
  <w:style w:type="paragraph" w:styleId="8">
    <w:name w:val="Normal Indent"/>
    <w:basedOn w:val="1"/>
    <w:qFormat/>
    <w:uiPriority w:val="0"/>
    <w:pPr>
      <w:adjustRightInd w:val="0"/>
      <w:spacing w:line="240" w:lineRule="auto"/>
      <w:ind w:firstLine="420"/>
    </w:pPr>
    <w:rPr>
      <w:bCs w:val="0"/>
      <w:szCs w:val="20"/>
    </w:rPr>
  </w:style>
  <w:style w:type="paragraph" w:styleId="9">
    <w:name w:val="annotation text"/>
    <w:basedOn w:val="1"/>
    <w:semiHidden/>
    <w:qFormat/>
    <w:uiPriority w:val="0"/>
  </w:style>
  <w:style w:type="paragraph" w:styleId="10">
    <w:name w:val="Body Text Indent"/>
    <w:basedOn w:val="1"/>
    <w:qFormat/>
    <w:uiPriority w:val="0"/>
    <w:pPr>
      <w:adjustRightInd w:val="0"/>
      <w:snapToGrid w:val="0"/>
      <w:ind w:firstLine="480" w:firstLineChars="200"/>
      <w:jc w:val="both"/>
    </w:pPr>
    <w:rPr>
      <w:rFonts w:ascii="宋体" w:hAnsi="宋体"/>
      <w:snapToGrid/>
      <w:color w:val="FF0000"/>
      <w:kern w:val="0"/>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ody Text Indent 3"/>
    <w:basedOn w:val="1"/>
    <w:qFormat/>
    <w:uiPriority w:val="0"/>
    <w:pPr>
      <w:spacing w:after="120" w:afterLines="0"/>
      <w:ind w:left="420"/>
    </w:pPr>
    <w:rPr>
      <w:sz w:val="16"/>
      <w:szCs w:val="16"/>
    </w:rPr>
  </w:style>
  <w:style w:type="paragraph" w:styleId="14">
    <w:name w:val="table of figures"/>
    <w:basedOn w:val="1"/>
    <w:next w:val="1"/>
    <w:qFormat/>
    <w:uiPriority w:val="0"/>
    <w:pPr>
      <w:ind w:leftChars="200" w:hanging="200" w:hangingChars="200"/>
    </w:pPr>
  </w:style>
  <w:style w:type="paragraph" w:styleId="15">
    <w:name w:val="Normal (Web)"/>
    <w:basedOn w:val="1"/>
    <w:qFormat/>
    <w:uiPriority w:val="99"/>
  </w:style>
  <w:style w:type="paragraph" w:styleId="16">
    <w:name w:val="Body Text First Indent 2"/>
    <w:basedOn w:val="1"/>
    <w:next w:val="1"/>
    <w:qFormat/>
    <w:uiPriority w:val="0"/>
    <w:pPr>
      <w:spacing w:before="0" w:after="120"/>
      <w:ind w:left="200" w:leftChars="200" w:firstLine="200" w:firstLineChars="200"/>
    </w:pPr>
    <w:rPr>
      <w:sz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默认段落字体 Para Char Char Char Char"/>
    <w:basedOn w:val="1"/>
    <w:link w:val="19"/>
    <w:qFormat/>
    <w:uiPriority w:val="0"/>
    <w:pPr>
      <w:spacing w:line="360" w:lineRule="auto"/>
      <w:ind w:firstLine="200" w:firstLineChars="200"/>
    </w:pPr>
  </w:style>
  <w:style w:type="character" w:customStyle="1" w:styleId="21">
    <w:name w:val="标题 3 Char Char"/>
    <w:basedOn w:val="19"/>
    <w:link w:val="6"/>
    <w:qFormat/>
    <w:uiPriority w:val="0"/>
    <w:rPr>
      <w:rFonts w:ascii="Times New Roman" w:hAnsi="Times New Roman" w:eastAsia="黑体"/>
      <w:b/>
      <w:kern w:val="2"/>
      <w:sz w:val="28"/>
      <w:szCs w:val="30"/>
      <w:lang w:val="en-US" w:eastAsia="zh-CN" w:bidi="ar-SA"/>
    </w:rPr>
  </w:style>
  <w:style w:type="paragraph" w:customStyle="1" w:styleId="22">
    <w:name w:val="章标题"/>
    <w:next w:val="23"/>
    <w:qFormat/>
    <w:uiPriority w:val="0"/>
    <w:pPr>
      <w:spacing w:beforeLines="50" w:afterLines="50"/>
      <w:jc w:val="both"/>
      <w:outlineLvl w:val="1"/>
    </w:pPr>
    <w:rPr>
      <w:rFonts w:ascii="黑体" w:hAnsi="Calibri" w:eastAsia="黑体" w:cs="Times New Roman"/>
      <w:sz w:val="21"/>
      <w:lang w:val="en-US" w:eastAsia="zh-CN" w:bidi="ar-SA"/>
    </w:rPr>
  </w:style>
  <w:style w:type="paragraph" w:customStyle="1" w:styleId="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丁正文"/>
    <w:basedOn w:val="1"/>
    <w:qFormat/>
    <w:uiPriority w:val="0"/>
    <w:pPr>
      <w:overflowPunct w:val="0"/>
      <w:autoSpaceDE w:val="0"/>
      <w:ind w:firstLine="480" w:firstLineChars="200"/>
      <w:jc w:val="both"/>
    </w:pPr>
    <w:rPr>
      <w:rFonts w:ascii="宋体" w:hAnsi="宋体" w:cs="宋体"/>
      <w:bCs w:val="0"/>
      <w:kern w:val="24"/>
    </w:rPr>
  </w:style>
  <w:style w:type="paragraph" w:styleId="26">
    <w:name w:val="List Paragraph"/>
    <w:basedOn w:val="1"/>
    <w:qFormat/>
    <w:uiPriority w:val="1"/>
    <w:pPr>
      <w:spacing w:before="161"/>
      <w:ind w:left="1312" w:hanging="602"/>
    </w:pPr>
    <w:rPr>
      <w:rFonts w:ascii="宋体" w:hAnsi="宋体" w:eastAsia="宋体" w:cs="宋体"/>
      <w:lang w:val="zh-CN" w:eastAsia="zh-CN" w:bidi="zh-CN"/>
    </w:rPr>
  </w:style>
  <w:style w:type="paragraph" w:customStyle="1" w:styleId="27">
    <w:name w:val="Table Paragraph"/>
    <w:basedOn w:val="1"/>
    <w:qFormat/>
    <w:uiPriority w:val="1"/>
    <w:pPr>
      <w:jc w:val="center"/>
    </w:pPr>
    <w:rPr>
      <w:rFonts w:ascii="宋体" w:hAnsi="宋体" w:eastAsia="宋体" w:cs="宋体"/>
      <w:lang w:val="zh-CN" w:eastAsia="zh-CN" w:bidi="zh-CN"/>
    </w:rPr>
  </w:style>
  <w:style w:type="paragraph" w:customStyle="1" w:styleId="28">
    <w:name w:val="正文样式"/>
    <w:basedOn w:val="1"/>
    <w:qFormat/>
    <w:uiPriority w:val="0"/>
    <w:pPr>
      <w:ind w:firstLine="200" w:firstLineChars="200"/>
    </w:pPr>
    <w:rPr>
      <w:bCs w:val="0"/>
    </w:rPr>
  </w:style>
  <w:style w:type="paragraph" w:customStyle="1" w:styleId="29">
    <w:name w:val="段落1"/>
    <w:basedOn w:val="1"/>
    <w:qFormat/>
    <w:uiPriority w:val="0"/>
    <w:pPr>
      <w:spacing w:line="480" w:lineRule="exact"/>
      <w:ind w:firstLine="584" w:firstLineChars="200"/>
      <w:jc w:val="both"/>
    </w:pPr>
    <w:rPr>
      <w:bCs w:val="0"/>
      <w:spacing w:val="6"/>
      <w:sz w:val="28"/>
    </w:rPr>
  </w:style>
  <w:style w:type="paragraph" w:customStyle="1" w:styleId="30">
    <w:name w:val="正文-ls"/>
    <w:basedOn w:val="1"/>
    <w:qFormat/>
    <w:uiPriority w:val="0"/>
    <w:pPr>
      <w:ind w:firstLine="200" w:firstLineChars="200"/>
      <w:jc w:val="both"/>
    </w:pPr>
    <w:rPr>
      <w:rFonts w:hAnsi="宋体" w:cs="宋体"/>
      <w:bCs w:val="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wmf"/><Relationship Id="rId27" Type="http://schemas.openxmlformats.org/officeDocument/2006/relationships/oleObject" Target="embeddings/oleObject2.bin"/><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1.bin"/><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4</TotalTime>
  <ScaleCrop>false</ScaleCrop>
  <LinksUpToDate>false</LinksUpToDate>
  <CharactersWithSpaces>0</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WPS_1506300260</cp:lastModifiedBy>
  <cp:lastPrinted>2020-09-30T01:14:00Z</cp:lastPrinted>
  <dcterms:modified xsi:type="dcterms:W3CDTF">2020-10-15T02:08:38Z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