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hint="default" w:ascii="Times New Roman" w:hAnsi="Times New Roman" w:eastAsia="宋体" w:cs="Times New Roman"/>
          <w:sz w:val="20"/>
          <w:lang w:val="en-US" w:eastAsia="zh-CN"/>
        </w:rPr>
      </w:pPr>
      <w:r>
        <w:rPr>
          <w:rFonts w:hint="default" w:ascii="Times New Roman" w:hAnsi="Times New Roman" w:cs="Times New Roman"/>
          <w:sz w:val="20"/>
          <w:lang w:val="en-US" w:eastAsia="zh-CN"/>
        </w:rPr>
        <w:t xml:space="preserve"> </w:t>
      </w: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spacing w:afterLines="-2147483648" w:line="360" w:lineRule="auto"/>
        <w:jc w:val="center"/>
        <w:rPr>
          <w:rFonts w:hint="default" w:ascii="Times New Roman" w:hAnsi="Times New Roman" w:eastAsia="宋体" w:cs="Times New Roman"/>
          <w:b/>
          <w:color w:val="000000"/>
          <w:sz w:val="48"/>
          <w:szCs w:val="48"/>
          <w:lang w:eastAsia="zh-CN"/>
        </w:rPr>
      </w:pPr>
      <w:r>
        <w:rPr>
          <w:rFonts w:hint="default" w:ascii="Times New Roman" w:hAnsi="Times New Roman" w:eastAsia="宋体" w:cs="Times New Roman"/>
          <w:b/>
          <w:color w:val="000000"/>
          <w:sz w:val="48"/>
          <w:szCs w:val="48"/>
          <w:lang w:eastAsia="zh-CN"/>
        </w:rPr>
        <w:t>陕西省石油化工工业贸易公司</w:t>
      </w:r>
    </w:p>
    <w:p>
      <w:pPr>
        <w:spacing w:afterLines="-2147483648" w:line="360" w:lineRule="auto"/>
        <w:jc w:val="center"/>
        <w:rPr>
          <w:rFonts w:hint="default" w:ascii="Times New Roman" w:hAnsi="Times New Roman" w:eastAsia="宋体" w:cs="Times New Roman"/>
          <w:b/>
          <w:bCs w:val="0"/>
          <w:color w:val="000000"/>
          <w:spacing w:val="0"/>
          <w:sz w:val="48"/>
          <w:szCs w:val="48"/>
          <w:u w:val="none"/>
          <w:lang w:val="en-US" w:eastAsia="zh-CN"/>
        </w:rPr>
      </w:pPr>
      <w:r>
        <w:rPr>
          <w:rFonts w:hint="default" w:ascii="Times New Roman" w:hAnsi="Times New Roman" w:cs="Times New Roman"/>
          <w:b/>
          <w:bCs w:val="0"/>
          <w:color w:val="000000"/>
          <w:spacing w:val="0"/>
          <w:sz w:val="48"/>
          <w:szCs w:val="48"/>
          <w:u w:val="none"/>
          <w:lang w:val="en-US" w:eastAsia="zh-CN"/>
        </w:rPr>
        <w:t>茂陵</w:t>
      </w:r>
      <w:r>
        <w:rPr>
          <w:rFonts w:hint="default" w:ascii="Times New Roman" w:hAnsi="Times New Roman" w:eastAsia="宋体" w:cs="Times New Roman"/>
          <w:b/>
          <w:bCs w:val="0"/>
          <w:color w:val="000000"/>
          <w:spacing w:val="0"/>
          <w:sz w:val="48"/>
          <w:szCs w:val="48"/>
          <w:u w:val="none"/>
          <w:lang w:val="en-US" w:eastAsia="zh-CN"/>
        </w:rPr>
        <w:t>服务区</w:t>
      </w:r>
      <w:r>
        <w:rPr>
          <w:rFonts w:hint="default" w:ascii="Times New Roman" w:hAnsi="Times New Roman" w:cs="Times New Roman"/>
          <w:b/>
          <w:bCs w:val="0"/>
          <w:color w:val="000000"/>
          <w:spacing w:val="0"/>
          <w:sz w:val="48"/>
          <w:szCs w:val="48"/>
          <w:u w:val="none"/>
          <w:lang w:val="en-US" w:eastAsia="zh-CN"/>
        </w:rPr>
        <w:t>东</w:t>
      </w:r>
      <w:r>
        <w:rPr>
          <w:rFonts w:hint="default" w:ascii="Times New Roman" w:hAnsi="Times New Roman" w:eastAsia="宋体" w:cs="Times New Roman"/>
          <w:b/>
          <w:bCs w:val="0"/>
          <w:color w:val="000000"/>
          <w:spacing w:val="0"/>
          <w:sz w:val="48"/>
          <w:szCs w:val="48"/>
          <w:u w:val="none"/>
          <w:lang w:val="en-US" w:eastAsia="zh-CN"/>
        </w:rPr>
        <w:t>加油站建设项目</w:t>
      </w:r>
      <w:bookmarkStart w:id="0" w:name="_Toc13368_WPSOffice_Level1"/>
    </w:p>
    <w:p>
      <w:pPr>
        <w:spacing w:afterLines="-2147483648" w:line="360" w:lineRule="auto"/>
        <w:jc w:val="center"/>
        <w:rPr>
          <w:rFonts w:hint="default" w:ascii="Times New Roman" w:hAnsi="Times New Roman" w:cs="Times New Roman"/>
          <w:b/>
          <w:sz w:val="48"/>
        </w:rPr>
      </w:pPr>
      <w:r>
        <w:rPr>
          <w:rFonts w:hint="default" w:ascii="Times New Roman" w:hAnsi="Times New Roman" w:eastAsia="宋体" w:cs="Times New Roman"/>
          <w:b/>
          <w:color w:val="000000"/>
          <w:sz w:val="48"/>
          <w:szCs w:val="48"/>
        </w:rPr>
        <w:t>竣工环境保护验收监测报告</w:t>
      </w:r>
      <w:bookmarkEnd w:id="0"/>
      <w:r>
        <w:rPr>
          <w:rFonts w:hint="default" w:ascii="Times New Roman" w:hAnsi="Times New Roman" w:eastAsia="宋体" w:cs="Times New Roman"/>
          <w:b/>
          <w:color w:val="000000"/>
          <w:sz w:val="48"/>
          <w:szCs w:val="48"/>
          <w:lang w:val="en-US" w:eastAsia="zh-CN"/>
        </w:rPr>
        <w:t>表</w:t>
      </w: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rPr>
          <w:rFonts w:hint="default" w:ascii="Times New Roman" w:hAnsi="Times New Roman" w:cs="Times New Roman"/>
          <w:sz w:val="20"/>
        </w:rPr>
      </w:pPr>
    </w:p>
    <w:p>
      <w:pPr>
        <w:pStyle w:val="5"/>
        <w:jc w:val="both"/>
        <w:rPr>
          <w:rFonts w:hint="default" w:ascii="Times New Roman" w:hAnsi="Times New Roman" w:eastAsia="宋体" w:cs="Times New Roman"/>
          <w:sz w:val="20"/>
          <w:lang w:eastAsia="zh-CN"/>
        </w:rPr>
      </w:pPr>
      <w:r>
        <w:rPr>
          <w:rFonts w:hint="default" w:ascii="Times New Roman" w:hAnsi="Times New Roman" w:eastAsia="宋体" w:cs="Times New Roman"/>
          <w:color w:val="000000"/>
          <w:sz w:val="28"/>
          <w:szCs w:val="28"/>
          <w:lang w:val="en-US" w:bidi="ar-SA"/>
        </w:rPr>
        <w:t>建设单位</w:t>
      </w:r>
      <w:r>
        <w:rPr>
          <w:rFonts w:hint="default" w:ascii="Times New Roman" w:hAnsi="Times New Roman" w:cs="Times New Roman"/>
          <w:color w:val="000000"/>
          <w:sz w:val="28"/>
          <w:szCs w:val="28"/>
          <w:lang w:val="en-US" w:eastAsia="zh-CN" w:bidi="ar-SA"/>
        </w:rPr>
        <w:t>：</w:t>
      </w:r>
      <w:r>
        <w:rPr>
          <w:rFonts w:hint="default" w:ascii="Times New Roman" w:hAnsi="Times New Roman" w:eastAsia="宋体" w:cs="Times New Roman"/>
          <w:color w:val="000000"/>
          <w:sz w:val="28"/>
          <w:szCs w:val="28"/>
          <w:vertAlign w:val="baseline"/>
          <w:lang w:val="en-US" w:eastAsia="zh-CN" w:bidi="ar-SA"/>
        </w:rPr>
        <w:t>陕西省石油化工工业贸易</w:t>
      </w:r>
      <w:r>
        <w:rPr>
          <w:rFonts w:hint="eastAsia" w:ascii="Times New Roman" w:hAnsi="Times New Roman" w:cs="Times New Roman"/>
          <w:color w:val="000000"/>
          <w:sz w:val="28"/>
          <w:szCs w:val="28"/>
          <w:vertAlign w:val="baseline"/>
          <w:lang w:val="en-US" w:eastAsia="zh-CN" w:bidi="ar-SA"/>
        </w:rPr>
        <w:t>有限</w:t>
      </w:r>
      <w:r>
        <w:rPr>
          <w:rFonts w:hint="default" w:ascii="Times New Roman" w:hAnsi="Times New Roman" w:eastAsia="宋体" w:cs="Times New Roman"/>
          <w:color w:val="000000"/>
          <w:sz w:val="28"/>
          <w:szCs w:val="28"/>
          <w:vertAlign w:val="baseline"/>
          <w:lang w:val="en-US" w:eastAsia="zh-CN" w:bidi="ar-SA"/>
        </w:rPr>
        <w:t>公司</w:t>
      </w:r>
      <w:r>
        <w:rPr>
          <w:rFonts w:hint="eastAsia" w:ascii="Times New Roman" w:hAnsi="Times New Roman" w:cs="Times New Roman"/>
          <w:color w:val="000000"/>
          <w:sz w:val="28"/>
          <w:szCs w:val="28"/>
          <w:vertAlign w:val="baseline"/>
          <w:lang w:val="en-US" w:eastAsia="zh-CN" w:bidi="ar-SA"/>
        </w:rPr>
        <w:t>茂陵</w:t>
      </w:r>
      <w:r>
        <w:rPr>
          <w:rFonts w:hint="default" w:ascii="Times New Roman" w:hAnsi="Times New Roman" w:eastAsia="宋体" w:cs="Times New Roman"/>
          <w:color w:val="000000"/>
          <w:sz w:val="28"/>
          <w:szCs w:val="28"/>
          <w:vertAlign w:val="baseline"/>
          <w:lang w:val="en-US" w:eastAsia="zh-CN" w:bidi="ar-SA"/>
        </w:rPr>
        <w:t>服务区</w:t>
      </w:r>
      <w:r>
        <w:rPr>
          <w:rFonts w:hint="eastAsia" w:ascii="Times New Roman" w:hAnsi="Times New Roman" w:cs="Times New Roman"/>
          <w:color w:val="000000"/>
          <w:sz w:val="28"/>
          <w:szCs w:val="28"/>
          <w:vertAlign w:val="baseline"/>
          <w:lang w:val="en-US" w:eastAsia="zh-CN" w:bidi="ar-SA"/>
        </w:rPr>
        <w:t>东</w:t>
      </w:r>
      <w:r>
        <w:rPr>
          <w:rFonts w:hint="default" w:ascii="Times New Roman" w:hAnsi="Times New Roman" w:eastAsia="宋体" w:cs="Times New Roman"/>
          <w:color w:val="000000"/>
          <w:sz w:val="28"/>
          <w:szCs w:val="28"/>
          <w:vertAlign w:val="baseline"/>
          <w:lang w:val="en-US" w:eastAsia="zh-CN" w:bidi="ar-SA"/>
        </w:rPr>
        <w:t>加油站</w:t>
      </w:r>
    </w:p>
    <w:p>
      <w:pPr>
        <w:pStyle w:val="5"/>
        <w:jc w:val="left"/>
        <w:rPr>
          <w:rFonts w:hint="default" w:ascii="Times New Roman" w:hAnsi="Times New Roman" w:eastAsia="宋体" w:cs="Times New Roman"/>
          <w:sz w:val="20"/>
          <w:lang w:eastAsia="zh-CN"/>
        </w:rPr>
      </w:pPr>
      <w:r>
        <w:rPr>
          <w:rFonts w:hint="default" w:ascii="Times New Roman" w:hAnsi="Times New Roman" w:eastAsia="宋体" w:cs="Times New Roman"/>
          <w:color w:val="000000"/>
          <w:sz w:val="28"/>
          <w:szCs w:val="28"/>
          <w:lang w:val="en-US" w:bidi="ar-SA"/>
        </w:rPr>
        <w:t>编制单位</w:t>
      </w:r>
      <w:r>
        <w:rPr>
          <w:rFonts w:hint="default" w:ascii="Times New Roman" w:hAnsi="Times New Roman" w:cs="Times New Roman"/>
          <w:color w:val="000000"/>
          <w:sz w:val="28"/>
          <w:szCs w:val="28"/>
          <w:lang w:val="en-US" w:eastAsia="zh-CN" w:bidi="ar-SA"/>
        </w:rPr>
        <w:t>：</w:t>
      </w:r>
      <w:r>
        <w:rPr>
          <w:rFonts w:hint="eastAsia" w:ascii="Times New Roman" w:hAnsi="Times New Roman" w:cs="Times New Roman"/>
          <w:color w:val="000000"/>
          <w:sz w:val="28"/>
          <w:szCs w:val="28"/>
          <w:lang w:val="en-US" w:eastAsia="zh-CN" w:bidi="ar-SA"/>
        </w:rPr>
        <w:t xml:space="preserve">     </w:t>
      </w:r>
      <w:r>
        <w:rPr>
          <w:rFonts w:hint="default" w:ascii="Times New Roman" w:hAnsi="Times New Roman" w:eastAsia="宋体" w:cs="Times New Roman"/>
          <w:color w:val="000000"/>
          <w:sz w:val="28"/>
          <w:szCs w:val="28"/>
          <w:vertAlign w:val="baseline"/>
          <w:lang w:val="en-US" w:bidi="ar-SA"/>
        </w:rPr>
        <w:t>河北鑫旺工程建设服务有限公司陕西分公司</w:t>
      </w:r>
    </w:p>
    <w:p>
      <w:pPr>
        <w:pStyle w:val="5"/>
        <w:spacing w:before="8"/>
        <w:rPr>
          <w:rFonts w:hint="default" w:ascii="Times New Roman" w:hAnsi="Times New Roman" w:cs="Times New Roman"/>
          <w:sz w:val="26"/>
        </w:rPr>
      </w:pPr>
    </w:p>
    <w:p>
      <w:pPr>
        <w:pStyle w:val="5"/>
        <w:spacing w:before="8"/>
        <w:rPr>
          <w:rFonts w:hint="default" w:ascii="Times New Roman" w:hAnsi="Times New Roman" w:cs="Times New Roman"/>
          <w:sz w:val="26"/>
        </w:rPr>
      </w:pPr>
    </w:p>
    <w:p>
      <w:pPr>
        <w:widowControl/>
        <w:autoSpaceDE/>
        <w:autoSpaceDN/>
        <w:adjustRightInd w:val="0"/>
        <w:snapToGrid w:val="0"/>
        <w:spacing w:before="0" w:after="200" w:afterLines="-2147483648" w:line="240" w:lineRule="auto"/>
        <w:ind w:left="0" w:right="0"/>
        <w:jc w:val="center"/>
        <w:rPr>
          <w:rFonts w:hint="default" w:ascii="Times New Roman" w:hAnsi="Times New Roman" w:eastAsia="华文新魏" w:cs="Times New Roman"/>
          <w:color w:val="000000"/>
          <w:sz w:val="28"/>
          <w:szCs w:val="28"/>
          <w:vertAlign w:val="baseline"/>
          <w:lang w:val="en-US" w:bidi="ar-SA"/>
        </w:rPr>
      </w:pPr>
      <w:r>
        <w:rPr>
          <w:rFonts w:hint="default" w:ascii="Times New Roman" w:hAnsi="Times New Roman" w:eastAsia="宋体" w:cs="Times New Roman"/>
          <w:color w:val="000000"/>
          <w:sz w:val="28"/>
          <w:szCs w:val="28"/>
          <w:lang w:val="en-US" w:bidi="ar-SA"/>
        </w:rPr>
        <w:t>20</w:t>
      </w:r>
      <w:r>
        <w:rPr>
          <w:rFonts w:hint="default" w:ascii="Times New Roman" w:hAnsi="Times New Roman" w:cs="Times New Roman"/>
          <w:color w:val="000000"/>
          <w:sz w:val="28"/>
          <w:szCs w:val="28"/>
          <w:lang w:val="en-US" w:eastAsia="zh-CN" w:bidi="ar-SA"/>
        </w:rPr>
        <w:t>20</w:t>
      </w:r>
      <w:r>
        <w:rPr>
          <w:rFonts w:hint="default" w:ascii="Times New Roman" w:hAnsi="Times New Roman" w:eastAsia="宋体" w:cs="Times New Roman"/>
          <w:color w:val="000000"/>
          <w:sz w:val="28"/>
          <w:szCs w:val="28"/>
          <w:lang w:val="en-US" w:bidi="ar-SA"/>
        </w:rPr>
        <w:t>年</w:t>
      </w:r>
      <w:r>
        <w:rPr>
          <w:rFonts w:hint="default" w:ascii="Times New Roman" w:hAnsi="Times New Roman" w:cs="Times New Roman"/>
          <w:color w:val="000000"/>
          <w:sz w:val="28"/>
          <w:szCs w:val="28"/>
          <w:lang w:val="en-US" w:eastAsia="zh-CN" w:bidi="ar-SA"/>
        </w:rPr>
        <w:t>12</w:t>
      </w:r>
      <w:r>
        <w:rPr>
          <w:rFonts w:hint="default" w:ascii="Times New Roman" w:hAnsi="Times New Roman" w:eastAsia="宋体" w:cs="Times New Roman"/>
          <w:color w:val="000000"/>
          <w:sz w:val="28"/>
          <w:szCs w:val="28"/>
          <w:lang w:val="en-US" w:bidi="ar-SA"/>
        </w:rPr>
        <w:t>月</w:t>
      </w:r>
    </w:p>
    <w:p>
      <w:pPr>
        <w:widowControl/>
        <w:autoSpaceDE/>
        <w:autoSpaceDN/>
        <w:adjustRightInd w:val="0"/>
        <w:snapToGrid w:val="0"/>
        <w:spacing w:before="0" w:after="200" w:afterLines="-2147483648" w:line="240" w:lineRule="auto"/>
        <w:ind w:left="0" w:right="0"/>
        <w:jc w:val="center"/>
        <w:rPr>
          <w:rFonts w:hint="default" w:ascii="Times New Roman" w:hAnsi="Times New Roman" w:eastAsia="华文新魏" w:cs="Times New Roman"/>
          <w:color w:val="000000"/>
          <w:sz w:val="28"/>
          <w:szCs w:val="28"/>
          <w:lang w:val="en-US" w:bidi="ar-SA"/>
        </w:rPr>
      </w:pPr>
    </w:p>
    <w:p>
      <w:pPr>
        <w:pStyle w:val="7"/>
        <w:rPr>
          <w:rFonts w:hint="default" w:ascii="Times New Roman" w:hAnsi="Times New Roman" w:cs="Times New Roman"/>
          <w:lang w:val="en-US"/>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before="296"/>
        <w:rPr>
          <w:rFonts w:hint="default" w:ascii="Times New Roman" w:hAnsi="Times New Roman" w:eastAsia="黑体" w:cs="Times New Roman"/>
          <w:sz w:val="36"/>
          <w:szCs w:val="21"/>
          <w:lang w:val="en-US"/>
        </w:rPr>
      </w:pPr>
      <w:r>
        <w:rPr>
          <w:rFonts w:hint="default" w:ascii="Times New Roman" w:hAnsi="Times New Roman" w:eastAsia="黑体" w:cs="Times New Roman"/>
          <w:sz w:val="28"/>
          <w:szCs w:val="21"/>
        </w:rPr>
        <w:t>建设单位法人代表：</w:t>
      </w:r>
      <w:r>
        <w:rPr>
          <w:rFonts w:hint="default" w:ascii="Times New Roman" w:hAnsi="Times New Roman" w:eastAsia="黑体" w:cs="Times New Roman"/>
          <w:sz w:val="28"/>
          <w:szCs w:val="21"/>
          <w:lang w:val="en-US"/>
        </w:rPr>
        <w:t xml:space="preserve">  </w:t>
      </w:r>
      <w:r>
        <w:rPr>
          <w:rFonts w:hint="default" w:ascii="Times New Roman" w:hAnsi="Times New Roman" w:eastAsia="黑体" w:cs="Times New Roman"/>
          <w:sz w:val="28"/>
          <w:szCs w:val="21"/>
          <w:lang w:val="en-US" w:eastAsia="zh-CN"/>
        </w:rPr>
        <w:t xml:space="preserve">  </w:t>
      </w:r>
      <w:r>
        <w:rPr>
          <w:rFonts w:hint="default" w:ascii="Times New Roman" w:hAnsi="Times New Roman" w:eastAsia="黑体" w:cs="Times New Roman"/>
          <w:sz w:val="28"/>
          <w:szCs w:val="21"/>
          <w:lang w:val="en-US"/>
        </w:rPr>
        <w:t xml:space="preserve"> </w:t>
      </w:r>
      <w:r>
        <w:rPr>
          <w:rFonts w:hint="default" w:ascii="Times New Roman" w:hAnsi="Times New Roman" w:eastAsia="黑体" w:cs="Times New Roman"/>
          <w:sz w:val="28"/>
          <w:szCs w:val="21"/>
          <w:lang w:val="en-US" w:eastAsia="zh-CN"/>
        </w:rPr>
        <w:t xml:space="preserve">     </w:t>
      </w:r>
      <w:r>
        <w:rPr>
          <w:rFonts w:hint="default" w:ascii="Times New Roman" w:hAnsi="Times New Roman" w:eastAsia="黑体" w:cs="Times New Roman"/>
          <w:sz w:val="28"/>
          <w:szCs w:val="21"/>
          <w:lang w:val="en-US"/>
        </w:rPr>
        <w:t>（签字）</w:t>
      </w:r>
    </w:p>
    <w:p>
      <w:pPr>
        <w:rPr>
          <w:rFonts w:hint="default" w:ascii="Times New Roman" w:hAnsi="Times New Roman" w:eastAsia="黑体" w:cs="Times New Roman"/>
          <w:sz w:val="28"/>
          <w:szCs w:val="21"/>
        </w:rPr>
      </w:pPr>
      <w:r>
        <w:rPr>
          <w:rFonts w:hint="default" w:ascii="Times New Roman" w:hAnsi="Times New Roman" w:eastAsia="黑体" w:cs="Times New Roman"/>
          <w:sz w:val="28"/>
          <w:szCs w:val="21"/>
        </w:rPr>
        <w:t xml:space="preserve">编制单位法人代表：  </w:t>
      </w:r>
      <w:r>
        <w:rPr>
          <w:rFonts w:hint="default" w:ascii="Times New Roman" w:hAnsi="Times New Roman" w:eastAsia="黑体" w:cs="Times New Roman"/>
          <w:sz w:val="28"/>
          <w:szCs w:val="21"/>
          <w:lang w:val="en-US" w:eastAsia="zh-CN"/>
        </w:rPr>
        <w:t xml:space="preserve">    </w:t>
      </w:r>
      <w:r>
        <w:rPr>
          <w:rFonts w:hint="default" w:ascii="Times New Roman" w:hAnsi="Times New Roman" w:eastAsia="黑体" w:cs="Times New Roman"/>
          <w:sz w:val="28"/>
          <w:szCs w:val="21"/>
        </w:rPr>
        <w:t xml:space="preserve"> </w:t>
      </w:r>
      <w:r>
        <w:rPr>
          <w:rFonts w:hint="default" w:ascii="Times New Roman" w:hAnsi="Times New Roman" w:eastAsia="黑体" w:cs="Times New Roman"/>
          <w:sz w:val="28"/>
          <w:szCs w:val="21"/>
          <w:lang w:val="en-US" w:eastAsia="zh-CN"/>
        </w:rPr>
        <w:t xml:space="preserve">   </w:t>
      </w:r>
      <w:r>
        <w:rPr>
          <w:rFonts w:hint="default" w:ascii="Times New Roman" w:hAnsi="Times New Roman" w:eastAsia="黑体" w:cs="Times New Roman"/>
          <w:sz w:val="28"/>
          <w:szCs w:val="21"/>
        </w:rPr>
        <w:t>（签字）</w:t>
      </w:r>
    </w:p>
    <w:p>
      <w:pPr>
        <w:rPr>
          <w:rFonts w:hint="default" w:ascii="Times New Roman" w:hAnsi="Times New Roman" w:eastAsia="黑体" w:cs="Times New Roman"/>
          <w:sz w:val="28"/>
          <w:szCs w:val="21"/>
        </w:rPr>
      </w:pPr>
      <w:r>
        <w:rPr>
          <w:rFonts w:hint="default" w:ascii="Times New Roman" w:hAnsi="Times New Roman" w:eastAsia="黑体" w:cs="Times New Roman"/>
          <w:sz w:val="28"/>
          <w:szCs w:val="21"/>
        </w:rPr>
        <w:t>项 目 负 责 人：</w:t>
      </w:r>
      <w:r>
        <w:rPr>
          <w:rFonts w:hint="default" w:ascii="Times New Roman" w:hAnsi="Times New Roman" w:eastAsia="黑体" w:cs="Times New Roman"/>
          <w:sz w:val="28"/>
          <w:szCs w:val="21"/>
          <w:lang w:val="en-US"/>
        </w:rPr>
        <w:t xml:space="preserve">  </w:t>
      </w:r>
    </w:p>
    <w:p>
      <w:pPr>
        <w:rPr>
          <w:rFonts w:hint="default" w:ascii="Times New Roman" w:hAnsi="Times New Roman" w:eastAsia="黑体" w:cs="Times New Roman"/>
          <w:sz w:val="28"/>
          <w:szCs w:val="21"/>
        </w:rPr>
      </w:pPr>
      <w:r>
        <w:rPr>
          <w:rFonts w:hint="default" w:ascii="Times New Roman" w:hAnsi="Times New Roman" w:eastAsia="黑体" w:cs="Times New Roman"/>
          <w:sz w:val="28"/>
          <w:szCs w:val="21"/>
        </w:rPr>
        <w:t>报 告 编 写 人：</w:t>
      </w:r>
    </w:p>
    <w:p>
      <w:pPr>
        <w:rPr>
          <w:rFonts w:hint="default" w:ascii="Times New Roman" w:hAnsi="Times New Roman" w:eastAsia="黑体" w:cs="Times New Roman"/>
          <w:sz w:val="28"/>
          <w:szCs w:val="21"/>
        </w:rPr>
      </w:pPr>
    </w:p>
    <w:p>
      <w:pPr>
        <w:rPr>
          <w:rFonts w:hint="default" w:ascii="Times New Roman" w:hAnsi="Times New Roman" w:eastAsia="黑体" w:cs="Times New Roman"/>
          <w:sz w:val="28"/>
          <w:szCs w:val="21"/>
        </w:rPr>
      </w:pPr>
    </w:p>
    <w:p>
      <w:pPr>
        <w:rPr>
          <w:rFonts w:hint="default" w:ascii="Times New Roman" w:hAnsi="Times New Roman" w:eastAsia="黑体" w:cs="Times New Roman"/>
          <w:sz w:val="28"/>
          <w:szCs w:val="21"/>
        </w:rPr>
      </w:pPr>
    </w:p>
    <w:p>
      <w:pPr>
        <w:rPr>
          <w:rFonts w:hint="default" w:ascii="Times New Roman" w:hAnsi="Times New Roman" w:eastAsia="黑体" w:cs="Times New Roman"/>
          <w:sz w:val="28"/>
          <w:szCs w:val="21"/>
        </w:rPr>
      </w:pPr>
    </w:p>
    <w:p>
      <w:pPr>
        <w:rPr>
          <w:rFonts w:hint="default" w:ascii="Times New Roman" w:hAnsi="Times New Roman" w:eastAsia="黑体" w:cs="Times New Roman"/>
          <w:sz w:val="28"/>
          <w:szCs w:val="21"/>
        </w:rPr>
      </w:pPr>
    </w:p>
    <w:p>
      <w:pPr>
        <w:rPr>
          <w:rFonts w:hint="default" w:ascii="Times New Roman" w:hAnsi="Times New Roman" w:eastAsia="黑体" w:cs="Times New Roman"/>
          <w:sz w:val="28"/>
          <w:szCs w:val="21"/>
        </w:rPr>
      </w:pPr>
    </w:p>
    <w:p>
      <w:pPr>
        <w:rPr>
          <w:rFonts w:hint="default" w:ascii="Times New Roman" w:hAnsi="Times New Roman" w:eastAsia="黑体" w:cs="Times New Roman"/>
          <w:sz w:val="28"/>
          <w:szCs w:val="21"/>
        </w:rPr>
      </w:pPr>
    </w:p>
    <w:p>
      <w:pPr>
        <w:rPr>
          <w:rFonts w:hint="default" w:ascii="Times New Roman" w:hAnsi="Times New Roman" w:eastAsia="黑体" w:cs="Times New Roman"/>
          <w:sz w:val="28"/>
          <w:szCs w:val="21"/>
        </w:rPr>
      </w:pPr>
    </w:p>
    <w:p>
      <w:pPr>
        <w:rPr>
          <w:rFonts w:hint="default" w:ascii="Times New Roman" w:hAnsi="Times New Roman" w:eastAsia="黑体" w:cs="Times New Roman"/>
          <w:sz w:val="28"/>
          <w:szCs w:val="21"/>
        </w:rPr>
      </w:pPr>
    </w:p>
    <w:p>
      <w:pPr>
        <w:rPr>
          <w:rFonts w:hint="default" w:ascii="Times New Roman" w:hAnsi="Times New Roman" w:eastAsia="黑体" w:cs="Times New Roman"/>
          <w:sz w:val="28"/>
          <w:szCs w:val="21"/>
        </w:rPr>
      </w:pPr>
    </w:p>
    <w:p>
      <w:pPr>
        <w:rPr>
          <w:rFonts w:hint="default" w:ascii="Times New Roman" w:hAnsi="Times New Roman" w:eastAsia="黑体" w:cs="Times New Roman"/>
          <w:sz w:val="28"/>
          <w:szCs w:val="21"/>
        </w:rPr>
      </w:pPr>
    </w:p>
    <w:p>
      <w:pPr>
        <w:rPr>
          <w:rFonts w:hint="default" w:ascii="Times New Roman" w:hAnsi="Times New Roman" w:eastAsia="黑体" w:cs="Times New Roman"/>
          <w:sz w:val="28"/>
          <w:szCs w:val="21"/>
        </w:rPr>
      </w:pPr>
    </w:p>
    <w:tbl>
      <w:tblPr>
        <w:tblStyle w:val="15"/>
        <w:tblpPr w:leftFromText="180" w:rightFromText="180" w:vertAnchor="text" w:horzAnchor="page" w:tblpX="1718" w:tblpY="79"/>
        <w:tblOverlap w:val="never"/>
        <w:tblW w:w="8840" w:type="dxa"/>
        <w:tblInd w:w="0" w:type="dxa"/>
        <w:tblLayout w:type="fixed"/>
        <w:tblCellMar>
          <w:top w:w="0" w:type="dxa"/>
          <w:left w:w="108" w:type="dxa"/>
          <w:bottom w:w="0" w:type="dxa"/>
          <w:right w:w="108" w:type="dxa"/>
        </w:tblCellMar>
      </w:tblPr>
      <w:tblGrid>
        <w:gridCol w:w="4420"/>
        <w:gridCol w:w="4420"/>
      </w:tblGrid>
      <w:tr>
        <w:tblPrEx>
          <w:tblCellMar>
            <w:top w:w="0" w:type="dxa"/>
            <w:left w:w="108" w:type="dxa"/>
            <w:bottom w:w="0" w:type="dxa"/>
            <w:right w:w="108" w:type="dxa"/>
          </w:tblCellMar>
        </w:tblPrEx>
        <w:trPr>
          <w:trHeight w:val="539" w:hRule="atLeast"/>
        </w:trPr>
        <w:tc>
          <w:tcPr>
            <w:tcW w:w="4420" w:type="dxa"/>
            <w:noWrap w:val="0"/>
            <w:vAlign w:val="center"/>
          </w:tcPr>
          <w:p>
            <w:pPr>
              <w:jc w:val="both"/>
              <w:rPr>
                <w:rFonts w:hint="default" w:ascii="Times New Roman" w:hAnsi="Times New Roman" w:eastAsia="黑体" w:cs="Times New Roman"/>
                <w:sz w:val="28"/>
                <w:szCs w:val="21"/>
              </w:rPr>
            </w:pPr>
            <w:r>
              <w:rPr>
                <w:rFonts w:hint="default" w:ascii="Times New Roman" w:hAnsi="Times New Roman" w:eastAsia="黑体" w:cs="Times New Roman"/>
                <w:sz w:val="24"/>
                <w:szCs w:val="20"/>
              </w:rPr>
              <w:t>建设单位</w:t>
            </w:r>
            <w:r>
              <w:rPr>
                <w:rFonts w:hint="default" w:ascii="Times New Roman" w:hAnsi="Times New Roman" w:eastAsia="黑体" w:cs="Times New Roman"/>
                <w:sz w:val="24"/>
                <w:szCs w:val="20"/>
                <w:lang w:val="en-US" w:eastAsia="zh-CN"/>
              </w:rPr>
              <w:t xml:space="preserve"> </w:t>
            </w:r>
            <w:r>
              <w:rPr>
                <w:rFonts w:hint="default" w:ascii="Times New Roman" w:hAnsi="Times New Roman" w:eastAsia="黑体" w:cs="Times New Roman"/>
                <w:sz w:val="24"/>
                <w:szCs w:val="20"/>
                <w:u w:val="single"/>
                <w:lang w:val="en-US" w:eastAsia="zh-CN"/>
              </w:rPr>
              <w:t>陕西省石油化工工业贸易公司茂陵服务区东加油站</w:t>
            </w:r>
            <w:r>
              <w:rPr>
                <w:rFonts w:hint="default" w:ascii="Times New Roman" w:hAnsi="Times New Roman" w:eastAsia="黑体" w:cs="Times New Roman"/>
                <w:sz w:val="24"/>
                <w:szCs w:val="20"/>
                <w:lang w:val="en-US"/>
              </w:rPr>
              <w:t>（盖章）</w:t>
            </w:r>
          </w:p>
        </w:tc>
        <w:tc>
          <w:tcPr>
            <w:tcW w:w="4420" w:type="dxa"/>
            <w:noWrap w:val="0"/>
            <w:vAlign w:val="center"/>
          </w:tcPr>
          <w:p>
            <w:pPr>
              <w:jc w:val="both"/>
              <w:rPr>
                <w:rFonts w:hint="default" w:ascii="Times New Roman" w:hAnsi="Times New Roman" w:eastAsia="黑体" w:cs="Times New Roman"/>
                <w:sz w:val="28"/>
                <w:szCs w:val="21"/>
              </w:rPr>
            </w:pPr>
            <w:r>
              <w:rPr>
                <w:rFonts w:hint="default" w:ascii="Times New Roman" w:hAnsi="Times New Roman" w:eastAsia="黑体" w:cs="Times New Roman"/>
                <w:sz w:val="24"/>
                <w:szCs w:val="20"/>
                <w:lang w:val="en-US"/>
              </w:rPr>
              <w:t>编制单位</w:t>
            </w:r>
            <w:r>
              <w:rPr>
                <w:rFonts w:hint="default" w:ascii="Times New Roman" w:hAnsi="Times New Roman" w:eastAsia="黑体" w:cs="Times New Roman"/>
                <w:sz w:val="24"/>
                <w:szCs w:val="20"/>
                <w:lang w:val="en-US" w:eastAsia="zh-CN"/>
              </w:rPr>
              <w:t xml:space="preserve"> </w:t>
            </w:r>
            <w:r>
              <w:rPr>
                <w:rFonts w:hint="default" w:ascii="Times New Roman" w:hAnsi="Times New Roman" w:eastAsia="黑体" w:cs="Times New Roman"/>
                <w:sz w:val="24"/>
                <w:szCs w:val="20"/>
                <w:u w:val="single"/>
                <w:lang w:val="en-US"/>
              </w:rPr>
              <w:t>河北鑫旺工程建设服务有限公司陕西分公司</w:t>
            </w:r>
            <w:r>
              <w:rPr>
                <w:rFonts w:hint="default" w:ascii="Times New Roman" w:hAnsi="Times New Roman" w:eastAsia="黑体" w:cs="Times New Roman"/>
                <w:sz w:val="24"/>
                <w:szCs w:val="20"/>
                <w:lang w:val="en-US"/>
              </w:rPr>
              <w:t>（盖章）</w:t>
            </w:r>
          </w:p>
        </w:tc>
      </w:tr>
      <w:tr>
        <w:tblPrEx>
          <w:tblCellMar>
            <w:top w:w="0" w:type="dxa"/>
            <w:left w:w="108" w:type="dxa"/>
            <w:bottom w:w="0" w:type="dxa"/>
            <w:right w:w="108" w:type="dxa"/>
          </w:tblCellMar>
        </w:tblPrEx>
        <w:trPr>
          <w:trHeight w:val="543" w:hRule="atLeast"/>
        </w:trPr>
        <w:tc>
          <w:tcPr>
            <w:tcW w:w="4420" w:type="dxa"/>
            <w:noWrap w:val="0"/>
            <w:vAlign w:val="center"/>
          </w:tcPr>
          <w:p>
            <w:pPr>
              <w:jc w:val="both"/>
              <w:rPr>
                <w:rFonts w:hint="default" w:ascii="Times New Roman" w:hAnsi="Times New Roman" w:eastAsia="黑体" w:cs="Times New Roman"/>
                <w:sz w:val="28"/>
                <w:szCs w:val="21"/>
                <w:lang w:val="en-US"/>
              </w:rPr>
            </w:pPr>
            <w:r>
              <w:rPr>
                <w:rFonts w:hint="default" w:ascii="Times New Roman" w:hAnsi="Times New Roman" w:eastAsia="黑体" w:cs="Times New Roman"/>
                <w:sz w:val="24"/>
                <w:szCs w:val="20"/>
                <w:lang w:val="en-US"/>
              </w:rPr>
              <w:t>电话：</w:t>
            </w:r>
            <w:r>
              <w:rPr>
                <w:rFonts w:hint="default" w:ascii="Times New Roman" w:hAnsi="Times New Roman" w:eastAsia="宋体" w:cs="Times New Roman"/>
                <w:sz w:val="24"/>
                <w:szCs w:val="24"/>
                <w:lang w:val="en-US" w:eastAsia="zh-CN"/>
              </w:rPr>
              <w:t>1</w:t>
            </w:r>
            <w:r>
              <w:rPr>
                <w:rFonts w:hint="default" w:ascii="Times New Roman" w:hAnsi="Times New Roman" w:cs="Times New Roman"/>
                <w:sz w:val="24"/>
                <w:szCs w:val="24"/>
                <w:lang w:val="en-US" w:eastAsia="zh-CN"/>
              </w:rPr>
              <w:t>8991036200</w:t>
            </w:r>
          </w:p>
        </w:tc>
        <w:tc>
          <w:tcPr>
            <w:tcW w:w="4420" w:type="dxa"/>
            <w:noWrap w:val="0"/>
            <w:vAlign w:val="center"/>
          </w:tcPr>
          <w:p>
            <w:pPr>
              <w:jc w:val="both"/>
              <w:rPr>
                <w:rFonts w:hint="default" w:ascii="Times New Roman" w:hAnsi="Times New Roman" w:eastAsia="黑体" w:cs="Times New Roman"/>
                <w:sz w:val="28"/>
                <w:szCs w:val="21"/>
                <w:lang w:val="en-US" w:eastAsia="zh-CN"/>
              </w:rPr>
            </w:pPr>
            <w:r>
              <w:rPr>
                <w:rFonts w:hint="default" w:ascii="Times New Roman" w:hAnsi="Times New Roman" w:eastAsia="黑体" w:cs="Times New Roman"/>
                <w:sz w:val="24"/>
                <w:szCs w:val="20"/>
                <w:lang w:val="en-US"/>
              </w:rPr>
              <w:t>电话：</w:t>
            </w:r>
            <w:r>
              <w:rPr>
                <w:rFonts w:hint="default" w:ascii="Times New Roman" w:hAnsi="Times New Roman" w:eastAsia="黑体" w:cs="Times New Roman"/>
                <w:sz w:val="24"/>
                <w:szCs w:val="20"/>
                <w:lang w:val="en-US" w:eastAsia="zh-CN"/>
              </w:rPr>
              <w:t>029-87291685</w:t>
            </w:r>
          </w:p>
        </w:tc>
      </w:tr>
      <w:tr>
        <w:tblPrEx>
          <w:tblCellMar>
            <w:top w:w="0" w:type="dxa"/>
            <w:left w:w="108" w:type="dxa"/>
            <w:bottom w:w="0" w:type="dxa"/>
            <w:right w:w="108" w:type="dxa"/>
          </w:tblCellMar>
        </w:tblPrEx>
        <w:trPr>
          <w:trHeight w:val="543" w:hRule="atLeast"/>
        </w:trPr>
        <w:tc>
          <w:tcPr>
            <w:tcW w:w="4420" w:type="dxa"/>
            <w:noWrap w:val="0"/>
            <w:vAlign w:val="center"/>
          </w:tcPr>
          <w:p>
            <w:pPr>
              <w:jc w:val="both"/>
              <w:rPr>
                <w:rFonts w:hint="default" w:ascii="Times New Roman" w:hAnsi="Times New Roman" w:eastAsia="黑体" w:cs="Times New Roman"/>
                <w:sz w:val="28"/>
                <w:szCs w:val="21"/>
              </w:rPr>
            </w:pPr>
            <w:r>
              <w:rPr>
                <w:rFonts w:hint="default" w:ascii="Times New Roman" w:hAnsi="Times New Roman" w:eastAsia="黑体" w:cs="Times New Roman"/>
                <w:sz w:val="24"/>
                <w:szCs w:val="20"/>
                <w:lang w:val="en-US"/>
              </w:rPr>
              <w:t>传真：/</w:t>
            </w:r>
          </w:p>
        </w:tc>
        <w:tc>
          <w:tcPr>
            <w:tcW w:w="4420" w:type="dxa"/>
            <w:noWrap w:val="0"/>
            <w:vAlign w:val="center"/>
          </w:tcPr>
          <w:p>
            <w:pPr>
              <w:jc w:val="both"/>
              <w:rPr>
                <w:rFonts w:hint="default" w:ascii="Times New Roman" w:hAnsi="Times New Roman" w:eastAsia="黑体" w:cs="Times New Roman"/>
                <w:sz w:val="28"/>
                <w:szCs w:val="21"/>
              </w:rPr>
            </w:pPr>
            <w:r>
              <w:rPr>
                <w:rFonts w:hint="default" w:ascii="Times New Roman" w:hAnsi="Times New Roman" w:eastAsia="黑体" w:cs="Times New Roman"/>
                <w:sz w:val="24"/>
                <w:szCs w:val="20"/>
                <w:lang w:val="en-US"/>
              </w:rPr>
              <w:t>传真：/</w:t>
            </w:r>
          </w:p>
        </w:tc>
      </w:tr>
      <w:tr>
        <w:tblPrEx>
          <w:tblCellMar>
            <w:top w:w="0" w:type="dxa"/>
            <w:left w:w="108" w:type="dxa"/>
            <w:bottom w:w="0" w:type="dxa"/>
            <w:right w:w="108" w:type="dxa"/>
          </w:tblCellMar>
        </w:tblPrEx>
        <w:trPr>
          <w:trHeight w:val="543" w:hRule="atLeast"/>
        </w:trPr>
        <w:tc>
          <w:tcPr>
            <w:tcW w:w="4420" w:type="dxa"/>
            <w:noWrap w:val="0"/>
            <w:vAlign w:val="center"/>
          </w:tcPr>
          <w:p>
            <w:pPr>
              <w:jc w:val="both"/>
              <w:rPr>
                <w:rFonts w:hint="default" w:ascii="Times New Roman" w:hAnsi="Times New Roman" w:eastAsia="黑体" w:cs="Times New Roman"/>
                <w:sz w:val="24"/>
                <w:szCs w:val="20"/>
                <w:lang w:val="en-US"/>
              </w:rPr>
            </w:pPr>
            <w:r>
              <w:rPr>
                <w:rFonts w:hint="default" w:ascii="Times New Roman" w:hAnsi="Times New Roman" w:eastAsia="黑体" w:cs="Times New Roman"/>
                <w:sz w:val="24"/>
                <w:szCs w:val="20"/>
                <w:lang w:val="en-US"/>
              </w:rPr>
              <w:t>邮编：712100</w:t>
            </w:r>
          </w:p>
        </w:tc>
        <w:tc>
          <w:tcPr>
            <w:tcW w:w="4420" w:type="dxa"/>
            <w:noWrap w:val="0"/>
            <w:vAlign w:val="center"/>
          </w:tcPr>
          <w:p>
            <w:pPr>
              <w:jc w:val="both"/>
              <w:rPr>
                <w:rFonts w:hint="default" w:ascii="Times New Roman" w:hAnsi="Times New Roman" w:eastAsia="黑体" w:cs="Times New Roman"/>
                <w:sz w:val="24"/>
                <w:szCs w:val="20"/>
                <w:lang w:val="en-US"/>
              </w:rPr>
            </w:pPr>
            <w:r>
              <w:rPr>
                <w:rFonts w:hint="default" w:ascii="Times New Roman" w:hAnsi="Times New Roman" w:eastAsia="黑体" w:cs="Times New Roman"/>
                <w:sz w:val="24"/>
                <w:szCs w:val="20"/>
                <w:lang w:val="en-US"/>
              </w:rPr>
              <w:t>邮编：710000</w:t>
            </w:r>
          </w:p>
        </w:tc>
      </w:tr>
      <w:tr>
        <w:tblPrEx>
          <w:tblCellMar>
            <w:top w:w="0" w:type="dxa"/>
            <w:left w:w="108" w:type="dxa"/>
            <w:bottom w:w="0" w:type="dxa"/>
            <w:right w:w="108" w:type="dxa"/>
          </w:tblCellMar>
        </w:tblPrEx>
        <w:trPr>
          <w:trHeight w:val="543" w:hRule="atLeast"/>
        </w:trPr>
        <w:tc>
          <w:tcPr>
            <w:tcW w:w="4420" w:type="dxa"/>
            <w:noWrap w:val="0"/>
            <w:vAlign w:val="center"/>
          </w:tcPr>
          <w:p>
            <w:pPr>
              <w:ind w:left="720" w:hanging="720" w:hangingChars="300"/>
              <w:jc w:val="both"/>
              <w:rPr>
                <w:rFonts w:hint="default" w:ascii="Times New Roman" w:hAnsi="Times New Roman" w:eastAsia="黑体" w:cs="Times New Roman"/>
                <w:sz w:val="24"/>
                <w:szCs w:val="20"/>
                <w:lang w:val="en-US"/>
              </w:rPr>
            </w:pPr>
            <w:r>
              <w:rPr>
                <w:rFonts w:hint="default" w:ascii="Times New Roman" w:hAnsi="Times New Roman" w:eastAsia="黑体" w:cs="Times New Roman"/>
                <w:sz w:val="24"/>
                <w:szCs w:val="20"/>
                <w:lang w:val="en-US"/>
              </w:rPr>
              <w:t>地址：</w:t>
            </w:r>
            <w:r>
              <w:rPr>
                <w:rFonts w:hint="default" w:ascii="Times New Roman" w:hAnsi="Times New Roman" w:eastAsia="黑体" w:cs="Times New Roman"/>
                <w:sz w:val="24"/>
                <w:szCs w:val="20"/>
                <w:lang w:val="en-US" w:eastAsia="zh-CN"/>
              </w:rPr>
              <w:t>陕西省咸阳市兴平市西咸北环</w:t>
            </w:r>
            <w:r>
              <w:rPr>
                <w:rFonts w:hint="default" w:ascii="Times New Roman" w:hAnsi="Times New Roman" w:eastAsia="黑体" w:cs="Times New Roman"/>
                <w:sz w:val="24"/>
                <w:szCs w:val="20"/>
                <w:lang w:val="en-US"/>
              </w:rPr>
              <w:t>高速</w:t>
            </w:r>
            <w:r>
              <w:rPr>
                <w:rFonts w:hint="default" w:ascii="Times New Roman" w:hAnsi="Times New Roman" w:eastAsia="黑体" w:cs="Times New Roman"/>
                <w:sz w:val="24"/>
                <w:szCs w:val="20"/>
                <w:lang w:val="en-US" w:eastAsia="zh-CN"/>
              </w:rPr>
              <w:t>公路茂陵</w:t>
            </w:r>
            <w:r>
              <w:rPr>
                <w:rFonts w:hint="default" w:ascii="Times New Roman" w:hAnsi="Times New Roman" w:eastAsia="黑体" w:cs="Times New Roman"/>
                <w:sz w:val="24"/>
                <w:szCs w:val="20"/>
                <w:lang w:val="en-US"/>
              </w:rPr>
              <w:t>服务区</w:t>
            </w:r>
            <w:r>
              <w:rPr>
                <w:rFonts w:hint="default" w:ascii="Times New Roman" w:hAnsi="Times New Roman" w:eastAsia="黑体" w:cs="Times New Roman"/>
                <w:sz w:val="24"/>
                <w:szCs w:val="20"/>
                <w:lang w:val="en-US" w:eastAsia="zh-CN"/>
              </w:rPr>
              <w:t>东</w:t>
            </w:r>
            <w:r>
              <w:rPr>
                <w:rFonts w:hint="default" w:ascii="Times New Roman" w:hAnsi="Times New Roman" w:eastAsia="黑体" w:cs="Times New Roman"/>
                <w:sz w:val="24"/>
                <w:szCs w:val="20"/>
                <w:lang w:val="en-US"/>
              </w:rPr>
              <w:t>区</w:t>
            </w:r>
          </w:p>
        </w:tc>
        <w:tc>
          <w:tcPr>
            <w:tcW w:w="4420" w:type="dxa"/>
            <w:noWrap w:val="0"/>
            <w:vAlign w:val="center"/>
          </w:tcPr>
          <w:p>
            <w:pPr>
              <w:ind w:left="1440" w:hanging="1440" w:hangingChars="600"/>
              <w:jc w:val="both"/>
              <w:rPr>
                <w:rFonts w:hint="default" w:ascii="Times New Roman" w:hAnsi="Times New Roman" w:eastAsia="黑体" w:cs="Times New Roman"/>
                <w:sz w:val="24"/>
                <w:szCs w:val="20"/>
                <w:lang w:val="en-US"/>
              </w:rPr>
            </w:pPr>
            <w:r>
              <w:rPr>
                <w:rFonts w:hint="default" w:ascii="Times New Roman" w:hAnsi="Times New Roman" w:eastAsia="黑体" w:cs="Times New Roman"/>
                <w:sz w:val="24"/>
                <w:szCs w:val="20"/>
                <w:lang w:val="en-US"/>
              </w:rPr>
              <w:t>地址：</w:t>
            </w:r>
            <w:r>
              <w:rPr>
                <w:rFonts w:hint="default" w:ascii="Times New Roman" w:hAnsi="Times New Roman" w:eastAsia="黑体" w:cs="Times New Roman"/>
                <w:sz w:val="24"/>
                <w:szCs w:val="20"/>
                <w:lang w:val="en-US" w:eastAsia="zh-CN"/>
              </w:rPr>
              <w:t>西安市新城区菜市东坑1幢1单元11006室</w:t>
            </w:r>
          </w:p>
        </w:tc>
      </w:tr>
    </w:tbl>
    <w:p>
      <w:pPr>
        <w:pStyle w:val="7"/>
        <w:rPr>
          <w:rFonts w:hint="default" w:ascii="Times New Roman" w:hAnsi="Times New Roman" w:cs="Times New Roman"/>
          <w:lang w:val="en-US"/>
        </w:rPr>
      </w:pP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b/>
          <w:color w:val="000000"/>
          <w:kern w:val="0"/>
          <w:sz w:val="30"/>
          <w:szCs w:val="30"/>
          <w:lang w:val="en-US" w:eastAsia="zh-CN" w:bidi="ar"/>
        </w:rPr>
      </w:pPr>
      <w:r>
        <w:rPr>
          <w:rFonts w:hint="eastAsia" w:ascii="宋体" w:hAnsi="宋体" w:eastAsia="宋体" w:cs="宋体"/>
          <w:b/>
          <w:color w:val="000000"/>
          <w:kern w:val="0"/>
          <w:sz w:val="30"/>
          <w:szCs w:val="30"/>
          <w:lang w:val="en-US" w:eastAsia="zh-CN" w:bidi="ar"/>
        </w:rPr>
        <w:t>陕西省石油化工工业贸易有限公司茂陵服务区东加油站</w:t>
      </w:r>
    </w:p>
    <w:p>
      <w:pPr>
        <w:keepNext w:val="0"/>
        <w:keepLines w:val="0"/>
        <w:pageBreakBefore w:val="0"/>
        <w:widowControl/>
        <w:suppressLineNumbers w:val="0"/>
        <w:kinsoku/>
        <w:wordWrap/>
        <w:overflowPunct/>
        <w:topLinePunct w:val="0"/>
        <w:autoSpaceDE/>
        <w:autoSpaceDN/>
        <w:bidi w:val="0"/>
        <w:adjustRightInd/>
        <w:snapToGrid/>
        <w:jc w:val="center"/>
        <w:textAlignment w:val="auto"/>
      </w:pPr>
      <w:r>
        <w:rPr>
          <w:rFonts w:hint="eastAsia" w:ascii="宋体" w:hAnsi="宋体" w:eastAsia="宋体" w:cs="宋体"/>
          <w:b/>
          <w:color w:val="000000"/>
          <w:kern w:val="0"/>
          <w:sz w:val="30"/>
          <w:szCs w:val="30"/>
          <w:lang w:val="en-US" w:eastAsia="zh-CN" w:bidi="ar"/>
        </w:rPr>
        <w:t>建设项目竣工环境保护验收意见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2020</w:t>
      </w:r>
      <w:r>
        <w:rPr>
          <w:rFonts w:hint="eastAsia" w:ascii="宋体" w:hAnsi="宋体" w:eastAsia="宋体" w:cs="宋体"/>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月</w:t>
      </w:r>
      <w:r>
        <w:rPr>
          <w:rFonts w:hint="eastAsia" w:ascii="Times New Roman" w:hAnsi="Times New Roman" w:cs="Times New Roman"/>
          <w:color w:val="000000"/>
          <w:kern w:val="0"/>
          <w:sz w:val="24"/>
          <w:szCs w:val="24"/>
          <w:highlight w:val="none"/>
          <w:lang w:val="en-US" w:eastAsia="zh-CN" w:bidi="ar"/>
        </w:rPr>
        <w:t>29</w:t>
      </w:r>
      <w:r>
        <w:rPr>
          <w:rFonts w:hint="eastAsia" w:ascii="宋体" w:hAnsi="宋体" w:eastAsia="宋体" w:cs="宋体"/>
          <w:color w:val="000000"/>
          <w:kern w:val="0"/>
          <w:sz w:val="24"/>
          <w:szCs w:val="24"/>
          <w:lang w:val="en-US" w:eastAsia="zh-CN" w:bidi="ar"/>
        </w:rPr>
        <w:t>日，陕西省石油化工工业贸易有限公司茂陵服务区东加油站在茂陵服务区主持召开了“陕西省石油化工工业贸易有限公司茂陵服务区东加油站建设项目竣工环境保护验收会”。参加会议的有</w:t>
      </w:r>
      <w:r>
        <w:rPr>
          <w:rFonts w:hint="eastAsia" w:ascii="宋体" w:hAnsi="宋体" w:cs="宋体"/>
          <w:color w:val="000000"/>
          <w:kern w:val="0"/>
          <w:sz w:val="24"/>
          <w:szCs w:val="24"/>
          <w:lang w:val="en-US" w:eastAsia="zh-CN" w:bidi="ar"/>
        </w:rPr>
        <w:t>建设单位（陕西省石油化工工业贸易有限公司茂陵服务区东加油站）、</w:t>
      </w:r>
      <w:r>
        <w:rPr>
          <w:rFonts w:hint="eastAsia" w:ascii="宋体" w:hAnsi="宋体" w:eastAsia="宋体" w:cs="宋体"/>
          <w:color w:val="000000"/>
          <w:kern w:val="0"/>
          <w:sz w:val="24"/>
          <w:szCs w:val="24"/>
          <w:lang w:val="en-US" w:eastAsia="zh-CN" w:bidi="ar"/>
        </w:rPr>
        <w:t>验收监测报告表编制单位（河北鑫旺工程建设服务有限公司陕西分公司）、环评单位（西安海浪环保科技有限公司）、</w:t>
      </w:r>
      <w:r>
        <w:rPr>
          <w:rFonts w:hint="eastAsia" w:ascii="宋体" w:hAnsi="宋体" w:eastAsia="宋体" w:cs="宋体"/>
          <w:color w:val="auto"/>
          <w:kern w:val="0"/>
          <w:sz w:val="24"/>
          <w:szCs w:val="24"/>
          <w:lang w:val="en-US" w:eastAsia="zh-CN" w:bidi="ar"/>
        </w:rPr>
        <w:t>设计单位（陕西宇泰建筑设计有限公司）、施工单位（陕西连腾建工集团有限公司）、</w:t>
      </w:r>
      <w:r>
        <w:rPr>
          <w:rFonts w:hint="eastAsia" w:ascii="宋体" w:hAnsi="宋体" w:eastAsia="宋体" w:cs="宋体"/>
          <w:color w:val="000000"/>
          <w:kern w:val="0"/>
          <w:sz w:val="24"/>
          <w:szCs w:val="24"/>
          <w:lang w:val="en-US" w:eastAsia="zh-CN" w:bidi="ar"/>
        </w:rPr>
        <w:t>监测单位（陕西安迅环境检测有限公司）等单位的代表及3位专家</w:t>
      </w:r>
      <w:r>
        <w:rPr>
          <w:rFonts w:hint="eastAsia" w:ascii="宋体" w:hAnsi="宋体" w:cs="宋体"/>
          <w:color w:val="000000"/>
          <w:kern w:val="0"/>
          <w:sz w:val="24"/>
          <w:szCs w:val="24"/>
          <w:lang w:val="en-US" w:eastAsia="zh-CN" w:bidi="ar"/>
        </w:rPr>
        <w:t>共</w:t>
      </w:r>
      <w:r>
        <w:rPr>
          <w:rFonts w:hint="eastAsia" w:ascii="宋体" w:hAnsi="宋体" w:cs="宋体"/>
          <w:color w:val="auto"/>
          <w:kern w:val="0"/>
          <w:sz w:val="24"/>
          <w:szCs w:val="24"/>
          <w:lang w:val="en-US" w:eastAsia="zh-CN" w:bidi="ar"/>
        </w:rPr>
        <w:t>10</w:t>
      </w:r>
      <w:r>
        <w:rPr>
          <w:rFonts w:hint="eastAsia" w:ascii="宋体" w:hAnsi="宋体" w:cs="宋体"/>
          <w:color w:val="000000"/>
          <w:kern w:val="0"/>
          <w:sz w:val="24"/>
          <w:szCs w:val="24"/>
          <w:lang w:val="en-US" w:eastAsia="zh-CN" w:bidi="ar"/>
        </w:rPr>
        <w:t>人</w:t>
      </w:r>
      <w:r>
        <w:rPr>
          <w:rFonts w:hint="eastAsia" w:ascii="宋体" w:hAnsi="宋体" w:eastAsia="宋体" w:cs="宋体"/>
          <w:color w:val="000000"/>
          <w:kern w:val="0"/>
          <w:sz w:val="24"/>
          <w:szCs w:val="24"/>
          <w:lang w:val="en-US" w:eastAsia="zh-CN" w:bidi="ar"/>
        </w:rPr>
        <w:t xml:space="preserve">，会议成立了验收组（名单附后）。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与会人员现场</w:t>
      </w:r>
      <w:r>
        <w:rPr>
          <w:rFonts w:hint="eastAsia" w:ascii="宋体" w:hAnsi="宋体" w:cs="宋体"/>
          <w:color w:val="000000"/>
          <w:kern w:val="0"/>
          <w:sz w:val="24"/>
          <w:szCs w:val="24"/>
          <w:lang w:val="en-US" w:eastAsia="zh-CN" w:bidi="ar"/>
        </w:rPr>
        <w:t>检查</w:t>
      </w:r>
      <w:r>
        <w:rPr>
          <w:rFonts w:hint="eastAsia" w:ascii="宋体" w:hAnsi="宋体" w:eastAsia="宋体" w:cs="宋体"/>
          <w:color w:val="000000"/>
          <w:kern w:val="0"/>
          <w:sz w:val="24"/>
          <w:szCs w:val="24"/>
          <w:lang w:val="en-US" w:eastAsia="zh-CN" w:bidi="ar"/>
        </w:rPr>
        <w:t>了项目环保设施建设及运行情况，</w:t>
      </w:r>
      <w:r>
        <w:rPr>
          <w:rFonts w:hint="eastAsia" w:ascii="宋体" w:hAnsi="宋体" w:cs="宋体"/>
          <w:color w:val="000000"/>
          <w:kern w:val="0"/>
          <w:sz w:val="24"/>
          <w:szCs w:val="24"/>
          <w:lang w:val="en-US" w:eastAsia="zh-CN" w:bidi="ar"/>
        </w:rPr>
        <w:t>听取了</w:t>
      </w:r>
      <w:r>
        <w:rPr>
          <w:rFonts w:hint="eastAsia" w:ascii="宋体" w:hAnsi="宋体" w:eastAsia="宋体" w:cs="宋体"/>
          <w:color w:val="000000"/>
          <w:kern w:val="0"/>
          <w:sz w:val="24"/>
          <w:szCs w:val="24"/>
          <w:lang w:val="en-US" w:eastAsia="zh-CN" w:bidi="ar"/>
        </w:rPr>
        <w:t>建设单位对项目建设情况</w:t>
      </w:r>
      <w:r>
        <w:rPr>
          <w:rFonts w:hint="eastAsia" w:ascii="宋体" w:hAnsi="宋体" w:cs="宋体"/>
          <w:color w:val="000000"/>
          <w:kern w:val="0"/>
          <w:sz w:val="24"/>
          <w:szCs w:val="24"/>
          <w:lang w:val="en-US" w:eastAsia="zh-CN" w:bidi="ar"/>
        </w:rPr>
        <w:t>的介绍及</w:t>
      </w:r>
      <w:r>
        <w:rPr>
          <w:rFonts w:hint="eastAsia" w:ascii="宋体" w:hAnsi="宋体" w:eastAsia="宋体" w:cs="宋体"/>
          <w:color w:val="000000"/>
          <w:kern w:val="0"/>
          <w:sz w:val="24"/>
          <w:szCs w:val="24"/>
          <w:lang w:val="en-US" w:eastAsia="zh-CN" w:bidi="ar"/>
        </w:rPr>
        <w:t>验收报告表编制单位对验收报告内容</w:t>
      </w:r>
      <w:r>
        <w:rPr>
          <w:rFonts w:hint="eastAsia" w:ascii="宋体" w:hAnsi="宋体" w:cs="宋体"/>
          <w:color w:val="000000"/>
          <w:kern w:val="0"/>
          <w:sz w:val="24"/>
          <w:szCs w:val="24"/>
          <w:lang w:val="en-US" w:eastAsia="zh-CN" w:bidi="ar"/>
        </w:rPr>
        <w:t>的</w:t>
      </w:r>
      <w:r>
        <w:rPr>
          <w:rFonts w:hint="eastAsia" w:ascii="宋体" w:hAnsi="宋体" w:eastAsia="宋体" w:cs="宋体"/>
          <w:color w:val="000000"/>
          <w:kern w:val="0"/>
          <w:sz w:val="24"/>
          <w:szCs w:val="24"/>
          <w:lang w:val="en-US" w:eastAsia="zh-CN" w:bidi="ar"/>
        </w:rPr>
        <w:t>汇报，</w:t>
      </w:r>
      <w:r>
        <w:rPr>
          <w:rFonts w:hint="eastAsia" w:ascii="宋体" w:hAnsi="宋体" w:cs="宋体"/>
          <w:color w:val="000000"/>
          <w:kern w:val="0"/>
          <w:sz w:val="24"/>
          <w:szCs w:val="24"/>
          <w:lang w:val="en-US" w:eastAsia="zh-CN" w:bidi="ar"/>
        </w:rPr>
        <w:t>验收组</w:t>
      </w:r>
      <w:r>
        <w:rPr>
          <w:rFonts w:hint="eastAsia" w:ascii="宋体" w:hAnsi="宋体" w:eastAsia="宋体" w:cs="宋体"/>
          <w:color w:val="000000"/>
          <w:kern w:val="0"/>
          <w:sz w:val="24"/>
          <w:szCs w:val="24"/>
          <w:lang w:val="en-US" w:eastAsia="zh-CN" w:bidi="ar"/>
        </w:rPr>
        <w:t>经认真讨论形成验收</w:t>
      </w:r>
      <w:r>
        <w:rPr>
          <w:rFonts w:hint="eastAsia" w:ascii="宋体" w:hAnsi="宋体" w:cs="宋体"/>
          <w:color w:val="000000"/>
          <w:kern w:val="0"/>
          <w:sz w:val="24"/>
          <w:szCs w:val="24"/>
          <w:lang w:val="en-US" w:eastAsia="zh-CN" w:bidi="ar"/>
        </w:rPr>
        <w:t>组</w:t>
      </w:r>
      <w:r>
        <w:rPr>
          <w:rFonts w:hint="eastAsia" w:ascii="宋体" w:hAnsi="宋体" w:eastAsia="宋体" w:cs="宋体"/>
          <w:color w:val="000000"/>
          <w:kern w:val="0"/>
          <w:sz w:val="24"/>
          <w:szCs w:val="24"/>
          <w:lang w:val="en-US" w:eastAsia="zh-CN" w:bidi="ar"/>
        </w:rPr>
        <w:t>意见如下：</w:t>
      </w:r>
    </w:p>
    <w:p>
      <w:pPr>
        <w:keepNext w:val="0"/>
        <w:keepLines w:val="0"/>
        <w:pageBreakBefore w:val="0"/>
        <w:widowControl/>
        <w:suppressLineNumbers w:val="0"/>
        <w:kinsoku/>
        <w:wordWrap/>
        <w:overflowPunct/>
        <w:topLinePunct w:val="0"/>
        <w:autoSpaceDE/>
        <w:autoSpaceDN/>
        <w:bidi w:val="0"/>
        <w:adjustRightInd/>
        <w:snapToGrid/>
        <w:jc w:val="left"/>
        <w:textAlignment w:val="auto"/>
        <w:rPr>
          <w:sz w:val="30"/>
          <w:szCs w:val="30"/>
        </w:rPr>
      </w:pPr>
      <w:r>
        <w:rPr>
          <w:rFonts w:hint="eastAsia" w:ascii="宋体" w:hAnsi="宋体" w:eastAsia="宋体" w:cs="宋体"/>
          <w:b/>
          <w:color w:val="000000"/>
          <w:kern w:val="0"/>
          <w:sz w:val="30"/>
          <w:szCs w:val="30"/>
          <w:lang w:val="en-US" w:eastAsia="zh-CN" w:bidi="ar"/>
        </w:rPr>
        <w:t xml:space="preserve">一、项目建设基本情况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项目名称：陕西省石油化工工业贸易公司茂陵服务区东加油站建设项目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项目性质：新建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投资总额：</w:t>
      </w:r>
      <w:r>
        <w:rPr>
          <w:rFonts w:hint="default" w:ascii="Times New Roman" w:hAnsi="Times New Roman" w:eastAsia="宋体" w:cs="Times New Roman"/>
          <w:color w:val="000000"/>
          <w:kern w:val="0"/>
          <w:sz w:val="24"/>
          <w:szCs w:val="24"/>
          <w:lang w:val="en-US" w:eastAsia="zh-CN" w:bidi="ar"/>
        </w:rPr>
        <w:t>567.75</w:t>
      </w:r>
      <w:r>
        <w:rPr>
          <w:rFonts w:hint="eastAsia" w:ascii="宋体" w:hAnsi="宋体" w:eastAsia="宋体" w:cs="宋体"/>
          <w:color w:val="000000"/>
          <w:kern w:val="0"/>
          <w:sz w:val="24"/>
          <w:szCs w:val="24"/>
          <w:lang w:val="en-US" w:eastAsia="zh-CN" w:bidi="ar"/>
        </w:rPr>
        <w:t xml:space="preserve">万元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环保投资：</w:t>
      </w:r>
      <w:r>
        <w:rPr>
          <w:rFonts w:hint="eastAsia" w:ascii="Times New Roman" w:hAnsi="Times New Roman" w:eastAsia="宋体" w:cs="Times New Roman"/>
          <w:color w:val="000000"/>
          <w:kern w:val="0"/>
          <w:sz w:val="24"/>
          <w:szCs w:val="24"/>
          <w:lang w:val="en-US" w:eastAsia="zh-CN" w:bidi="ar"/>
        </w:rPr>
        <w:t>36.9</w:t>
      </w:r>
      <w:r>
        <w:rPr>
          <w:rFonts w:hint="eastAsia" w:ascii="宋体" w:hAnsi="宋体" w:eastAsia="宋体" w:cs="宋体"/>
          <w:color w:val="000000"/>
          <w:kern w:val="0"/>
          <w:sz w:val="24"/>
          <w:szCs w:val="24"/>
          <w:lang w:val="en-US" w:eastAsia="zh-CN" w:bidi="ar"/>
        </w:rPr>
        <w:t xml:space="preserve">万元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建设地点：</w:t>
      </w:r>
      <w:r>
        <w:rPr>
          <w:rFonts w:hint="default" w:ascii="Times New Roman" w:hAnsi="Times New Roman" w:eastAsia="宋体" w:cs="Times New Roman"/>
          <w:sz w:val="24"/>
          <w:szCs w:val="24"/>
          <w:lang w:eastAsia="zh-CN"/>
        </w:rPr>
        <w:t>陕西省咸阳市兴平市西咸北环</w:t>
      </w:r>
      <w:r>
        <w:rPr>
          <w:rFonts w:hint="default" w:ascii="Times New Roman" w:hAnsi="Times New Roman" w:eastAsia="宋体" w:cs="Times New Roman"/>
          <w:sz w:val="24"/>
          <w:szCs w:val="24"/>
        </w:rPr>
        <w:t>高速</w:t>
      </w:r>
      <w:r>
        <w:rPr>
          <w:rFonts w:hint="default" w:ascii="Times New Roman" w:hAnsi="Times New Roman" w:eastAsia="宋体" w:cs="Times New Roman"/>
          <w:sz w:val="24"/>
          <w:szCs w:val="24"/>
          <w:lang w:eastAsia="zh-CN"/>
        </w:rPr>
        <w:t>公路</w:t>
      </w:r>
      <w:r>
        <w:rPr>
          <w:rFonts w:hint="default" w:ascii="Times New Roman" w:hAnsi="Times New Roman" w:eastAsia="宋体" w:cs="Times New Roman"/>
          <w:sz w:val="24"/>
          <w:szCs w:val="24"/>
        </w:rPr>
        <w:t>茂陵服务区东区</w:t>
      </w:r>
      <w:r>
        <w:rPr>
          <w:rFonts w:hint="eastAsia" w:ascii="宋体" w:hAnsi="宋体" w:eastAsia="宋体" w:cs="宋体"/>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项目占地面积</w:t>
      </w:r>
      <w:r>
        <w:rPr>
          <w:rFonts w:hint="default" w:ascii="Times New Roman" w:hAnsi="Times New Roman" w:eastAsia="宋体" w:cs="Times New Roman"/>
          <w:color w:val="000000"/>
          <w:kern w:val="0"/>
          <w:sz w:val="24"/>
          <w:szCs w:val="24"/>
          <w:lang w:val="en-US" w:eastAsia="zh-CN" w:bidi="ar"/>
        </w:rPr>
        <w:t>4</w:t>
      </w:r>
      <w:r>
        <w:rPr>
          <w:rFonts w:hint="eastAsia" w:ascii="Times New Roman" w:hAnsi="Times New Roman" w:eastAsia="宋体" w:cs="Times New Roman"/>
          <w:color w:val="000000"/>
          <w:kern w:val="0"/>
          <w:sz w:val="24"/>
          <w:szCs w:val="24"/>
          <w:lang w:val="en-US" w:eastAsia="zh-CN" w:bidi="ar"/>
        </w:rPr>
        <w:t>0</w:t>
      </w:r>
      <w:r>
        <w:rPr>
          <w:rFonts w:hint="default" w:ascii="Times New Roman" w:hAnsi="Times New Roman" w:eastAsia="宋体" w:cs="Times New Roman"/>
          <w:color w:val="000000"/>
          <w:kern w:val="0"/>
          <w:sz w:val="24"/>
          <w:szCs w:val="24"/>
          <w:lang w:val="en-US" w:eastAsia="zh-CN" w:bidi="ar"/>
        </w:rPr>
        <w:t>00m</w:t>
      </w:r>
      <w:r>
        <w:rPr>
          <w:rFonts w:hint="default" w:ascii="Times New Roman" w:hAnsi="Times New Roman" w:eastAsia="宋体"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，建设有站房</w:t>
      </w:r>
      <w:r>
        <w:rPr>
          <w:rFonts w:hint="default" w:ascii="Times New Roman" w:hAnsi="Times New Roman" w:eastAsia="宋体" w:cs="Times New Roman"/>
          <w:color w:val="000000"/>
          <w:kern w:val="0"/>
          <w:sz w:val="24"/>
          <w:szCs w:val="24"/>
          <w:lang w:val="en-US" w:eastAsia="zh-CN" w:bidi="ar"/>
        </w:rPr>
        <w:t>112.86m</w:t>
      </w:r>
      <w:r>
        <w:rPr>
          <w:rFonts w:hint="default" w:ascii="Times New Roman" w:hAnsi="Times New Roman" w:eastAsia="宋体"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，项目共设</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个油罐，罐区建设</w:t>
      </w:r>
      <w:r>
        <w:rPr>
          <w:rFonts w:hint="default" w:ascii="Times New Roman" w:hAnsi="Times New Roman" w:eastAsia="宋体" w:cs="Times New Roman"/>
          <w:color w:val="000000"/>
          <w:kern w:val="0"/>
          <w:sz w:val="24"/>
          <w:szCs w:val="24"/>
          <w:lang w:val="en-US" w:eastAsia="zh-CN" w:bidi="ar"/>
        </w:rPr>
        <w:t>50m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SF</w:t>
      </w:r>
      <w:r>
        <w:rPr>
          <w:rFonts w:hint="eastAsia" w:ascii="宋体" w:hAnsi="宋体" w:eastAsia="宋体" w:cs="宋体"/>
          <w:color w:val="000000"/>
          <w:kern w:val="0"/>
          <w:sz w:val="24"/>
          <w:szCs w:val="24"/>
          <w:lang w:val="en-US" w:eastAsia="zh-CN" w:bidi="ar"/>
        </w:rPr>
        <w:t>双层柴油储油罐</w:t>
      </w:r>
      <w:r>
        <w:rPr>
          <w:rFonts w:hint="default" w:ascii="Times New Roman" w:hAnsi="Times New Roman" w:eastAsia="宋体" w:cs="Times New Roman"/>
          <w:color w:val="000000"/>
          <w:kern w:val="0"/>
          <w:sz w:val="24"/>
          <w:szCs w:val="24"/>
          <w:lang w:val="en-US" w:eastAsia="zh-CN" w:bidi="ar"/>
        </w:rPr>
        <w:t>3</w:t>
      </w:r>
      <w:r>
        <w:rPr>
          <w:rFonts w:hint="eastAsia" w:ascii="宋体" w:hAnsi="宋体" w:cs="宋体"/>
          <w:color w:val="000000"/>
          <w:kern w:val="0"/>
          <w:sz w:val="24"/>
          <w:szCs w:val="24"/>
          <w:lang w:val="en-US" w:eastAsia="zh-CN" w:bidi="ar"/>
        </w:rPr>
        <w:t>个</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SF</w:t>
      </w:r>
      <w:r>
        <w:rPr>
          <w:rFonts w:hint="eastAsia" w:ascii="宋体" w:hAnsi="宋体" w:eastAsia="宋体" w:cs="宋体"/>
          <w:color w:val="000000"/>
          <w:kern w:val="0"/>
          <w:sz w:val="24"/>
          <w:szCs w:val="24"/>
          <w:lang w:val="en-US" w:eastAsia="zh-CN" w:bidi="ar"/>
        </w:rPr>
        <w:t>双层汽油储油罐</w:t>
      </w:r>
      <w:r>
        <w:rPr>
          <w:rFonts w:hint="default" w:ascii="Times New Roman" w:hAnsi="Times New Roman" w:eastAsia="宋体" w:cs="Times New Roman"/>
          <w:color w:val="000000"/>
          <w:kern w:val="0"/>
          <w:sz w:val="24"/>
          <w:szCs w:val="24"/>
          <w:lang w:val="en-US" w:eastAsia="zh-CN" w:bidi="ar"/>
        </w:rPr>
        <w:t>2</w:t>
      </w:r>
      <w:r>
        <w:rPr>
          <w:rFonts w:hint="eastAsia" w:ascii="宋体" w:hAnsi="宋体" w:cs="宋体"/>
          <w:color w:val="000000"/>
          <w:kern w:val="0"/>
          <w:sz w:val="24"/>
          <w:szCs w:val="24"/>
          <w:lang w:val="en-US" w:eastAsia="zh-CN" w:bidi="ar"/>
        </w:rPr>
        <w:t>个</w:t>
      </w:r>
      <w:r>
        <w:rPr>
          <w:rFonts w:hint="eastAsia" w:ascii="宋体" w:hAnsi="宋体" w:eastAsia="宋体" w:cs="宋体"/>
          <w:color w:val="000000"/>
          <w:kern w:val="0"/>
          <w:sz w:val="24"/>
          <w:szCs w:val="24"/>
          <w:lang w:val="en-US" w:eastAsia="zh-CN" w:bidi="ar"/>
        </w:rPr>
        <w:t>，属于一级加油站。项目主要经营销售</w:t>
      </w:r>
      <w:r>
        <w:rPr>
          <w:rFonts w:hint="default" w:ascii="Times New Roman" w:hAnsi="Times New Roman" w:eastAsia="宋体" w:cs="Times New Roman"/>
          <w:color w:val="000000"/>
          <w:kern w:val="0"/>
          <w:sz w:val="24"/>
          <w:szCs w:val="24"/>
          <w:lang w:val="en-US" w:eastAsia="zh-CN" w:bidi="ar"/>
        </w:rPr>
        <w:t>92#</w:t>
      </w:r>
      <w:r>
        <w:rPr>
          <w:rFonts w:hint="eastAsia" w:ascii="宋体" w:hAnsi="宋体" w:eastAsia="宋体" w:cs="宋体"/>
          <w:color w:val="000000"/>
          <w:kern w:val="0"/>
          <w:sz w:val="24"/>
          <w:szCs w:val="24"/>
          <w:lang w:val="en-US" w:eastAsia="zh-CN" w:bidi="ar"/>
        </w:rPr>
        <w:t>汽油、</w:t>
      </w:r>
      <w:r>
        <w:rPr>
          <w:rFonts w:hint="default" w:ascii="Times New Roman" w:hAnsi="Times New Roman" w:eastAsia="宋体" w:cs="Times New Roman"/>
          <w:color w:val="000000"/>
          <w:kern w:val="0"/>
          <w:sz w:val="24"/>
          <w:szCs w:val="24"/>
          <w:lang w:val="en-US" w:eastAsia="zh-CN" w:bidi="ar"/>
        </w:rPr>
        <w:t>95#</w:t>
      </w:r>
      <w:r>
        <w:rPr>
          <w:rFonts w:hint="eastAsia" w:ascii="宋体" w:hAnsi="宋体" w:eastAsia="宋体" w:cs="宋体"/>
          <w:color w:val="000000"/>
          <w:kern w:val="0"/>
          <w:sz w:val="24"/>
          <w:szCs w:val="24"/>
          <w:lang w:val="en-US" w:eastAsia="zh-CN" w:bidi="ar"/>
        </w:rPr>
        <w:t>汽油、</w:t>
      </w:r>
      <w:r>
        <w:rPr>
          <w:rFonts w:hint="default" w:ascii="Times New Roman" w:hAnsi="Times New Roman" w:eastAsia="宋体" w:cs="Times New Roman"/>
          <w:color w:val="000000"/>
          <w:kern w:val="0"/>
          <w:sz w:val="24"/>
          <w:szCs w:val="24"/>
          <w:lang w:val="en-US" w:eastAsia="zh-CN" w:bidi="ar"/>
        </w:rPr>
        <w:t>0#</w:t>
      </w:r>
      <w:r>
        <w:rPr>
          <w:rFonts w:hint="eastAsia" w:ascii="宋体" w:hAnsi="宋体" w:eastAsia="宋体" w:cs="宋体"/>
          <w:color w:val="000000"/>
          <w:kern w:val="0"/>
          <w:sz w:val="24"/>
          <w:szCs w:val="24"/>
          <w:lang w:val="en-US" w:eastAsia="zh-CN" w:bidi="ar"/>
        </w:rPr>
        <w:t>柴油、</w:t>
      </w:r>
      <w:r>
        <w:rPr>
          <w:rFonts w:hint="default" w:ascii="Times New Roman" w:hAnsi="Times New Roman" w:eastAsia="宋体"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 xml:space="preserve">柴油零售业务，油源来自陕西延长石油有限责任公司。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项目原由陕西高速公路服务有限责任公司投资建设。陕西高速公路服务有限</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000000"/>
          <w:kern w:val="0"/>
          <w:sz w:val="24"/>
          <w:szCs w:val="24"/>
          <w:lang w:val="en-US" w:eastAsia="zh-CN" w:bidi="ar"/>
        </w:rPr>
        <w:t>责任公司将茂陵服务区</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座加油站经营权转让给陕西省石油化工工业贸易有限公司后，陕西省石油化工工业贸易有限公司严格按照加油站设计与施工规范开始建设，建设过程中未发生环境事件投诉。目前该项目已建成投入运营，各项设施运行情况正常，已具备验收条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本次验收范围为项目建设的主体工程、辅助工程、配套公共设施和环保设施等。</w:t>
      </w:r>
    </w:p>
    <w:p>
      <w:pPr>
        <w:keepNext w:val="0"/>
        <w:keepLines w:val="0"/>
        <w:widowControl/>
        <w:suppressLineNumbers w:val="0"/>
        <w:jc w:val="left"/>
      </w:pPr>
      <w:r>
        <w:rPr>
          <w:rFonts w:hint="eastAsia" w:ascii="宋体" w:hAnsi="宋体" w:eastAsia="宋体" w:cs="宋体"/>
          <w:b/>
          <w:color w:val="000000"/>
          <w:kern w:val="0"/>
          <w:sz w:val="28"/>
          <w:szCs w:val="28"/>
          <w:lang w:val="en-US" w:eastAsia="zh-CN" w:bidi="ar"/>
        </w:rPr>
        <w:t>二、项目变动情况</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项目实际建设情况，项目建设内容与环评及批复文件总体一致，无变动。</w:t>
      </w:r>
    </w:p>
    <w:p>
      <w:pPr>
        <w:keepNext w:val="0"/>
        <w:keepLines w:val="0"/>
        <w:widowControl/>
        <w:suppressLineNumbers w:val="0"/>
        <w:jc w:val="left"/>
      </w:pPr>
      <w:r>
        <w:rPr>
          <w:rFonts w:hint="eastAsia" w:ascii="宋体" w:hAnsi="宋体" w:eastAsia="宋体" w:cs="宋体"/>
          <w:b/>
          <w:color w:val="000000"/>
          <w:kern w:val="0"/>
          <w:sz w:val="28"/>
          <w:szCs w:val="28"/>
          <w:lang w:val="en-US" w:eastAsia="zh-CN" w:bidi="ar"/>
        </w:rPr>
        <w:t xml:space="preserve">三、环境保护设施建设情况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000000"/>
          <w:kern w:val="0"/>
          <w:sz w:val="24"/>
          <w:szCs w:val="24"/>
          <w:lang w:val="en-US" w:eastAsia="zh-CN" w:bidi="ar"/>
        </w:rPr>
        <w:t>（一）废水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项目运营期废水主要为生活污水，项目生活污水依托茂陵服务区已建一体化埋地式中水回用膜处理设备处理后，出水回用于服务区场区绿化</w:t>
      </w:r>
      <w:r>
        <w:rPr>
          <w:rFonts w:hint="eastAsia" w:ascii="宋体" w:hAnsi="宋体" w:cs="宋体"/>
          <w:color w:val="000000"/>
          <w:kern w:val="0"/>
          <w:sz w:val="24"/>
          <w:szCs w:val="24"/>
          <w:lang w:val="en-US" w:eastAsia="zh-CN" w:bidi="ar"/>
        </w:rPr>
        <w:t>及冲厕</w:t>
      </w:r>
      <w:r>
        <w:rPr>
          <w:rFonts w:hint="eastAsia" w:ascii="宋体" w:hAnsi="宋体" w:eastAsia="宋体" w:cs="宋体"/>
          <w:color w:val="000000"/>
          <w:kern w:val="0"/>
          <w:sz w:val="24"/>
          <w:szCs w:val="24"/>
          <w:lang w:val="en-US" w:eastAsia="zh-CN" w:bidi="ar"/>
        </w:rPr>
        <w:t>，不外排。</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000000"/>
          <w:kern w:val="0"/>
          <w:sz w:val="24"/>
          <w:szCs w:val="24"/>
          <w:lang w:val="en-US" w:eastAsia="zh-CN" w:bidi="ar"/>
        </w:rPr>
        <w:t>（二）废气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项目储罐大小呼吸、加油、卸油过程产生的油气经过三次油气回收系统处理</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000000"/>
          <w:kern w:val="0"/>
          <w:sz w:val="24"/>
          <w:szCs w:val="24"/>
          <w:lang w:val="en-US" w:eastAsia="zh-CN" w:bidi="ar"/>
        </w:rPr>
        <w:t>排放。</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000000"/>
          <w:kern w:val="0"/>
          <w:sz w:val="24"/>
          <w:szCs w:val="24"/>
          <w:lang w:val="en-US" w:eastAsia="zh-CN" w:bidi="ar"/>
        </w:rPr>
        <w:t>（三）噪声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项目主要噪声源为项目区内来往的机动车行驶产生的交通噪声以及加油机油泵运行时产生的噪声。采取的主要工程措施是设备减振、设置减速带、绿化带</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000000"/>
          <w:kern w:val="0"/>
          <w:sz w:val="24"/>
          <w:szCs w:val="24"/>
          <w:lang w:val="en-US" w:eastAsia="zh-CN" w:bidi="ar"/>
        </w:rPr>
        <w:t>降噪等降噪措施，管理措施是车辆低速行驶。</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（四）固废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本项目产生的固体废物包括生活垃圾和危险废物。生活垃圾主要是员工日常</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000000"/>
          <w:kern w:val="0"/>
          <w:sz w:val="24"/>
          <w:szCs w:val="24"/>
          <w:lang w:val="en-US" w:eastAsia="zh-CN" w:bidi="ar"/>
        </w:rPr>
        <w:t>活动及流动人员产生的固体废物，厂区设置具盖垃圾箱，分类收集后，交由茂陵</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000000"/>
          <w:kern w:val="0"/>
          <w:sz w:val="24"/>
          <w:szCs w:val="24"/>
          <w:lang w:val="en-US" w:eastAsia="zh-CN" w:bidi="ar"/>
        </w:rPr>
        <w:t>服务区统一处置；危险废物主要为加油设备维修和维护产生的废润滑油、废含油棉纱、废手套和油罐清理产生的含油油泥。油泥交由清罐单位处置。加油设备维修和维护产生的废润滑油、废含油棉纱、废手套暂存于危废暂存</w:t>
      </w:r>
      <w:r>
        <w:rPr>
          <w:rFonts w:hint="eastAsia" w:ascii="宋体" w:hAnsi="宋体" w:cs="宋体"/>
          <w:color w:val="000000"/>
          <w:kern w:val="0"/>
          <w:sz w:val="24"/>
          <w:szCs w:val="24"/>
          <w:lang w:val="en-US" w:eastAsia="zh-CN" w:bidi="ar"/>
        </w:rPr>
        <w:t>箱</w:t>
      </w:r>
      <w:r>
        <w:rPr>
          <w:rFonts w:hint="eastAsia" w:ascii="宋体" w:hAnsi="宋体" w:eastAsia="宋体" w:cs="宋体"/>
          <w:color w:val="000000"/>
          <w:kern w:val="0"/>
          <w:sz w:val="24"/>
          <w:szCs w:val="24"/>
          <w:lang w:val="en-US" w:eastAsia="zh-CN" w:bidi="ar"/>
        </w:rPr>
        <w:t>，交由陕西明瑞资源再生有限公司处置</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危废暂存箱内设置有专用托盘、专用桶，底部</w:t>
      </w:r>
      <w:r>
        <w:rPr>
          <w:rFonts w:hint="eastAsia" w:ascii="宋体" w:hAnsi="宋体" w:cs="宋体"/>
          <w:color w:val="000000"/>
          <w:kern w:val="0"/>
          <w:sz w:val="24"/>
          <w:szCs w:val="24"/>
          <w:lang w:val="en-US" w:eastAsia="zh-CN" w:bidi="ar"/>
        </w:rPr>
        <w:t>四周</w:t>
      </w:r>
      <w:r>
        <w:rPr>
          <w:rFonts w:hint="eastAsia" w:ascii="宋体" w:hAnsi="宋体" w:eastAsia="宋体" w:cs="宋体"/>
          <w:color w:val="000000"/>
          <w:kern w:val="0"/>
          <w:sz w:val="24"/>
          <w:szCs w:val="24"/>
          <w:lang w:val="en-US" w:eastAsia="zh-CN" w:bidi="ar"/>
        </w:rPr>
        <w:t>设置有防渗漏混凝土地台</w:t>
      </w:r>
      <w:r>
        <w:rPr>
          <w:rFonts w:hint="eastAsia" w:ascii="宋体" w:hAnsi="宋体" w:cs="宋体"/>
          <w:color w:val="000000"/>
          <w:kern w:val="0"/>
          <w:sz w:val="24"/>
          <w:szCs w:val="24"/>
          <w:lang w:val="en-US" w:eastAsia="zh-CN" w:bidi="ar"/>
        </w:rPr>
        <w:t>的</w:t>
      </w:r>
      <w:r>
        <w:rPr>
          <w:rFonts w:hint="eastAsia" w:ascii="宋体" w:hAnsi="宋体" w:eastAsia="宋体" w:cs="宋体"/>
          <w:color w:val="000000"/>
          <w:kern w:val="0"/>
          <w:sz w:val="24"/>
          <w:szCs w:val="24"/>
          <w:lang w:val="en-US" w:eastAsia="zh-CN" w:bidi="ar"/>
        </w:rPr>
        <w:t>围堰</w:t>
      </w:r>
      <w:r>
        <w:rPr>
          <w:rFonts w:hint="eastAsia" w:ascii="宋体" w:hAnsi="宋体" w:cs="宋体"/>
          <w:color w:val="000000"/>
          <w:kern w:val="0"/>
          <w:sz w:val="24"/>
          <w:szCs w:val="24"/>
          <w:lang w:val="en-US" w:eastAsia="zh-CN" w:bidi="ar"/>
        </w:rPr>
        <w:t>。</w:t>
      </w:r>
    </w:p>
    <w:p>
      <w:pPr>
        <w:keepNext w:val="0"/>
        <w:keepLines w:val="0"/>
        <w:widowControl/>
        <w:suppressLineNumbers w:val="0"/>
        <w:jc w:val="left"/>
      </w:pPr>
      <w:r>
        <w:rPr>
          <w:rFonts w:hint="eastAsia" w:ascii="宋体" w:hAnsi="宋体" w:eastAsia="宋体" w:cs="宋体"/>
          <w:b/>
          <w:color w:val="000000"/>
          <w:kern w:val="0"/>
          <w:sz w:val="28"/>
          <w:szCs w:val="28"/>
          <w:lang w:val="en-US" w:eastAsia="zh-CN" w:bidi="ar"/>
        </w:rPr>
        <w:t xml:space="preserve">四、验收监测结果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根据陕西安讯环境检测有限公司出具的安讯检测（综）第</w:t>
      </w:r>
      <w:r>
        <w:rPr>
          <w:rFonts w:hint="default" w:ascii="Times New Roman" w:hAnsi="Times New Roman" w:eastAsia="宋体" w:cs="Times New Roman"/>
          <w:color w:val="auto"/>
          <w:sz w:val="24"/>
          <w:szCs w:val="24"/>
          <w:highlight w:val="none"/>
        </w:rPr>
        <w:t>2020</w:t>
      </w:r>
      <w:r>
        <w:rPr>
          <w:rFonts w:hint="eastAsia" w:ascii="Times New Roman" w:hAnsi="Times New Roman" w:eastAsia="宋体" w:cs="Times New Roman"/>
          <w:color w:val="auto"/>
          <w:sz w:val="24"/>
          <w:szCs w:val="24"/>
          <w:highlight w:val="none"/>
          <w:lang w:val="en-US" w:eastAsia="zh-CN"/>
        </w:rPr>
        <w:t>12002</w:t>
      </w:r>
      <w:r>
        <w:rPr>
          <w:rFonts w:hint="eastAsia" w:ascii="宋体" w:hAnsi="宋体" w:eastAsia="宋体" w:cs="宋体"/>
          <w:color w:val="000000"/>
          <w:kern w:val="0"/>
          <w:sz w:val="24"/>
          <w:szCs w:val="24"/>
          <w:lang w:val="en-US" w:eastAsia="zh-CN" w:bidi="ar"/>
        </w:rPr>
        <w:t>号监测报告，废水排放口各污染因子日均值均符合《污水综合排放标准》（</w:t>
      </w:r>
      <w:r>
        <w:rPr>
          <w:rFonts w:hint="default" w:ascii="Times New Roman" w:hAnsi="Times New Roman" w:eastAsia="宋体" w:cs="Times New Roman"/>
          <w:color w:val="000000"/>
          <w:kern w:val="0"/>
          <w:sz w:val="24"/>
          <w:szCs w:val="24"/>
          <w:lang w:val="en-US" w:eastAsia="zh-CN" w:bidi="ar"/>
        </w:rPr>
        <w:t>GB8978-1996</w:t>
      </w:r>
      <w:r>
        <w:rPr>
          <w:rFonts w:hint="eastAsia" w:ascii="宋体" w:hAnsi="宋体" w:eastAsia="宋体" w:cs="宋体"/>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000000"/>
          <w:kern w:val="0"/>
          <w:sz w:val="24"/>
          <w:szCs w:val="24"/>
          <w:lang w:val="en-US" w:eastAsia="zh-CN" w:bidi="ar"/>
        </w:rPr>
        <w:t>中的一级标准及《城市污水再生利用城市杂用水水质标准》（</w:t>
      </w:r>
      <w:r>
        <w:rPr>
          <w:rFonts w:hint="default" w:ascii="Times New Roman" w:hAnsi="Times New Roman" w:eastAsia="宋体" w:cs="Times New Roman"/>
          <w:color w:val="000000"/>
          <w:kern w:val="0"/>
          <w:sz w:val="24"/>
          <w:szCs w:val="24"/>
          <w:lang w:val="en-US" w:eastAsia="zh-CN" w:bidi="ar"/>
        </w:rPr>
        <w:t>GB T 18920-2002</w:t>
      </w:r>
      <w:r>
        <w:rPr>
          <w:rFonts w:hint="eastAsia" w:ascii="宋体" w:hAnsi="宋体" w:eastAsia="宋体" w:cs="宋体"/>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000000"/>
          <w:kern w:val="0"/>
          <w:sz w:val="24"/>
          <w:szCs w:val="24"/>
          <w:lang w:val="en-US" w:eastAsia="zh-CN" w:bidi="ar"/>
        </w:rPr>
        <w:t xml:space="preserve">中相关水质标准。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本项目油气回收装置排放口监控点非甲烷总烃浓度符合《加油站大气污染物</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000000"/>
          <w:kern w:val="0"/>
          <w:sz w:val="24"/>
          <w:szCs w:val="24"/>
          <w:lang w:val="en-US" w:eastAsia="zh-CN" w:bidi="ar"/>
        </w:rPr>
        <w:t>排放标准》（</w:t>
      </w:r>
      <w:r>
        <w:rPr>
          <w:rFonts w:hint="default" w:ascii="Times New Roman" w:hAnsi="Times New Roman" w:eastAsia="宋体" w:cs="Times New Roman"/>
          <w:color w:val="000000"/>
          <w:kern w:val="0"/>
          <w:sz w:val="24"/>
          <w:szCs w:val="24"/>
          <w:lang w:val="en-US" w:eastAsia="zh-CN" w:bidi="ar"/>
        </w:rPr>
        <w:t>GB20952-2007</w:t>
      </w:r>
      <w:r>
        <w:rPr>
          <w:rFonts w:hint="eastAsia" w:ascii="宋体" w:hAnsi="宋体" w:eastAsia="宋体" w:cs="宋体"/>
          <w:color w:val="000000"/>
          <w:kern w:val="0"/>
          <w:sz w:val="24"/>
          <w:szCs w:val="24"/>
          <w:lang w:val="en-US" w:eastAsia="zh-CN" w:bidi="ar"/>
        </w:rPr>
        <w:t>）限值标准；项目无组织废气各监测点非甲烷总烃</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000000"/>
          <w:kern w:val="0"/>
          <w:sz w:val="24"/>
          <w:szCs w:val="24"/>
          <w:lang w:val="en-US" w:eastAsia="zh-CN" w:bidi="ar"/>
        </w:rPr>
        <w:t>浓度均符合《大气污染物综合排放标准》（</w:t>
      </w:r>
      <w:r>
        <w:rPr>
          <w:rFonts w:hint="default" w:ascii="Times New Roman" w:hAnsi="Times New Roman" w:eastAsia="宋体" w:cs="Times New Roman"/>
          <w:color w:val="000000"/>
          <w:kern w:val="0"/>
          <w:sz w:val="24"/>
          <w:szCs w:val="24"/>
          <w:lang w:val="en-US" w:eastAsia="zh-CN" w:bidi="ar"/>
        </w:rPr>
        <w:t>GB16297-1996</w:t>
      </w:r>
      <w:r>
        <w:rPr>
          <w:rFonts w:hint="eastAsia" w:ascii="宋体" w:hAnsi="宋体" w:eastAsia="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中无组织排放监控浓度限值标准。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根据监测结果，西厂界昼夜间噪声测定值均符合《工业企业厂界环境噪声排</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color w:val="000000"/>
          <w:kern w:val="0"/>
          <w:sz w:val="24"/>
          <w:szCs w:val="24"/>
          <w:lang w:val="en-US" w:eastAsia="zh-CN" w:bidi="ar"/>
        </w:rPr>
        <w:t>放标准》（</w:t>
      </w:r>
      <w:r>
        <w:rPr>
          <w:rFonts w:hint="default" w:ascii="Times New Roman" w:hAnsi="Times New Roman" w:eastAsia="宋体" w:cs="Times New Roman"/>
          <w:color w:val="000000"/>
          <w:kern w:val="0"/>
          <w:sz w:val="24"/>
          <w:szCs w:val="24"/>
          <w:lang w:val="en-US" w:eastAsia="zh-CN" w:bidi="ar"/>
        </w:rPr>
        <w:t>GB 12348-2008</w:t>
      </w:r>
      <w:r>
        <w:rPr>
          <w:rFonts w:hint="eastAsia" w:ascii="宋体" w:hAnsi="宋体" w:eastAsia="宋体" w:cs="宋体"/>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类标准，南厂界、北厂界、东厂界昼夜间噪声测定值均符合《工业企业厂界环境噪声排放标准》（</w:t>
      </w:r>
      <w:r>
        <w:rPr>
          <w:rFonts w:hint="default" w:ascii="Times New Roman" w:hAnsi="Times New Roman" w:eastAsia="宋体" w:cs="Times New Roman"/>
          <w:color w:val="000000"/>
          <w:kern w:val="0"/>
          <w:sz w:val="24"/>
          <w:szCs w:val="24"/>
          <w:lang w:val="en-US" w:eastAsia="zh-CN" w:bidi="ar"/>
        </w:rPr>
        <w:t>GB 12348-2008</w:t>
      </w:r>
      <w:r>
        <w:rPr>
          <w:rFonts w:hint="eastAsia" w:ascii="宋体" w:hAnsi="宋体" w:eastAsia="宋体" w:cs="宋体"/>
          <w:color w:val="000000"/>
          <w:kern w:val="0"/>
          <w:sz w:val="24"/>
          <w:szCs w:val="24"/>
          <w:lang w:val="en-US" w:eastAsia="zh-CN" w:bidi="ar"/>
        </w:rPr>
        <w:t>）中的</w:t>
      </w:r>
      <w:r>
        <w:rPr>
          <w:rFonts w:hint="eastAsia"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类标准。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现场调查及企业自述，本项目产生的固体废物包括生活垃圾和危险废物。生活垃圾主要是员工日常活动及流动人员产生的固体废物，目前产生量为0.2t，分类收集后，交由茂陵服务区统一送环卫部门进行集中处理。危险废物主要是废润滑油（环评阶段预测产生量0.05t/a）、油罐底部油泥（环评阶段预测产生量0.15t/a）和废含油棉纱、废手套（环评阶段预测产生量0.004t/a），验收阶段未产生。</w:t>
      </w:r>
      <w:r>
        <w:rPr>
          <w:rFonts w:hint="eastAsia" w:ascii="宋体" w:hAnsi="宋体" w:cs="宋体"/>
          <w:color w:val="000000"/>
          <w:kern w:val="0"/>
          <w:sz w:val="24"/>
          <w:szCs w:val="24"/>
          <w:lang w:val="en-US" w:eastAsia="zh-CN" w:bidi="ar"/>
        </w:rPr>
        <w:t>清罐</w:t>
      </w:r>
      <w:r>
        <w:rPr>
          <w:rFonts w:hint="eastAsia" w:ascii="宋体" w:hAnsi="宋体" w:eastAsia="宋体" w:cs="宋体"/>
          <w:color w:val="000000"/>
          <w:kern w:val="0"/>
          <w:sz w:val="24"/>
          <w:szCs w:val="24"/>
          <w:lang w:val="en-US" w:eastAsia="zh-CN" w:bidi="ar"/>
        </w:rPr>
        <w:t>油泥由清罐单位直接拉走处置，不在站内贮存。废润滑油、</w:t>
      </w:r>
      <w:r>
        <w:rPr>
          <w:rFonts w:hint="eastAsia" w:ascii="宋体" w:hAnsi="宋体" w:cs="宋体"/>
          <w:color w:val="000000"/>
          <w:kern w:val="0"/>
          <w:sz w:val="24"/>
          <w:szCs w:val="24"/>
          <w:lang w:val="en-US" w:eastAsia="zh-CN" w:bidi="ar"/>
        </w:rPr>
        <w:t>废含油棉纱、废手套</w:t>
      </w:r>
      <w:r>
        <w:rPr>
          <w:rFonts w:hint="eastAsia" w:ascii="宋体" w:hAnsi="宋体" w:eastAsia="宋体" w:cs="宋体"/>
          <w:color w:val="000000"/>
          <w:kern w:val="0"/>
          <w:sz w:val="24"/>
          <w:szCs w:val="24"/>
          <w:lang w:val="en-US" w:eastAsia="zh-CN" w:bidi="ar"/>
        </w:rPr>
        <w:t>暂存于危废暂存箱，统一交由陕西明瑞资源再生有限公司处置。</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hint="eastAsia" w:ascii="宋体" w:hAnsi="宋体" w:eastAsia="宋体" w:cs="宋体"/>
          <w:b/>
          <w:color w:val="000000"/>
          <w:kern w:val="0"/>
          <w:sz w:val="28"/>
          <w:szCs w:val="28"/>
          <w:lang w:val="en-US" w:eastAsia="zh-CN" w:bidi="ar"/>
        </w:rPr>
        <w:t xml:space="preserve">五、工程建设对环境的影响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项目运营期废水主要为生活污水，生活污水</w:t>
      </w:r>
      <w:r>
        <w:rPr>
          <w:rFonts w:hint="eastAsia" w:ascii="宋体" w:hAnsi="宋体" w:cs="宋体"/>
          <w:color w:val="000000"/>
          <w:kern w:val="0"/>
          <w:sz w:val="24"/>
          <w:szCs w:val="24"/>
          <w:lang w:val="en-US" w:eastAsia="zh-CN" w:bidi="ar"/>
        </w:rPr>
        <w:t>经茂陵服务区污水</w:t>
      </w:r>
      <w:r>
        <w:rPr>
          <w:rFonts w:hint="eastAsia" w:ascii="宋体" w:hAnsi="宋体" w:eastAsia="宋体" w:cs="宋体"/>
          <w:color w:val="000000"/>
          <w:kern w:val="0"/>
          <w:sz w:val="24"/>
          <w:szCs w:val="24"/>
          <w:lang w:val="en-US" w:eastAsia="zh-CN" w:bidi="ar"/>
        </w:rPr>
        <w:t>处理</w:t>
      </w:r>
      <w:r>
        <w:rPr>
          <w:rFonts w:hint="eastAsia" w:ascii="宋体" w:hAnsi="宋体" w:cs="宋体"/>
          <w:color w:val="000000"/>
          <w:kern w:val="0"/>
          <w:sz w:val="24"/>
          <w:szCs w:val="24"/>
          <w:lang w:val="en-US" w:eastAsia="zh-CN" w:bidi="ar"/>
        </w:rPr>
        <w:t>设施处理后</w:t>
      </w:r>
      <w:r>
        <w:rPr>
          <w:rFonts w:hint="eastAsia" w:ascii="宋体" w:hAnsi="宋体" w:eastAsia="宋体" w:cs="宋体"/>
          <w:color w:val="000000"/>
          <w:kern w:val="0"/>
          <w:sz w:val="24"/>
          <w:szCs w:val="24"/>
          <w:lang w:val="en-US" w:eastAsia="zh-CN" w:bidi="ar"/>
        </w:rPr>
        <w:t>用于服务区场区绿化</w:t>
      </w:r>
      <w:r>
        <w:rPr>
          <w:rFonts w:hint="eastAsia" w:ascii="宋体" w:hAnsi="宋体" w:cs="宋体"/>
          <w:color w:val="000000"/>
          <w:kern w:val="0"/>
          <w:sz w:val="24"/>
          <w:szCs w:val="24"/>
          <w:lang w:val="en-US" w:eastAsia="zh-CN" w:bidi="ar"/>
        </w:rPr>
        <w:t>及冲厕，</w:t>
      </w:r>
      <w:r>
        <w:rPr>
          <w:rFonts w:hint="eastAsia" w:ascii="宋体" w:hAnsi="宋体" w:eastAsia="宋体" w:cs="宋体"/>
          <w:color w:val="000000"/>
          <w:kern w:val="0"/>
          <w:sz w:val="24"/>
          <w:szCs w:val="24"/>
          <w:lang w:val="en-US" w:eastAsia="zh-CN" w:bidi="ar"/>
        </w:rPr>
        <w:t>不外排。大气污染物主要是油气灌装（卸油）、储存（静储）、加油等过程中挥发产生的油气（非甲烷总烃）</w:t>
      </w:r>
      <w:r>
        <w:rPr>
          <w:rFonts w:hint="eastAsia" w:ascii="宋体" w:hAnsi="宋体" w:cs="宋体"/>
          <w:color w:val="000000"/>
          <w:kern w:val="0"/>
          <w:sz w:val="24"/>
          <w:szCs w:val="24"/>
          <w:lang w:val="en-US" w:eastAsia="zh-CN" w:bidi="ar"/>
        </w:rPr>
        <w:t>，三次油气排放口非甲烷总烃浓度</w:t>
      </w:r>
      <w:r>
        <w:rPr>
          <w:rFonts w:hint="eastAsia" w:ascii="宋体" w:hAnsi="宋体" w:eastAsia="宋体" w:cs="宋体"/>
          <w:color w:val="000000"/>
          <w:kern w:val="0"/>
          <w:sz w:val="24"/>
          <w:szCs w:val="24"/>
          <w:lang w:val="en-US" w:eastAsia="zh-CN" w:bidi="ar"/>
        </w:rPr>
        <w:t>符合《加油站大气污染物排放标准》（</w:t>
      </w:r>
      <w:r>
        <w:rPr>
          <w:rFonts w:hint="default" w:ascii="Times New Roman" w:hAnsi="Times New Roman" w:eastAsia="宋体" w:cs="Times New Roman"/>
          <w:color w:val="000000"/>
          <w:kern w:val="0"/>
          <w:sz w:val="24"/>
          <w:szCs w:val="24"/>
          <w:lang w:val="en-US" w:eastAsia="zh-CN" w:bidi="ar"/>
        </w:rPr>
        <w:t>GB20952-2007</w:t>
      </w:r>
      <w:r>
        <w:rPr>
          <w:rFonts w:hint="eastAsia" w:ascii="宋体" w:hAnsi="宋体" w:eastAsia="宋体" w:cs="宋体"/>
          <w:color w:val="000000"/>
          <w:kern w:val="0"/>
          <w:sz w:val="24"/>
          <w:szCs w:val="24"/>
          <w:lang w:val="en-US" w:eastAsia="zh-CN" w:bidi="ar"/>
        </w:rPr>
        <w:t>）限值标准</w:t>
      </w:r>
      <w:r>
        <w:rPr>
          <w:rFonts w:hint="eastAsia" w:ascii="宋体" w:hAnsi="宋体" w:cs="宋体"/>
          <w:color w:val="000000"/>
          <w:kern w:val="0"/>
          <w:sz w:val="24"/>
          <w:szCs w:val="24"/>
          <w:lang w:val="en-US" w:eastAsia="zh-CN" w:bidi="ar"/>
        </w:rPr>
        <w:t>，无组织非甲烷总烃浓度符合</w:t>
      </w:r>
      <w:r>
        <w:rPr>
          <w:rFonts w:hint="eastAsia" w:ascii="宋体" w:hAnsi="宋体" w:eastAsia="宋体" w:cs="宋体"/>
          <w:color w:val="000000"/>
          <w:kern w:val="0"/>
          <w:sz w:val="24"/>
          <w:szCs w:val="24"/>
          <w:lang w:val="en-US" w:eastAsia="zh-CN" w:bidi="ar"/>
        </w:rPr>
        <w:t>《大气污染物综合排放标准》（</w:t>
      </w:r>
      <w:r>
        <w:rPr>
          <w:rFonts w:hint="default" w:ascii="Times New Roman" w:hAnsi="Times New Roman" w:eastAsia="宋体" w:cs="Times New Roman"/>
          <w:color w:val="000000"/>
          <w:kern w:val="0"/>
          <w:sz w:val="24"/>
          <w:szCs w:val="24"/>
          <w:lang w:val="en-US" w:eastAsia="zh-CN" w:bidi="ar"/>
        </w:rPr>
        <w:t>GB16297-1996</w:t>
      </w:r>
      <w:r>
        <w:rPr>
          <w:rFonts w:hint="eastAsia" w:ascii="宋体" w:hAnsi="宋体" w:eastAsia="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中无组织排放监控浓度限值标准。厂界昼夜间噪声值均达到国家相关标准要求。一般固废符合《一般工业固体废物贮存、处置场污染控制标准》</w:t>
      </w:r>
      <w:r>
        <w:rPr>
          <w:rFonts w:hint="default" w:ascii="Times New Roman" w:hAnsi="Times New Roman" w:eastAsia="宋体" w:cs="Times New Roman"/>
          <w:color w:val="000000"/>
          <w:kern w:val="0"/>
          <w:sz w:val="24"/>
          <w:szCs w:val="24"/>
          <w:lang w:val="en-US" w:eastAsia="zh-CN" w:bidi="ar"/>
        </w:rPr>
        <w:t>(GB18599-2001)</w:t>
      </w:r>
      <w:r>
        <w:rPr>
          <w:rFonts w:hint="eastAsia" w:ascii="宋体" w:hAnsi="宋体" w:eastAsia="宋体" w:cs="宋体"/>
          <w:color w:val="000000"/>
          <w:kern w:val="0"/>
          <w:sz w:val="24"/>
          <w:szCs w:val="24"/>
          <w:lang w:val="en-US" w:eastAsia="zh-CN" w:bidi="ar"/>
        </w:rPr>
        <w:t>及其修改单中的要求；危险废物符合《危险废物贮存污染控制标准》（</w:t>
      </w:r>
      <w:r>
        <w:rPr>
          <w:rFonts w:hint="default" w:ascii="Times New Roman" w:hAnsi="Times New Roman" w:eastAsia="宋体" w:cs="Times New Roman"/>
          <w:color w:val="000000"/>
          <w:kern w:val="0"/>
          <w:sz w:val="24"/>
          <w:szCs w:val="24"/>
          <w:lang w:val="en-US" w:eastAsia="zh-CN" w:bidi="ar"/>
        </w:rPr>
        <w:t>GB18597-2001</w:t>
      </w:r>
      <w:r>
        <w:rPr>
          <w:rFonts w:hint="eastAsia" w:ascii="宋体" w:hAnsi="宋体" w:eastAsia="宋体" w:cs="宋体"/>
          <w:color w:val="000000"/>
          <w:kern w:val="0"/>
          <w:sz w:val="24"/>
          <w:szCs w:val="24"/>
          <w:lang w:val="en-US" w:eastAsia="zh-CN" w:bidi="ar"/>
        </w:rPr>
        <w:t>）及其修改单中的要求，对周围环境影响较小。</w:t>
      </w:r>
    </w:p>
    <w:p>
      <w:pPr>
        <w:keepNext w:val="0"/>
        <w:keepLines w:val="0"/>
        <w:widowControl/>
        <w:suppressLineNumbers w:val="0"/>
        <w:jc w:val="left"/>
      </w:pPr>
      <w:r>
        <w:rPr>
          <w:rFonts w:hint="eastAsia" w:ascii="宋体" w:hAnsi="宋体" w:eastAsia="宋体" w:cs="宋体"/>
          <w:b/>
          <w:color w:val="000000"/>
          <w:kern w:val="0"/>
          <w:sz w:val="28"/>
          <w:szCs w:val="28"/>
          <w:lang w:val="en-US" w:eastAsia="zh-CN" w:bidi="ar"/>
        </w:rPr>
        <w:t>六、验收结论及后续要求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cs="宋体"/>
          <w:color w:val="000000"/>
          <w:kern w:val="0"/>
          <w:sz w:val="24"/>
          <w:szCs w:val="24"/>
          <w:lang w:val="en-US" w:eastAsia="zh-CN" w:bidi="ar"/>
        </w:rPr>
        <w:t>该项目履行了</w:t>
      </w:r>
      <w:r>
        <w:rPr>
          <w:rFonts w:hint="eastAsia" w:ascii="宋体" w:hAnsi="宋体" w:eastAsia="宋体" w:cs="宋体"/>
          <w:color w:val="000000"/>
          <w:kern w:val="0"/>
          <w:sz w:val="24"/>
          <w:szCs w:val="24"/>
          <w:lang w:val="en-US" w:eastAsia="zh-CN" w:bidi="ar"/>
        </w:rPr>
        <w:t>环境影响评价</w:t>
      </w:r>
      <w:r>
        <w:rPr>
          <w:rFonts w:hint="eastAsia" w:ascii="宋体" w:hAnsi="宋体" w:cs="宋体"/>
          <w:color w:val="000000"/>
          <w:kern w:val="0"/>
          <w:sz w:val="24"/>
          <w:szCs w:val="24"/>
          <w:lang w:val="en-US" w:eastAsia="zh-CN" w:bidi="ar"/>
        </w:rPr>
        <w:t>审批手续</w:t>
      </w:r>
      <w:r>
        <w:rPr>
          <w:rFonts w:hint="eastAsia" w:ascii="宋体" w:hAnsi="宋体" w:eastAsia="宋体" w:cs="宋体"/>
          <w:color w:val="000000"/>
          <w:kern w:val="0"/>
          <w:sz w:val="24"/>
          <w:szCs w:val="24"/>
          <w:lang w:val="en-US" w:eastAsia="zh-CN" w:bidi="ar"/>
        </w:rPr>
        <w:t xml:space="preserve">，落实了环评及其批复提出的各项污染防治措施。经监测，项目废气、废水及厂界噪声均达到国家相关排放标准要求，固废处置妥当。因此，本项目符合建设项目竣工环境保护验收的要求，验收工作组同意本项目通过竣工环境保护验收。 </w:t>
      </w:r>
    </w:p>
    <w:p>
      <w:pPr>
        <w:keepNext w:val="0"/>
        <w:keepLines w:val="0"/>
        <w:widowControl/>
        <w:suppressLineNumbers w:val="0"/>
        <w:jc w:val="left"/>
      </w:pPr>
      <w:r>
        <w:rPr>
          <w:rFonts w:hint="eastAsia" w:ascii="宋体" w:hAnsi="宋体" w:eastAsia="宋体" w:cs="宋体"/>
          <w:b/>
          <w:color w:val="000000"/>
          <w:kern w:val="0"/>
          <w:sz w:val="28"/>
          <w:szCs w:val="28"/>
          <w:lang w:val="en-US" w:eastAsia="zh-CN" w:bidi="ar"/>
        </w:rPr>
        <w:t xml:space="preserve">七、后续要求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、建立</w:t>
      </w:r>
      <w:r>
        <w:rPr>
          <w:rFonts w:hint="eastAsia" w:ascii="宋体" w:hAnsi="宋体" w:cs="宋体"/>
          <w:color w:val="000000"/>
          <w:kern w:val="0"/>
          <w:sz w:val="24"/>
          <w:szCs w:val="24"/>
          <w:lang w:val="en-US" w:eastAsia="zh-CN" w:bidi="ar"/>
        </w:rPr>
        <w:t>健全</w:t>
      </w:r>
      <w:r>
        <w:rPr>
          <w:rFonts w:hint="eastAsia" w:ascii="宋体" w:hAnsi="宋体" w:eastAsia="宋体" w:cs="宋体"/>
          <w:color w:val="000000"/>
          <w:kern w:val="0"/>
          <w:sz w:val="24"/>
          <w:szCs w:val="24"/>
          <w:lang w:val="en-US" w:eastAsia="zh-CN" w:bidi="ar"/>
        </w:rPr>
        <w:t xml:space="preserve">环保管理制度。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、做好危险废物的暂存、转运及处置，建立完善的转运联单制度及台账记录。</w:t>
      </w:r>
    </w:p>
    <w:p>
      <w:pPr>
        <w:keepNext w:val="0"/>
        <w:keepLines w:val="0"/>
        <w:widowControl/>
        <w:suppressLineNumbers w:val="0"/>
        <w:jc w:val="left"/>
      </w:pPr>
      <w:r>
        <w:rPr>
          <w:rFonts w:hint="eastAsia" w:ascii="宋体" w:hAnsi="宋体" w:eastAsia="宋体" w:cs="宋体"/>
          <w:b/>
          <w:color w:val="000000"/>
          <w:kern w:val="0"/>
          <w:sz w:val="28"/>
          <w:szCs w:val="28"/>
          <w:lang w:val="en-US" w:eastAsia="zh-CN" w:bidi="ar"/>
        </w:rPr>
        <w:t>八、验收组名单附后</w:t>
      </w:r>
    </w:p>
    <w:p>
      <w:pPr>
        <w:keepNext w:val="0"/>
        <w:keepLines w:val="0"/>
        <w:widowControl/>
        <w:suppressLineNumbers w:val="0"/>
        <w:jc w:val="left"/>
        <w:rPr>
          <w:rFonts w:hint="eastAsia" w:ascii="宋体" w:hAnsi="宋体" w:eastAsia="宋体" w:cs="宋体"/>
          <w:b/>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b/>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jc w:val="right"/>
        <w:textAlignment w:val="auto"/>
        <w:rPr>
          <w:rFonts w:hint="eastAsia" w:ascii="宋体" w:hAnsi="宋体" w:eastAsia="宋体" w:cs="宋体"/>
          <w:b/>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jc w:val="right"/>
        <w:textAlignment w:val="auto"/>
        <w:rPr>
          <w:rFonts w:hint="eastAsia" w:ascii="宋体" w:hAnsi="宋体" w:eastAsia="宋体" w:cs="宋体"/>
          <w:b/>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jc w:val="right"/>
        <w:textAlignment w:val="auto"/>
      </w:pPr>
      <w:r>
        <w:rPr>
          <w:rFonts w:hint="eastAsia" w:ascii="宋体" w:hAnsi="宋体" w:eastAsia="宋体" w:cs="宋体"/>
          <w:b/>
          <w:color w:val="000000"/>
          <w:kern w:val="0"/>
          <w:sz w:val="24"/>
          <w:szCs w:val="24"/>
          <w:lang w:val="en-US" w:eastAsia="zh-CN" w:bidi="ar"/>
        </w:rPr>
        <w:t xml:space="preserve">陕西省石油化工工业贸易有限公司茂陵服务区东加油站 </w:t>
      </w:r>
    </w:p>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auto"/>
      </w:pPr>
      <w:r>
        <w:rPr>
          <w:rFonts w:hint="eastAsia" w:ascii="Times New Roman" w:hAnsi="Times New Roman" w:eastAsia="宋体" w:cs="Times New Roman"/>
          <w:b/>
          <w:color w:val="000000"/>
          <w:kern w:val="0"/>
          <w:sz w:val="24"/>
          <w:szCs w:val="24"/>
          <w:lang w:val="en-US" w:eastAsia="zh-CN" w:bidi="ar"/>
        </w:rPr>
        <w:t xml:space="preserve">                       </w:t>
      </w:r>
      <w:r>
        <w:rPr>
          <w:rFonts w:hint="default" w:ascii="Times New Roman" w:hAnsi="Times New Roman" w:eastAsia="宋体" w:cs="Times New Roman"/>
          <w:b/>
          <w:color w:val="000000"/>
          <w:kern w:val="0"/>
          <w:sz w:val="24"/>
          <w:szCs w:val="24"/>
          <w:lang w:val="en-US" w:eastAsia="zh-CN" w:bidi="ar"/>
        </w:rPr>
        <w:t>2020</w:t>
      </w:r>
      <w:r>
        <w:rPr>
          <w:rFonts w:hint="eastAsia" w:ascii="宋体" w:hAnsi="宋体" w:eastAsia="宋体" w:cs="宋体"/>
          <w:b/>
          <w:color w:val="000000"/>
          <w:kern w:val="0"/>
          <w:sz w:val="24"/>
          <w:szCs w:val="24"/>
          <w:lang w:val="en-US" w:eastAsia="zh-CN" w:bidi="ar"/>
        </w:rPr>
        <w:t>年</w:t>
      </w:r>
      <w:r>
        <w:rPr>
          <w:rFonts w:hint="eastAsia" w:ascii="Times New Roman" w:hAnsi="Times New Roman" w:eastAsia="宋体" w:cs="Times New Roman"/>
          <w:b/>
          <w:color w:val="000000"/>
          <w:kern w:val="0"/>
          <w:sz w:val="24"/>
          <w:szCs w:val="24"/>
          <w:lang w:val="en-US" w:eastAsia="zh-CN" w:bidi="ar"/>
        </w:rPr>
        <w:t>12</w:t>
      </w:r>
      <w:r>
        <w:rPr>
          <w:rFonts w:hint="eastAsia" w:ascii="宋体" w:hAnsi="宋体" w:eastAsia="宋体" w:cs="宋体"/>
          <w:b/>
          <w:color w:val="000000"/>
          <w:kern w:val="0"/>
          <w:sz w:val="24"/>
          <w:szCs w:val="24"/>
          <w:lang w:val="en-US" w:eastAsia="zh-CN" w:bidi="ar"/>
        </w:rPr>
        <w:t>月</w:t>
      </w:r>
      <w:r>
        <w:rPr>
          <w:rFonts w:hint="eastAsia" w:ascii="Times New Roman" w:hAnsi="Times New Roman" w:cs="Times New Roman"/>
          <w:b/>
          <w:color w:val="000000"/>
          <w:kern w:val="0"/>
          <w:sz w:val="24"/>
          <w:szCs w:val="24"/>
          <w:highlight w:val="none"/>
          <w:lang w:val="en-US" w:eastAsia="zh-CN" w:bidi="ar"/>
        </w:rPr>
        <w:t>29</w:t>
      </w:r>
      <w:r>
        <w:rPr>
          <w:rFonts w:hint="eastAsia" w:ascii="宋体" w:hAnsi="宋体" w:eastAsia="宋体" w:cs="宋体"/>
          <w:b/>
          <w:color w:val="000000"/>
          <w:kern w:val="0"/>
          <w:sz w:val="24"/>
          <w:szCs w:val="24"/>
          <w:lang w:val="en-US" w:eastAsia="zh-CN" w:bidi="ar"/>
        </w:rPr>
        <w:t>日</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lang w:val="en-US" w:eastAsia="zh-CN" w:bidi="ar"/>
        </w:rPr>
      </w:pPr>
    </w:p>
    <w:p/>
    <w:p>
      <w:pPr>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drawing>
          <wp:inline distT="0" distB="0" distL="114300" distR="114300">
            <wp:extent cx="5267325" cy="7448550"/>
            <wp:effectExtent l="0" t="0" r="9525" b="0"/>
            <wp:docPr id="5" name="图片 5" descr="东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东_08"/>
                    <pic:cNvPicPr>
                      <a:picLocks noChangeAspect="1"/>
                    </pic:cNvPicPr>
                  </pic:nvPicPr>
                  <pic:blipFill>
                    <a:blip r:embed="rId9"/>
                    <a:stretch>
                      <a:fillRect/>
                    </a:stretch>
                  </pic:blipFill>
                  <pic:spPr>
                    <a:xfrm>
                      <a:off x="0" y="0"/>
                      <a:ext cx="5267325" cy="7448550"/>
                    </a:xfrm>
                    <a:prstGeom prst="rect">
                      <a:avLst/>
                    </a:prstGeom>
                  </pic:spPr>
                </pic:pic>
              </a:graphicData>
            </a:graphic>
          </wp:inline>
        </w:drawing>
      </w: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p>
    <w:p>
      <w:pPr>
        <w:pStyle w:val="4"/>
        <w:rPr>
          <w:rFonts w:hint="eastAsia" w:ascii="Times New Roman" w:hAnsi="Times New Roman" w:eastAsia="宋体" w:cs="Times New Roman"/>
          <w:lang w:val="en-US" w:eastAsia="zh-CN"/>
        </w:rPr>
      </w:pPr>
      <w:bookmarkStart w:id="76" w:name="_GoBack"/>
      <w:r>
        <w:rPr>
          <w:rFonts w:hint="eastAsia" w:ascii="Times New Roman" w:hAnsi="Times New Roman" w:eastAsia="宋体" w:cs="Times New Roman"/>
          <w:lang w:val="en-US" w:eastAsia="zh-CN"/>
        </w:rPr>
        <w:drawing>
          <wp:inline distT="0" distB="0" distL="114300" distR="114300">
            <wp:extent cx="5267325" cy="7448550"/>
            <wp:effectExtent l="0" t="0" r="9525" b="0"/>
            <wp:docPr id="6" name="图片 6" descr="东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东_10"/>
                    <pic:cNvPicPr>
                      <a:picLocks noChangeAspect="1"/>
                    </pic:cNvPicPr>
                  </pic:nvPicPr>
                  <pic:blipFill>
                    <a:blip r:embed="rId10"/>
                    <a:stretch>
                      <a:fillRect/>
                    </a:stretch>
                  </pic:blipFill>
                  <pic:spPr>
                    <a:xfrm>
                      <a:off x="0" y="0"/>
                      <a:ext cx="5267325" cy="7448550"/>
                    </a:xfrm>
                    <a:prstGeom prst="rect">
                      <a:avLst/>
                    </a:prstGeom>
                  </pic:spPr>
                </pic:pic>
              </a:graphicData>
            </a:graphic>
          </wp:inline>
        </w:drawing>
      </w:r>
      <w:bookmarkEnd w:id="76"/>
    </w:p>
    <w:p>
      <w:pPr>
        <w:pStyle w:val="2"/>
        <w:rPr>
          <w:rFonts w:hint="default"/>
          <w:lang w:val="en-US"/>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spacing w:before="1"/>
        <w:ind w:right="0"/>
        <w:jc w:val="center"/>
        <w:rPr>
          <w:rFonts w:hint="default" w:ascii="Times New Roman" w:hAnsi="Times New Roman" w:eastAsia="宋体" w:cs="Times New Roman"/>
          <w:b/>
          <w:sz w:val="32"/>
          <w:szCs w:val="32"/>
          <w:lang w:val="en-US" w:eastAsia="zh-CN"/>
        </w:rPr>
      </w:pPr>
      <w:r>
        <w:rPr>
          <w:rFonts w:hint="default" w:ascii="Times New Roman" w:hAnsi="Times New Roman" w:cs="Times New Roman"/>
          <w:b/>
          <w:sz w:val="32"/>
          <w:szCs w:val="32"/>
          <w:lang w:val="en-US" w:eastAsia="zh-CN"/>
        </w:rPr>
        <w:t>目录</w:t>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bookmarkStart w:id="1" w:name="_Toc22371_WPSOffice_Level1"/>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_Toc16323_WPSOffice_Level1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8d514e6a-7749-4a50-a190-d12069f32b5c}"/>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eastAsia="zh-CN"/>
            </w:rPr>
            <w:t>表</w:t>
          </w:r>
          <w:r>
            <w:rPr>
              <w:rFonts w:hint="default" w:ascii="Times New Roman" w:hAnsi="Times New Roman" w:eastAsia="宋体" w:cs="Times New Roman"/>
              <w:sz w:val="24"/>
              <w:szCs w:val="24"/>
              <w:lang w:val="en-US" w:eastAsia="zh-CN"/>
            </w:rPr>
            <w:t>1  建设项目基本情况及验收依据</w:t>
          </w:r>
        </w:sdtContent>
      </w:sdt>
      <w:r>
        <w:rPr>
          <w:rFonts w:hint="default" w:ascii="Times New Roman" w:hAnsi="Times New Roman" w:eastAsia="宋体" w:cs="Times New Roman"/>
          <w:sz w:val="24"/>
          <w:szCs w:val="24"/>
        </w:rPr>
        <w:tab/>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fldChar w:fldCharType="end"/>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_Toc6130_WPSOffice_Level1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d9633250-401e-45ef-8ff0-38e8d8599498}"/>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2</w:t>
          </w:r>
          <w:r>
            <w:rPr>
              <w:rFonts w:hint="default" w:ascii="Times New Roman" w:hAnsi="Times New Roman" w:eastAsia="宋体" w:cs="Times New Roman"/>
              <w:sz w:val="24"/>
              <w:szCs w:val="24"/>
            </w:rPr>
            <w:t xml:space="preserve">  建设项目工程概况</w:t>
          </w:r>
        </w:sdtContent>
      </w:sdt>
      <w:r>
        <w:rPr>
          <w:rFonts w:hint="default" w:ascii="Times New Roman" w:hAnsi="Times New Roman" w:eastAsia="宋体" w:cs="Times New Roman"/>
          <w:sz w:val="24"/>
          <w:szCs w:val="24"/>
        </w:rPr>
        <w:tab/>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fldChar w:fldCharType="end"/>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_Toc21658_WPSOffice_Level1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0896d872-8a0a-4f99-a8ee-9add1d5f403c}"/>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3  主要污染源、污染物处理和排放</w:t>
          </w:r>
        </w:sdtContent>
      </w:sdt>
      <w:r>
        <w:rPr>
          <w:rFonts w:hint="default" w:ascii="Times New Roman" w:hAnsi="Times New Roman" w:eastAsia="宋体" w:cs="Times New Roman"/>
          <w:sz w:val="24"/>
          <w:szCs w:val="24"/>
        </w:rPr>
        <w:tab/>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3</w:t>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_Toc20346_WPSOffice_Level1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82087614-a25e-4a51-aa5d-ebf14fceb841}"/>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4  建设项目环境影响报告表主要结论及审批部门审批决定</w:t>
          </w:r>
        </w:sdtContent>
      </w:sdt>
      <w:r>
        <w:rPr>
          <w:rFonts w:hint="default" w:ascii="Times New Roman" w:hAnsi="Times New Roman" w:eastAsia="宋体" w:cs="Times New Roman"/>
          <w:sz w:val="24"/>
          <w:szCs w:val="24"/>
        </w:rPr>
        <w:tab/>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1</w:t>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_Toc26695_WPSOffice_Level1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747f086d-deb5-4249-80af-b1521ba9096c}"/>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eastAsia="zh-CN"/>
            </w:rPr>
            <w:t>表</w:t>
          </w:r>
          <w:r>
            <w:rPr>
              <w:rFonts w:hint="default" w:ascii="Times New Roman" w:hAnsi="Times New Roman" w:eastAsia="宋体" w:cs="Times New Roman"/>
              <w:sz w:val="24"/>
              <w:szCs w:val="24"/>
              <w:lang w:val="en-US" w:eastAsia="zh-CN"/>
            </w:rPr>
            <w:t>5  验收监测质量保证及质量控制</w:t>
          </w:r>
        </w:sdtContent>
      </w:sdt>
      <w:r>
        <w:rPr>
          <w:rFonts w:hint="default" w:ascii="Times New Roman" w:hAnsi="Times New Roman" w:eastAsia="宋体" w:cs="Times New Roman"/>
          <w:sz w:val="24"/>
          <w:szCs w:val="24"/>
        </w:rPr>
        <w:tab/>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4</w:t>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_Toc28103_WPSOffice_Level1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ebd3ac0b-b966-4faa-bfad-8ea959cb3f52}"/>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6  验收监测内容</w:t>
          </w:r>
        </w:sdtContent>
      </w:sdt>
      <w:r>
        <w:rPr>
          <w:rFonts w:hint="default" w:ascii="Times New Roman" w:hAnsi="Times New Roman" w:eastAsia="宋体" w:cs="Times New Roman"/>
          <w:sz w:val="24"/>
          <w:szCs w:val="24"/>
        </w:rPr>
        <w:tab/>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7</w:t>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_Toc26878_WPSOffice_Level1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a162ac4f-878d-4964-ae33-1b1861bb13a3}"/>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7  验收监测期间工况调查及验收监测结果</w:t>
          </w:r>
        </w:sdtContent>
      </w:sdt>
      <w:r>
        <w:rPr>
          <w:rFonts w:hint="default" w:ascii="Times New Roman" w:hAnsi="Times New Roman" w:eastAsia="宋体" w:cs="Times New Roman"/>
          <w:sz w:val="24"/>
          <w:szCs w:val="24"/>
        </w:rPr>
        <w:tab/>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8</w:t>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_Toc8675_WPSOffice_Level1 </w:instrText>
      </w:r>
      <w:r>
        <w:rPr>
          <w:rFonts w:hint="default" w:ascii="Times New Roman" w:hAnsi="Times New Roman" w:eastAsia="宋体" w:cs="Times New Roman"/>
          <w:sz w:val="24"/>
          <w:szCs w:val="24"/>
        </w:rPr>
        <w:fldChar w:fldCharType="separate"/>
      </w:r>
      <w:sdt>
        <w:sdtPr>
          <w:rPr>
            <w:rFonts w:hint="default" w:ascii="Times New Roman" w:hAnsi="Times New Roman" w:eastAsia="宋体" w:cs="Times New Roman"/>
            <w:sz w:val="24"/>
            <w:szCs w:val="24"/>
            <w:lang w:val="zh-CN" w:eastAsia="zh-CN" w:bidi="zh-CN"/>
          </w:rPr>
          <w:id w:val="147465226"/>
          <w:placeholder>
            <w:docPart w:val="{0fb97ee0-ba43-4842-bf0d-24b44b542c3b}"/>
          </w:placeholder>
          <w15:color w:val="509DF3"/>
        </w:sdtPr>
        <w:sdtEndPr>
          <w:rPr>
            <w:rFonts w:hint="default" w:ascii="Times New Roman" w:hAnsi="Times New Roman" w:eastAsia="宋体" w:cs="Times New Roman"/>
            <w:sz w:val="24"/>
            <w:szCs w:val="24"/>
            <w:lang w:val="zh-CN" w:eastAsia="zh-CN" w:bidi="zh-CN"/>
          </w:rPr>
        </w:sdtEndPr>
        <w:sdtContent>
          <w:r>
            <w:rPr>
              <w:rFonts w:hint="default" w:ascii="Times New Roman" w:hAnsi="Times New Roman" w:eastAsia="宋体" w:cs="Times New Roman"/>
              <w:sz w:val="24"/>
              <w:szCs w:val="24"/>
              <w:lang w:val="zh-CN" w:eastAsia="zh-CN" w:bidi="zh-CN"/>
            </w:rPr>
            <w:t>表</w:t>
          </w:r>
          <w:r>
            <w:rPr>
              <w:rFonts w:hint="default" w:ascii="Times New Roman" w:hAnsi="Times New Roman" w:eastAsia="宋体" w:cs="Times New Roman"/>
              <w:sz w:val="24"/>
              <w:szCs w:val="24"/>
              <w:lang w:val="en-US" w:eastAsia="zh-CN" w:bidi="zh-CN"/>
            </w:rPr>
            <w:t>8  验收监测结论</w:t>
          </w:r>
        </w:sdtContent>
      </w:sdt>
      <w:r>
        <w:rPr>
          <w:rFonts w:hint="default" w:ascii="Times New Roman" w:hAnsi="Times New Roman" w:eastAsia="宋体" w:cs="Times New Roman"/>
          <w:sz w:val="24"/>
          <w:szCs w:val="24"/>
        </w:rPr>
        <w:tab/>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1</w:t>
      </w:r>
    </w:p>
    <w:p>
      <w:pPr>
        <w:keepNext w:val="0"/>
        <w:keepLines w:val="0"/>
        <w:pageBreakBefore w:val="0"/>
        <w:kinsoku/>
        <w:wordWrap/>
        <w:overflowPunct/>
        <w:topLinePunct w:val="0"/>
        <w:bidi w:val="0"/>
        <w:adjustRightInd/>
        <w:snapToGrid/>
        <w:spacing w:before="1" w:line="360" w:lineRule="auto"/>
        <w:ind w:right="0"/>
        <w:jc w:val="left"/>
        <w:textAlignment w:val="auto"/>
        <w:rPr>
          <w:rFonts w:hint="default" w:ascii="Times New Roman" w:hAnsi="Times New Roman" w:eastAsia="宋体" w:cs="Times New Roman"/>
          <w:sz w:val="24"/>
          <w:szCs w:val="24"/>
        </w:rPr>
      </w:pPr>
      <w:bookmarkStart w:id="2" w:name="_Toc16323_WPSOffice_Level1"/>
      <w:r>
        <w:rPr>
          <w:rFonts w:hint="default" w:ascii="Times New Roman" w:hAnsi="Times New Roman" w:eastAsia="宋体" w:cs="Times New Roman"/>
          <w:b/>
          <w:sz w:val="24"/>
          <w:szCs w:val="24"/>
        </w:rPr>
        <w:t>附表</w:t>
      </w:r>
      <w:bookmarkEnd w:id="2"/>
      <w:bookmarkStart w:id="3" w:name="_Toc6130_WPSOffice_Level1"/>
      <w:r>
        <w:rPr>
          <w:rFonts w:hint="default" w:ascii="Times New Roman" w:hAnsi="Times New Roman" w:cs="Times New Roman"/>
          <w:b/>
          <w:sz w:val="24"/>
          <w:szCs w:val="24"/>
          <w:lang w:val="en-US" w:eastAsia="zh-CN"/>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建设项目竣工环境保护</w:t>
      </w:r>
      <w:r>
        <w:rPr>
          <w:rFonts w:hint="eastAsia" w:ascii="宋体" w:hAnsi="宋体" w:eastAsia="宋体" w:cs="宋体"/>
          <w:sz w:val="24"/>
          <w:szCs w:val="24"/>
          <w:lang w:eastAsia="zh-CN"/>
        </w:rPr>
        <w:t>“</w:t>
      </w:r>
      <w:r>
        <w:rPr>
          <w:rFonts w:hint="eastAsia" w:ascii="宋体" w:hAnsi="宋体" w:eastAsia="宋体" w:cs="宋体"/>
          <w:sz w:val="24"/>
          <w:szCs w:val="24"/>
        </w:rPr>
        <w:t>三同时</w:t>
      </w:r>
      <w:r>
        <w:rPr>
          <w:rFonts w:hint="eastAsia" w:ascii="宋体" w:hAnsi="宋体" w:eastAsia="宋体" w:cs="宋体"/>
          <w:sz w:val="24"/>
          <w:szCs w:val="24"/>
          <w:lang w:eastAsia="zh-CN"/>
        </w:rPr>
        <w:t>”</w:t>
      </w:r>
      <w:r>
        <w:rPr>
          <w:rFonts w:hint="default" w:ascii="Times New Roman" w:hAnsi="Times New Roman" w:eastAsia="宋体" w:cs="Times New Roman"/>
          <w:sz w:val="24"/>
          <w:szCs w:val="24"/>
        </w:rPr>
        <w:t>验收登记表</w:t>
      </w:r>
      <w:bookmarkEnd w:id="3"/>
    </w:p>
    <w:p>
      <w:pPr>
        <w:keepNext w:val="0"/>
        <w:keepLines w:val="0"/>
        <w:pageBreakBefore w:val="0"/>
        <w:kinsoku/>
        <w:wordWrap/>
        <w:overflowPunct/>
        <w:topLinePunct w:val="0"/>
        <w:bidi w:val="0"/>
        <w:adjustRightInd/>
        <w:snapToGrid/>
        <w:spacing w:before="1" w:line="360" w:lineRule="auto"/>
        <w:ind w:right="0"/>
        <w:jc w:val="left"/>
        <w:textAlignment w:val="auto"/>
        <w:rPr>
          <w:rFonts w:hint="default" w:ascii="Times New Roman" w:hAnsi="Times New Roman" w:eastAsia="宋体" w:cs="Times New Roman"/>
          <w:b/>
          <w:sz w:val="24"/>
          <w:szCs w:val="24"/>
          <w:lang w:val="en-US" w:eastAsia="zh-CN"/>
        </w:rPr>
      </w:pPr>
      <w:bookmarkStart w:id="4" w:name="_Toc21658_WPSOffice_Level1"/>
      <w:r>
        <w:rPr>
          <w:rFonts w:hint="default" w:ascii="Times New Roman" w:hAnsi="Times New Roman" w:eastAsia="宋体" w:cs="Times New Roman"/>
          <w:b/>
          <w:sz w:val="24"/>
          <w:szCs w:val="24"/>
          <w:lang w:val="en-US" w:eastAsia="zh-CN"/>
        </w:rPr>
        <w:t>附图</w:t>
      </w:r>
      <w:bookmarkEnd w:id="4"/>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line="240" w:lineRule="auto"/>
        <w:ind w:left="0" w:firstLine="480" w:firstLineChars="200"/>
        <w:textAlignment w:val="auto"/>
        <w:rPr>
          <w:rFonts w:hint="default" w:ascii="Times New Roman" w:hAnsi="Times New Roman" w:eastAsia="宋体" w:cs="Times New Roman"/>
          <w:sz w:val="24"/>
          <w:szCs w:val="24"/>
          <w:lang w:val="zh-CN" w:eastAsia="zh-CN"/>
        </w:rPr>
      </w:pPr>
      <w:bookmarkStart w:id="5" w:name="_bookmark0"/>
      <w:bookmarkEnd w:id="5"/>
      <w:bookmarkStart w:id="6" w:name="表1 建设项目基本情况及验收依据"/>
      <w:bookmarkEnd w:id="6"/>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_Toc16466 </w:instrText>
      </w:r>
      <w:r>
        <w:rPr>
          <w:rFonts w:hint="default" w:ascii="Times New Roman" w:hAnsi="Times New Roman" w:eastAsia="宋体" w:cs="Times New Roman"/>
          <w:sz w:val="24"/>
          <w:szCs w:val="24"/>
          <w:lang w:val="zh-CN" w:eastAsia="zh-CN"/>
        </w:rPr>
        <w:fldChar w:fldCharType="separate"/>
      </w:r>
      <w:bookmarkStart w:id="7" w:name="_Toc20346_WPSOffice_Level1"/>
      <w:r>
        <w:rPr>
          <w:rFonts w:hint="default" w:ascii="Times New Roman" w:hAnsi="Times New Roman" w:eastAsia="宋体" w:cs="Times New Roman"/>
          <w:sz w:val="24"/>
          <w:szCs w:val="24"/>
          <w:lang w:val="en-US" w:eastAsia="zh-CN"/>
        </w:rPr>
        <w:t>附图1 项目地理位置图</w:t>
      </w:r>
      <w:bookmarkEnd w:id="7"/>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line="240" w:lineRule="auto"/>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_Toc19608 </w:instrText>
      </w:r>
      <w:r>
        <w:rPr>
          <w:rFonts w:hint="default" w:ascii="Times New Roman" w:hAnsi="Times New Roman" w:eastAsia="宋体" w:cs="Times New Roman"/>
          <w:sz w:val="24"/>
          <w:szCs w:val="24"/>
          <w:lang w:val="zh-CN" w:eastAsia="zh-CN"/>
        </w:rPr>
        <w:fldChar w:fldCharType="separate"/>
      </w:r>
      <w:bookmarkStart w:id="8" w:name="_Toc26695_WPSOffice_Level1"/>
      <w:r>
        <w:rPr>
          <w:rFonts w:hint="default" w:ascii="Times New Roman" w:hAnsi="Times New Roman" w:eastAsia="宋体" w:cs="Times New Roman"/>
          <w:sz w:val="24"/>
          <w:szCs w:val="24"/>
          <w:lang w:val="en-US" w:eastAsia="zh-CN"/>
        </w:rPr>
        <w:t xml:space="preserve">附图2 </w:t>
      </w:r>
      <w:r>
        <w:rPr>
          <w:rFonts w:hint="eastAsia" w:ascii="Times New Roman" w:hAnsi="Times New Roman" w:cs="Times New Roman"/>
          <w:sz w:val="24"/>
          <w:szCs w:val="24"/>
          <w:lang w:val="en-US" w:eastAsia="zh-CN"/>
        </w:rPr>
        <w:t>项目</w:t>
      </w:r>
      <w:r>
        <w:rPr>
          <w:rFonts w:hint="default" w:ascii="Times New Roman" w:hAnsi="Times New Roman" w:eastAsia="宋体" w:cs="Times New Roman"/>
          <w:sz w:val="24"/>
          <w:szCs w:val="24"/>
          <w:lang w:val="en-US" w:eastAsia="zh-CN"/>
        </w:rPr>
        <w:t>平面布置图</w:t>
      </w:r>
      <w:bookmarkEnd w:id="8"/>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beforeLines="50" w:after="0" w:afterLines="50" w:line="240" w:lineRule="auto"/>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_Toc3752 </w:instrText>
      </w:r>
      <w:r>
        <w:rPr>
          <w:rFonts w:hint="default" w:ascii="Times New Roman" w:hAnsi="Times New Roman" w:eastAsia="宋体" w:cs="Times New Roman"/>
          <w:sz w:val="24"/>
          <w:szCs w:val="24"/>
          <w:lang w:val="zh-CN" w:eastAsia="zh-CN"/>
        </w:rPr>
        <w:fldChar w:fldCharType="separate"/>
      </w:r>
      <w:bookmarkStart w:id="9" w:name="_Toc28103_WPSOffice_Level1"/>
      <w:r>
        <w:rPr>
          <w:rFonts w:hint="default" w:ascii="Times New Roman" w:hAnsi="Times New Roman" w:eastAsia="宋体" w:cs="Times New Roman"/>
          <w:sz w:val="24"/>
          <w:szCs w:val="24"/>
          <w:lang w:val="en-US" w:eastAsia="zh-CN"/>
        </w:rPr>
        <w:t>附图3 项目四邻关系图</w:t>
      </w:r>
      <w:bookmarkEnd w:id="9"/>
      <w:r>
        <w:rPr>
          <w:rFonts w:hint="default" w:ascii="Times New Roman" w:hAnsi="Times New Roman" w:eastAsia="宋体" w:cs="Times New Roman"/>
          <w:sz w:val="24"/>
          <w:szCs w:val="24"/>
          <w:lang w:val="zh-CN" w:eastAsia="zh-CN"/>
        </w:rPr>
        <w:fldChar w:fldCharType="end"/>
      </w:r>
    </w:p>
    <w:p>
      <w:pPr>
        <w:spacing w:before="1"/>
        <w:ind w:right="0"/>
        <w:jc w:val="left"/>
        <w:rPr>
          <w:rFonts w:hint="default" w:ascii="Times New Roman" w:hAnsi="Times New Roman" w:eastAsia="宋体" w:cs="Times New Roman"/>
          <w:b/>
          <w:sz w:val="24"/>
          <w:szCs w:val="24"/>
          <w:lang w:val="en-US" w:eastAsia="zh-CN"/>
        </w:rPr>
      </w:pPr>
      <w:bookmarkStart w:id="10" w:name="_Toc20105_WPSOffice_Level1"/>
      <w:r>
        <w:rPr>
          <w:rFonts w:hint="default" w:ascii="Times New Roman" w:hAnsi="Times New Roman" w:eastAsia="宋体" w:cs="Times New Roman"/>
          <w:b/>
          <w:sz w:val="24"/>
          <w:szCs w:val="24"/>
          <w:lang w:val="en-US" w:eastAsia="zh-CN"/>
        </w:rPr>
        <w:t>附件</w:t>
      </w:r>
      <w:bookmarkEnd w:id="10"/>
    </w:p>
    <w:bookmarkEnd w:id="1"/>
    <w:p>
      <w:pPr>
        <w:pStyle w:val="5"/>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_Toc21952 </w:instrText>
      </w:r>
      <w:r>
        <w:rPr>
          <w:rFonts w:hint="default" w:ascii="Times New Roman" w:hAnsi="Times New Roman" w:eastAsia="宋体" w:cs="Times New Roman"/>
          <w:sz w:val="24"/>
          <w:szCs w:val="24"/>
          <w:lang w:val="zh-CN" w:eastAsia="zh-CN"/>
        </w:rPr>
        <w:fldChar w:fldCharType="separate"/>
      </w:r>
      <w:bookmarkStart w:id="11" w:name="_Toc32199_WPSOffice_Level1"/>
      <w:r>
        <w:rPr>
          <w:rFonts w:hint="default" w:ascii="Times New Roman" w:hAnsi="Times New Roman" w:eastAsia="宋体" w:cs="Times New Roman"/>
          <w:sz w:val="24"/>
          <w:szCs w:val="24"/>
          <w:lang w:val="en-US" w:eastAsia="zh-CN"/>
        </w:rPr>
        <w:t>附件1  委托书</w:t>
      </w:r>
      <w:bookmarkEnd w:id="11"/>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_Toc18928 </w:instrText>
      </w:r>
      <w:r>
        <w:rPr>
          <w:rFonts w:hint="default" w:ascii="Times New Roman" w:hAnsi="Times New Roman" w:eastAsia="宋体" w:cs="Times New Roman"/>
          <w:sz w:val="24"/>
          <w:szCs w:val="24"/>
          <w:lang w:val="zh-CN" w:eastAsia="zh-CN"/>
        </w:rPr>
        <w:fldChar w:fldCharType="separate"/>
      </w:r>
      <w:bookmarkStart w:id="12" w:name="_Toc24300_WPSOffice_Level1"/>
      <w:r>
        <w:rPr>
          <w:rFonts w:hint="default" w:ascii="Times New Roman" w:hAnsi="Times New Roman" w:eastAsia="宋体" w:cs="Times New Roman"/>
          <w:sz w:val="24"/>
          <w:szCs w:val="24"/>
          <w:lang w:val="en-US" w:eastAsia="zh-CN"/>
        </w:rPr>
        <w:t>附件2  营业执照</w:t>
      </w:r>
      <w:bookmarkEnd w:id="12"/>
      <w:r>
        <w:rPr>
          <w:rFonts w:hint="default" w:ascii="Times New Roman" w:hAnsi="Times New Roman" w:eastAsia="宋体" w:cs="Times New Roman"/>
          <w:sz w:val="24"/>
          <w:szCs w:val="24"/>
          <w:lang w:val="zh-CN" w:eastAsia="zh-CN"/>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after="0" w:line="360" w:lineRule="auto"/>
        <w:ind w:left="1440" w:leftChars="218" w:hanging="960" w:hangingChars="4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zh-CN" w:eastAsia="zh-CN"/>
        </w:rPr>
        <w:t>附件</w:t>
      </w:r>
      <w:r>
        <w:rPr>
          <w:rFonts w:hint="default" w:ascii="Times New Roman" w:hAnsi="Times New Roman" w:cs="Times New Roman"/>
          <w:sz w:val="24"/>
          <w:szCs w:val="24"/>
          <w:lang w:val="en-US" w:eastAsia="zh-CN"/>
        </w:rPr>
        <w:t>3  陕西省环境保护厅关于省级高速公路西咸北环线工程环境影响报告书的批复</w:t>
      </w:r>
      <w:r>
        <w:rPr>
          <w:rFonts w:hint="eastAsia" w:ascii="Times New Roman" w:hAnsi="Times New Roman" w:cs="Times New Roman"/>
          <w:sz w:val="24"/>
          <w:szCs w:val="24"/>
          <w:lang w:val="en-US" w:eastAsia="zh-CN"/>
        </w:rPr>
        <w:t>（陕环批复</w:t>
      </w:r>
      <w:r>
        <w:rPr>
          <w:rFonts w:hint="eastAsia" w:ascii="宋体" w:hAnsi="宋体" w:eastAsia="宋体" w:cs="宋体"/>
          <w:sz w:val="24"/>
          <w:szCs w:val="24"/>
          <w:lang w:val="en-US" w:eastAsia="zh-CN"/>
        </w:rPr>
        <w:t>[</w:t>
      </w:r>
      <w:r>
        <w:rPr>
          <w:rFonts w:hint="eastAsia" w:ascii="Times New Roman" w:hAnsi="Times New Roman" w:cs="Times New Roman"/>
          <w:sz w:val="24"/>
          <w:szCs w:val="24"/>
          <w:lang w:val="en-US" w:eastAsia="zh-CN"/>
        </w:rPr>
        <w:t>2011</w:t>
      </w:r>
      <w:r>
        <w:rPr>
          <w:rFonts w:hint="eastAsia" w:ascii="宋体" w:hAnsi="宋体" w:eastAsia="宋体" w:cs="宋体"/>
          <w:sz w:val="24"/>
          <w:szCs w:val="24"/>
          <w:lang w:val="en-US" w:eastAsia="zh-CN"/>
        </w:rPr>
        <w:t>]</w:t>
      </w:r>
      <w:r>
        <w:rPr>
          <w:rFonts w:hint="eastAsia" w:ascii="Times New Roman" w:hAnsi="Times New Roman" w:cs="Times New Roman"/>
          <w:sz w:val="24"/>
          <w:szCs w:val="24"/>
          <w:lang w:val="en-US" w:eastAsia="zh-CN"/>
        </w:rPr>
        <w:t>408号）</w:t>
      </w:r>
    </w:p>
    <w:p>
      <w:pPr>
        <w:pStyle w:val="5"/>
        <w:keepNext w:val="0"/>
        <w:keepLines w:val="0"/>
        <w:pageBreakBefore w:val="0"/>
        <w:widowControl w:val="0"/>
        <w:kinsoku/>
        <w:wordWrap/>
        <w:overflowPunct/>
        <w:topLinePunct w:val="0"/>
        <w:autoSpaceDE w:val="0"/>
        <w:autoSpaceDN w:val="0"/>
        <w:bidi w:val="0"/>
        <w:adjustRightInd/>
        <w:snapToGrid/>
        <w:spacing w:before="0" w:after="0" w:line="360" w:lineRule="auto"/>
        <w:ind w:left="1440" w:leftChars="218" w:hanging="960" w:hangingChars="4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附件4  陕西省环境保护厅关于西咸北环线高速公路项目（重大变动）环境影响报告书的批复</w:t>
      </w:r>
      <w:r>
        <w:rPr>
          <w:rFonts w:hint="eastAsia" w:ascii="Times New Roman" w:hAnsi="Times New Roman" w:cs="Times New Roman"/>
          <w:sz w:val="24"/>
          <w:szCs w:val="24"/>
          <w:lang w:val="en-US" w:eastAsia="zh-CN"/>
        </w:rPr>
        <w:t>（陕环批复</w:t>
      </w:r>
      <w:r>
        <w:rPr>
          <w:rFonts w:hint="eastAsia" w:ascii="宋体" w:hAnsi="宋体" w:eastAsia="宋体" w:cs="宋体"/>
          <w:sz w:val="24"/>
          <w:szCs w:val="24"/>
          <w:lang w:val="en-US" w:eastAsia="zh-CN"/>
        </w:rPr>
        <w:t>[</w:t>
      </w:r>
      <w:r>
        <w:rPr>
          <w:rFonts w:hint="eastAsia" w:ascii="Times New Roman" w:hAnsi="Times New Roman" w:cs="Times New Roman"/>
          <w:sz w:val="24"/>
          <w:szCs w:val="24"/>
          <w:lang w:val="en-US" w:eastAsia="zh-CN"/>
        </w:rPr>
        <w:t>2018</w:t>
      </w:r>
      <w:r>
        <w:rPr>
          <w:rFonts w:hint="eastAsia" w:ascii="宋体" w:hAnsi="宋体" w:eastAsia="宋体" w:cs="宋体"/>
          <w:sz w:val="24"/>
          <w:szCs w:val="24"/>
          <w:lang w:val="en-US" w:eastAsia="zh-CN"/>
        </w:rPr>
        <w:t>]</w:t>
      </w:r>
      <w:r>
        <w:rPr>
          <w:rFonts w:hint="eastAsia" w:ascii="Times New Roman" w:hAnsi="Times New Roman" w:cs="Times New Roman"/>
          <w:sz w:val="24"/>
          <w:szCs w:val="24"/>
          <w:lang w:val="en-US" w:eastAsia="zh-CN"/>
        </w:rPr>
        <w:t>404号）</w:t>
      </w:r>
    </w:p>
    <w:p>
      <w:pPr>
        <w:pStyle w:val="5"/>
        <w:keepNext w:val="0"/>
        <w:keepLines w:val="0"/>
        <w:pageBreakBefore w:val="0"/>
        <w:widowControl w:val="0"/>
        <w:kinsoku/>
        <w:wordWrap/>
        <w:overflowPunct/>
        <w:topLinePunct w:val="0"/>
        <w:autoSpaceDE w:val="0"/>
        <w:autoSpaceDN w:val="0"/>
        <w:bidi w:val="0"/>
        <w:adjustRightInd/>
        <w:snapToGrid/>
        <w:spacing w:before="0" w:after="0" w:line="360" w:lineRule="auto"/>
        <w:ind w:left="1440" w:leftChars="218" w:hanging="960" w:hangingChars="400"/>
        <w:textAlignment w:val="auto"/>
        <w:rPr>
          <w:rFonts w:hint="default" w:ascii="Times New Roman" w:hAnsi="Times New Roman" w:cs="Times New Roman"/>
          <w:sz w:val="24"/>
          <w:szCs w:val="24"/>
          <w:lang w:val="zh-CN" w:eastAsia="zh-CN"/>
        </w:rPr>
      </w:pPr>
      <w:r>
        <w:rPr>
          <w:rFonts w:hint="default" w:ascii="Times New Roman" w:hAnsi="Times New Roman" w:cs="Times New Roman"/>
          <w:sz w:val="24"/>
          <w:szCs w:val="24"/>
          <w:lang w:val="zh-CN" w:eastAsia="zh-CN"/>
        </w:rPr>
        <w:t>附件</w:t>
      </w:r>
      <w:r>
        <w:rPr>
          <w:rFonts w:hint="default" w:ascii="Times New Roman" w:hAnsi="Times New Roman" w:cs="Times New Roman"/>
          <w:sz w:val="24"/>
          <w:szCs w:val="24"/>
          <w:lang w:val="en-US" w:eastAsia="zh-CN"/>
        </w:rPr>
        <w:t>5  关于陕西省石油化工工业贸易有限公司</w:t>
      </w:r>
      <w:r>
        <w:rPr>
          <w:rFonts w:hint="eastAsia" w:ascii="Times New Roman" w:hAnsi="Times New Roman" w:cs="Times New Roman"/>
          <w:sz w:val="24"/>
          <w:szCs w:val="24"/>
          <w:lang w:val="en-US" w:eastAsia="zh-CN"/>
        </w:rPr>
        <w:t>茂陵</w:t>
      </w:r>
      <w:r>
        <w:rPr>
          <w:rFonts w:hint="default" w:ascii="Times New Roman" w:hAnsi="Times New Roman" w:cs="Times New Roman"/>
          <w:sz w:val="24"/>
          <w:szCs w:val="24"/>
          <w:lang w:val="en-US" w:eastAsia="zh-CN"/>
        </w:rPr>
        <w:t>服务区</w:t>
      </w:r>
      <w:r>
        <w:rPr>
          <w:rFonts w:hint="eastAsia" w:ascii="Times New Roman" w:hAnsi="Times New Roman" w:cs="Times New Roman"/>
          <w:sz w:val="24"/>
          <w:szCs w:val="24"/>
          <w:lang w:val="zh-CN" w:eastAsia="zh-CN"/>
        </w:rPr>
        <w:t>东</w:t>
      </w:r>
      <w:r>
        <w:rPr>
          <w:rFonts w:hint="default" w:ascii="Times New Roman" w:hAnsi="Times New Roman" w:cs="Times New Roman"/>
          <w:sz w:val="24"/>
          <w:szCs w:val="24"/>
          <w:lang w:val="zh-CN" w:eastAsia="zh-CN"/>
        </w:rPr>
        <w:t>加油站建设项目环境影响报告表的批复</w:t>
      </w:r>
      <w:r>
        <w:rPr>
          <w:rFonts w:hint="eastAsia" w:ascii="Times New Roman" w:hAnsi="Times New Roman" w:cs="Times New Roman"/>
          <w:sz w:val="24"/>
          <w:szCs w:val="24"/>
          <w:lang w:val="zh-CN" w:eastAsia="zh-CN"/>
        </w:rPr>
        <w:t>（咸环兴批复</w:t>
      </w:r>
      <w:r>
        <w:rPr>
          <w:rFonts w:hint="eastAsia" w:ascii="宋体" w:hAnsi="宋体" w:eastAsia="宋体" w:cs="宋体"/>
          <w:sz w:val="24"/>
          <w:szCs w:val="24"/>
          <w:lang w:val="en-US" w:eastAsia="zh-CN"/>
        </w:rPr>
        <w:t>[</w:t>
      </w:r>
      <w:r>
        <w:rPr>
          <w:rFonts w:hint="eastAsia" w:ascii="Times New Roman" w:hAnsi="Times New Roman" w:cs="Times New Roman"/>
          <w:sz w:val="24"/>
          <w:szCs w:val="24"/>
          <w:lang w:val="en-US" w:eastAsia="zh-CN"/>
        </w:rPr>
        <w:t>2020</w:t>
      </w:r>
      <w:r>
        <w:rPr>
          <w:rFonts w:hint="eastAsia" w:ascii="宋体" w:hAnsi="宋体" w:eastAsia="宋体" w:cs="宋体"/>
          <w:sz w:val="24"/>
          <w:szCs w:val="24"/>
          <w:lang w:val="en-US" w:eastAsia="zh-CN"/>
        </w:rPr>
        <w:t>]</w:t>
      </w:r>
      <w:r>
        <w:rPr>
          <w:rFonts w:hint="eastAsia" w:ascii="Times New Roman" w:hAnsi="Times New Roman" w:cs="Times New Roman"/>
          <w:sz w:val="24"/>
          <w:szCs w:val="24"/>
          <w:lang w:val="en-US" w:eastAsia="zh-CN"/>
        </w:rPr>
        <w:t>56号</w:t>
      </w:r>
      <w:r>
        <w:rPr>
          <w:rFonts w:hint="eastAsia" w:ascii="Times New Roman" w:hAnsi="Times New Roman" w:cs="Times New Roman"/>
          <w:sz w:val="24"/>
          <w:szCs w:val="24"/>
          <w:lang w:val="zh-CN" w:eastAsia="zh-CN"/>
        </w:rPr>
        <w:t>）</w:t>
      </w:r>
    </w:p>
    <w:p>
      <w:pPr>
        <w:pStyle w:val="5"/>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sz w:val="24"/>
          <w:szCs w:val="24"/>
          <w:lang w:val="zh-CN" w:eastAsia="zh-CN"/>
        </w:rPr>
        <w:fldChar w:fldCharType="begin"/>
      </w:r>
      <w:r>
        <w:rPr>
          <w:rFonts w:hint="default" w:ascii="Times New Roman" w:hAnsi="Times New Roman" w:eastAsia="宋体" w:cs="Times New Roman"/>
          <w:sz w:val="24"/>
          <w:szCs w:val="24"/>
          <w:lang w:val="zh-CN" w:eastAsia="zh-CN"/>
        </w:rPr>
        <w:instrText xml:space="preserve"> HYPERLINK \l _Toc15169 </w:instrText>
      </w:r>
      <w:r>
        <w:rPr>
          <w:rFonts w:hint="default" w:ascii="Times New Roman" w:hAnsi="Times New Roman" w:eastAsia="宋体" w:cs="Times New Roman"/>
          <w:sz w:val="24"/>
          <w:szCs w:val="24"/>
          <w:lang w:val="zh-CN" w:eastAsia="zh-CN"/>
        </w:rPr>
        <w:fldChar w:fldCharType="separate"/>
      </w:r>
      <w:bookmarkStart w:id="13" w:name="_Toc1232_WPSOffice_Level1"/>
      <w:r>
        <w:rPr>
          <w:rFonts w:hint="default" w:ascii="Times New Roman" w:hAnsi="Times New Roman" w:eastAsia="宋体" w:cs="Times New Roman"/>
          <w:sz w:val="24"/>
          <w:szCs w:val="24"/>
          <w:lang w:val="en-US" w:eastAsia="zh-CN"/>
        </w:rPr>
        <w:t>附件</w:t>
      </w:r>
      <w:r>
        <w:rPr>
          <w:rFonts w:hint="default" w:ascii="Times New Roman" w:hAnsi="Times New Roman" w:cs="Times New Roman"/>
          <w:sz w:val="24"/>
          <w:szCs w:val="24"/>
          <w:lang w:val="en-US" w:eastAsia="zh-CN"/>
        </w:rPr>
        <w:t>6</w:t>
      </w:r>
      <w:r>
        <w:rPr>
          <w:rFonts w:hint="default" w:ascii="Times New Roman" w:hAnsi="Times New Roman" w:eastAsia="宋体" w:cs="Times New Roman"/>
          <w:sz w:val="24"/>
          <w:szCs w:val="24"/>
          <w:lang w:val="en-US" w:eastAsia="zh-CN"/>
        </w:rPr>
        <w:t xml:space="preserve">  </w:t>
      </w:r>
      <w:bookmarkEnd w:id="13"/>
      <w:r>
        <w:rPr>
          <w:rFonts w:hint="default" w:ascii="Times New Roman" w:hAnsi="Times New Roman" w:eastAsia="宋体" w:cs="Times New Roman"/>
          <w:sz w:val="24"/>
          <w:szCs w:val="24"/>
          <w:lang w:val="zh-CN" w:eastAsia="zh-CN"/>
        </w:rPr>
        <w:fldChar w:fldCharType="end"/>
      </w:r>
      <w:r>
        <w:rPr>
          <w:rFonts w:hint="default" w:ascii="Times New Roman" w:hAnsi="Times New Roman" w:cs="Times New Roman"/>
          <w:sz w:val="24"/>
          <w:szCs w:val="24"/>
          <w:lang w:val="en-US" w:eastAsia="zh-CN"/>
        </w:rPr>
        <w:t>监测报告</w:t>
      </w:r>
    </w:p>
    <w:p>
      <w:pPr>
        <w:pStyle w:val="5"/>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80" w:firstLineChars="200"/>
        <w:textAlignment w:val="auto"/>
        <w:rPr>
          <w:rFonts w:hint="default" w:ascii="Times New Roman" w:hAnsi="Times New Roman" w:eastAsia="宋体" w:cs="Times New Roman"/>
          <w:sz w:val="24"/>
          <w:szCs w:val="24"/>
          <w:lang w:val="en-US" w:eastAsia="zh-CN"/>
        </w:rPr>
      </w:pPr>
      <w:bookmarkStart w:id="14" w:name="_Toc20695_WPSOffice_Level1"/>
      <w:r>
        <w:rPr>
          <w:rFonts w:hint="default" w:ascii="Times New Roman" w:hAnsi="Times New Roman" w:eastAsia="宋体" w:cs="Times New Roman"/>
          <w:sz w:val="24"/>
          <w:szCs w:val="24"/>
          <w:lang w:val="zh-CN" w:eastAsia="zh-CN"/>
        </w:rPr>
        <w:t>附件</w:t>
      </w:r>
      <w:r>
        <w:rPr>
          <w:rFonts w:hint="default" w:ascii="Times New Roman" w:hAnsi="Times New Roman" w:cs="Times New Roman"/>
          <w:sz w:val="24"/>
          <w:szCs w:val="24"/>
          <w:lang w:val="en-US" w:eastAsia="zh-CN"/>
        </w:rPr>
        <w:t>7</w:t>
      </w:r>
      <w:r>
        <w:rPr>
          <w:rFonts w:hint="default" w:ascii="Times New Roman" w:hAnsi="Times New Roman" w:eastAsia="宋体" w:cs="Times New Roman"/>
          <w:sz w:val="24"/>
          <w:szCs w:val="24"/>
          <w:lang w:val="en-US" w:eastAsia="zh-CN"/>
        </w:rPr>
        <w:t xml:space="preserve">  </w:t>
      </w:r>
      <w:bookmarkEnd w:id="14"/>
      <w:r>
        <w:rPr>
          <w:rFonts w:hint="default" w:ascii="Times New Roman" w:hAnsi="Times New Roman" w:cs="Times New Roman"/>
          <w:sz w:val="24"/>
          <w:szCs w:val="24"/>
          <w:lang w:val="en-US" w:eastAsia="zh-CN"/>
        </w:rPr>
        <w:t>危险废物处置合同</w:t>
      </w:r>
    </w:p>
    <w:p>
      <w:pPr>
        <w:pStyle w:val="5"/>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 xml:space="preserve">附件8  </w:t>
      </w:r>
      <w:r>
        <w:rPr>
          <w:rFonts w:hint="default" w:ascii="Times New Roman" w:hAnsi="Times New Roman" w:eastAsia="宋体" w:cs="Times New Roman"/>
          <w:sz w:val="24"/>
          <w:szCs w:val="24"/>
          <w:lang w:val="en-US" w:eastAsia="zh-CN"/>
        </w:rPr>
        <w:t>突发环境事件应急预案备案表</w:t>
      </w:r>
    </w:p>
    <w:p>
      <w:pPr>
        <w:pStyle w:val="5"/>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sz w:val="24"/>
          <w:szCs w:val="24"/>
          <w:lang w:val="en-US" w:eastAsia="zh-CN"/>
        </w:rPr>
        <w:t xml:space="preserve">附件9 </w:t>
      </w:r>
      <w:r>
        <w:rPr>
          <w:rFonts w:hint="eastAsia" w:ascii="Times New Roman" w:hAnsi="Times New Roman" w:cs="Times New Roman"/>
          <w:color w:val="auto"/>
          <w:sz w:val="24"/>
          <w:szCs w:val="24"/>
          <w:lang w:val="en-US" w:eastAsia="zh-CN"/>
        </w:rPr>
        <w:t xml:space="preserve"> 固定污染源排污登记回执</w:t>
      </w:r>
    </w:p>
    <w:p>
      <w:pPr>
        <w:pStyle w:val="5"/>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附件10  双层罐合格证</w:t>
      </w:r>
    </w:p>
    <w:p>
      <w:pPr>
        <w:pStyle w:val="5"/>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附件11  《环保管理制度及办法》</w:t>
      </w:r>
    </w:p>
    <w:p>
      <w:pPr>
        <w:pStyle w:val="5"/>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80" w:firstLineChars="200"/>
        <w:textAlignment w:val="auto"/>
        <w:rPr>
          <w:rFonts w:hint="eastAsia" w:ascii="Times New Roman" w:hAnsi="Times New Roman" w:cs="Times New Roman"/>
          <w:sz w:val="24"/>
          <w:szCs w:val="24"/>
          <w:lang w:val="en-US" w:eastAsia="zh-CN"/>
        </w:rPr>
        <w:sectPr>
          <w:footerReference r:id="rId4" w:type="default"/>
          <w:pgSz w:w="11906" w:h="16838"/>
          <w:pgMar w:top="1360" w:right="1440" w:bottom="1800" w:left="144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7"/>
        <w:bidi w:val="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 xml:space="preserve"> </w:t>
      </w:r>
      <w:r>
        <w:rPr>
          <w:rFonts w:hint="default" w:ascii="Times New Roman" w:hAnsi="Times New Roman" w:cs="Times New Roman"/>
        </w:rPr>
        <w:t>1</w:t>
      </w:r>
      <w:r>
        <w:rPr>
          <w:rFonts w:hint="default" w:ascii="Times New Roman" w:hAnsi="Times New Roman" w:cs="Times New Roman"/>
          <w:lang w:val="en-US" w:eastAsia="zh-CN"/>
        </w:rPr>
        <w:t xml:space="preserve"> </w:t>
      </w:r>
      <w:r>
        <w:rPr>
          <w:rFonts w:hint="default" w:ascii="Times New Roman" w:hAnsi="Times New Roman" w:cs="Times New Roman"/>
        </w:rPr>
        <w:t>建设项目基本情况及验收依据</w:t>
      </w:r>
    </w:p>
    <w:tbl>
      <w:tblPr>
        <w:tblStyle w:val="15"/>
        <w:tblW w:w="92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45"/>
        <w:gridCol w:w="2763"/>
        <w:gridCol w:w="1908"/>
        <w:gridCol w:w="876"/>
        <w:gridCol w:w="916"/>
        <w:gridCol w:w="1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545" w:type="dxa"/>
            <w:vAlign w:val="center"/>
          </w:tcPr>
          <w:p>
            <w:pPr>
              <w:pStyle w:val="19"/>
              <w:keepNext w:val="0"/>
              <w:keepLines w:val="0"/>
              <w:pageBreakBefore w:val="0"/>
              <w:widowControl w:val="0"/>
              <w:kinsoku/>
              <w:wordWrap/>
              <w:overflowPunct/>
              <w:topLinePunct w:val="0"/>
              <w:autoSpaceDE w:val="0"/>
              <w:autoSpaceDN w:val="0"/>
              <w:bidi w:val="0"/>
              <w:adjustRightInd/>
              <w:snapToGrid/>
              <w:spacing w:before="80"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建设项目名称</w:t>
            </w:r>
          </w:p>
        </w:tc>
        <w:tc>
          <w:tcPr>
            <w:tcW w:w="7663" w:type="dxa"/>
            <w:gridSpan w:val="5"/>
            <w:vAlign w:val="center"/>
          </w:tcPr>
          <w:p>
            <w:pPr>
              <w:pStyle w:val="19"/>
              <w:keepNext w:val="0"/>
              <w:keepLines w:val="0"/>
              <w:pageBreakBefore w:val="0"/>
              <w:widowControl w:val="0"/>
              <w:kinsoku/>
              <w:overflowPunct/>
              <w:topLinePunct w:val="0"/>
              <w:bidi w:val="0"/>
              <w:spacing w:before="80" w:line="360" w:lineRule="auto"/>
              <w:ind w:left="163" w:right="155"/>
              <w:jc w:val="center"/>
              <w:textAlignment w:val="auto"/>
              <w:rPr>
                <w:rFonts w:hint="default" w:ascii="Times New Roman" w:hAnsi="Times New Roman" w:cs="Times New Roman"/>
                <w:sz w:val="24"/>
              </w:rPr>
            </w:pPr>
            <w:r>
              <w:rPr>
                <w:rFonts w:hint="default" w:ascii="Times New Roman" w:hAnsi="Times New Roman" w:eastAsia="宋体" w:cs="Times New Roman"/>
                <w:sz w:val="24"/>
                <w:szCs w:val="24"/>
              </w:rPr>
              <w:t>陕西省石油化工工业贸易公司茂陵服务区东加油站</w:t>
            </w:r>
            <w:r>
              <w:rPr>
                <w:rFonts w:hint="default" w:ascii="Times New Roman" w:hAnsi="Times New Roman" w:eastAsia="宋体" w:cs="Times New Roman"/>
                <w:sz w:val="24"/>
                <w:szCs w:val="24"/>
                <w:lang w:eastAsia="zh-CN"/>
              </w:rPr>
              <w:t>建设</w:t>
            </w:r>
            <w:r>
              <w:rPr>
                <w:rFonts w:hint="default" w:ascii="Times New Roman" w:hAnsi="Times New Roman" w:eastAsia="宋体" w:cs="Times New Roman"/>
                <w:sz w:val="24"/>
                <w:szCs w:val="24"/>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545" w:type="dxa"/>
            <w:vAlign w:val="center"/>
          </w:tcPr>
          <w:p>
            <w:pPr>
              <w:pStyle w:val="19"/>
              <w:keepNext w:val="0"/>
              <w:keepLines w:val="0"/>
              <w:pageBreakBefore w:val="0"/>
              <w:widowControl w:val="0"/>
              <w:kinsoku/>
              <w:overflowPunct/>
              <w:topLinePunct w:val="0"/>
              <w:bidi w:val="0"/>
              <w:spacing w:before="82"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建设单位名称</w:t>
            </w:r>
          </w:p>
        </w:tc>
        <w:tc>
          <w:tcPr>
            <w:tcW w:w="7663" w:type="dxa"/>
            <w:gridSpan w:val="5"/>
            <w:vAlign w:val="center"/>
          </w:tcPr>
          <w:p>
            <w:pPr>
              <w:pStyle w:val="19"/>
              <w:keepNext w:val="0"/>
              <w:keepLines w:val="0"/>
              <w:pageBreakBefore w:val="0"/>
              <w:widowControl w:val="0"/>
              <w:kinsoku/>
              <w:overflowPunct/>
              <w:topLinePunct w:val="0"/>
              <w:bidi w:val="0"/>
              <w:spacing w:before="82" w:line="360" w:lineRule="auto"/>
              <w:jc w:val="center"/>
              <w:textAlignment w:val="auto"/>
              <w:rPr>
                <w:rFonts w:hint="default" w:ascii="Times New Roman" w:hAnsi="Times New Roman" w:cs="Times New Roman"/>
                <w:sz w:val="24"/>
              </w:rPr>
            </w:pPr>
            <w:r>
              <w:rPr>
                <w:rFonts w:hint="default" w:ascii="Times New Roman" w:hAnsi="Times New Roman" w:eastAsia="宋体" w:cs="Times New Roman"/>
                <w:sz w:val="24"/>
                <w:szCs w:val="24"/>
              </w:rPr>
              <w:t>陕西省石油化工工业贸易公司茂陵服务区东加油站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545" w:type="dxa"/>
            <w:vAlign w:val="center"/>
          </w:tcPr>
          <w:p>
            <w:pPr>
              <w:pStyle w:val="19"/>
              <w:keepNext w:val="0"/>
              <w:keepLines w:val="0"/>
              <w:pageBreakBefore w:val="0"/>
              <w:widowControl w:val="0"/>
              <w:kinsoku/>
              <w:overflowPunct/>
              <w:topLinePunct w:val="0"/>
              <w:bidi w:val="0"/>
              <w:spacing w:before="81"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建设</w:t>
            </w:r>
            <w:r>
              <w:rPr>
                <w:rFonts w:hint="eastAsia" w:ascii="Times New Roman" w:hAnsi="Times New Roman" w:cs="Times New Roman"/>
                <w:sz w:val="24"/>
                <w:lang w:eastAsia="zh-CN"/>
              </w:rPr>
              <w:t>项目</w:t>
            </w:r>
            <w:r>
              <w:rPr>
                <w:rFonts w:hint="default" w:ascii="Times New Roman" w:hAnsi="Times New Roman" w:cs="Times New Roman"/>
                <w:sz w:val="24"/>
              </w:rPr>
              <w:t>性质</w:t>
            </w:r>
          </w:p>
        </w:tc>
        <w:tc>
          <w:tcPr>
            <w:tcW w:w="7663" w:type="dxa"/>
            <w:gridSpan w:val="5"/>
            <w:vAlign w:val="center"/>
          </w:tcPr>
          <w:p>
            <w:pPr>
              <w:pStyle w:val="19"/>
              <w:keepNext w:val="0"/>
              <w:keepLines w:val="0"/>
              <w:pageBreakBefore w:val="0"/>
              <w:widowControl w:val="0"/>
              <w:tabs>
                <w:tab w:val="left" w:pos="1683"/>
                <w:tab w:val="left" w:pos="2883"/>
                <w:tab w:val="left" w:pos="3843"/>
                <w:tab w:val="left" w:pos="4803"/>
              </w:tabs>
              <w:kinsoku/>
              <w:overflowPunct/>
              <w:topLinePunct w:val="0"/>
              <w:bidi w:val="0"/>
              <w:spacing w:before="81"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新建</w:t>
            </w:r>
            <w:r>
              <w:rPr>
                <w:rFonts w:hint="default" w:ascii="Times New Roman" w:hAnsi="Times New Roman" w:eastAsia="Arial" w:cs="Times New Roman"/>
                <w:sz w:val="24"/>
              </w:rPr>
              <w:t>√</w:t>
            </w:r>
            <w:r>
              <w:rPr>
                <w:rFonts w:hint="default" w:ascii="Times New Roman" w:hAnsi="Times New Roman" w:cs="Times New Roman"/>
                <w:sz w:val="24"/>
                <w:lang w:val="en-US" w:eastAsia="zh-CN"/>
              </w:rPr>
              <w:t xml:space="preserve">         </w:t>
            </w:r>
            <w:r>
              <w:rPr>
                <w:rFonts w:hint="default" w:ascii="Times New Roman" w:hAnsi="Times New Roman" w:cs="Times New Roman"/>
                <w:sz w:val="24"/>
              </w:rPr>
              <w:t>改扩建</w:t>
            </w:r>
            <w:r>
              <w:rPr>
                <w:rFonts w:hint="default" w:ascii="Times New Roman" w:hAnsi="Times New Roman" w:cs="Times New Roman"/>
                <w:sz w:val="24"/>
                <w:lang w:val="en-US" w:eastAsia="zh-CN"/>
              </w:rPr>
              <w:t xml:space="preserve">        </w:t>
            </w:r>
            <w:r>
              <w:rPr>
                <w:rFonts w:hint="default" w:ascii="Times New Roman" w:hAnsi="Times New Roman" w:cs="Times New Roman"/>
                <w:sz w:val="24"/>
              </w:rPr>
              <w:t>技改</w:t>
            </w:r>
            <w:r>
              <w:rPr>
                <w:rFonts w:hint="default" w:ascii="Times New Roman" w:hAnsi="Times New Roman" w:cs="Times New Roman"/>
                <w:sz w:val="24"/>
                <w:lang w:val="en-US" w:eastAsia="zh-CN"/>
              </w:rPr>
              <w:t xml:space="preserve">        </w:t>
            </w:r>
            <w:r>
              <w:rPr>
                <w:rFonts w:hint="default" w:ascii="Times New Roman" w:hAnsi="Times New Roman" w:cs="Times New Roman"/>
                <w:sz w:val="24"/>
              </w:rPr>
              <w:t>迁建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jc w:val="center"/>
        </w:trPr>
        <w:tc>
          <w:tcPr>
            <w:tcW w:w="1545" w:type="dxa"/>
            <w:vAlign w:val="center"/>
          </w:tcPr>
          <w:p>
            <w:pPr>
              <w:pStyle w:val="19"/>
              <w:keepNext w:val="0"/>
              <w:keepLines w:val="0"/>
              <w:pageBreakBefore w:val="0"/>
              <w:widowControl w:val="0"/>
              <w:kinsoku/>
              <w:overflowPunct/>
              <w:topLinePunct w:val="0"/>
              <w:bidi w:val="0"/>
              <w:spacing w:line="360" w:lineRule="auto"/>
              <w:jc w:val="center"/>
              <w:textAlignment w:val="auto"/>
              <w:rPr>
                <w:rFonts w:hint="default" w:ascii="Times New Roman" w:hAnsi="Times New Roman" w:cs="Times New Roman"/>
                <w:sz w:val="24"/>
              </w:rPr>
            </w:pPr>
            <w:r>
              <w:rPr>
                <w:rFonts w:hint="default" w:ascii="Times New Roman" w:hAnsi="Times New Roman" w:eastAsia="宋体" w:cs="Times New Roman"/>
                <w:sz w:val="24"/>
              </w:rPr>
              <w:t>建设地点</w:t>
            </w:r>
          </w:p>
        </w:tc>
        <w:tc>
          <w:tcPr>
            <w:tcW w:w="7663" w:type="dxa"/>
            <w:gridSpan w:val="5"/>
            <w:vAlign w:val="center"/>
          </w:tcPr>
          <w:p>
            <w:pPr>
              <w:pStyle w:val="19"/>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rFonts w:hint="default" w:ascii="Times New Roman" w:hAnsi="Times New Roman" w:cs="Times New Roman"/>
                <w:sz w:val="24"/>
              </w:rPr>
            </w:pPr>
            <w:r>
              <w:rPr>
                <w:rFonts w:hint="default" w:ascii="Times New Roman" w:hAnsi="Times New Roman" w:eastAsia="宋体" w:cs="Times New Roman"/>
                <w:sz w:val="24"/>
                <w:szCs w:val="24"/>
                <w:lang w:eastAsia="zh-CN"/>
              </w:rPr>
              <w:t>陕西省咸阳市兴平市西咸北环</w:t>
            </w:r>
            <w:r>
              <w:rPr>
                <w:rFonts w:hint="default" w:ascii="Times New Roman" w:hAnsi="Times New Roman" w:eastAsia="宋体" w:cs="Times New Roman"/>
                <w:sz w:val="24"/>
                <w:szCs w:val="24"/>
              </w:rPr>
              <w:t>高速</w:t>
            </w:r>
            <w:r>
              <w:rPr>
                <w:rFonts w:hint="default" w:ascii="Times New Roman" w:hAnsi="Times New Roman" w:eastAsia="宋体" w:cs="Times New Roman"/>
                <w:sz w:val="24"/>
                <w:szCs w:val="24"/>
                <w:lang w:eastAsia="zh-CN"/>
              </w:rPr>
              <w:t>公路</w:t>
            </w:r>
            <w:r>
              <w:rPr>
                <w:rFonts w:hint="default" w:ascii="Times New Roman" w:hAnsi="Times New Roman" w:eastAsia="宋体" w:cs="Times New Roman"/>
                <w:sz w:val="24"/>
                <w:szCs w:val="24"/>
              </w:rPr>
              <w:t>茂陵服务区东区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545" w:type="dxa"/>
            <w:vAlign w:val="center"/>
          </w:tcPr>
          <w:p>
            <w:pPr>
              <w:pStyle w:val="19"/>
              <w:keepNext w:val="0"/>
              <w:keepLines w:val="0"/>
              <w:pageBreakBefore w:val="0"/>
              <w:widowControl w:val="0"/>
              <w:kinsoku/>
              <w:overflowPunct/>
              <w:topLinePunct w:val="0"/>
              <w:bidi w:val="0"/>
              <w:spacing w:before="81"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主要产品名称</w:t>
            </w:r>
          </w:p>
        </w:tc>
        <w:tc>
          <w:tcPr>
            <w:tcW w:w="7663" w:type="dxa"/>
            <w:gridSpan w:val="5"/>
            <w:vAlign w:val="center"/>
          </w:tcPr>
          <w:p>
            <w:pPr>
              <w:pStyle w:val="19"/>
              <w:keepNext w:val="0"/>
              <w:keepLines w:val="0"/>
              <w:pageBreakBefore w:val="0"/>
              <w:widowControl w:val="0"/>
              <w:kinsoku/>
              <w:overflowPunct/>
              <w:topLinePunct w:val="0"/>
              <w:bidi w:val="0"/>
              <w:spacing w:before="81" w:line="360" w:lineRule="auto"/>
              <w:ind w:left="163" w:right="155"/>
              <w:jc w:val="center"/>
              <w:textAlignment w:val="auto"/>
              <w:rPr>
                <w:rFonts w:hint="default" w:ascii="Times New Roman" w:hAnsi="Times New Roman" w:eastAsia="宋体" w:cs="Times New Roman"/>
                <w:sz w:val="24"/>
                <w:highlight w:val="yellow"/>
                <w:lang w:val="en-US" w:eastAsia="zh-CN"/>
              </w:rPr>
            </w:pPr>
            <w:r>
              <w:rPr>
                <w:rFonts w:hint="default" w:ascii="Times New Roman" w:hAnsi="Times New Roman" w:cs="Times New Roman"/>
                <w:sz w:val="24"/>
                <w:highlight w:val="none"/>
                <w:lang w:val="en-US" w:eastAsia="zh-CN"/>
              </w:rPr>
              <w:t>汽油、柴油零售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545" w:type="dxa"/>
            <w:vAlign w:val="center"/>
          </w:tcPr>
          <w:p>
            <w:pPr>
              <w:pStyle w:val="19"/>
              <w:keepNext w:val="0"/>
              <w:keepLines w:val="0"/>
              <w:pageBreakBefore w:val="0"/>
              <w:widowControl w:val="0"/>
              <w:kinsoku/>
              <w:overflowPunct/>
              <w:topLinePunct w:val="0"/>
              <w:bidi w:val="0"/>
              <w:spacing w:before="80"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设计生产能力</w:t>
            </w:r>
          </w:p>
        </w:tc>
        <w:tc>
          <w:tcPr>
            <w:tcW w:w="7663" w:type="dxa"/>
            <w:gridSpan w:val="5"/>
            <w:vAlign w:val="center"/>
          </w:tcPr>
          <w:p>
            <w:pPr>
              <w:keepNext w:val="0"/>
              <w:keepLines w:val="0"/>
              <w:pageBreakBefore w:val="0"/>
              <w:widowControl w:val="0"/>
              <w:kinsoku/>
              <w:overflowPunct/>
              <w:topLinePunct w:val="0"/>
              <w:bidi w:val="0"/>
              <w:spacing w:line="360" w:lineRule="auto"/>
              <w:jc w:val="left"/>
              <w:textAlignment w:val="auto"/>
              <w:outlineLvl w:val="9"/>
              <w:rPr>
                <w:rFonts w:hint="default" w:ascii="Times New Roman" w:hAnsi="Times New Roman" w:cs="Times New Roman"/>
                <w:lang w:val="zh-CN" w:eastAsia="zh-CN"/>
              </w:rPr>
            </w:pPr>
            <w:r>
              <w:rPr>
                <w:rFonts w:hint="default" w:ascii="Times New Roman" w:hAnsi="Times New Roman" w:eastAsia="宋体" w:cs="Times New Roman"/>
                <w:sz w:val="24"/>
                <w:szCs w:val="22"/>
                <w:lang w:val="en-US" w:eastAsia="zh-CN" w:bidi="zh-CN"/>
              </w:rPr>
              <w:t>项目设有税控燃油加油机6台，共设5个油罐，其中3</w:t>
            </w:r>
            <w:r>
              <w:rPr>
                <w:rFonts w:hint="eastAsia" w:ascii="Times New Roman" w:hAnsi="Times New Roman" w:cs="Times New Roman"/>
                <w:sz w:val="24"/>
                <w:szCs w:val="22"/>
                <w:lang w:val="en-US" w:eastAsia="zh-CN" w:bidi="zh-CN"/>
              </w:rPr>
              <w:t>个</w:t>
            </w:r>
            <w:r>
              <w:rPr>
                <w:rFonts w:hint="default" w:ascii="Times New Roman" w:hAnsi="Times New Roman" w:eastAsia="宋体" w:cs="Times New Roman"/>
                <w:sz w:val="24"/>
                <w:szCs w:val="22"/>
                <w:lang w:val="en-US" w:eastAsia="zh-CN" w:bidi="zh-CN"/>
              </w:rPr>
              <w:t>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柴油罐，2</w:t>
            </w:r>
            <w:r>
              <w:rPr>
                <w:rFonts w:hint="eastAsia" w:ascii="Times New Roman" w:hAnsi="Times New Roman" w:cs="Times New Roman"/>
                <w:sz w:val="24"/>
                <w:szCs w:val="22"/>
                <w:lang w:val="en-US" w:eastAsia="zh-CN" w:bidi="zh-CN"/>
              </w:rPr>
              <w:t>个</w:t>
            </w:r>
            <w:r>
              <w:rPr>
                <w:rFonts w:hint="default" w:ascii="Times New Roman" w:hAnsi="Times New Roman" w:eastAsia="宋体" w:cs="Times New Roman"/>
                <w:sz w:val="24"/>
                <w:szCs w:val="22"/>
                <w:lang w:val="en-US" w:eastAsia="zh-CN" w:bidi="zh-CN"/>
              </w:rPr>
              <w:t>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汽油罐，总罐容为250m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，折合汽油罐容为175m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（其中柴油容积折半计入），属于一级加油站。项目年销售油品</w:t>
            </w:r>
            <w:r>
              <w:rPr>
                <w:rFonts w:hint="default" w:ascii="Times New Roman" w:hAnsi="Times New Roman" w:cs="Times New Roman"/>
                <w:sz w:val="24"/>
                <w:szCs w:val="22"/>
                <w:highlight w:val="none"/>
                <w:lang w:val="en-US" w:eastAsia="zh-CN" w:bidi="zh-CN"/>
              </w:rPr>
              <w:t>3</w:t>
            </w:r>
            <w:r>
              <w:rPr>
                <w:rFonts w:hint="default" w:ascii="Times New Roman" w:hAnsi="Times New Roman" w:eastAsia="宋体" w:cs="Times New Roman"/>
                <w:sz w:val="24"/>
                <w:szCs w:val="22"/>
                <w:highlight w:val="none"/>
                <w:lang w:val="en-US" w:eastAsia="zh-CN" w:bidi="zh-CN"/>
              </w:rPr>
              <w:t>000t，其中汽油</w:t>
            </w:r>
            <w:r>
              <w:rPr>
                <w:rFonts w:hint="default" w:ascii="Times New Roman" w:hAnsi="Times New Roman" w:cs="Times New Roman"/>
                <w:sz w:val="24"/>
                <w:szCs w:val="22"/>
                <w:highlight w:val="none"/>
                <w:lang w:val="en-US" w:eastAsia="zh-CN" w:bidi="zh-CN"/>
              </w:rPr>
              <w:t>10</w:t>
            </w:r>
            <w:r>
              <w:rPr>
                <w:rFonts w:hint="default" w:ascii="Times New Roman" w:hAnsi="Times New Roman" w:eastAsia="宋体" w:cs="Times New Roman"/>
                <w:sz w:val="24"/>
                <w:szCs w:val="22"/>
                <w:highlight w:val="none"/>
                <w:lang w:val="en-US" w:eastAsia="zh-CN" w:bidi="zh-CN"/>
              </w:rPr>
              <w:t>00t、柴油</w:t>
            </w:r>
            <w:r>
              <w:rPr>
                <w:rFonts w:hint="default" w:ascii="Times New Roman" w:hAnsi="Times New Roman" w:cs="Times New Roman"/>
                <w:sz w:val="24"/>
                <w:szCs w:val="22"/>
                <w:highlight w:val="none"/>
                <w:lang w:val="en-US" w:eastAsia="zh-CN" w:bidi="zh-CN"/>
              </w:rPr>
              <w:t>20</w:t>
            </w:r>
            <w:r>
              <w:rPr>
                <w:rFonts w:hint="default" w:ascii="Times New Roman" w:hAnsi="Times New Roman" w:eastAsia="宋体" w:cs="Times New Roman"/>
                <w:sz w:val="24"/>
                <w:szCs w:val="22"/>
                <w:highlight w:val="none"/>
                <w:lang w:val="en-US" w:eastAsia="zh-CN" w:bidi="zh-CN"/>
              </w:rPr>
              <w:t>00t</w:t>
            </w:r>
            <w:r>
              <w:rPr>
                <w:rFonts w:hint="default" w:ascii="Times New Roman" w:hAnsi="Times New Roman" w:eastAsia="宋体" w:cs="Times New Roman"/>
                <w:sz w:val="24"/>
                <w:szCs w:val="22"/>
                <w:lang w:val="en-US"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545" w:type="dxa"/>
            <w:vAlign w:val="center"/>
          </w:tcPr>
          <w:p>
            <w:pPr>
              <w:pStyle w:val="19"/>
              <w:keepNext w:val="0"/>
              <w:keepLines w:val="0"/>
              <w:pageBreakBefore w:val="0"/>
              <w:widowControl w:val="0"/>
              <w:kinsoku/>
              <w:overflowPunct/>
              <w:topLinePunct w:val="0"/>
              <w:bidi w:val="0"/>
              <w:spacing w:before="80"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实际生产能力</w:t>
            </w:r>
          </w:p>
        </w:tc>
        <w:tc>
          <w:tcPr>
            <w:tcW w:w="7663"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hint="default" w:ascii="Times New Roman" w:hAnsi="Times New Roman" w:cs="Times New Roman"/>
                <w:lang w:val="zh-CN" w:eastAsia="zh-CN"/>
              </w:rPr>
            </w:pPr>
            <w:r>
              <w:rPr>
                <w:rFonts w:hint="default" w:ascii="Times New Roman" w:hAnsi="Times New Roman" w:eastAsia="宋体" w:cs="Times New Roman"/>
                <w:sz w:val="24"/>
                <w:szCs w:val="22"/>
                <w:lang w:val="en-US" w:eastAsia="zh-CN" w:bidi="zh-CN"/>
              </w:rPr>
              <w:t>项目设有税控燃油加油机6台，共设5个油罐，其中3</w:t>
            </w:r>
            <w:r>
              <w:rPr>
                <w:rFonts w:hint="eastAsia" w:ascii="Times New Roman" w:hAnsi="Times New Roman" w:cs="Times New Roman"/>
                <w:sz w:val="24"/>
                <w:szCs w:val="22"/>
                <w:lang w:val="en-US" w:eastAsia="zh-CN" w:bidi="zh-CN"/>
              </w:rPr>
              <w:t>个</w:t>
            </w:r>
            <w:r>
              <w:rPr>
                <w:rFonts w:hint="default" w:ascii="Times New Roman" w:hAnsi="Times New Roman" w:eastAsia="宋体" w:cs="Times New Roman"/>
                <w:sz w:val="24"/>
                <w:szCs w:val="22"/>
                <w:lang w:val="en-US" w:eastAsia="zh-CN" w:bidi="zh-CN"/>
              </w:rPr>
              <w:t>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柴油罐，2</w:t>
            </w:r>
            <w:r>
              <w:rPr>
                <w:rFonts w:hint="eastAsia" w:ascii="Times New Roman" w:hAnsi="Times New Roman" w:cs="Times New Roman"/>
                <w:sz w:val="24"/>
                <w:szCs w:val="22"/>
                <w:lang w:val="en-US" w:eastAsia="zh-CN" w:bidi="zh-CN"/>
              </w:rPr>
              <w:t>个</w:t>
            </w:r>
            <w:r>
              <w:rPr>
                <w:rFonts w:hint="default" w:ascii="Times New Roman" w:hAnsi="Times New Roman" w:eastAsia="宋体" w:cs="Times New Roman"/>
                <w:sz w:val="24"/>
                <w:szCs w:val="22"/>
                <w:lang w:val="en-US" w:eastAsia="zh-CN" w:bidi="zh-CN"/>
              </w:rPr>
              <w:t>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汽油罐，总罐容为250m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，折合汽油罐容为175m</w:t>
            </w:r>
            <w:r>
              <w:rPr>
                <w:rFonts w:hint="default" w:ascii="Times New Roman" w:hAnsi="Times New Roman" w:eastAsia="宋体" w:cs="Times New Roman"/>
                <w:sz w:val="24"/>
                <w:szCs w:val="22"/>
                <w:vertAlign w:val="superscript"/>
                <w:lang w:val="en-US" w:eastAsia="zh-CN" w:bidi="zh-CN"/>
              </w:rPr>
              <w:t>3</w:t>
            </w:r>
            <w:r>
              <w:rPr>
                <w:rFonts w:hint="default" w:ascii="Times New Roman" w:hAnsi="Times New Roman" w:eastAsia="宋体" w:cs="Times New Roman"/>
                <w:sz w:val="24"/>
                <w:szCs w:val="22"/>
                <w:lang w:val="en-US" w:eastAsia="zh-CN" w:bidi="zh-CN"/>
              </w:rPr>
              <w:t>（其中柴油容积折半计入），属于一级加油站。项目年销售油品</w:t>
            </w:r>
            <w:r>
              <w:rPr>
                <w:rFonts w:hint="default" w:ascii="Times New Roman" w:hAnsi="Times New Roman" w:cs="Times New Roman"/>
                <w:sz w:val="24"/>
                <w:szCs w:val="22"/>
                <w:lang w:val="en-US" w:eastAsia="zh-CN" w:bidi="zh-CN"/>
              </w:rPr>
              <w:t>3000</w:t>
            </w:r>
            <w:r>
              <w:rPr>
                <w:rFonts w:hint="default" w:ascii="Times New Roman" w:hAnsi="Times New Roman" w:eastAsia="宋体" w:cs="Times New Roman"/>
                <w:sz w:val="24"/>
                <w:szCs w:val="22"/>
                <w:lang w:val="en-US" w:eastAsia="zh-CN" w:bidi="zh-CN"/>
              </w:rPr>
              <w:t>t，其中汽油</w:t>
            </w:r>
            <w:r>
              <w:rPr>
                <w:rFonts w:hint="default" w:ascii="Times New Roman" w:hAnsi="Times New Roman" w:cs="Times New Roman"/>
                <w:sz w:val="24"/>
                <w:szCs w:val="22"/>
                <w:lang w:val="en-US" w:eastAsia="zh-CN" w:bidi="zh-CN"/>
              </w:rPr>
              <w:t>10</w:t>
            </w:r>
            <w:r>
              <w:rPr>
                <w:rFonts w:hint="default" w:ascii="Times New Roman" w:hAnsi="Times New Roman" w:eastAsia="宋体" w:cs="Times New Roman"/>
                <w:sz w:val="24"/>
                <w:szCs w:val="22"/>
                <w:lang w:val="en-US" w:eastAsia="zh-CN" w:bidi="zh-CN"/>
              </w:rPr>
              <w:t>00t、柴油</w:t>
            </w:r>
            <w:r>
              <w:rPr>
                <w:rFonts w:hint="default" w:ascii="Times New Roman" w:hAnsi="Times New Roman" w:cs="Times New Roman"/>
                <w:sz w:val="24"/>
                <w:szCs w:val="22"/>
                <w:lang w:val="en-US" w:eastAsia="zh-CN" w:bidi="zh-CN"/>
              </w:rPr>
              <w:t>20</w:t>
            </w:r>
            <w:r>
              <w:rPr>
                <w:rFonts w:hint="default" w:ascii="Times New Roman" w:hAnsi="Times New Roman" w:eastAsia="宋体" w:cs="Times New Roman"/>
                <w:sz w:val="24"/>
                <w:szCs w:val="22"/>
                <w:lang w:val="en-US" w:eastAsia="zh-CN" w:bidi="zh-CN"/>
              </w:rPr>
              <w:t>00t。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545" w:type="dxa"/>
            <w:vAlign w:val="center"/>
          </w:tcPr>
          <w:p>
            <w:pPr>
              <w:pStyle w:val="19"/>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建设项目</w:t>
            </w:r>
          </w:p>
          <w:p>
            <w:pPr>
              <w:pStyle w:val="19"/>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环评时间</w:t>
            </w:r>
          </w:p>
        </w:tc>
        <w:tc>
          <w:tcPr>
            <w:tcW w:w="2763" w:type="dxa"/>
            <w:vAlign w:val="center"/>
          </w:tcPr>
          <w:p>
            <w:pPr>
              <w:pStyle w:val="19"/>
              <w:keepNext w:val="0"/>
              <w:keepLines w:val="0"/>
              <w:pageBreakBefore w:val="0"/>
              <w:widowControl w:val="0"/>
              <w:kinsoku/>
              <w:overflowPunct/>
              <w:topLinePunct w:val="0"/>
              <w:bidi w:val="0"/>
              <w:spacing w:before="82" w:line="360" w:lineRule="auto"/>
              <w:jc w:val="center"/>
              <w:textAlignment w:val="auto"/>
              <w:rPr>
                <w:rFonts w:hint="default" w:ascii="Times New Roman" w:hAnsi="Times New Roman" w:cs="Times New Roman"/>
                <w:sz w:val="24"/>
              </w:rPr>
            </w:pPr>
            <w:r>
              <w:rPr>
                <w:rFonts w:hint="default" w:ascii="Times New Roman" w:hAnsi="Times New Roman" w:eastAsia="宋体" w:cs="Times New Roman"/>
                <w:sz w:val="24"/>
                <w:lang w:val="en-US" w:eastAsia="zh-CN"/>
              </w:rPr>
              <w:t>20</w:t>
            </w:r>
            <w:r>
              <w:rPr>
                <w:rFonts w:hint="default" w:ascii="Times New Roman" w:hAnsi="Times New Roman" w:cs="Times New Roman"/>
                <w:sz w:val="24"/>
                <w:lang w:val="en-US" w:eastAsia="zh-CN"/>
              </w:rPr>
              <w:t>20</w:t>
            </w:r>
            <w:r>
              <w:rPr>
                <w:rFonts w:hint="default" w:ascii="Times New Roman" w:hAnsi="Times New Roman" w:cs="Times New Roman"/>
                <w:sz w:val="24"/>
              </w:rPr>
              <w:t>年</w:t>
            </w:r>
            <w:r>
              <w:rPr>
                <w:rFonts w:hint="eastAsia" w:ascii="Times New Roman" w:hAnsi="Times New Roman" w:cs="Times New Roman"/>
                <w:sz w:val="24"/>
                <w:lang w:val="en-US" w:eastAsia="zh-CN"/>
              </w:rPr>
              <w:t>0</w:t>
            </w:r>
            <w:r>
              <w:rPr>
                <w:rFonts w:hint="default" w:ascii="Times New Roman" w:hAnsi="Times New Roman" w:cs="Times New Roman"/>
                <w:sz w:val="24"/>
                <w:lang w:val="en-US" w:eastAsia="zh-CN"/>
              </w:rPr>
              <w:t>3</w:t>
            </w:r>
            <w:r>
              <w:rPr>
                <w:rFonts w:hint="default" w:ascii="Times New Roman" w:hAnsi="Times New Roman" w:cs="Times New Roman"/>
                <w:sz w:val="24"/>
              </w:rPr>
              <w:t>月</w:t>
            </w:r>
          </w:p>
        </w:tc>
        <w:tc>
          <w:tcPr>
            <w:tcW w:w="1908" w:type="dxa"/>
            <w:vAlign w:val="center"/>
          </w:tcPr>
          <w:p>
            <w:pPr>
              <w:pStyle w:val="19"/>
              <w:keepNext w:val="0"/>
              <w:keepLines w:val="0"/>
              <w:pageBreakBefore w:val="0"/>
              <w:widowControl w:val="0"/>
              <w:kinsoku/>
              <w:wordWrap/>
              <w:overflowPunct/>
              <w:topLinePunct w:val="0"/>
              <w:autoSpaceDE w:val="0"/>
              <w:autoSpaceDN w:val="0"/>
              <w:bidi w:val="0"/>
              <w:adjustRightInd/>
              <w:snapToGrid/>
              <w:spacing w:before="82" w:line="360" w:lineRule="auto"/>
              <w:ind w:left="103" w:right="97"/>
              <w:jc w:val="center"/>
              <w:textAlignment w:val="auto"/>
              <w:rPr>
                <w:rFonts w:hint="default" w:ascii="Times New Roman" w:hAnsi="Times New Roman" w:cs="Times New Roman"/>
                <w:sz w:val="24"/>
              </w:rPr>
            </w:pPr>
            <w:r>
              <w:rPr>
                <w:rFonts w:hint="default" w:ascii="Times New Roman" w:hAnsi="Times New Roman" w:cs="Times New Roman"/>
                <w:sz w:val="24"/>
              </w:rPr>
              <w:t>开工建设时间</w:t>
            </w:r>
          </w:p>
        </w:tc>
        <w:tc>
          <w:tcPr>
            <w:tcW w:w="2992" w:type="dxa"/>
            <w:gridSpan w:val="3"/>
            <w:vAlign w:val="center"/>
          </w:tcPr>
          <w:p>
            <w:pPr>
              <w:pStyle w:val="19"/>
              <w:keepNext w:val="0"/>
              <w:keepLines w:val="0"/>
              <w:pageBreakBefore w:val="0"/>
              <w:widowControl w:val="0"/>
              <w:kinsoku/>
              <w:overflowPunct/>
              <w:topLinePunct w:val="0"/>
              <w:bidi w:val="0"/>
              <w:spacing w:before="82" w:line="360" w:lineRule="auto"/>
              <w:jc w:val="center"/>
              <w:textAlignment w:val="auto"/>
              <w:rPr>
                <w:rFonts w:hint="default" w:ascii="Times New Roman" w:hAnsi="Times New Roman" w:cs="Times New Roman"/>
                <w:sz w:val="24"/>
              </w:rPr>
            </w:pPr>
            <w:r>
              <w:rPr>
                <w:rFonts w:hint="default" w:ascii="Times New Roman" w:hAnsi="Times New Roman" w:eastAsia="宋体" w:cs="Times New Roman"/>
                <w:sz w:val="24"/>
                <w:szCs w:val="22"/>
                <w:highlight w:val="none"/>
                <w:lang w:val="en-US" w:eastAsia="zh-CN" w:bidi="zh-CN"/>
              </w:rPr>
              <w:t>201</w:t>
            </w:r>
            <w:r>
              <w:rPr>
                <w:rFonts w:hint="default" w:ascii="Times New Roman" w:hAnsi="Times New Roman" w:cs="Times New Roman"/>
                <w:sz w:val="24"/>
                <w:szCs w:val="22"/>
                <w:highlight w:val="none"/>
                <w:lang w:val="en-US" w:eastAsia="zh-CN" w:bidi="zh-CN"/>
              </w:rPr>
              <w:t>4</w:t>
            </w:r>
            <w:r>
              <w:rPr>
                <w:rFonts w:hint="default" w:ascii="Times New Roman" w:hAnsi="Times New Roman" w:eastAsia="宋体" w:cs="Times New Roman"/>
                <w:sz w:val="24"/>
                <w:szCs w:val="22"/>
                <w:highlight w:val="none"/>
                <w:lang w:val="en-US" w:eastAsia="zh-CN" w:bidi="zh-CN"/>
              </w:rPr>
              <w:t>年</w:t>
            </w:r>
            <w:r>
              <w:rPr>
                <w:rFonts w:hint="default" w:ascii="Times New Roman" w:hAnsi="Times New Roman" w:cs="Times New Roman"/>
                <w:sz w:val="24"/>
                <w:szCs w:val="22"/>
                <w:highlight w:val="none"/>
                <w:lang w:val="en-US" w:eastAsia="zh-CN" w:bidi="zh-CN"/>
              </w:rPr>
              <w:t>03</w:t>
            </w:r>
            <w:r>
              <w:rPr>
                <w:rFonts w:hint="default" w:ascii="Times New Roman" w:hAnsi="Times New Roman" w:eastAsia="宋体" w:cs="Times New Roman"/>
                <w:sz w:val="24"/>
                <w:szCs w:val="22"/>
                <w:highlight w:val="none"/>
                <w:lang w:val="en-US" w:eastAsia="zh-CN" w:bidi="zh-CN"/>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545" w:type="dxa"/>
            <w:vAlign w:val="center"/>
          </w:tcPr>
          <w:p>
            <w:pPr>
              <w:pStyle w:val="19"/>
              <w:keepNext w:val="0"/>
              <w:keepLines w:val="0"/>
              <w:pageBreakBefore w:val="0"/>
              <w:widowControl w:val="0"/>
              <w:kinsoku/>
              <w:wordWrap/>
              <w:overflowPunct/>
              <w:topLinePunct w:val="0"/>
              <w:autoSpaceDE w:val="0"/>
              <w:autoSpaceDN w:val="0"/>
              <w:bidi w:val="0"/>
              <w:adjustRightInd/>
              <w:snapToGrid/>
              <w:spacing w:before="81"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调试时间</w:t>
            </w:r>
          </w:p>
        </w:tc>
        <w:tc>
          <w:tcPr>
            <w:tcW w:w="2763" w:type="dxa"/>
            <w:vAlign w:val="center"/>
          </w:tcPr>
          <w:p>
            <w:pPr>
              <w:pStyle w:val="19"/>
              <w:keepNext w:val="0"/>
              <w:keepLines w:val="0"/>
              <w:pageBreakBefore w:val="0"/>
              <w:widowControl w:val="0"/>
              <w:kinsoku/>
              <w:overflowPunct/>
              <w:topLinePunct w:val="0"/>
              <w:bidi w:val="0"/>
              <w:spacing w:before="95" w:line="360" w:lineRule="auto"/>
              <w:ind w:left="7"/>
              <w:jc w:val="center"/>
              <w:textAlignment w:val="auto"/>
              <w:rPr>
                <w:rFonts w:hint="default" w:ascii="Times New Roman" w:hAnsi="Times New Roman" w:cs="Times New Roman"/>
                <w:sz w:val="24"/>
              </w:rPr>
            </w:pPr>
            <w:r>
              <w:rPr>
                <w:rFonts w:hint="default" w:ascii="Times New Roman" w:hAnsi="Times New Roman" w:cs="Times New Roman"/>
                <w:kern w:val="2"/>
                <w:sz w:val="24"/>
                <w:highlight w:val="none"/>
                <w:lang w:val="en-US" w:eastAsia="zh-CN"/>
              </w:rPr>
              <w:t>2020</w:t>
            </w:r>
            <w:r>
              <w:rPr>
                <w:rFonts w:hint="eastAsia" w:ascii="Times New Roman" w:hAnsi="Times New Roman" w:cs="Times New Roman"/>
                <w:kern w:val="2"/>
                <w:sz w:val="24"/>
                <w:highlight w:val="none"/>
                <w:lang w:val="en-US" w:eastAsia="zh-CN"/>
              </w:rPr>
              <w:t>年</w:t>
            </w:r>
            <w:r>
              <w:rPr>
                <w:rFonts w:hint="default" w:ascii="Times New Roman" w:hAnsi="Times New Roman" w:cs="Times New Roman"/>
                <w:kern w:val="2"/>
                <w:sz w:val="24"/>
                <w:highlight w:val="none"/>
                <w:lang w:val="en-US" w:eastAsia="zh-CN"/>
              </w:rPr>
              <w:t>11月</w:t>
            </w:r>
          </w:p>
        </w:tc>
        <w:tc>
          <w:tcPr>
            <w:tcW w:w="1908" w:type="dxa"/>
            <w:vAlign w:val="center"/>
          </w:tcPr>
          <w:p>
            <w:pPr>
              <w:pStyle w:val="19"/>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cs="Times New Roman"/>
                <w:sz w:val="24"/>
                <w:lang w:eastAsia="zh-CN"/>
              </w:rPr>
            </w:pPr>
            <w:r>
              <w:rPr>
                <w:rFonts w:hint="default" w:ascii="Times New Roman" w:hAnsi="Times New Roman" w:cs="Times New Roman"/>
                <w:sz w:val="24"/>
              </w:rPr>
              <w:t>验收</w:t>
            </w:r>
            <w:r>
              <w:rPr>
                <w:rFonts w:hint="eastAsia" w:ascii="Times New Roman" w:hAnsi="Times New Roman" w:cs="Times New Roman"/>
                <w:sz w:val="24"/>
                <w:lang w:eastAsia="zh-CN"/>
              </w:rPr>
              <w:t>现场</w:t>
            </w:r>
          </w:p>
          <w:p>
            <w:pPr>
              <w:pStyle w:val="19"/>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监测时间</w:t>
            </w:r>
          </w:p>
        </w:tc>
        <w:tc>
          <w:tcPr>
            <w:tcW w:w="2992" w:type="dxa"/>
            <w:gridSpan w:val="3"/>
            <w:vAlign w:val="center"/>
          </w:tcPr>
          <w:p>
            <w:pPr>
              <w:pStyle w:val="19"/>
              <w:keepNext w:val="0"/>
              <w:keepLines w:val="0"/>
              <w:pageBreakBefore w:val="0"/>
              <w:widowControl w:val="0"/>
              <w:kinsoku/>
              <w:overflowPunct/>
              <w:topLinePunct w:val="0"/>
              <w:bidi w:val="0"/>
              <w:spacing w:before="81" w:line="360" w:lineRule="auto"/>
              <w:ind w:left="110"/>
              <w:jc w:val="center"/>
              <w:textAlignment w:val="auto"/>
              <w:rPr>
                <w:rFonts w:hint="default" w:ascii="Times New Roman" w:hAnsi="Times New Roman" w:eastAsia="宋体" w:cs="Times New Roman"/>
                <w:sz w:val="24"/>
                <w:highlight w:val="yellow"/>
                <w:lang w:val="en-US" w:eastAsia="zh-CN"/>
              </w:rPr>
            </w:pPr>
            <w:r>
              <w:rPr>
                <w:rFonts w:hint="default" w:ascii="Times New Roman" w:hAnsi="Times New Roman" w:cs="Times New Roman"/>
                <w:color w:val="auto"/>
                <w:sz w:val="24"/>
                <w:highlight w:val="none"/>
                <w:lang w:val="en-US" w:eastAsia="zh-CN"/>
              </w:rPr>
              <w:t>2020年12月4日-12月5日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545" w:type="dxa"/>
            <w:vAlign w:val="center"/>
          </w:tcPr>
          <w:p>
            <w:pPr>
              <w:pStyle w:val="19"/>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环评报告表</w:t>
            </w:r>
          </w:p>
          <w:p>
            <w:pPr>
              <w:pStyle w:val="19"/>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审批部门</w:t>
            </w:r>
          </w:p>
        </w:tc>
        <w:tc>
          <w:tcPr>
            <w:tcW w:w="2763" w:type="dxa"/>
            <w:vAlign w:val="center"/>
          </w:tcPr>
          <w:p>
            <w:pPr>
              <w:pStyle w:val="19"/>
              <w:keepNext w:val="0"/>
              <w:keepLines w:val="0"/>
              <w:pageBreakBefore w:val="0"/>
              <w:widowControl w:val="0"/>
              <w:kinsoku/>
              <w:overflowPunct/>
              <w:topLinePunct w:val="0"/>
              <w:bidi w:val="0"/>
              <w:spacing w:before="81" w:line="360" w:lineRule="auto"/>
              <w:ind w:left="0" w:right="-57"/>
              <w:jc w:val="center"/>
              <w:textAlignment w:val="auto"/>
              <w:rPr>
                <w:rFonts w:hint="default" w:ascii="Times New Roman" w:hAnsi="Times New Roman" w:cs="Times New Roman"/>
                <w:sz w:val="24"/>
                <w:lang w:eastAsia="zh-CN"/>
              </w:rPr>
            </w:pPr>
            <w:r>
              <w:rPr>
                <w:rFonts w:hint="default" w:ascii="Times New Roman" w:hAnsi="Times New Roman" w:cs="Times New Roman"/>
                <w:sz w:val="24"/>
                <w:lang w:eastAsia="zh-CN"/>
              </w:rPr>
              <w:t>咸阳市生态环境局</w:t>
            </w:r>
          </w:p>
          <w:p>
            <w:pPr>
              <w:pStyle w:val="19"/>
              <w:keepNext w:val="0"/>
              <w:keepLines w:val="0"/>
              <w:pageBreakBefore w:val="0"/>
              <w:widowControl w:val="0"/>
              <w:kinsoku/>
              <w:overflowPunct/>
              <w:topLinePunct w:val="0"/>
              <w:bidi w:val="0"/>
              <w:spacing w:before="81" w:line="360" w:lineRule="auto"/>
              <w:ind w:left="0" w:right="-57"/>
              <w:jc w:val="center"/>
              <w:textAlignment w:val="auto"/>
              <w:rPr>
                <w:rFonts w:hint="default" w:ascii="Times New Roman" w:hAnsi="Times New Roman" w:eastAsia="宋体" w:cs="Times New Roman"/>
                <w:sz w:val="24"/>
                <w:lang w:eastAsia="zh-CN"/>
              </w:rPr>
            </w:pPr>
            <w:r>
              <w:rPr>
                <w:rFonts w:hint="default" w:ascii="Times New Roman" w:hAnsi="Times New Roman" w:cs="Times New Roman"/>
                <w:sz w:val="24"/>
                <w:lang w:eastAsia="zh-CN"/>
              </w:rPr>
              <w:t>兴平分局</w:t>
            </w:r>
          </w:p>
        </w:tc>
        <w:tc>
          <w:tcPr>
            <w:tcW w:w="1908" w:type="dxa"/>
            <w:vAlign w:val="center"/>
          </w:tcPr>
          <w:p>
            <w:pPr>
              <w:pStyle w:val="19"/>
              <w:keepNext w:val="0"/>
              <w:keepLines w:val="0"/>
              <w:pageBreakBefore w:val="0"/>
              <w:widowControl w:val="0"/>
              <w:kinsoku/>
              <w:wordWrap/>
              <w:overflowPunct/>
              <w:topLinePunct w:val="0"/>
              <w:autoSpaceDE w:val="0"/>
              <w:autoSpaceDN w:val="0"/>
              <w:bidi w:val="0"/>
              <w:adjustRightInd/>
              <w:snapToGrid/>
              <w:spacing w:before="81" w:line="360" w:lineRule="auto"/>
              <w:ind w:left="243"/>
              <w:jc w:val="both"/>
              <w:textAlignment w:val="auto"/>
              <w:rPr>
                <w:rFonts w:hint="default" w:ascii="Times New Roman" w:hAnsi="Times New Roman" w:cs="Times New Roman"/>
                <w:sz w:val="24"/>
              </w:rPr>
            </w:pPr>
            <w:r>
              <w:rPr>
                <w:rFonts w:hint="default" w:ascii="Times New Roman" w:hAnsi="Times New Roman" w:cs="Times New Roman"/>
                <w:sz w:val="24"/>
              </w:rPr>
              <w:t>环评报告表</w:t>
            </w:r>
          </w:p>
          <w:p>
            <w:pPr>
              <w:pStyle w:val="19"/>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编制单位</w:t>
            </w:r>
          </w:p>
        </w:tc>
        <w:tc>
          <w:tcPr>
            <w:tcW w:w="2992" w:type="dxa"/>
            <w:gridSpan w:val="3"/>
            <w:vAlign w:val="center"/>
          </w:tcPr>
          <w:p>
            <w:pPr>
              <w:pStyle w:val="19"/>
              <w:keepNext w:val="0"/>
              <w:keepLines w:val="0"/>
              <w:pageBreakBefore w:val="0"/>
              <w:widowControl w:val="0"/>
              <w:kinsoku/>
              <w:overflowPunct/>
              <w:topLinePunct w:val="0"/>
              <w:bidi w:val="0"/>
              <w:spacing w:before="160" w:line="360" w:lineRule="auto"/>
              <w:ind w:right="-30"/>
              <w:jc w:val="center"/>
              <w:textAlignment w:val="auto"/>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西安海浪环保科技有限公司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545" w:type="dxa"/>
            <w:vAlign w:val="center"/>
          </w:tcPr>
          <w:p>
            <w:pPr>
              <w:pStyle w:val="19"/>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环保设施</w:t>
            </w:r>
          </w:p>
          <w:p>
            <w:pPr>
              <w:pStyle w:val="19"/>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设计单位</w:t>
            </w:r>
          </w:p>
        </w:tc>
        <w:tc>
          <w:tcPr>
            <w:tcW w:w="2763" w:type="dxa"/>
            <w:vAlign w:val="center"/>
          </w:tcPr>
          <w:p>
            <w:pPr>
              <w:pStyle w:val="19"/>
              <w:keepNext w:val="0"/>
              <w:keepLines w:val="0"/>
              <w:pageBreakBefore w:val="0"/>
              <w:widowControl w:val="0"/>
              <w:kinsoku/>
              <w:overflowPunct/>
              <w:topLinePunct w:val="0"/>
              <w:bidi w:val="0"/>
              <w:spacing w:before="160" w:line="360" w:lineRule="auto"/>
              <w:ind w:left="151" w:right="144"/>
              <w:jc w:val="center"/>
              <w:textAlignment w:val="auto"/>
              <w:rPr>
                <w:rFonts w:hint="default" w:ascii="Times New Roman" w:hAnsi="Times New Roman" w:eastAsia="宋体" w:cs="Times New Roman"/>
                <w:sz w:val="24"/>
                <w:lang w:eastAsia="zh-CN"/>
              </w:rPr>
            </w:pPr>
            <w:r>
              <w:rPr>
                <w:rFonts w:hint="default" w:ascii="Times New Roman" w:hAnsi="Times New Roman" w:cs="Times New Roman"/>
                <w:sz w:val="24"/>
                <w:highlight w:val="none"/>
                <w:lang w:eastAsia="zh-CN"/>
              </w:rPr>
              <w:t>陕西宇泰建筑有限公司</w:t>
            </w:r>
          </w:p>
        </w:tc>
        <w:tc>
          <w:tcPr>
            <w:tcW w:w="1908" w:type="dxa"/>
            <w:vAlign w:val="center"/>
          </w:tcPr>
          <w:p>
            <w:pPr>
              <w:pStyle w:val="19"/>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环保设施</w:t>
            </w:r>
          </w:p>
          <w:p>
            <w:pPr>
              <w:pStyle w:val="19"/>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施工单位</w:t>
            </w:r>
          </w:p>
        </w:tc>
        <w:tc>
          <w:tcPr>
            <w:tcW w:w="2992" w:type="dxa"/>
            <w:gridSpan w:val="3"/>
            <w:vAlign w:val="center"/>
          </w:tcPr>
          <w:p>
            <w:pPr>
              <w:pStyle w:val="19"/>
              <w:keepNext w:val="0"/>
              <w:keepLines w:val="0"/>
              <w:pageBreakBefore w:val="0"/>
              <w:widowControl w:val="0"/>
              <w:kinsoku/>
              <w:overflowPunct/>
              <w:topLinePunct w:val="0"/>
              <w:bidi w:val="0"/>
              <w:spacing w:line="360" w:lineRule="auto"/>
              <w:jc w:val="center"/>
              <w:textAlignment w:val="auto"/>
              <w:rPr>
                <w:rFonts w:hint="default" w:ascii="Times New Roman" w:hAnsi="Times New Roman" w:eastAsia="宋体" w:cs="Times New Roman"/>
                <w:sz w:val="24"/>
                <w:lang w:eastAsia="zh-CN"/>
              </w:rPr>
            </w:pPr>
            <w:r>
              <w:rPr>
                <w:rFonts w:hint="default" w:ascii="Times New Roman" w:hAnsi="Times New Roman" w:cs="Times New Roman"/>
                <w:sz w:val="24"/>
                <w:highlight w:val="none"/>
                <w:lang w:eastAsia="zh-CN"/>
              </w:rPr>
              <w:t>陕西连腾建工集团有限公司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545" w:type="dxa"/>
            <w:vAlign w:val="center"/>
          </w:tcPr>
          <w:p>
            <w:pPr>
              <w:pStyle w:val="19"/>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投资总概算</w:t>
            </w:r>
          </w:p>
          <w:p>
            <w:pPr>
              <w:pStyle w:val="19"/>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（万元）</w:t>
            </w:r>
          </w:p>
        </w:tc>
        <w:tc>
          <w:tcPr>
            <w:tcW w:w="2763" w:type="dxa"/>
            <w:vAlign w:val="center"/>
          </w:tcPr>
          <w:p>
            <w:pPr>
              <w:pStyle w:val="19"/>
              <w:keepNext w:val="0"/>
              <w:keepLines w:val="0"/>
              <w:pageBreakBefore w:val="0"/>
              <w:widowControl w:val="0"/>
              <w:kinsoku/>
              <w:overflowPunct/>
              <w:topLinePunct w:val="0"/>
              <w:bidi w:val="0"/>
              <w:spacing w:before="96" w:line="360" w:lineRule="auto"/>
              <w:jc w:val="center"/>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szCs w:val="24"/>
              </w:rPr>
              <w:t>567.75</w:t>
            </w:r>
          </w:p>
        </w:tc>
        <w:tc>
          <w:tcPr>
            <w:tcW w:w="1908" w:type="dxa"/>
            <w:vAlign w:val="center"/>
          </w:tcPr>
          <w:p>
            <w:pPr>
              <w:pStyle w:val="19"/>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环保投资总概算</w:t>
            </w:r>
          </w:p>
          <w:p>
            <w:pPr>
              <w:pStyle w:val="19"/>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（万元）</w:t>
            </w:r>
          </w:p>
        </w:tc>
        <w:tc>
          <w:tcPr>
            <w:tcW w:w="876" w:type="dxa"/>
            <w:vAlign w:val="center"/>
          </w:tcPr>
          <w:p>
            <w:pPr>
              <w:pStyle w:val="19"/>
              <w:keepNext w:val="0"/>
              <w:keepLines w:val="0"/>
              <w:pageBreakBefore w:val="0"/>
              <w:widowControl w:val="0"/>
              <w:kinsoku/>
              <w:overflowPunct/>
              <w:topLinePunct w:val="0"/>
              <w:bidi w:val="0"/>
              <w:spacing w:before="96" w:line="360" w:lineRule="auto"/>
              <w:jc w:val="center"/>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color w:val="000000"/>
                <w:sz w:val="24"/>
                <w:szCs w:val="24"/>
                <w:lang w:val="en-US" w:eastAsia="zh-CN"/>
              </w:rPr>
              <w:t>35.7</w:t>
            </w:r>
          </w:p>
        </w:tc>
        <w:tc>
          <w:tcPr>
            <w:tcW w:w="916" w:type="dxa"/>
            <w:vAlign w:val="center"/>
          </w:tcPr>
          <w:p>
            <w:pPr>
              <w:pStyle w:val="19"/>
              <w:keepNext w:val="0"/>
              <w:keepLines w:val="0"/>
              <w:pageBreakBefore w:val="0"/>
              <w:widowControl w:val="0"/>
              <w:kinsoku/>
              <w:overflowPunct/>
              <w:topLinePunct w:val="0"/>
              <w:bidi w:val="0"/>
              <w:spacing w:before="80" w:line="360" w:lineRule="auto"/>
              <w:ind w:right="26" w:rightChars="0"/>
              <w:jc w:val="center"/>
              <w:textAlignment w:val="auto"/>
              <w:rPr>
                <w:rFonts w:hint="default" w:ascii="Times New Roman" w:hAnsi="Times New Roman" w:eastAsia="Times New Roman" w:cs="Times New Roman"/>
                <w:sz w:val="24"/>
              </w:rPr>
            </w:pPr>
            <w:r>
              <w:rPr>
                <w:rFonts w:hint="default" w:ascii="Times New Roman" w:hAnsi="Times New Roman" w:cs="Times New Roman"/>
                <w:sz w:val="24"/>
              </w:rPr>
              <w:t>比例</w:t>
            </w:r>
            <w:r>
              <w:rPr>
                <w:rFonts w:hint="default" w:ascii="Times New Roman" w:hAnsi="Times New Roman" w:eastAsia="Times New Roman" w:cs="Times New Roman"/>
                <w:sz w:val="24"/>
              </w:rPr>
              <w:t>%</w:t>
            </w:r>
          </w:p>
        </w:tc>
        <w:tc>
          <w:tcPr>
            <w:tcW w:w="1200" w:type="dxa"/>
            <w:vAlign w:val="center"/>
          </w:tcPr>
          <w:p>
            <w:pPr>
              <w:pStyle w:val="19"/>
              <w:keepNext w:val="0"/>
              <w:keepLines w:val="0"/>
              <w:pageBreakBefore w:val="0"/>
              <w:widowControl w:val="0"/>
              <w:kinsoku/>
              <w:overflowPunct/>
              <w:topLinePunct w:val="0"/>
              <w:bidi w:val="0"/>
              <w:spacing w:before="96" w:line="360" w:lineRule="auto"/>
              <w:jc w:val="center"/>
              <w:textAlignment w:val="auto"/>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6.29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545" w:type="dxa"/>
            <w:vAlign w:val="center"/>
          </w:tcPr>
          <w:p>
            <w:pPr>
              <w:pStyle w:val="19"/>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实际总投资</w:t>
            </w:r>
          </w:p>
          <w:p>
            <w:pPr>
              <w:pStyle w:val="19"/>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（万元）</w:t>
            </w:r>
          </w:p>
        </w:tc>
        <w:tc>
          <w:tcPr>
            <w:tcW w:w="2763" w:type="dxa"/>
            <w:vAlign w:val="center"/>
          </w:tcPr>
          <w:p>
            <w:pPr>
              <w:pStyle w:val="19"/>
              <w:keepNext w:val="0"/>
              <w:keepLines w:val="0"/>
              <w:pageBreakBefore w:val="0"/>
              <w:widowControl w:val="0"/>
              <w:kinsoku/>
              <w:overflowPunct/>
              <w:topLinePunct w:val="0"/>
              <w:bidi w:val="0"/>
              <w:spacing w:before="96" w:line="360" w:lineRule="auto"/>
              <w:jc w:val="center"/>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567.75</w:t>
            </w:r>
          </w:p>
        </w:tc>
        <w:tc>
          <w:tcPr>
            <w:tcW w:w="1908" w:type="dxa"/>
            <w:vAlign w:val="center"/>
          </w:tcPr>
          <w:p>
            <w:pPr>
              <w:pStyle w:val="19"/>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环保投资</w:t>
            </w:r>
          </w:p>
          <w:p>
            <w:pPr>
              <w:pStyle w:val="19"/>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（万元）</w:t>
            </w:r>
          </w:p>
        </w:tc>
        <w:tc>
          <w:tcPr>
            <w:tcW w:w="876" w:type="dxa"/>
            <w:vAlign w:val="center"/>
          </w:tcPr>
          <w:p>
            <w:pPr>
              <w:pStyle w:val="19"/>
              <w:keepNext w:val="0"/>
              <w:keepLines w:val="0"/>
              <w:pageBreakBefore w:val="0"/>
              <w:widowControl w:val="0"/>
              <w:kinsoku/>
              <w:overflowPunct/>
              <w:topLinePunct w:val="0"/>
              <w:bidi w:val="0"/>
              <w:spacing w:before="96" w:line="360" w:lineRule="auto"/>
              <w:jc w:val="center"/>
              <w:textAlignment w:val="auto"/>
              <w:rPr>
                <w:rFonts w:hint="default" w:ascii="Times New Roman" w:hAnsi="Times New Roman" w:cs="Times New Roman"/>
                <w:sz w:val="24"/>
                <w:lang w:val="en-US"/>
              </w:rPr>
            </w:pPr>
            <w:r>
              <w:rPr>
                <w:rFonts w:hint="default" w:ascii="Times New Roman" w:hAnsi="Times New Roman" w:eastAsia="宋体" w:cs="Times New Roman"/>
                <w:color w:val="000000"/>
                <w:sz w:val="24"/>
                <w:szCs w:val="24"/>
                <w:lang w:val="en-US" w:eastAsia="zh-CN"/>
              </w:rPr>
              <w:t>3</w:t>
            </w:r>
            <w:r>
              <w:rPr>
                <w:rFonts w:hint="eastAsia" w:ascii="Times New Roman" w:hAnsi="Times New Roman" w:cs="Times New Roman"/>
                <w:color w:val="000000"/>
                <w:sz w:val="24"/>
                <w:szCs w:val="24"/>
                <w:lang w:val="en-US" w:eastAsia="zh-CN"/>
              </w:rPr>
              <w:t>6.9</w:t>
            </w:r>
          </w:p>
        </w:tc>
        <w:tc>
          <w:tcPr>
            <w:tcW w:w="916" w:type="dxa"/>
            <w:vAlign w:val="center"/>
          </w:tcPr>
          <w:p>
            <w:pPr>
              <w:pStyle w:val="19"/>
              <w:keepNext w:val="0"/>
              <w:keepLines w:val="0"/>
              <w:pageBreakBefore w:val="0"/>
              <w:widowControl w:val="0"/>
              <w:kinsoku/>
              <w:overflowPunct/>
              <w:topLinePunct w:val="0"/>
              <w:bidi w:val="0"/>
              <w:spacing w:before="80" w:line="360" w:lineRule="auto"/>
              <w:ind w:right="26" w:rightChars="0"/>
              <w:jc w:val="center"/>
              <w:textAlignment w:val="auto"/>
              <w:rPr>
                <w:rFonts w:hint="default" w:ascii="Times New Roman" w:hAnsi="Times New Roman" w:eastAsia="Times New Roman" w:cs="Times New Roman"/>
                <w:sz w:val="24"/>
              </w:rPr>
            </w:pPr>
            <w:r>
              <w:rPr>
                <w:rFonts w:hint="default" w:ascii="Times New Roman" w:hAnsi="Times New Roman" w:cs="Times New Roman"/>
                <w:sz w:val="24"/>
              </w:rPr>
              <w:t>比例</w:t>
            </w:r>
            <w:r>
              <w:rPr>
                <w:rFonts w:hint="default" w:ascii="Times New Roman" w:hAnsi="Times New Roman" w:eastAsia="Times New Roman" w:cs="Times New Roman"/>
                <w:sz w:val="24"/>
              </w:rPr>
              <w:t>%</w:t>
            </w:r>
          </w:p>
        </w:tc>
        <w:tc>
          <w:tcPr>
            <w:tcW w:w="1200" w:type="dxa"/>
            <w:vAlign w:val="center"/>
          </w:tcPr>
          <w:p>
            <w:pPr>
              <w:pStyle w:val="19"/>
              <w:keepNext w:val="0"/>
              <w:keepLines w:val="0"/>
              <w:pageBreakBefore w:val="0"/>
              <w:widowControl w:val="0"/>
              <w:kinsoku/>
              <w:overflowPunct/>
              <w:topLinePunct w:val="0"/>
              <w:bidi w:val="0"/>
              <w:spacing w:before="96" w:line="360" w:lineRule="auto"/>
              <w:jc w:val="center"/>
              <w:textAlignment w:val="auto"/>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6.</w:t>
            </w:r>
            <w:r>
              <w:rPr>
                <w:rFonts w:hint="eastAsia" w:ascii="Times New Roman" w:hAnsi="Times New Roman" w:cs="Times New Roman"/>
                <w:sz w:val="24"/>
                <w:lang w:val="en-US" w:eastAsia="zh-CN"/>
              </w:rPr>
              <w:t>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1545" w:type="dxa"/>
            <w:vAlign w:val="center"/>
          </w:tcPr>
          <w:p>
            <w:pPr>
              <w:pStyle w:val="19"/>
              <w:keepNext w:val="0"/>
              <w:keepLines w:val="0"/>
              <w:pageBreakBefore w:val="0"/>
              <w:widowControl w:val="0"/>
              <w:kinsoku/>
              <w:overflowPunct/>
              <w:topLinePunct w:val="0"/>
              <w:bidi w:val="0"/>
              <w:spacing w:before="80" w:line="360" w:lineRule="auto"/>
              <w:ind w:left="107" w:right="-29"/>
              <w:jc w:val="center"/>
              <w:textAlignment w:val="auto"/>
              <w:rPr>
                <w:rFonts w:hint="default" w:ascii="Times New Roman" w:hAnsi="Times New Roman" w:cs="Times New Roman"/>
                <w:sz w:val="24"/>
              </w:rPr>
            </w:pPr>
          </w:p>
          <w:p>
            <w:pPr>
              <w:pStyle w:val="19"/>
              <w:keepNext w:val="0"/>
              <w:keepLines w:val="0"/>
              <w:pageBreakBefore w:val="0"/>
              <w:widowControl w:val="0"/>
              <w:kinsoku/>
              <w:overflowPunct/>
              <w:topLinePunct w:val="0"/>
              <w:bidi w:val="0"/>
              <w:spacing w:before="80" w:line="360" w:lineRule="auto"/>
              <w:ind w:left="107" w:right="-29"/>
              <w:jc w:val="center"/>
              <w:textAlignment w:val="auto"/>
              <w:rPr>
                <w:rFonts w:hint="default" w:ascii="Times New Roman" w:hAnsi="Times New Roman" w:cs="Times New Roman"/>
                <w:sz w:val="24"/>
              </w:rPr>
            </w:pPr>
          </w:p>
          <w:p>
            <w:pPr>
              <w:pStyle w:val="19"/>
              <w:keepNext w:val="0"/>
              <w:keepLines w:val="0"/>
              <w:pageBreakBefore w:val="0"/>
              <w:widowControl w:val="0"/>
              <w:kinsoku/>
              <w:overflowPunct/>
              <w:topLinePunct w:val="0"/>
              <w:bidi w:val="0"/>
              <w:spacing w:before="80" w:line="360" w:lineRule="auto"/>
              <w:ind w:left="107" w:right="-29"/>
              <w:jc w:val="center"/>
              <w:textAlignment w:val="auto"/>
              <w:rPr>
                <w:rFonts w:hint="default" w:ascii="Times New Roman" w:hAnsi="Times New Roman" w:cs="Times New Roman"/>
                <w:sz w:val="24"/>
              </w:rPr>
            </w:pPr>
          </w:p>
          <w:p>
            <w:pPr>
              <w:pStyle w:val="19"/>
              <w:keepNext w:val="0"/>
              <w:keepLines w:val="0"/>
              <w:pageBreakBefore w:val="0"/>
              <w:widowControl w:val="0"/>
              <w:kinsoku/>
              <w:overflowPunct/>
              <w:topLinePunct w:val="0"/>
              <w:bidi w:val="0"/>
              <w:spacing w:line="360" w:lineRule="auto"/>
              <w:jc w:val="center"/>
              <w:textAlignment w:val="auto"/>
              <w:rPr>
                <w:rFonts w:hint="default" w:ascii="Times New Roman" w:hAnsi="Times New Roman" w:eastAsia="宋体" w:cs="Times New Roman"/>
                <w:sz w:val="24"/>
                <w:lang w:val="en-US" w:eastAsia="zh-CN"/>
              </w:rPr>
            </w:pPr>
          </w:p>
          <w:p>
            <w:pPr>
              <w:pStyle w:val="19"/>
              <w:keepNext w:val="0"/>
              <w:keepLines w:val="0"/>
              <w:pageBreakBefore w:val="0"/>
              <w:widowControl w:val="0"/>
              <w:kinsoku/>
              <w:overflowPunct/>
              <w:topLinePunct w:val="0"/>
              <w:bidi w:val="0"/>
              <w:spacing w:line="360" w:lineRule="auto"/>
              <w:jc w:val="center"/>
              <w:textAlignment w:val="auto"/>
              <w:rPr>
                <w:rFonts w:hint="default" w:ascii="Times New Roman" w:hAnsi="Times New Roman" w:eastAsia="宋体" w:cs="Times New Roman"/>
                <w:sz w:val="24"/>
                <w:lang w:val="en-US" w:eastAsia="zh-CN"/>
              </w:rPr>
            </w:pPr>
          </w:p>
          <w:p>
            <w:pPr>
              <w:pStyle w:val="19"/>
              <w:keepNext w:val="0"/>
              <w:keepLines w:val="0"/>
              <w:pageBreakBefore w:val="0"/>
              <w:widowControl w:val="0"/>
              <w:kinsoku/>
              <w:overflowPunct/>
              <w:topLinePunct w:val="0"/>
              <w:bidi w:val="0"/>
              <w:spacing w:line="360" w:lineRule="auto"/>
              <w:jc w:val="center"/>
              <w:textAlignment w:val="auto"/>
              <w:rPr>
                <w:rFonts w:hint="default" w:ascii="Times New Roman" w:hAnsi="Times New Roman" w:eastAsia="宋体" w:cs="Times New Roman"/>
                <w:sz w:val="24"/>
                <w:lang w:val="en-US" w:eastAsia="zh-CN"/>
              </w:rPr>
            </w:pPr>
          </w:p>
          <w:p>
            <w:pPr>
              <w:pStyle w:val="19"/>
              <w:keepNext w:val="0"/>
              <w:keepLines w:val="0"/>
              <w:pageBreakBefore w:val="0"/>
              <w:widowControl w:val="0"/>
              <w:kinsoku/>
              <w:overflowPunct/>
              <w:topLinePunct w:val="0"/>
              <w:bidi w:val="0"/>
              <w:spacing w:line="360" w:lineRule="auto"/>
              <w:jc w:val="center"/>
              <w:textAlignment w:val="auto"/>
              <w:rPr>
                <w:rFonts w:hint="default" w:ascii="Times New Roman" w:hAnsi="Times New Roman" w:eastAsia="宋体" w:cs="Times New Roman"/>
                <w:sz w:val="24"/>
                <w:lang w:val="en-US" w:eastAsia="zh-CN"/>
              </w:rPr>
            </w:pPr>
          </w:p>
          <w:p>
            <w:pPr>
              <w:pStyle w:val="19"/>
              <w:keepNext w:val="0"/>
              <w:keepLines w:val="0"/>
              <w:pageBreakBefore w:val="0"/>
              <w:widowControl w:val="0"/>
              <w:kinsoku/>
              <w:overflowPunct/>
              <w:topLinePunct w:val="0"/>
              <w:bidi w:val="0"/>
              <w:spacing w:line="360" w:lineRule="auto"/>
              <w:jc w:val="center"/>
              <w:textAlignment w:val="auto"/>
              <w:rPr>
                <w:rFonts w:hint="default" w:ascii="Times New Roman" w:hAnsi="Times New Roman" w:eastAsia="宋体" w:cs="Times New Roman"/>
                <w:sz w:val="24"/>
                <w:lang w:val="en-US" w:eastAsia="zh-CN"/>
              </w:rPr>
            </w:pPr>
          </w:p>
          <w:p>
            <w:pPr>
              <w:pStyle w:val="19"/>
              <w:keepNext w:val="0"/>
              <w:keepLines w:val="0"/>
              <w:pageBreakBefore w:val="0"/>
              <w:widowControl w:val="0"/>
              <w:kinsoku/>
              <w:overflowPunct/>
              <w:topLinePunct w:val="0"/>
              <w:bidi w:val="0"/>
              <w:spacing w:line="360" w:lineRule="auto"/>
              <w:jc w:val="center"/>
              <w:textAlignment w:val="auto"/>
              <w:rPr>
                <w:rFonts w:hint="default" w:ascii="Times New Roman" w:hAnsi="Times New Roman" w:eastAsia="宋体" w:cs="Times New Roman"/>
                <w:sz w:val="24"/>
                <w:lang w:val="en-US" w:eastAsia="zh-CN"/>
              </w:rPr>
            </w:pPr>
          </w:p>
          <w:p>
            <w:pPr>
              <w:pStyle w:val="19"/>
              <w:keepNext w:val="0"/>
              <w:keepLines w:val="0"/>
              <w:pageBreakBefore w:val="0"/>
              <w:widowControl w:val="0"/>
              <w:kinsoku/>
              <w:overflowPunct/>
              <w:topLinePunct w:val="0"/>
              <w:bidi w:val="0"/>
              <w:spacing w:line="360" w:lineRule="auto"/>
              <w:jc w:val="center"/>
              <w:textAlignment w:val="auto"/>
              <w:rPr>
                <w:rFonts w:hint="default" w:ascii="Times New Roman" w:hAnsi="Times New Roman" w:eastAsia="宋体" w:cs="Times New Roman"/>
                <w:sz w:val="24"/>
                <w:lang w:val="en-US" w:eastAsia="zh-CN"/>
              </w:rPr>
            </w:pPr>
          </w:p>
          <w:p>
            <w:pPr>
              <w:pStyle w:val="19"/>
              <w:keepNext w:val="0"/>
              <w:keepLines w:val="0"/>
              <w:pageBreakBefore w:val="0"/>
              <w:widowControl w:val="0"/>
              <w:kinsoku/>
              <w:overflowPunct/>
              <w:topLinePunct w:val="0"/>
              <w:bidi w:val="0"/>
              <w:spacing w:line="360" w:lineRule="auto"/>
              <w:jc w:val="center"/>
              <w:textAlignment w:val="auto"/>
              <w:rPr>
                <w:rFonts w:hint="default" w:ascii="Times New Roman" w:hAnsi="Times New Roman" w:eastAsia="宋体" w:cs="Times New Roman"/>
                <w:sz w:val="24"/>
                <w:lang w:val="en-US" w:eastAsia="zh-CN"/>
              </w:rPr>
            </w:pPr>
          </w:p>
          <w:p>
            <w:pPr>
              <w:pStyle w:val="19"/>
              <w:keepNext w:val="0"/>
              <w:keepLines w:val="0"/>
              <w:pageBreakBefore w:val="0"/>
              <w:widowControl w:val="0"/>
              <w:kinsoku/>
              <w:overflowPunct/>
              <w:topLinePunct w:val="0"/>
              <w:bidi w:val="0"/>
              <w:spacing w:line="360" w:lineRule="auto"/>
              <w:jc w:val="center"/>
              <w:textAlignment w:val="auto"/>
              <w:rPr>
                <w:rFonts w:hint="default" w:ascii="Times New Roman" w:hAnsi="Times New Roman" w:eastAsia="宋体" w:cs="Times New Roman"/>
                <w:sz w:val="24"/>
                <w:lang w:val="en-US" w:eastAsia="zh-CN"/>
              </w:rPr>
            </w:pPr>
          </w:p>
          <w:p>
            <w:pPr>
              <w:pStyle w:val="19"/>
              <w:keepNext w:val="0"/>
              <w:keepLines w:val="0"/>
              <w:pageBreakBefore w:val="0"/>
              <w:widowControl w:val="0"/>
              <w:kinsoku/>
              <w:overflowPunct/>
              <w:topLinePunct w:val="0"/>
              <w:bidi w:val="0"/>
              <w:spacing w:line="360" w:lineRule="auto"/>
              <w:jc w:val="center"/>
              <w:textAlignment w:val="auto"/>
              <w:rPr>
                <w:rFonts w:hint="default" w:ascii="Times New Roman" w:hAnsi="Times New Roman" w:eastAsia="宋体" w:cs="Times New Roman"/>
                <w:sz w:val="24"/>
                <w:lang w:val="en-US" w:eastAsia="zh-CN"/>
              </w:rPr>
            </w:pPr>
          </w:p>
          <w:p>
            <w:pPr>
              <w:pStyle w:val="19"/>
              <w:keepNext w:val="0"/>
              <w:keepLines w:val="0"/>
              <w:pageBreakBefore w:val="0"/>
              <w:widowControl w:val="0"/>
              <w:kinsoku/>
              <w:overflowPunct/>
              <w:topLinePunct w:val="0"/>
              <w:bidi w:val="0"/>
              <w:spacing w:line="360" w:lineRule="auto"/>
              <w:jc w:val="center"/>
              <w:textAlignment w:val="auto"/>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竣工验收工作由来</w:t>
            </w:r>
          </w:p>
          <w:p>
            <w:pPr>
              <w:pStyle w:val="19"/>
              <w:keepNext w:val="0"/>
              <w:keepLines w:val="0"/>
              <w:pageBreakBefore w:val="0"/>
              <w:widowControl w:val="0"/>
              <w:kinsoku/>
              <w:overflowPunct/>
              <w:topLinePunct w:val="0"/>
              <w:bidi w:val="0"/>
              <w:spacing w:before="80" w:line="360" w:lineRule="auto"/>
              <w:ind w:left="107" w:right="-29"/>
              <w:jc w:val="center"/>
              <w:textAlignment w:val="auto"/>
              <w:rPr>
                <w:rFonts w:hint="default" w:ascii="Times New Roman" w:hAnsi="Times New Roman" w:cs="Times New Roman"/>
                <w:sz w:val="24"/>
              </w:rPr>
            </w:pPr>
          </w:p>
          <w:p>
            <w:pPr>
              <w:pStyle w:val="19"/>
              <w:keepNext w:val="0"/>
              <w:keepLines w:val="0"/>
              <w:pageBreakBefore w:val="0"/>
              <w:widowControl w:val="0"/>
              <w:kinsoku/>
              <w:overflowPunct/>
              <w:topLinePunct w:val="0"/>
              <w:bidi w:val="0"/>
              <w:spacing w:before="80" w:line="360" w:lineRule="auto"/>
              <w:ind w:left="107" w:right="-29"/>
              <w:jc w:val="center"/>
              <w:textAlignment w:val="auto"/>
              <w:rPr>
                <w:rFonts w:hint="default" w:ascii="Times New Roman" w:hAnsi="Times New Roman" w:cs="Times New Roman"/>
                <w:sz w:val="24"/>
              </w:rPr>
            </w:pPr>
          </w:p>
          <w:p>
            <w:pPr>
              <w:pStyle w:val="19"/>
              <w:keepNext w:val="0"/>
              <w:keepLines w:val="0"/>
              <w:pageBreakBefore w:val="0"/>
              <w:widowControl w:val="0"/>
              <w:kinsoku/>
              <w:overflowPunct/>
              <w:topLinePunct w:val="0"/>
              <w:bidi w:val="0"/>
              <w:spacing w:before="80" w:line="360" w:lineRule="auto"/>
              <w:ind w:left="107" w:right="-29"/>
              <w:jc w:val="center"/>
              <w:textAlignment w:val="auto"/>
              <w:rPr>
                <w:rFonts w:hint="default" w:ascii="Times New Roman" w:hAnsi="Times New Roman" w:cs="Times New Roman"/>
                <w:sz w:val="24"/>
              </w:rPr>
            </w:pPr>
          </w:p>
          <w:p>
            <w:pPr>
              <w:pStyle w:val="19"/>
              <w:keepNext w:val="0"/>
              <w:keepLines w:val="0"/>
              <w:pageBreakBefore w:val="0"/>
              <w:widowControl w:val="0"/>
              <w:kinsoku/>
              <w:overflowPunct/>
              <w:topLinePunct w:val="0"/>
              <w:bidi w:val="0"/>
              <w:spacing w:before="80" w:line="360" w:lineRule="auto"/>
              <w:ind w:left="107" w:right="-29"/>
              <w:jc w:val="center"/>
              <w:textAlignment w:val="auto"/>
              <w:rPr>
                <w:rFonts w:hint="default" w:ascii="Times New Roman" w:hAnsi="Times New Roman" w:cs="Times New Roman"/>
                <w:sz w:val="24"/>
              </w:rPr>
            </w:pPr>
          </w:p>
        </w:tc>
        <w:tc>
          <w:tcPr>
            <w:tcW w:w="7663"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kern w:val="0"/>
                <w:sz w:val="24"/>
              </w:rPr>
            </w:pPr>
            <w:r>
              <w:rPr>
                <w:rFonts w:hint="default" w:ascii="Times New Roman" w:hAnsi="Times New Roman" w:eastAsia="宋体" w:cs="Times New Roman"/>
                <w:snapToGrid w:val="0"/>
                <w:kern w:val="0"/>
                <w:sz w:val="24"/>
              </w:rPr>
              <w:t>本项目属于西咸北环线</w:t>
            </w:r>
            <w:r>
              <w:rPr>
                <w:rFonts w:hint="default" w:ascii="Times New Roman" w:hAnsi="Times New Roman" w:cs="Times New Roman"/>
                <w:snapToGrid w:val="0"/>
                <w:kern w:val="0"/>
                <w:sz w:val="24"/>
                <w:lang w:eastAsia="zh-CN"/>
              </w:rPr>
              <w:t>茂陵</w:t>
            </w:r>
            <w:r>
              <w:rPr>
                <w:rFonts w:hint="default" w:ascii="Times New Roman" w:hAnsi="Times New Roman" w:eastAsia="宋体" w:cs="Times New Roman"/>
                <w:snapToGrid w:val="0"/>
                <w:kern w:val="0"/>
                <w:sz w:val="24"/>
              </w:rPr>
              <w:t>服务区的配套加油站，西咸北环线于2011年8月4日取得《陕西省环境保护厅关于省级高速公路西咸北环线工程环境影响报告书的批复》（陕环批复</w:t>
            </w:r>
            <w:r>
              <w:rPr>
                <w:rFonts w:hint="eastAsia" w:ascii="宋体" w:hAnsi="宋体" w:eastAsia="宋体" w:cs="宋体"/>
                <w:snapToGrid w:val="0"/>
                <w:kern w:val="0"/>
                <w:sz w:val="24"/>
                <w:lang w:val="en-US" w:eastAsia="zh-CN"/>
              </w:rPr>
              <w:t>[</w:t>
            </w:r>
            <w:r>
              <w:rPr>
                <w:rFonts w:hint="default" w:ascii="Times New Roman" w:hAnsi="Times New Roman" w:eastAsia="宋体" w:cs="Times New Roman"/>
                <w:snapToGrid w:val="0"/>
                <w:kern w:val="0"/>
                <w:sz w:val="24"/>
              </w:rPr>
              <w:t>2011</w:t>
            </w:r>
            <w:r>
              <w:rPr>
                <w:rFonts w:hint="eastAsia" w:ascii="宋体" w:hAnsi="宋体" w:eastAsia="宋体" w:cs="宋体"/>
                <w:snapToGrid w:val="0"/>
                <w:kern w:val="0"/>
                <w:sz w:val="24"/>
              </w:rPr>
              <w:t>]</w:t>
            </w:r>
            <w:r>
              <w:rPr>
                <w:rFonts w:hint="default" w:ascii="Times New Roman" w:hAnsi="Times New Roman" w:eastAsia="宋体" w:cs="Times New Roman"/>
                <w:snapToGrid w:val="0"/>
                <w:kern w:val="0"/>
                <w:sz w:val="24"/>
              </w:rPr>
              <w:t>408号）</w:t>
            </w:r>
            <w:r>
              <w:rPr>
                <w:rFonts w:hint="eastAsia" w:ascii="Times New Roman" w:hAnsi="Times New Roman" w:cs="Times New Roman"/>
                <w:snapToGrid w:val="0"/>
                <w:kern w:val="0"/>
                <w:sz w:val="24"/>
                <w:lang w:eastAsia="zh-CN"/>
              </w:rPr>
              <w:t>（附件</w:t>
            </w:r>
            <w:r>
              <w:rPr>
                <w:rFonts w:hint="eastAsia" w:ascii="Times New Roman" w:hAnsi="Times New Roman" w:cs="Times New Roman"/>
                <w:snapToGrid w:val="0"/>
                <w:kern w:val="0"/>
                <w:sz w:val="24"/>
                <w:lang w:val="en-US" w:eastAsia="zh-CN"/>
              </w:rPr>
              <w:t>3</w:t>
            </w:r>
            <w:r>
              <w:rPr>
                <w:rFonts w:hint="eastAsia" w:ascii="Times New Roman" w:hAnsi="Times New Roman" w:cs="Times New Roman"/>
                <w:snapToGrid w:val="0"/>
                <w:kern w:val="0"/>
                <w:sz w:val="24"/>
                <w:lang w:eastAsia="zh-CN"/>
              </w:rPr>
              <w:t>）</w:t>
            </w:r>
            <w:r>
              <w:rPr>
                <w:rFonts w:hint="default" w:ascii="Times New Roman" w:hAnsi="Times New Roman" w:eastAsia="宋体" w:cs="Times New Roman"/>
                <w:snapToGrid w:val="0"/>
                <w:kern w:val="0"/>
                <w:sz w:val="24"/>
              </w:rPr>
              <w:t>，另根据《高速公路交通工程及沿线设施设计通用规范》（JTGD80-2006），高速公路服务区应设置停车场、加油站、车辆维修站、公共厕所、室内外休息区、餐饮、商品零售点等设施。</w:t>
            </w:r>
            <w:r>
              <w:rPr>
                <w:rFonts w:hint="default" w:ascii="Times New Roman" w:hAnsi="Times New Roman" w:eastAsia="宋体" w:cs="Times New Roman"/>
                <w:snapToGrid w:val="0"/>
                <w:kern w:val="0"/>
                <w:sz w:val="24"/>
                <w:szCs w:val="22"/>
              </w:rPr>
              <w:t>鉴于加油站作为高速公路配套设施在2011年高速公路建设前期已随西咸北环线高速公路进行整体环评，并取得省环保厅批复</w:t>
            </w:r>
            <w:r>
              <w:rPr>
                <w:rFonts w:hint="eastAsia" w:ascii="Times New Roman" w:hAnsi="Times New Roman" w:cs="Times New Roman"/>
                <w:snapToGrid w:val="0"/>
                <w:kern w:val="0"/>
                <w:sz w:val="24"/>
                <w:szCs w:val="22"/>
                <w:lang w:val="en-US" w:eastAsia="zh-CN"/>
              </w:rPr>
              <w:t>，</w:t>
            </w:r>
            <w:r>
              <w:rPr>
                <w:rFonts w:hint="default" w:ascii="Times New Roman" w:hAnsi="Times New Roman" w:eastAsia="宋体" w:cs="Times New Roman"/>
                <w:snapToGrid w:val="0"/>
                <w:kern w:val="0"/>
                <w:sz w:val="24"/>
                <w:szCs w:val="22"/>
              </w:rPr>
              <w:t>故</w:t>
            </w:r>
            <w:r>
              <w:rPr>
                <w:rFonts w:hint="default" w:ascii="Times New Roman" w:hAnsi="Times New Roman" w:eastAsia="宋体" w:cs="Times New Roman"/>
                <w:sz w:val="24"/>
                <w:szCs w:val="24"/>
              </w:rPr>
              <w:t>于2014年11月建成</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由于未取得成品油销售证，一直未进行运行。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kern w:val="0"/>
                <w:sz w:val="24"/>
                <w:szCs w:val="22"/>
              </w:rPr>
            </w:pPr>
            <w:r>
              <w:rPr>
                <w:rFonts w:hint="default" w:ascii="Times New Roman" w:hAnsi="Times New Roman" w:eastAsia="宋体" w:cs="Times New Roman"/>
                <w:snapToGrid w:val="0"/>
                <w:kern w:val="0"/>
                <w:sz w:val="24"/>
              </w:rPr>
              <w:t>2016年9月，高速公路所有权人陕西省交通建设集团公司与延长石油集团有限责任公司签订战略合作协议</w:t>
            </w:r>
            <w:r>
              <w:rPr>
                <w:rFonts w:hint="default" w:ascii="Times New Roman" w:hAnsi="Times New Roman" w:eastAsia="宋体" w:cs="Times New Roman"/>
                <w:snapToGrid w:val="0"/>
                <w:kern w:val="0"/>
                <w:sz w:val="24"/>
                <w:lang w:eastAsia="zh-CN"/>
              </w:rPr>
              <w:t>，</w:t>
            </w:r>
            <w:r>
              <w:rPr>
                <w:rFonts w:hint="default" w:ascii="Times New Roman" w:hAnsi="Times New Roman" w:eastAsia="宋体" w:cs="Times New Roman"/>
                <w:snapToGrid w:val="0"/>
                <w:kern w:val="0"/>
                <w:sz w:val="24"/>
              </w:rPr>
              <w:t>明确将交通集团所建设的</w:t>
            </w:r>
            <w:r>
              <w:rPr>
                <w:rFonts w:hint="default" w:ascii="Times New Roman" w:hAnsi="Times New Roman" w:eastAsia="宋体" w:cs="Times New Roman"/>
                <w:snapToGrid w:val="0"/>
                <w:kern w:val="0"/>
                <w:sz w:val="24"/>
                <w:lang w:eastAsia="zh-CN"/>
              </w:rPr>
              <w:t>西咸北环线</w:t>
            </w:r>
            <w:r>
              <w:rPr>
                <w:rFonts w:hint="default" w:ascii="Times New Roman" w:hAnsi="Times New Roman" w:eastAsia="宋体" w:cs="Times New Roman"/>
                <w:snapToGrid w:val="0"/>
                <w:kern w:val="0"/>
                <w:sz w:val="24"/>
              </w:rPr>
              <w:t>服务区加油站全部交由延长石油集</w:t>
            </w:r>
            <w:r>
              <w:rPr>
                <w:rFonts w:hint="default" w:ascii="Times New Roman" w:hAnsi="Times New Roman" w:eastAsia="宋体" w:cs="Times New Roman"/>
                <w:snapToGrid w:val="0"/>
                <w:kern w:val="0"/>
                <w:sz w:val="24"/>
                <w:szCs w:val="22"/>
              </w:rPr>
              <w:t>团所属的全资子公司陕西省石油化工工业贸易公司。根据</w:t>
            </w:r>
            <w:r>
              <w:rPr>
                <w:rFonts w:hint="default" w:ascii="Times New Roman" w:hAnsi="Times New Roman" w:eastAsia="宋体" w:cs="Times New Roman"/>
                <w:snapToGrid w:val="0"/>
                <w:kern w:val="0"/>
                <w:sz w:val="24"/>
                <w:szCs w:val="22"/>
                <w:lang w:eastAsia="zh-CN"/>
              </w:rPr>
              <w:t>咸阳市</w:t>
            </w:r>
            <w:r>
              <w:rPr>
                <w:rFonts w:hint="default" w:ascii="Times New Roman" w:hAnsi="Times New Roman" w:eastAsia="宋体" w:cs="Times New Roman"/>
                <w:snapToGrid w:val="0"/>
                <w:kern w:val="0"/>
                <w:sz w:val="24"/>
                <w:szCs w:val="22"/>
              </w:rPr>
              <w:t>商务局于2017年8月2</w:t>
            </w:r>
            <w:r>
              <w:rPr>
                <w:rFonts w:hint="default" w:ascii="Times New Roman" w:hAnsi="Times New Roman" w:eastAsia="宋体" w:cs="Times New Roman"/>
                <w:snapToGrid w:val="0"/>
                <w:kern w:val="0"/>
                <w:sz w:val="24"/>
                <w:szCs w:val="22"/>
                <w:lang w:val="en-US" w:eastAsia="zh-CN"/>
              </w:rPr>
              <w:t>4</w:t>
            </w:r>
            <w:r>
              <w:rPr>
                <w:rFonts w:hint="default" w:ascii="Times New Roman" w:hAnsi="Times New Roman" w:eastAsia="宋体" w:cs="Times New Roman"/>
                <w:snapToGrid w:val="0"/>
                <w:kern w:val="0"/>
                <w:sz w:val="24"/>
                <w:szCs w:val="22"/>
              </w:rPr>
              <w:t>日召开《全市石油流通企业安全生产暨加油站油气污染治理大检查大整治工作会议》，会议强调，8月底前，三次油气回收治理工作未完成的加油站，要坚决停业整改。为响应最新的油气回收政策，陕西省石油化工工业贸易有限公司于2017年8月至9月对油气回收进行改造，改造为三次油气回收系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kern w:val="0"/>
                <w:sz w:val="24"/>
                <w:szCs w:val="22"/>
              </w:rPr>
            </w:pPr>
            <w:r>
              <w:rPr>
                <w:rFonts w:hint="default" w:ascii="Times New Roman" w:hAnsi="Times New Roman" w:eastAsia="宋体" w:cs="Times New Roman"/>
                <w:snapToGrid w:val="0"/>
                <w:kern w:val="0"/>
                <w:sz w:val="24"/>
                <w:szCs w:val="22"/>
              </w:rPr>
              <w:t>2018年10月17日陕西省环境保护厅</w:t>
            </w:r>
            <w:r>
              <w:rPr>
                <w:rFonts w:hint="default" w:ascii="Times New Roman" w:hAnsi="Times New Roman" w:eastAsia="宋体" w:cs="Times New Roman"/>
                <w:snapToGrid w:val="0"/>
                <w:kern w:val="0"/>
                <w:sz w:val="24"/>
                <w:szCs w:val="22"/>
                <w:lang w:eastAsia="zh-CN"/>
              </w:rPr>
              <w:t>对《西咸北环线高速公路项目（重大变动）环境影响报告书》进行了批复，该批复（陕环批复</w:t>
            </w:r>
            <w:r>
              <w:rPr>
                <w:rFonts w:hint="default" w:ascii="Times New Roman" w:hAnsi="Times New Roman" w:eastAsia="宋体" w:cs="Times New Roman"/>
                <w:snapToGrid w:val="0"/>
                <w:kern w:val="0"/>
                <w:sz w:val="24"/>
                <w:szCs w:val="22"/>
                <w:lang w:val="en-US" w:eastAsia="zh-CN"/>
              </w:rPr>
              <w:t>[2018]404号</w:t>
            </w:r>
            <w:r>
              <w:rPr>
                <w:rFonts w:hint="default" w:ascii="Times New Roman" w:hAnsi="Times New Roman" w:eastAsia="宋体" w:cs="Times New Roman"/>
                <w:snapToGrid w:val="0"/>
                <w:kern w:val="0"/>
                <w:sz w:val="24"/>
                <w:szCs w:val="22"/>
                <w:lang w:eastAsia="zh-CN"/>
              </w:rPr>
              <w:t>）</w:t>
            </w:r>
            <w:r>
              <w:rPr>
                <w:rFonts w:hint="eastAsia" w:ascii="Times New Roman" w:hAnsi="Times New Roman" w:cs="Times New Roman"/>
                <w:snapToGrid w:val="0"/>
                <w:kern w:val="0"/>
                <w:sz w:val="24"/>
                <w:szCs w:val="22"/>
                <w:lang w:eastAsia="zh-CN"/>
              </w:rPr>
              <w:t>（附件</w:t>
            </w:r>
            <w:r>
              <w:rPr>
                <w:rFonts w:hint="eastAsia" w:ascii="Times New Roman" w:hAnsi="Times New Roman" w:cs="Times New Roman"/>
                <w:snapToGrid w:val="0"/>
                <w:kern w:val="0"/>
                <w:sz w:val="24"/>
                <w:szCs w:val="22"/>
                <w:lang w:val="en-US" w:eastAsia="zh-CN"/>
              </w:rPr>
              <w:t>4</w:t>
            </w:r>
            <w:r>
              <w:rPr>
                <w:rFonts w:hint="eastAsia" w:ascii="Times New Roman" w:hAnsi="Times New Roman" w:cs="Times New Roman"/>
                <w:snapToGrid w:val="0"/>
                <w:kern w:val="0"/>
                <w:sz w:val="24"/>
                <w:szCs w:val="22"/>
                <w:lang w:eastAsia="zh-CN"/>
              </w:rPr>
              <w:t>）</w:t>
            </w:r>
            <w:r>
              <w:rPr>
                <w:rFonts w:hint="default" w:ascii="Times New Roman" w:hAnsi="Times New Roman" w:eastAsia="宋体" w:cs="Times New Roman"/>
                <w:snapToGrid w:val="0"/>
                <w:kern w:val="0"/>
                <w:sz w:val="24"/>
                <w:szCs w:val="22"/>
                <w:lang w:eastAsia="zh-CN"/>
              </w:rPr>
              <w:t>中指出：（</w:t>
            </w:r>
            <w:r>
              <w:rPr>
                <w:rFonts w:hint="default" w:ascii="Times New Roman" w:hAnsi="Times New Roman" w:eastAsia="宋体" w:cs="Times New Roman"/>
                <w:snapToGrid w:val="0"/>
                <w:kern w:val="0"/>
                <w:sz w:val="24"/>
                <w:szCs w:val="22"/>
                <w:lang w:val="en-US" w:eastAsia="zh-CN"/>
              </w:rPr>
              <w:t>1</w:t>
            </w:r>
            <w:r>
              <w:rPr>
                <w:rFonts w:hint="default" w:ascii="Times New Roman" w:hAnsi="Times New Roman" w:eastAsia="宋体" w:cs="Times New Roman"/>
                <w:snapToGrid w:val="0"/>
                <w:kern w:val="0"/>
                <w:sz w:val="24"/>
                <w:szCs w:val="22"/>
                <w:lang w:eastAsia="zh-CN"/>
              </w:rPr>
              <w:t>）目前</w:t>
            </w:r>
            <w:r>
              <w:rPr>
                <w:rFonts w:hint="default" w:ascii="Times New Roman" w:hAnsi="Times New Roman" w:eastAsia="宋体" w:cs="Times New Roman"/>
                <w:snapToGrid w:val="0"/>
                <w:kern w:val="0"/>
                <w:sz w:val="24"/>
                <w:szCs w:val="22"/>
              </w:rPr>
              <w:t>公路主体工程已建设完成并投入运行，服务区等主体设施建成，服务功能尚未完全开放。</w:t>
            </w:r>
            <w:r>
              <w:rPr>
                <w:rFonts w:hint="default" w:ascii="Times New Roman" w:hAnsi="Times New Roman" w:eastAsia="宋体" w:cs="Times New Roman"/>
                <w:snapToGrid w:val="0"/>
                <w:kern w:val="0"/>
                <w:sz w:val="24"/>
                <w:szCs w:val="22"/>
                <w:lang w:eastAsia="zh-CN"/>
              </w:rPr>
              <w:t>（</w:t>
            </w:r>
            <w:r>
              <w:rPr>
                <w:rFonts w:hint="default" w:ascii="Times New Roman" w:hAnsi="Times New Roman" w:eastAsia="宋体" w:cs="Times New Roman"/>
                <w:snapToGrid w:val="0"/>
                <w:kern w:val="0"/>
                <w:sz w:val="24"/>
                <w:szCs w:val="22"/>
                <w:lang w:val="en-US" w:eastAsia="zh-CN"/>
              </w:rPr>
              <w:t>2</w:t>
            </w:r>
            <w:r>
              <w:rPr>
                <w:rFonts w:hint="default" w:ascii="Times New Roman" w:hAnsi="Times New Roman" w:eastAsia="宋体" w:cs="Times New Roman"/>
                <w:snapToGrid w:val="0"/>
                <w:kern w:val="0"/>
                <w:sz w:val="24"/>
                <w:szCs w:val="22"/>
                <w:lang w:eastAsia="zh-CN"/>
              </w:rPr>
              <w:t>）渭南高新连接线、加油站、维修服务站的建设应另行办理相关环保手续</w:t>
            </w:r>
            <w:r>
              <w:rPr>
                <w:rFonts w:hint="default" w:ascii="Times New Roman" w:hAnsi="Times New Roman" w:eastAsia="宋体" w:cs="Times New Roman"/>
                <w:snapToGrid w:val="0"/>
                <w:kern w:val="0"/>
                <w:sz w:val="24"/>
                <w:szCs w:val="22"/>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kern w:val="0"/>
                <w:sz w:val="24"/>
                <w:szCs w:val="22"/>
                <w:lang w:val="en-US" w:eastAsia="zh-CN" w:bidi="zh-CN"/>
              </w:rPr>
            </w:pPr>
            <w:r>
              <w:rPr>
                <w:rFonts w:hint="default" w:ascii="Times New Roman" w:hAnsi="Times New Roman" w:eastAsia="宋体" w:cs="Times New Roman"/>
                <w:snapToGrid w:val="0"/>
                <w:kern w:val="0"/>
                <w:sz w:val="24"/>
                <w:szCs w:val="22"/>
              </w:rPr>
              <w:t>2019年4月10日，</w:t>
            </w:r>
            <w:r>
              <w:rPr>
                <w:rFonts w:hint="default" w:ascii="Times New Roman" w:hAnsi="Times New Roman" w:eastAsia="宋体" w:cs="Times New Roman"/>
                <w:snapToGrid w:val="0"/>
                <w:kern w:val="0"/>
                <w:sz w:val="24"/>
              </w:rPr>
              <w:t>陕西省交通建设集团公司</w:t>
            </w:r>
            <w:r>
              <w:rPr>
                <w:rFonts w:hint="default" w:ascii="Times New Roman" w:hAnsi="Times New Roman" w:eastAsia="宋体" w:cs="Times New Roman"/>
                <w:snapToGrid w:val="0"/>
                <w:kern w:val="0"/>
                <w:sz w:val="24"/>
                <w:lang w:eastAsia="zh-CN"/>
              </w:rPr>
              <w:t>将</w:t>
            </w:r>
            <w:r>
              <w:rPr>
                <w:rFonts w:hint="default" w:ascii="Times New Roman" w:hAnsi="Times New Roman" w:eastAsia="宋体" w:cs="Times New Roman"/>
                <w:snapToGrid w:val="0"/>
                <w:kern w:val="0"/>
                <w:sz w:val="24"/>
                <w:szCs w:val="22"/>
                <w:lang w:eastAsia="zh-CN"/>
              </w:rPr>
              <w:t>《陕西省环境保护厅关于西咸北环线高速公路项目（重大变动）环境影响报告书的批复》（陕环批复</w:t>
            </w:r>
            <w:r>
              <w:rPr>
                <w:rFonts w:hint="eastAsia" w:ascii="宋体" w:hAnsi="宋体" w:eastAsia="宋体" w:cs="宋体"/>
                <w:snapToGrid w:val="0"/>
                <w:kern w:val="0"/>
                <w:sz w:val="24"/>
                <w:szCs w:val="22"/>
                <w:lang w:val="en-US" w:eastAsia="zh-CN"/>
              </w:rPr>
              <w:t>[</w:t>
            </w:r>
            <w:r>
              <w:rPr>
                <w:rFonts w:hint="default" w:ascii="Times New Roman" w:hAnsi="Times New Roman" w:eastAsia="宋体" w:cs="Times New Roman"/>
                <w:snapToGrid w:val="0"/>
                <w:kern w:val="0"/>
                <w:sz w:val="24"/>
                <w:szCs w:val="22"/>
                <w:lang w:val="en-US" w:eastAsia="zh-CN"/>
              </w:rPr>
              <w:t>2018</w:t>
            </w:r>
            <w:r>
              <w:rPr>
                <w:rFonts w:hint="eastAsia" w:ascii="宋体" w:hAnsi="宋体" w:eastAsia="宋体" w:cs="宋体"/>
                <w:snapToGrid w:val="0"/>
                <w:kern w:val="0"/>
                <w:sz w:val="24"/>
                <w:szCs w:val="22"/>
                <w:lang w:val="en-US" w:eastAsia="zh-CN"/>
              </w:rPr>
              <w:t>]</w:t>
            </w:r>
            <w:r>
              <w:rPr>
                <w:rFonts w:hint="default" w:ascii="Times New Roman" w:hAnsi="Times New Roman" w:eastAsia="宋体" w:cs="Times New Roman"/>
                <w:snapToGrid w:val="0"/>
                <w:kern w:val="0"/>
                <w:sz w:val="24"/>
                <w:szCs w:val="22"/>
                <w:lang w:val="en-US" w:eastAsia="zh-CN"/>
              </w:rPr>
              <w:t>404号</w:t>
            </w:r>
            <w:r>
              <w:rPr>
                <w:rFonts w:hint="default" w:ascii="Times New Roman" w:hAnsi="Times New Roman" w:eastAsia="宋体" w:cs="Times New Roman"/>
                <w:snapToGrid w:val="0"/>
                <w:kern w:val="0"/>
                <w:sz w:val="24"/>
                <w:szCs w:val="22"/>
                <w:lang w:eastAsia="zh-CN"/>
              </w:rPr>
              <w:t>）</w:t>
            </w:r>
            <w:r>
              <w:rPr>
                <w:rFonts w:hint="default" w:ascii="Times New Roman" w:hAnsi="Times New Roman" w:eastAsia="宋体" w:cs="Times New Roman"/>
                <w:snapToGrid w:val="0"/>
                <w:kern w:val="0"/>
                <w:sz w:val="24"/>
                <w:szCs w:val="22"/>
              </w:rPr>
              <w:t>转至</w:t>
            </w:r>
            <w:r>
              <w:rPr>
                <w:rFonts w:hint="default" w:ascii="Times New Roman" w:hAnsi="Times New Roman" w:eastAsia="宋体" w:cs="Times New Roman"/>
                <w:snapToGrid w:val="0"/>
                <w:kern w:val="0"/>
                <w:sz w:val="24"/>
              </w:rPr>
              <w:t>陕西省石油化工工业贸易有限公司</w:t>
            </w:r>
            <w:r>
              <w:rPr>
                <w:rFonts w:hint="default" w:ascii="Times New Roman" w:hAnsi="Times New Roman" w:eastAsia="宋体" w:cs="Times New Roman"/>
                <w:snapToGrid w:val="0"/>
                <w:kern w:val="0"/>
                <w:sz w:val="24"/>
                <w:szCs w:val="22"/>
              </w:rPr>
              <w:t>，</w:t>
            </w:r>
            <w:r>
              <w:rPr>
                <w:rFonts w:hint="default" w:ascii="Times New Roman" w:hAnsi="Times New Roman" w:eastAsia="宋体" w:cs="Times New Roman"/>
                <w:snapToGrid w:val="0"/>
                <w:kern w:val="0"/>
                <w:sz w:val="24"/>
              </w:rPr>
              <w:t>陕西省石油化工工业贸易有限公司</w:t>
            </w:r>
            <w:r>
              <w:rPr>
                <w:rFonts w:hint="default" w:ascii="Times New Roman" w:hAnsi="Times New Roman" w:eastAsia="宋体" w:cs="Times New Roman"/>
                <w:snapToGrid w:val="0"/>
                <w:kern w:val="0"/>
                <w:sz w:val="24"/>
                <w:szCs w:val="22"/>
              </w:rPr>
              <w:t>随即按照</w:t>
            </w:r>
            <w:r>
              <w:rPr>
                <w:rFonts w:hint="default" w:ascii="Times New Roman" w:hAnsi="Times New Roman" w:eastAsia="宋体" w:cs="Times New Roman"/>
                <w:snapToGrid w:val="0"/>
                <w:kern w:val="0"/>
                <w:sz w:val="24"/>
                <w:szCs w:val="22"/>
                <w:lang w:eastAsia="zh-CN"/>
              </w:rPr>
              <w:t>陕环批复</w:t>
            </w:r>
            <w:r>
              <w:rPr>
                <w:rFonts w:hint="eastAsia" w:ascii="宋体" w:hAnsi="宋体" w:eastAsia="宋体" w:cs="宋体"/>
                <w:snapToGrid w:val="0"/>
                <w:kern w:val="0"/>
                <w:sz w:val="24"/>
                <w:szCs w:val="22"/>
                <w:lang w:val="en-US" w:eastAsia="zh-CN"/>
              </w:rPr>
              <w:t>[</w:t>
            </w:r>
            <w:r>
              <w:rPr>
                <w:rFonts w:hint="default" w:ascii="Times New Roman" w:hAnsi="Times New Roman" w:eastAsia="宋体" w:cs="Times New Roman"/>
                <w:snapToGrid w:val="0"/>
                <w:kern w:val="0"/>
                <w:sz w:val="24"/>
                <w:szCs w:val="22"/>
                <w:lang w:val="en-US" w:eastAsia="zh-CN"/>
              </w:rPr>
              <w:t>2018</w:t>
            </w:r>
            <w:r>
              <w:rPr>
                <w:rFonts w:hint="eastAsia" w:ascii="宋体" w:hAnsi="宋体" w:eastAsia="宋体" w:cs="宋体"/>
                <w:snapToGrid w:val="0"/>
                <w:kern w:val="0"/>
                <w:sz w:val="24"/>
                <w:szCs w:val="22"/>
                <w:lang w:val="en-US" w:eastAsia="zh-CN"/>
              </w:rPr>
              <w:t>]</w:t>
            </w:r>
            <w:r>
              <w:rPr>
                <w:rFonts w:hint="default" w:ascii="Times New Roman" w:hAnsi="Times New Roman" w:eastAsia="宋体" w:cs="Times New Roman"/>
                <w:snapToGrid w:val="0"/>
                <w:kern w:val="0"/>
                <w:sz w:val="24"/>
                <w:szCs w:val="22"/>
                <w:lang w:val="en-US" w:eastAsia="zh-CN"/>
              </w:rPr>
              <w:t>404号</w:t>
            </w:r>
            <w:r>
              <w:rPr>
                <w:rFonts w:hint="default" w:ascii="Times New Roman" w:hAnsi="Times New Roman" w:eastAsia="宋体" w:cs="Times New Roman"/>
                <w:snapToGrid w:val="0"/>
                <w:kern w:val="0"/>
                <w:sz w:val="24"/>
                <w:szCs w:val="22"/>
              </w:rPr>
              <w:t>文件要求积极主动办理</w:t>
            </w:r>
            <w:r>
              <w:rPr>
                <w:rFonts w:hint="default" w:ascii="Times New Roman" w:hAnsi="Times New Roman" w:eastAsia="宋体" w:cs="Times New Roman"/>
                <w:snapToGrid w:val="0"/>
                <w:kern w:val="0"/>
                <w:sz w:val="24"/>
                <w:szCs w:val="22"/>
                <w:lang w:eastAsia="zh-CN"/>
              </w:rPr>
              <w:t>相关环保</w:t>
            </w:r>
            <w:r>
              <w:rPr>
                <w:rFonts w:hint="default" w:ascii="Times New Roman" w:hAnsi="Times New Roman" w:eastAsia="宋体" w:cs="Times New Roman"/>
                <w:snapToGrid w:val="0"/>
                <w:kern w:val="0"/>
                <w:sz w:val="24"/>
                <w:szCs w:val="22"/>
              </w:rPr>
              <w:t>手续。</w:t>
            </w:r>
            <w:r>
              <w:rPr>
                <w:rFonts w:hint="default" w:ascii="Times New Roman" w:hAnsi="Times New Roman" w:eastAsia="宋体" w:cs="Times New Roman"/>
                <w:snapToGrid w:val="0"/>
                <w:kern w:val="0"/>
                <w:sz w:val="24"/>
                <w:szCs w:val="22"/>
                <w:highlight w:val="none"/>
                <w:lang w:val="zh-CN" w:eastAsia="zh-CN" w:bidi="zh-CN"/>
              </w:rPr>
              <w:t>并于</w:t>
            </w:r>
            <w:r>
              <w:rPr>
                <w:rFonts w:hint="default" w:ascii="Times New Roman" w:hAnsi="Times New Roman" w:eastAsia="宋体" w:cs="Times New Roman"/>
                <w:snapToGrid w:val="0"/>
                <w:kern w:val="0"/>
                <w:sz w:val="24"/>
                <w:szCs w:val="22"/>
                <w:highlight w:val="none"/>
                <w:lang w:val="en-US" w:eastAsia="zh-CN" w:bidi="zh-CN"/>
              </w:rPr>
              <w:t>2020年</w:t>
            </w:r>
            <w:r>
              <w:rPr>
                <w:rFonts w:hint="default" w:ascii="Times New Roman" w:hAnsi="Times New Roman" w:cs="Times New Roman"/>
                <w:snapToGrid w:val="0"/>
                <w:kern w:val="0"/>
                <w:sz w:val="24"/>
                <w:szCs w:val="22"/>
                <w:highlight w:val="none"/>
                <w:lang w:val="en-US" w:eastAsia="zh-CN" w:bidi="zh-CN"/>
              </w:rPr>
              <w:t>3</w:t>
            </w:r>
            <w:r>
              <w:rPr>
                <w:rFonts w:hint="default" w:ascii="Times New Roman" w:hAnsi="Times New Roman" w:eastAsia="宋体" w:cs="Times New Roman"/>
                <w:snapToGrid w:val="0"/>
                <w:kern w:val="0"/>
                <w:sz w:val="24"/>
                <w:szCs w:val="22"/>
                <w:highlight w:val="none"/>
                <w:lang w:val="en-US" w:eastAsia="zh-CN" w:bidi="zh-CN"/>
              </w:rPr>
              <w:t>月</w:t>
            </w:r>
            <w:r>
              <w:rPr>
                <w:rFonts w:hint="default" w:ascii="Times New Roman" w:hAnsi="Times New Roman" w:cs="Times New Roman"/>
                <w:snapToGrid w:val="0"/>
                <w:kern w:val="0"/>
                <w:sz w:val="24"/>
                <w:szCs w:val="22"/>
                <w:highlight w:val="none"/>
                <w:lang w:val="en-US" w:eastAsia="zh-CN" w:bidi="zh-CN"/>
              </w:rPr>
              <w:t>24</w:t>
            </w:r>
            <w:r>
              <w:rPr>
                <w:rFonts w:hint="default" w:ascii="Times New Roman" w:hAnsi="Times New Roman" w:eastAsia="宋体" w:cs="Times New Roman"/>
                <w:snapToGrid w:val="0"/>
                <w:kern w:val="0"/>
                <w:sz w:val="24"/>
                <w:szCs w:val="22"/>
                <w:highlight w:val="none"/>
                <w:lang w:val="en-US" w:eastAsia="zh-CN" w:bidi="zh-CN"/>
              </w:rPr>
              <w:t>日取得了</w:t>
            </w:r>
            <w:r>
              <w:rPr>
                <w:rFonts w:hint="eastAsia" w:ascii="Times New Roman" w:hAnsi="Times New Roman" w:cs="Times New Roman"/>
                <w:snapToGrid w:val="0"/>
                <w:kern w:val="0"/>
                <w:sz w:val="24"/>
                <w:szCs w:val="22"/>
                <w:highlight w:val="none"/>
                <w:lang w:val="en-US" w:eastAsia="zh-CN" w:bidi="zh-CN"/>
              </w:rPr>
              <w:t>《</w:t>
            </w:r>
            <w:r>
              <w:rPr>
                <w:rFonts w:hint="default" w:ascii="Times New Roman" w:hAnsi="Times New Roman" w:eastAsia="宋体" w:cs="Times New Roman"/>
                <w:snapToGrid w:val="0"/>
                <w:kern w:val="0"/>
                <w:sz w:val="24"/>
                <w:szCs w:val="22"/>
                <w:highlight w:val="none"/>
                <w:lang w:val="en-US" w:eastAsia="zh-CN" w:bidi="zh-CN"/>
              </w:rPr>
              <w:t>关于陕西省石油化工工业贸易</w:t>
            </w:r>
            <w:r>
              <w:rPr>
                <w:rFonts w:hint="default" w:ascii="Times New Roman" w:hAnsi="Times New Roman" w:cs="Times New Roman"/>
                <w:snapToGrid w:val="0"/>
                <w:kern w:val="0"/>
                <w:sz w:val="24"/>
                <w:szCs w:val="22"/>
                <w:highlight w:val="none"/>
                <w:lang w:val="en-US" w:eastAsia="zh-CN" w:bidi="zh-CN"/>
              </w:rPr>
              <w:t>公司茂陵</w:t>
            </w:r>
            <w:r>
              <w:rPr>
                <w:rFonts w:hint="default" w:ascii="Times New Roman" w:hAnsi="Times New Roman" w:eastAsia="宋体" w:cs="Times New Roman"/>
                <w:snapToGrid w:val="0"/>
                <w:kern w:val="0"/>
                <w:sz w:val="24"/>
                <w:szCs w:val="22"/>
                <w:highlight w:val="none"/>
                <w:lang w:val="en-US" w:eastAsia="zh-CN" w:bidi="zh-CN"/>
              </w:rPr>
              <w:t>服务区</w:t>
            </w:r>
            <w:r>
              <w:rPr>
                <w:rFonts w:hint="default" w:ascii="Times New Roman" w:hAnsi="Times New Roman" w:cs="Times New Roman"/>
                <w:snapToGrid w:val="0"/>
                <w:kern w:val="0"/>
                <w:sz w:val="24"/>
                <w:szCs w:val="22"/>
                <w:highlight w:val="none"/>
                <w:lang w:val="en-US" w:eastAsia="zh-CN" w:bidi="zh-CN"/>
              </w:rPr>
              <w:t>东</w:t>
            </w:r>
            <w:r>
              <w:rPr>
                <w:rFonts w:hint="default" w:ascii="Times New Roman" w:hAnsi="Times New Roman" w:eastAsia="宋体" w:cs="Times New Roman"/>
                <w:snapToGrid w:val="0"/>
                <w:kern w:val="0"/>
                <w:sz w:val="24"/>
                <w:szCs w:val="22"/>
                <w:highlight w:val="none"/>
                <w:lang w:val="en-US" w:eastAsia="zh-CN" w:bidi="zh-CN"/>
              </w:rPr>
              <w:t>加油站</w:t>
            </w:r>
            <w:r>
              <w:rPr>
                <w:rFonts w:hint="default" w:ascii="Times New Roman" w:hAnsi="Times New Roman" w:cs="Times New Roman"/>
                <w:snapToGrid w:val="0"/>
                <w:kern w:val="0"/>
                <w:sz w:val="24"/>
                <w:szCs w:val="22"/>
                <w:highlight w:val="none"/>
                <w:lang w:val="en-US" w:eastAsia="zh-CN" w:bidi="zh-CN"/>
              </w:rPr>
              <w:t>建设项目环境影响报告表</w:t>
            </w:r>
            <w:r>
              <w:rPr>
                <w:rFonts w:hint="default" w:ascii="Times New Roman" w:hAnsi="Times New Roman" w:eastAsia="宋体" w:cs="Times New Roman"/>
                <w:snapToGrid w:val="0"/>
                <w:kern w:val="0"/>
                <w:sz w:val="24"/>
                <w:szCs w:val="22"/>
                <w:highlight w:val="none"/>
                <w:lang w:val="en-US" w:eastAsia="zh-CN" w:bidi="zh-CN"/>
              </w:rPr>
              <w:t>的批复</w:t>
            </w:r>
            <w:r>
              <w:rPr>
                <w:rFonts w:hint="eastAsia" w:ascii="Times New Roman" w:hAnsi="Times New Roman" w:cs="Times New Roman"/>
                <w:snapToGrid w:val="0"/>
                <w:kern w:val="0"/>
                <w:sz w:val="24"/>
                <w:szCs w:val="22"/>
                <w:highlight w:val="none"/>
                <w:lang w:val="en-US" w:eastAsia="zh-CN" w:bidi="zh-CN"/>
              </w:rPr>
              <w:t>》</w:t>
            </w:r>
            <w:r>
              <w:rPr>
                <w:rFonts w:hint="default" w:ascii="Times New Roman" w:hAnsi="Times New Roman" w:eastAsia="宋体" w:cs="Times New Roman"/>
                <w:snapToGrid w:val="0"/>
                <w:kern w:val="0"/>
                <w:sz w:val="24"/>
                <w:szCs w:val="22"/>
                <w:highlight w:val="none"/>
                <w:lang w:val="en-US" w:eastAsia="zh-CN" w:bidi="zh-CN"/>
              </w:rPr>
              <w:t>（咸环</w:t>
            </w:r>
            <w:r>
              <w:rPr>
                <w:rFonts w:hint="default" w:ascii="Times New Roman" w:hAnsi="Times New Roman" w:cs="Times New Roman"/>
                <w:snapToGrid w:val="0"/>
                <w:kern w:val="0"/>
                <w:sz w:val="24"/>
                <w:szCs w:val="22"/>
                <w:highlight w:val="none"/>
                <w:lang w:val="en-US" w:eastAsia="zh-CN" w:bidi="zh-CN"/>
              </w:rPr>
              <w:t>兴批复</w:t>
            </w:r>
            <w:r>
              <w:rPr>
                <w:rFonts w:hint="eastAsia" w:ascii="宋体" w:hAnsi="宋体" w:eastAsia="宋体" w:cs="宋体"/>
                <w:snapToGrid w:val="0"/>
                <w:kern w:val="0"/>
                <w:sz w:val="24"/>
                <w:szCs w:val="22"/>
                <w:highlight w:val="none"/>
                <w:lang w:val="en-US" w:eastAsia="zh-CN" w:bidi="zh-CN"/>
              </w:rPr>
              <w:t>[</w:t>
            </w:r>
            <w:r>
              <w:rPr>
                <w:rFonts w:hint="default" w:ascii="Times New Roman" w:hAnsi="Times New Roman" w:eastAsia="宋体" w:cs="Times New Roman"/>
                <w:snapToGrid w:val="0"/>
                <w:kern w:val="0"/>
                <w:sz w:val="24"/>
                <w:szCs w:val="22"/>
                <w:highlight w:val="none"/>
                <w:lang w:val="en-US" w:eastAsia="zh-CN" w:bidi="zh-CN"/>
              </w:rPr>
              <w:t>2020</w:t>
            </w:r>
            <w:r>
              <w:rPr>
                <w:rFonts w:hint="eastAsia" w:ascii="宋体" w:hAnsi="宋体" w:eastAsia="宋体" w:cs="宋体"/>
                <w:snapToGrid w:val="0"/>
                <w:kern w:val="0"/>
                <w:sz w:val="24"/>
                <w:szCs w:val="22"/>
                <w:highlight w:val="none"/>
                <w:lang w:val="en-US" w:eastAsia="zh-CN" w:bidi="zh-CN"/>
              </w:rPr>
              <w:t>]</w:t>
            </w:r>
            <w:r>
              <w:rPr>
                <w:rFonts w:hint="default" w:ascii="Times New Roman" w:hAnsi="Times New Roman" w:cs="Times New Roman"/>
                <w:snapToGrid w:val="0"/>
                <w:kern w:val="0"/>
                <w:sz w:val="24"/>
                <w:szCs w:val="22"/>
                <w:highlight w:val="none"/>
                <w:lang w:val="en-US" w:eastAsia="zh-CN" w:bidi="zh-CN"/>
              </w:rPr>
              <w:t>56</w:t>
            </w:r>
            <w:r>
              <w:rPr>
                <w:rFonts w:hint="default" w:ascii="Times New Roman" w:hAnsi="Times New Roman" w:eastAsia="宋体" w:cs="Times New Roman"/>
                <w:snapToGrid w:val="0"/>
                <w:kern w:val="0"/>
                <w:sz w:val="24"/>
                <w:szCs w:val="22"/>
                <w:highlight w:val="none"/>
                <w:lang w:val="en-US" w:eastAsia="zh-CN" w:bidi="zh-CN"/>
              </w:rPr>
              <w:t>号）</w:t>
            </w:r>
            <w:r>
              <w:rPr>
                <w:rFonts w:hint="eastAsia" w:ascii="Times New Roman" w:hAnsi="Times New Roman" w:cs="Times New Roman"/>
                <w:snapToGrid w:val="0"/>
                <w:kern w:val="0"/>
                <w:sz w:val="24"/>
                <w:szCs w:val="22"/>
                <w:highlight w:val="none"/>
                <w:lang w:val="en-US" w:eastAsia="zh-CN" w:bidi="zh-CN"/>
              </w:rPr>
              <w:t>（附件5）</w:t>
            </w:r>
            <w:r>
              <w:rPr>
                <w:rFonts w:hint="default" w:ascii="Times New Roman" w:hAnsi="Times New Roman" w:eastAsia="宋体" w:cs="Times New Roman"/>
                <w:snapToGrid w:val="0"/>
                <w:kern w:val="0"/>
                <w:sz w:val="24"/>
                <w:szCs w:val="22"/>
                <w:highlight w:val="none"/>
                <w:lang w:val="en-US" w:eastAsia="zh-CN" w:bidi="zh-CN"/>
              </w:rPr>
              <w:t>。</w:t>
            </w:r>
          </w:p>
          <w:p>
            <w:pPr>
              <w:pStyle w:val="19"/>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根据环评报告表的环保要求及环评批复要求，20</w:t>
            </w:r>
            <w:r>
              <w:rPr>
                <w:rFonts w:hint="default"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12月</w:t>
            </w:r>
            <w:r>
              <w:rPr>
                <w:rFonts w:hint="default" w:ascii="Times New Roman" w:hAnsi="Times New Roman" w:eastAsia="宋体" w:cs="Times New Roman"/>
                <w:snapToGrid w:val="0"/>
                <w:kern w:val="0"/>
                <w:sz w:val="24"/>
                <w:szCs w:val="22"/>
                <w:lang w:val="zh-CN" w:eastAsia="zh-CN" w:bidi="zh-CN"/>
              </w:rPr>
              <w:t>陕西省石油化工工业贸易公司</w:t>
            </w:r>
            <w:r>
              <w:rPr>
                <w:rFonts w:hint="default" w:ascii="Times New Roman" w:hAnsi="Times New Roman" w:cs="Times New Roman"/>
                <w:snapToGrid w:val="0"/>
                <w:kern w:val="0"/>
                <w:sz w:val="24"/>
                <w:szCs w:val="22"/>
                <w:lang w:val="zh-CN" w:eastAsia="zh-CN" w:bidi="zh-CN"/>
              </w:rPr>
              <w:t>茂陵</w:t>
            </w:r>
            <w:r>
              <w:rPr>
                <w:rFonts w:hint="default" w:ascii="Times New Roman" w:hAnsi="Times New Roman" w:eastAsia="宋体" w:cs="Times New Roman"/>
                <w:snapToGrid w:val="0"/>
                <w:kern w:val="0"/>
                <w:sz w:val="24"/>
                <w:szCs w:val="22"/>
                <w:lang w:val="zh-CN" w:eastAsia="zh-CN" w:bidi="zh-CN"/>
              </w:rPr>
              <w:t>服务区</w:t>
            </w:r>
            <w:r>
              <w:rPr>
                <w:rFonts w:hint="default" w:ascii="Times New Roman" w:hAnsi="Times New Roman" w:cs="Times New Roman"/>
                <w:snapToGrid w:val="0"/>
                <w:kern w:val="0"/>
                <w:sz w:val="24"/>
                <w:szCs w:val="22"/>
                <w:lang w:val="zh-CN" w:eastAsia="zh-CN" w:bidi="zh-CN"/>
              </w:rPr>
              <w:t>东</w:t>
            </w:r>
            <w:r>
              <w:rPr>
                <w:rFonts w:hint="default" w:ascii="Times New Roman" w:hAnsi="Times New Roman" w:eastAsia="宋体" w:cs="Times New Roman"/>
                <w:snapToGrid w:val="0"/>
                <w:kern w:val="0"/>
                <w:sz w:val="24"/>
                <w:szCs w:val="22"/>
                <w:lang w:val="zh-CN" w:eastAsia="zh-CN" w:bidi="zh-CN"/>
              </w:rPr>
              <w:t>加油站</w:t>
            </w:r>
            <w:r>
              <w:rPr>
                <w:rFonts w:hint="default" w:ascii="Times New Roman" w:hAnsi="Times New Roman" w:cs="Times New Roman"/>
                <w:color w:val="auto"/>
                <w:sz w:val="24"/>
                <w:szCs w:val="24"/>
                <w:highlight w:val="none"/>
              </w:rPr>
              <w:t>委托</w:t>
            </w:r>
            <w:r>
              <w:rPr>
                <w:rFonts w:hint="default" w:ascii="Times New Roman" w:hAnsi="Times New Roman" w:eastAsia="宋体" w:cs="Times New Roman"/>
                <w:snapToGrid w:val="0"/>
                <w:kern w:val="0"/>
                <w:sz w:val="24"/>
                <w:szCs w:val="22"/>
                <w:lang w:val="en-US" w:eastAsia="zh-CN" w:bidi="zh-CN"/>
              </w:rPr>
              <w:t>河北鑫旺工程建设服务有限公司陕西分公司</w:t>
            </w:r>
            <w:r>
              <w:rPr>
                <w:rFonts w:hint="default" w:ascii="Times New Roman" w:hAnsi="Times New Roman" w:cs="Times New Roman"/>
                <w:color w:val="auto"/>
                <w:sz w:val="24"/>
                <w:szCs w:val="24"/>
                <w:highlight w:val="none"/>
              </w:rPr>
              <w:t>对《</w:t>
            </w:r>
            <w:r>
              <w:rPr>
                <w:rFonts w:hint="default" w:ascii="Times New Roman" w:hAnsi="Times New Roman" w:eastAsia="宋体" w:cs="Times New Roman"/>
                <w:sz w:val="24"/>
              </w:rPr>
              <w:t>陕西省石油化工工业贸易公司</w:t>
            </w:r>
            <w:r>
              <w:rPr>
                <w:rFonts w:hint="default" w:ascii="Times New Roman" w:hAnsi="Times New Roman" w:cs="Times New Roman"/>
                <w:sz w:val="24"/>
                <w:lang w:eastAsia="zh-CN"/>
              </w:rPr>
              <w:t>茂陵</w:t>
            </w:r>
            <w:r>
              <w:rPr>
                <w:rFonts w:hint="default" w:ascii="Times New Roman" w:hAnsi="Times New Roman" w:eastAsia="宋体" w:cs="Times New Roman"/>
                <w:sz w:val="24"/>
              </w:rPr>
              <w:t>服务区</w:t>
            </w:r>
            <w:r>
              <w:rPr>
                <w:rFonts w:hint="default" w:ascii="Times New Roman" w:hAnsi="Times New Roman" w:cs="Times New Roman"/>
                <w:sz w:val="24"/>
                <w:lang w:eastAsia="zh-CN"/>
              </w:rPr>
              <w:t>东</w:t>
            </w:r>
            <w:r>
              <w:rPr>
                <w:rFonts w:hint="default" w:ascii="Times New Roman" w:hAnsi="Times New Roman" w:eastAsia="宋体" w:cs="Times New Roman"/>
                <w:sz w:val="24"/>
              </w:rPr>
              <w:t>加油站</w:t>
            </w:r>
            <w:r>
              <w:rPr>
                <w:rFonts w:hint="default" w:ascii="Times New Roman" w:hAnsi="Times New Roman" w:eastAsia="宋体" w:cs="Times New Roman"/>
                <w:sz w:val="24"/>
                <w:lang w:eastAsia="zh-CN"/>
              </w:rPr>
              <w:t>建设</w:t>
            </w:r>
            <w:r>
              <w:rPr>
                <w:rFonts w:hint="default" w:ascii="Times New Roman" w:hAnsi="Times New Roman" w:eastAsia="宋体" w:cs="Times New Roman"/>
                <w:sz w:val="24"/>
              </w:rPr>
              <w:t>项目</w:t>
            </w:r>
            <w:r>
              <w:rPr>
                <w:rFonts w:hint="default" w:ascii="Times New Roman" w:hAnsi="Times New Roman" w:cs="Times New Roman"/>
                <w:color w:val="auto"/>
                <w:sz w:val="24"/>
                <w:szCs w:val="24"/>
                <w:highlight w:val="none"/>
              </w:rPr>
              <w:t>》开展竣工环保验收监测报告表的编制工作</w:t>
            </w:r>
            <w:r>
              <w:rPr>
                <w:rFonts w:hint="eastAsia" w:ascii="Times New Roman" w:hAnsi="Times New Roman" w:cs="Times New Roman"/>
                <w:color w:val="auto"/>
                <w:sz w:val="24"/>
                <w:szCs w:val="24"/>
                <w:highlight w:val="none"/>
                <w:lang w:eastAsia="zh-CN"/>
              </w:rPr>
              <w:t>（附件</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4" w:hRule="atLeast"/>
          <w:jc w:val="center"/>
        </w:trPr>
        <w:tc>
          <w:tcPr>
            <w:tcW w:w="1545" w:type="dxa"/>
            <w:vAlign w:val="center"/>
          </w:tcPr>
          <w:p>
            <w:pPr>
              <w:pStyle w:val="19"/>
              <w:keepNext w:val="0"/>
              <w:keepLines w:val="0"/>
              <w:pageBreakBefore w:val="0"/>
              <w:widowControl w:val="0"/>
              <w:kinsoku/>
              <w:overflowPunct/>
              <w:topLinePunct w:val="0"/>
              <w:bidi w:val="0"/>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验收监测</w:t>
            </w:r>
          </w:p>
          <w:p>
            <w:pPr>
              <w:pStyle w:val="19"/>
              <w:keepNext w:val="0"/>
              <w:keepLines w:val="0"/>
              <w:pageBreakBefore w:val="0"/>
              <w:widowControl w:val="0"/>
              <w:kinsoku/>
              <w:overflowPunct/>
              <w:topLinePunct w:val="0"/>
              <w:bidi w:val="0"/>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依据</w:t>
            </w:r>
          </w:p>
        </w:tc>
        <w:tc>
          <w:tcPr>
            <w:tcW w:w="7663"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（1）《中华人民共和国环境保护法》（2015.1.1）；</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（2）《中华人民共和国大气污染防治法》（2018.10.26）；</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（3）《中华人民共和国水污染防治法》（2018.1.1）；</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（4）《中华人民共和国环境噪声污染防治法》（2018.12.29）；</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（5）《中华人民共和国固体废物污染防治法》（</w:t>
            </w:r>
            <w:r>
              <w:rPr>
                <w:rFonts w:hint="default" w:ascii="Times New Roman" w:hAnsi="Times New Roman" w:cs="Times New Roman"/>
                <w:sz w:val="24"/>
                <w:szCs w:val="24"/>
                <w:lang w:val="en-US" w:eastAsia="zh-CN" w:bidi="zh-CN"/>
              </w:rPr>
              <w:t>2020.9.1</w:t>
            </w:r>
            <w:r>
              <w:rPr>
                <w:rFonts w:hint="default" w:ascii="Times New Roman" w:hAnsi="Times New Roman" w:eastAsia="宋体" w:cs="Times New Roman"/>
                <w:sz w:val="24"/>
                <w:szCs w:val="24"/>
                <w:lang w:val="en-US" w:eastAsia="zh-CN" w:bidi="zh-CN"/>
              </w:rPr>
              <w:t>）；</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（6）《建设项目环境保护管理条例》（2017.10.1）</w:t>
            </w:r>
            <w:r>
              <w:rPr>
                <w:rFonts w:hint="eastAsia" w:ascii="Times New Roman" w:hAnsi="Times New Roman" w:cs="Times New Roman"/>
                <w:sz w:val="24"/>
                <w:szCs w:val="24"/>
                <w:lang w:val="en-US" w:eastAsia="zh-CN" w:bidi="zh-CN"/>
              </w:rPr>
              <w:t>；</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rightChars="0" w:firstLine="0" w:firstLineChars="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（7）</w:t>
            </w:r>
            <w:r>
              <w:rPr>
                <w:rFonts w:hint="eastAsia" w:ascii="Times New Roman" w:hAnsi="Times New Roman" w:cs="Times New Roman"/>
                <w:b w:val="0"/>
                <w:bCs w:val="0"/>
                <w:kern w:val="2"/>
                <w:szCs w:val="22"/>
                <w:lang w:val="en-US"/>
              </w:rPr>
              <w:t>《建设项目竣工环境保护验收暂行办法》国环规环评〔2017〕</w:t>
            </w:r>
            <w:r>
              <w:rPr>
                <w:rFonts w:hint="eastAsia" w:ascii="Times New Roman" w:hAnsi="Times New Roman" w:cs="Times New Roman"/>
                <w:b w:val="0"/>
                <w:bCs w:val="0"/>
                <w:kern w:val="2"/>
                <w:szCs w:val="22"/>
                <w:lang w:val="en-US" w:eastAsia="zh-CN"/>
              </w:rPr>
              <w:t>4</w:t>
            </w:r>
            <w:r>
              <w:rPr>
                <w:rFonts w:hint="eastAsia" w:ascii="Times New Roman" w:hAnsi="Times New Roman" w:cs="Times New Roman"/>
                <w:b w:val="0"/>
                <w:bCs w:val="0"/>
                <w:kern w:val="2"/>
                <w:szCs w:val="22"/>
                <w:lang w:val="en-US"/>
              </w:rPr>
              <w:t>号</w:t>
            </w:r>
            <w:r>
              <w:rPr>
                <w:rFonts w:ascii="Times New Roman" w:hAnsi="Times New Roman" w:cs="Times New Roman"/>
                <w:b w:val="0"/>
                <w:bCs w:val="0"/>
                <w:kern w:val="2"/>
                <w:szCs w:val="22"/>
                <w:lang w:val="en-US"/>
              </w:rPr>
              <w:t>；</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firstLine="0" w:firstLineChars="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highlight w:val="none"/>
                <w:lang w:val="en-US" w:eastAsia="zh-CN"/>
              </w:rPr>
              <w:t>（8）</w:t>
            </w:r>
            <w:r>
              <w:rPr>
                <w:rFonts w:hint="default" w:ascii="Times New Roman" w:hAnsi="Times New Roman" w:eastAsia="宋体" w:cs="Times New Roman"/>
                <w:b w:val="0"/>
                <w:bCs w:val="0"/>
                <w:color w:val="auto"/>
                <w:sz w:val="24"/>
                <w:szCs w:val="24"/>
                <w:lang w:val="en-US" w:eastAsia="zh-CN"/>
              </w:rPr>
              <w:t>《关于印发建设项目竣工环境保护验收现场检查及审查要点的通知》（环办〔2015〕113号）；</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firstLine="0" w:firstLineChars="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（9）《建设项目竣工环境保护验收技术指南 污染影响类》（2018.5.16）；</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firstLine="0" w:firstLineChars="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（10）《加油站地下水污染防治技术指南（试行）》（2017.3.9）</w:t>
            </w:r>
            <w:r>
              <w:rPr>
                <w:rFonts w:hint="eastAsia" w:ascii="Times New Roman" w:hAnsi="Times New Roman" w:cs="Times New Roman"/>
                <w:b w:val="0"/>
                <w:bCs w:val="0"/>
                <w:color w:val="auto"/>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0" w:firstLineChars="0"/>
              <w:jc w:val="left"/>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lang w:val="en-US" w:eastAsia="zh-CN"/>
              </w:rPr>
              <w:t>省级高速公路西咸北环线工程环境影响报告书</w:t>
            </w:r>
            <w:r>
              <w:rPr>
                <w:rFonts w:hint="default" w:ascii="Times New Roman" w:hAnsi="Times New Roman" w:eastAsia="宋体" w:cs="Times New Roman"/>
                <w:color w:val="000000"/>
                <w:sz w:val="24"/>
                <w:szCs w:val="24"/>
                <w:highlight w:val="none"/>
                <w:lang w:eastAsia="zh-CN"/>
              </w:rPr>
              <w:t>》（长安大学，20</w:t>
            </w:r>
            <w:r>
              <w:rPr>
                <w:rFonts w:hint="default" w:ascii="Times New Roman" w:hAnsi="Times New Roman" w:eastAsia="宋体" w:cs="Times New Roman"/>
                <w:color w:val="000000"/>
                <w:sz w:val="24"/>
                <w:szCs w:val="24"/>
                <w:highlight w:val="none"/>
                <w:lang w:val="en-US" w:eastAsia="zh-CN"/>
              </w:rPr>
              <w:t>11</w:t>
            </w:r>
            <w:r>
              <w:rPr>
                <w:rFonts w:hint="default" w:ascii="Times New Roman" w:hAnsi="Times New Roman" w:eastAsia="宋体" w:cs="Times New Roman"/>
                <w:color w:val="000000"/>
                <w:sz w:val="24"/>
                <w:szCs w:val="24"/>
                <w:highlight w:val="none"/>
                <w:lang w:eastAsia="zh-CN"/>
              </w:rPr>
              <w:t>年</w:t>
            </w:r>
            <w:r>
              <w:rPr>
                <w:rFonts w:hint="default" w:ascii="Times New Roman" w:hAnsi="Times New Roman" w:eastAsia="宋体"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lang w:eastAsia="zh-CN"/>
              </w:rPr>
              <w:t>月）；</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0" w:firstLineChars="0"/>
              <w:jc w:val="left"/>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lang w:val="en-US" w:eastAsia="zh-CN"/>
              </w:rPr>
              <w:t>省级高速公路西咸北环线工程环境影响报告书</w:t>
            </w:r>
            <w:r>
              <w:rPr>
                <w:rFonts w:hint="default" w:ascii="Times New Roman" w:hAnsi="Times New Roman" w:eastAsia="宋体" w:cs="Times New Roman"/>
                <w:color w:val="000000"/>
                <w:sz w:val="24"/>
                <w:szCs w:val="24"/>
                <w:highlight w:val="none"/>
                <w:lang w:eastAsia="zh-CN"/>
              </w:rPr>
              <w:t>的批复》</w:t>
            </w:r>
            <w:r>
              <w:rPr>
                <w:rFonts w:hint="default" w:ascii="Times New Roman" w:hAnsi="Times New Roman" w:eastAsia="宋体" w:cs="Times New Roman"/>
                <w:color w:val="000000"/>
                <w:sz w:val="24"/>
                <w:szCs w:val="24"/>
                <w:highlight w:val="none"/>
                <w:lang w:val="en-US" w:eastAsia="zh-CN"/>
              </w:rPr>
              <w:t>（陕环批复〔2011〕408号）</w:t>
            </w:r>
            <w:r>
              <w:rPr>
                <w:rFonts w:hint="default" w:ascii="Times New Roman" w:hAnsi="Times New Roman" w:eastAsia="宋体" w:cs="Times New Roman"/>
                <w:color w:val="000000"/>
                <w:sz w:val="24"/>
                <w:szCs w:val="24"/>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0" w:firstLineChars="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Cs/>
                <w:kern w:val="2"/>
                <w:sz w:val="24"/>
                <w:szCs w:val="24"/>
                <w:highlight w:val="none"/>
                <w:lang w:val="en-US" w:eastAsia="zh-CN"/>
              </w:rPr>
              <w:t>《西咸北环线高速公路项目（重大变动）环境影响报告书》的批复</w:t>
            </w:r>
            <w:r>
              <w:rPr>
                <w:rFonts w:hint="default" w:ascii="Times New Roman" w:hAnsi="Times New Roman" w:eastAsia="宋体" w:cs="Times New Roman"/>
                <w:color w:val="000000"/>
                <w:sz w:val="24"/>
                <w:szCs w:val="24"/>
                <w:highlight w:val="none"/>
                <w:lang w:val="en-US" w:eastAsia="zh-CN"/>
              </w:rPr>
              <w:t>〔201</w:t>
            </w:r>
            <w:r>
              <w:rPr>
                <w:rFonts w:hint="default" w:ascii="Times New Roman" w:hAnsi="Times New Roman" w:cs="Times New Roman"/>
                <w:color w:val="000000"/>
                <w:sz w:val="24"/>
                <w:szCs w:val="24"/>
                <w:highlight w:val="none"/>
                <w:lang w:val="en-US" w:eastAsia="zh-CN"/>
              </w:rPr>
              <w:t>8</w:t>
            </w:r>
            <w:r>
              <w:rPr>
                <w:rFonts w:hint="default" w:ascii="Times New Roman" w:hAnsi="Times New Roman" w:eastAsia="宋体" w:cs="Times New Roman"/>
                <w:color w:val="000000"/>
                <w:sz w:val="24"/>
                <w:szCs w:val="24"/>
                <w:highlight w:val="none"/>
                <w:lang w:val="en-US" w:eastAsia="zh-CN"/>
              </w:rPr>
              <w:t>〕</w:t>
            </w:r>
            <w:r>
              <w:rPr>
                <w:rFonts w:hint="default" w:ascii="Times New Roman" w:hAnsi="Times New Roman" w:eastAsia="宋体" w:cs="Times New Roman"/>
                <w:bCs/>
                <w:kern w:val="2"/>
                <w:sz w:val="24"/>
                <w:szCs w:val="24"/>
                <w:highlight w:val="none"/>
                <w:lang w:val="en-US" w:eastAsia="zh-CN"/>
              </w:rPr>
              <w:t>404号批复）；</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0" w:firstLineChars="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Cs/>
                <w:kern w:val="2"/>
                <w:sz w:val="24"/>
                <w:szCs w:val="24"/>
                <w:highlight w:val="none"/>
                <w:lang w:val="en-US" w:eastAsia="zh-CN"/>
              </w:rPr>
              <w:t>《陕西省石油化工工业贸易有限公司</w:t>
            </w:r>
            <w:r>
              <w:rPr>
                <w:rFonts w:hint="default" w:ascii="Times New Roman" w:hAnsi="Times New Roman" w:cs="Times New Roman"/>
                <w:bCs/>
                <w:kern w:val="2"/>
                <w:sz w:val="24"/>
                <w:szCs w:val="24"/>
                <w:highlight w:val="none"/>
                <w:lang w:val="en-US" w:eastAsia="zh-CN"/>
              </w:rPr>
              <w:t>茂陵</w:t>
            </w:r>
            <w:r>
              <w:rPr>
                <w:rFonts w:hint="default" w:ascii="Times New Roman" w:hAnsi="Times New Roman" w:eastAsia="宋体" w:cs="Times New Roman"/>
                <w:bCs/>
                <w:kern w:val="2"/>
                <w:sz w:val="24"/>
                <w:szCs w:val="24"/>
                <w:highlight w:val="none"/>
                <w:lang w:val="en-US" w:eastAsia="zh-CN"/>
              </w:rPr>
              <w:t>服务区</w:t>
            </w:r>
            <w:r>
              <w:rPr>
                <w:rFonts w:hint="default" w:ascii="Times New Roman" w:hAnsi="Times New Roman" w:cs="Times New Roman"/>
                <w:bCs/>
                <w:kern w:val="2"/>
                <w:sz w:val="24"/>
                <w:szCs w:val="24"/>
                <w:highlight w:val="none"/>
                <w:lang w:val="en-US" w:eastAsia="zh-CN"/>
              </w:rPr>
              <w:t>东</w:t>
            </w:r>
            <w:r>
              <w:rPr>
                <w:rFonts w:hint="default" w:ascii="Times New Roman" w:hAnsi="Times New Roman" w:eastAsia="宋体" w:cs="Times New Roman"/>
                <w:bCs/>
                <w:kern w:val="2"/>
                <w:sz w:val="24"/>
                <w:szCs w:val="24"/>
                <w:highlight w:val="none"/>
                <w:lang w:val="en-US" w:eastAsia="zh-CN"/>
              </w:rPr>
              <w:t>加油站项目环境影响报告表》（西安海浪环保科技有限公司，20</w:t>
            </w:r>
            <w:r>
              <w:rPr>
                <w:rFonts w:hint="default" w:ascii="Times New Roman" w:hAnsi="Times New Roman" w:cs="Times New Roman"/>
                <w:bCs/>
                <w:kern w:val="2"/>
                <w:sz w:val="24"/>
                <w:szCs w:val="24"/>
                <w:highlight w:val="none"/>
                <w:lang w:val="en-US" w:eastAsia="zh-CN"/>
              </w:rPr>
              <w:t>19</w:t>
            </w:r>
            <w:r>
              <w:rPr>
                <w:rFonts w:hint="default" w:ascii="Times New Roman" w:hAnsi="Times New Roman" w:eastAsia="宋体" w:cs="Times New Roman"/>
                <w:bCs/>
                <w:kern w:val="2"/>
                <w:sz w:val="24"/>
                <w:szCs w:val="24"/>
                <w:highlight w:val="none"/>
                <w:lang w:val="en-US" w:eastAsia="zh-CN"/>
              </w:rPr>
              <w:t>年</w:t>
            </w:r>
            <w:r>
              <w:rPr>
                <w:rFonts w:hint="default" w:ascii="Times New Roman" w:hAnsi="Times New Roman" w:cs="Times New Roman"/>
                <w:bCs/>
                <w:kern w:val="2"/>
                <w:sz w:val="24"/>
                <w:szCs w:val="24"/>
                <w:highlight w:val="none"/>
                <w:lang w:val="en-US" w:eastAsia="zh-CN"/>
              </w:rPr>
              <w:t>12</w:t>
            </w:r>
            <w:r>
              <w:rPr>
                <w:rFonts w:hint="default" w:ascii="Times New Roman" w:hAnsi="Times New Roman" w:eastAsia="宋体" w:cs="Times New Roman"/>
                <w:bCs/>
                <w:kern w:val="2"/>
                <w:sz w:val="24"/>
                <w:szCs w:val="24"/>
                <w:highlight w:val="none"/>
                <w:lang w:val="en-US" w:eastAsia="zh-CN"/>
              </w:rPr>
              <w:t>月）；</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Cs/>
                <w:kern w:val="2"/>
                <w:sz w:val="24"/>
                <w:szCs w:val="24"/>
                <w:highlight w:val="none"/>
                <w:lang w:val="en-US" w:eastAsia="zh-CN"/>
              </w:rPr>
              <w:t>《陕西省石油化工工业贸易有限公司</w:t>
            </w:r>
            <w:r>
              <w:rPr>
                <w:rFonts w:hint="default" w:ascii="Times New Roman" w:hAnsi="Times New Roman" w:cs="Times New Roman"/>
                <w:bCs/>
                <w:kern w:val="2"/>
                <w:sz w:val="24"/>
                <w:szCs w:val="24"/>
                <w:highlight w:val="none"/>
                <w:lang w:val="en-US" w:eastAsia="zh-CN"/>
              </w:rPr>
              <w:t>茂陵</w:t>
            </w:r>
            <w:r>
              <w:rPr>
                <w:rFonts w:hint="default" w:ascii="Times New Roman" w:hAnsi="Times New Roman" w:eastAsia="宋体" w:cs="Times New Roman"/>
                <w:bCs/>
                <w:kern w:val="2"/>
                <w:sz w:val="24"/>
                <w:szCs w:val="24"/>
                <w:highlight w:val="none"/>
                <w:lang w:val="en-US" w:eastAsia="zh-CN"/>
              </w:rPr>
              <w:t>服务区</w:t>
            </w:r>
            <w:r>
              <w:rPr>
                <w:rFonts w:hint="default" w:ascii="Times New Roman" w:hAnsi="Times New Roman" w:cs="Times New Roman"/>
                <w:bCs/>
                <w:kern w:val="2"/>
                <w:sz w:val="24"/>
                <w:szCs w:val="24"/>
                <w:highlight w:val="none"/>
                <w:lang w:val="en-US" w:eastAsia="zh-CN"/>
              </w:rPr>
              <w:t>东</w:t>
            </w:r>
            <w:r>
              <w:rPr>
                <w:rFonts w:hint="default" w:ascii="Times New Roman" w:hAnsi="Times New Roman" w:eastAsia="宋体" w:cs="Times New Roman"/>
                <w:bCs/>
                <w:kern w:val="2"/>
                <w:sz w:val="24"/>
                <w:szCs w:val="24"/>
                <w:highlight w:val="none"/>
                <w:lang w:val="en-US" w:eastAsia="zh-CN"/>
              </w:rPr>
              <w:t>加油建设项目环境影响报告表的批复》（</w:t>
            </w:r>
            <w:r>
              <w:rPr>
                <w:rFonts w:hint="default" w:ascii="Times New Roman" w:hAnsi="Times New Roman" w:eastAsia="宋体" w:cs="Times New Roman"/>
                <w:bCs/>
                <w:color w:val="auto"/>
                <w:kern w:val="2"/>
                <w:sz w:val="24"/>
                <w:szCs w:val="24"/>
                <w:highlight w:val="none"/>
                <w:lang w:val="en-US" w:eastAsia="zh-CN"/>
              </w:rPr>
              <w:t>咸环</w:t>
            </w:r>
            <w:r>
              <w:rPr>
                <w:rFonts w:hint="default" w:ascii="Times New Roman" w:hAnsi="Times New Roman" w:cs="Times New Roman"/>
                <w:bCs/>
                <w:color w:val="auto"/>
                <w:kern w:val="2"/>
                <w:sz w:val="24"/>
                <w:szCs w:val="24"/>
                <w:highlight w:val="none"/>
                <w:lang w:val="en-US" w:eastAsia="zh-CN"/>
              </w:rPr>
              <w:t>兴批复</w:t>
            </w:r>
            <w:r>
              <w:rPr>
                <w:rFonts w:hint="eastAsia" w:ascii="宋体" w:hAnsi="宋体" w:eastAsia="宋体" w:cs="宋体"/>
                <w:bCs/>
                <w:color w:val="auto"/>
                <w:kern w:val="2"/>
                <w:sz w:val="24"/>
                <w:szCs w:val="24"/>
                <w:highlight w:val="none"/>
                <w:lang w:val="en-US" w:eastAsia="zh-CN"/>
              </w:rPr>
              <w:t>[</w:t>
            </w:r>
            <w:r>
              <w:rPr>
                <w:rFonts w:hint="default" w:ascii="Times New Roman" w:hAnsi="Times New Roman" w:eastAsia="宋体" w:cs="Times New Roman"/>
                <w:bCs/>
                <w:kern w:val="2"/>
                <w:sz w:val="24"/>
                <w:szCs w:val="24"/>
                <w:highlight w:val="none"/>
                <w:lang w:val="en-US" w:eastAsia="zh-CN"/>
              </w:rPr>
              <w:t>2020</w:t>
            </w:r>
            <w:r>
              <w:rPr>
                <w:rFonts w:hint="eastAsia" w:ascii="宋体" w:hAnsi="宋体" w:eastAsia="宋体" w:cs="宋体"/>
                <w:bCs/>
                <w:kern w:val="2"/>
                <w:sz w:val="24"/>
                <w:szCs w:val="24"/>
                <w:highlight w:val="none"/>
                <w:lang w:val="en-US" w:eastAsia="zh-CN"/>
              </w:rPr>
              <w:t>]</w:t>
            </w:r>
            <w:r>
              <w:rPr>
                <w:rFonts w:hint="default" w:ascii="Times New Roman" w:hAnsi="Times New Roman" w:cs="Times New Roman"/>
                <w:bCs/>
                <w:color w:val="auto"/>
                <w:kern w:val="2"/>
                <w:sz w:val="24"/>
                <w:szCs w:val="24"/>
                <w:highlight w:val="none"/>
                <w:lang w:val="en-US" w:eastAsia="zh-CN"/>
              </w:rPr>
              <w:t>56</w:t>
            </w:r>
            <w:r>
              <w:rPr>
                <w:rFonts w:hint="default" w:ascii="Times New Roman" w:hAnsi="Times New Roman" w:eastAsia="宋体" w:cs="Times New Roman"/>
                <w:bCs/>
                <w:kern w:val="2"/>
                <w:sz w:val="24"/>
                <w:szCs w:val="24"/>
                <w:highlight w:val="none"/>
                <w:lang w:val="en-US" w:eastAsia="zh-CN"/>
              </w:rPr>
              <w:t>号）；</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）建设单位竣工验收委托函；</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）其他工程相关技术文件。</w:t>
            </w:r>
          </w:p>
          <w:p>
            <w:pPr>
              <w:pStyle w:val="2"/>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outlineLvl w:val="9"/>
              <w:rPr>
                <w:rFonts w:hint="default" w:ascii="Times New Roman" w:hAnsi="Times New Roman" w:cs="Times New Roman"/>
                <w:sz w:val="24"/>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85" w:hRule="atLeast"/>
          <w:jc w:val="center"/>
        </w:trPr>
        <w:tc>
          <w:tcPr>
            <w:tcW w:w="1545" w:type="dxa"/>
            <w:vAlign w:val="center"/>
          </w:tcPr>
          <w:p>
            <w:pPr>
              <w:pStyle w:val="19"/>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4"/>
              </w:rPr>
            </w:pPr>
            <w:r>
              <w:rPr>
                <w:rFonts w:hint="default" w:ascii="Times New Roman" w:hAnsi="Times New Roman" w:eastAsia="宋体" w:cs="Times New Roman"/>
                <w:sz w:val="24"/>
                <w:szCs w:val="22"/>
                <w:lang w:val="en-US" w:eastAsia="zh-CN" w:bidi="zh-CN"/>
              </w:rPr>
              <w:t>验收监测</w:t>
            </w:r>
            <w:r>
              <w:rPr>
                <w:rFonts w:hint="eastAsia" w:ascii="Times New Roman" w:hAnsi="Times New Roman" w:cs="Times New Roman"/>
                <w:sz w:val="24"/>
                <w:szCs w:val="22"/>
                <w:lang w:val="en-US" w:eastAsia="zh-CN" w:bidi="zh-CN"/>
              </w:rPr>
              <w:t>评价</w:t>
            </w:r>
            <w:r>
              <w:rPr>
                <w:rFonts w:hint="default" w:ascii="Times New Roman" w:hAnsi="Times New Roman" w:eastAsia="宋体" w:cs="Times New Roman"/>
                <w:sz w:val="24"/>
                <w:szCs w:val="22"/>
                <w:lang w:val="en-US" w:eastAsia="zh-CN" w:bidi="zh-CN"/>
              </w:rPr>
              <w:t>标准</w:t>
            </w:r>
            <w:r>
              <w:rPr>
                <w:rFonts w:hint="eastAsia" w:ascii="Times New Roman" w:hAnsi="Times New Roman" w:cs="Times New Roman"/>
                <w:sz w:val="24"/>
                <w:szCs w:val="22"/>
                <w:lang w:val="en-US" w:eastAsia="zh-CN" w:bidi="zh-CN"/>
              </w:rPr>
              <w:t>、</w:t>
            </w:r>
            <w:r>
              <w:rPr>
                <w:rFonts w:hint="default" w:ascii="Times New Roman" w:hAnsi="Times New Roman" w:eastAsia="宋体" w:cs="Times New Roman"/>
                <w:sz w:val="24"/>
                <w:szCs w:val="22"/>
                <w:lang w:val="en-US" w:eastAsia="zh-CN" w:bidi="zh-CN"/>
              </w:rPr>
              <w:t>标号、级别、限值</w:t>
            </w:r>
          </w:p>
        </w:tc>
        <w:tc>
          <w:tcPr>
            <w:tcW w:w="7663"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default" w:ascii="Times New Roman" w:hAnsi="Times New Roman" w:cs="Times New Roman" w:eastAsiaTheme="minorEastAsia"/>
                <w:b w:val="0"/>
                <w:bCs/>
                <w:color w:val="auto"/>
                <w:sz w:val="24"/>
              </w:rPr>
            </w:pPr>
            <w:r>
              <w:rPr>
                <w:rFonts w:hint="default" w:ascii="Times New Roman" w:hAnsi="Times New Roman" w:cs="Times New Roman" w:eastAsiaTheme="minorEastAsia"/>
                <w:b w:val="0"/>
                <w:bCs/>
                <w:color w:val="auto"/>
                <w:sz w:val="24"/>
                <w:lang w:eastAsia="zh-CN"/>
              </w:rPr>
              <w:t>（</w:t>
            </w:r>
            <w:r>
              <w:rPr>
                <w:rFonts w:hint="default" w:ascii="Times New Roman" w:hAnsi="Times New Roman" w:cs="Times New Roman" w:eastAsiaTheme="minorEastAsia"/>
                <w:b w:val="0"/>
                <w:bCs/>
                <w:color w:val="auto"/>
                <w:sz w:val="24"/>
                <w:lang w:val="en-US" w:eastAsia="zh-CN"/>
              </w:rPr>
              <w:t>1</w:t>
            </w:r>
            <w:r>
              <w:rPr>
                <w:rFonts w:hint="default" w:ascii="Times New Roman" w:hAnsi="Times New Roman" w:cs="Times New Roman" w:eastAsiaTheme="minorEastAsia"/>
                <w:b w:val="0"/>
                <w:bCs/>
                <w:color w:val="auto"/>
                <w:sz w:val="24"/>
                <w:lang w:eastAsia="zh-CN"/>
              </w:rPr>
              <w:t>）</w:t>
            </w:r>
            <w:r>
              <w:rPr>
                <w:rFonts w:hint="default" w:ascii="Times New Roman" w:hAnsi="Times New Roman" w:cs="Times New Roman" w:eastAsiaTheme="minorEastAsia"/>
                <w:b w:val="0"/>
                <w:bCs/>
                <w:color w:val="auto"/>
                <w:sz w:val="24"/>
              </w:rPr>
              <w:t>废水</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污水排放执行《污水综合排放标准》（GB8978—1996）中的</w:t>
            </w:r>
            <w:r>
              <w:rPr>
                <w:rFonts w:hint="default" w:ascii="Times New Roman" w:hAnsi="Times New Roman" w:cs="Times New Roman" w:eastAsiaTheme="minorEastAsia"/>
                <w:color w:val="auto"/>
                <w:sz w:val="24"/>
                <w:lang w:eastAsia="zh-CN"/>
              </w:rPr>
              <w:t>一</w:t>
            </w:r>
            <w:r>
              <w:rPr>
                <w:rFonts w:hint="default" w:ascii="Times New Roman" w:hAnsi="Times New Roman" w:cs="Times New Roman" w:eastAsiaTheme="minorEastAsia"/>
                <w:color w:val="auto"/>
                <w:sz w:val="24"/>
              </w:rPr>
              <w:t>级标准以及《</w:t>
            </w:r>
            <w:r>
              <w:rPr>
                <w:rFonts w:hint="default" w:ascii="Times New Roman" w:hAnsi="Times New Roman" w:cs="Times New Roman" w:eastAsiaTheme="minorEastAsia"/>
                <w:color w:val="auto"/>
                <w:sz w:val="24"/>
                <w:lang w:eastAsia="zh-CN"/>
              </w:rPr>
              <w:t>城市污水再生利用</w:t>
            </w:r>
            <w:r>
              <w:rPr>
                <w:rFonts w:hint="default" w:ascii="Times New Roman" w:hAnsi="Times New Roman" w:cs="Times New Roman" w:eastAsiaTheme="minorEastAsia"/>
                <w:color w:val="auto"/>
                <w:sz w:val="24"/>
                <w:lang w:val="en-US" w:eastAsia="zh-CN"/>
              </w:rPr>
              <w:t xml:space="preserve"> </w:t>
            </w:r>
            <w:r>
              <w:rPr>
                <w:rFonts w:hint="default" w:ascii="Times New Roman" w:hAnsi="Times New Roman" w:cs="Times New Roman" w:eastAsiaTheme="minorEastAsia"/>
                <w:color w:val="auto"/>
                <w:sz w:val="24"/>
                <w:lang w:eastAsia="zh-CN"/>
              </w:rPr>
              <w:t>城市杂用水水质标准</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val="en-US" w:eastAsia="zh-CN"/>
              </w:rPr>
              <w:t>GB/T 18920-2002</w:t>
            </w:r>
            <w:r>
              <w:rPr>
                <w:rFonts w:hint="default" w:ascii="Times New Roman" w:hAnsi="Times New Roman" w:cs="Times New Roman" w:eastAsiaTheme="minorEastAsia"/>
                <w:color w:val="auto"/>
                <w:sz w:val="24"/>
              </w:rPr>
              <w:t>）中</w:t>
            </w:r>
            <w:r>
              <w:rPr>
                <w:rFonts w:hint="default" w:ascii="Times New Roman" w:hAnsi="Times New Roman" w:cs="Times New Roman" w:eastAsiaTheme="minorEastAsia"/>
                <w:color w:val="auto"/>
                <w:sz w:val="24"/>
                <w:lang w:eastAsia="zh-CN"/>
              </w:rPr>
              <w:t>绿化</w:t>
            </w:r>
            <w:r>
              <w:rPr>
                <w:rFonts w:hint="eastAsia" w:ascii="Times New Roman" w:hAnsi="Times New Roman" w:cs="Times New Roman" w:eastAsiaTheme="minorEastAsia"/>
                <w:color w:val="auto"/>
                <w:sz w:val="24"/>
                <w:lang w:eastAsia="zh-CN"/>
              </w:rPr>
              <w:t>及冲厕</w:t>
            </w:r>
            <w:r>
              <w:rPr>
                <w:rFonts w:hint="default" w:ascii="Times New Roman" w:hAnsi="Times New Roman" w:cs="Times New Roman" w:eastAsiaTheme="minorEastAsia"/>
                <w:color w:val="auto"/>
                <w:sz w:val="24"/>
                <w:lang w:eastAsia="zh-CN"/>
              </w:rPr>
              <w:t>水质标准</w:t>
            </w:r>
            <w:r>
              <w:rPr>
                <w:rFonts w:hint="default" w:ascii="Times New Roman" w:hAnsi="Times New Roman" w:cs="Times New Roman" w:eastAsiaTheme="minorEastAsia"/>
                <w:color w:val="auto"/>
                <w:sz w:val="24"/>
              </w:rPr>
              <w:t>。</w:t>
            </w:r>
          </w:p>
          <w:p>
            <w:pPr>
              <w:keepNext w:val="0"/>
              <w:keepLines w:val="0"/>
              <w:pageBreakBefore w:val="0"/>
              <w:widowControl w:val="0"/>
              <w:kinsoku/>
              <w:wordWrap/>
              <w:overflowPunct/>
              <w:topLinePunct w:val="0"/>
              <w:autoSpaceDE w:val="0"/>
              <w:autoSpaceDN w:val="0"/>
              <w:bidi w:val="0"/>
              <w:adjustRightInd/>
              <w:snapToGrid/>
              <w:spacing w:after="0" w:line="360" w:lineRule="auto"/>
              <w:jc w:val="center"/>
              <w:textAlignment w:val="auto"/>
              <w:outlineLvl w:val="9"/>
              <w:rPr>
                <w:rFonts w:hint="default" w:ascii="Times New Roman" w:hAnsi="Times New Roman" w:cs="Times New Roman" w:eastAsiaTheme="minorEastAsia"/>
                <w:b/>
                <w:color w:val="auto"/>
                <w:sz w:val="21"/>
                <w:szCs w:val="21"/>
              </w:rPr>
            </w:pPr>
            <w:bookmarkStart w:id="15" w:name="_Toc8264_WPSOffice_Level2"/>
            <w:bookmarkStart w:id="16" w:name="_Toc1493_WPSOffice_Level2"/>
            <w:r>
              <w:rPr>
                <w:rFonts w:hint="default" w:ascii="Times New Roman" w:hAnsi="Times New Roman" w:cs="Times New Roman" w:eastAsiaTheme="minorEastAsia"/>
                <w:b/>
                <w:color w:val="auto"/>
                <w:sz w:val="21"/>
                <w:szCs w:val="21"/>
              </w:rPr>
              <w:t>表</w:t>
            </w:r>
            <w:r>
              <w:rPr>
                <w:rFonts w:hint="default" w:ascii="Times New Roman" w:hAnsi="Times New Roman" w:cs="Times New Roman" w:eastAsiaTheme="minorEastAsia"/>
                <w:b/>
                <w:color w:val="auto"/>
                <w:sz w:val="21"/>
                <w:szCs w:val="21"/>
                <w:lang w:val="en-US" w:eastAsia="zh-CN"/>
              </w:rPr>
              <w:t xml:space="preserve">1-1  </w:t>
            </w:r>
            <w:r>
              <w:rPr>
                <w:rFonts w:hint="default" w:ascii="Times New Roman" w:hAnsi="Times New Roman" w:cs="Times New Roman" w:eastAsiaTheme="minorEastAsia"/>
                <w:b/>
                <w:color w:val="auto"/>
                <w:sz w:val="21"/>
                <w:szCs w:val="21"/>
              </w:rPr>
              <w:t>废水排放标准（单位：mg/L）</w:t>
            </w:r>
            <w:bookmarkEnd w:id="15"/>
            <w:bookmarkEnd w:id="16"/>
          </w:p>
          <w:tbl>
            <w:tblPr>
              <w:tblStyle w:val="15"/>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1940"/>
              <w:gridCol w:w="4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w:t>
                  </w:r>
                </w:p>
              </w:tc>
              <w:tc>
                <w:tcPr>
                  <w:tcW w:w="1279"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限值</w:t>
                  </w:r>
                </w:p>
              </w:tc>
              <w:tc>
                <w:tcPr>
                  <w:tcW w:w="2672"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pH</w:t>
                  </w:r>
                </w:p>
              </w:tc>
              <w:tc>
                <w:tcPr>
                  <w:tcW w:w="1279"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6~9</w:t>
                  </w:r>
                </w:p>
              </w:tc>
              <w:tc>
                <w:tcPr>
                  <w:tcW w:w="2672" w:type="pct"/>
                  <w:vMerge w:val="restart"/>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《污水综合排放标准》</w:t>
                  </w:r>
                </w:p>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（GB8978—1996）中的</w:t>
                  </w:r>
                  <w:r>
                    <w:rPr>
                      <w:rFonts w:hint="default" w:ascii="Times New Roman" w:hAnsi="Times New Roman" w:cs="Times New Roman" w:eastAsiaTheme="minorEastAsia"/>
                      <w:color w:val="auto"/>
                      <w:sz w:val="21"/>
                      <w:szCs w:val="21"/>
                      <w:lang w:eastAsia="zh-CN"/>
                    </w:rPr>
                    <w:t>一</w:t>
                  </w:r>
                  <w:r>
                    <w:rPr>
                      <w:rFonts w:hint="default" w:ascii="Times New Roman" w:hAnsi="Times New Roman" w:cs="Times New Roman" w:eastAsiaTheme="minorEastAsia"/>
                      <w:color w:val="auto"/>
                      <w:sz w:val="21"/>
                      <w:szCs w:val="21"/>
                    </w:rPr>
                    <w:t>级标准</w:t>
                  </w:r>
                </w:p>
                <w:p>
                  <w:pPr>
                    <w:keepNext w:val="0"/>
                    <w:keepLines w:val="0"/>
                    <w:pageBreakBefore w:val="0"/>
                    <w:widowControl w:val="0"/>
                    <w:kinsoku/>
                    <w:wordWrap w:val="0"/>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《城市污水再生利用</w:t>
                  </w:r>
                  <w:r>
                    <w:rPr>
                      <w:rFonts w:hint="default" w:ascii="Times New Roman" w:hAnsi="Times New Roman" w:cs="Times New Roman" w:eastAsiaTheme="minorEastAsia"/>
                      <w:color w:val="auto"/>
                      <w:sz w:val="21"/>
                      <w:szCs w:val="21"/>
                      <w:lang w:val="en-US" w:eastAsia="zh-CN"/>
                    </w:rPr>
                    <w:t xml:space="preserve"> </w:t>
                  </w:r>
                  <w:r>
                    <w:rPr>
                      <w:rFonts w:hint="default" w:ascii="Times New Roman" w:hAnsi="Times New Roman" w:cs="Times New Roman" w:eastAsiaTheme="minorEastAsia"/>
                      <w:color w:val="auto"/>
                      <w:sz w:val="21"/>
                      <w:szCs w:val="21"/>
                    </w:rPr>
                    <w:t>城市杂用水水质标准》（GB</w:t>
                  </w:r>
                  <w:r>
                    <w:rPr>
                      <w:rFonts w:hint="default"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rPr>
                    <w:t>T 18920-2002）中绿化</w:t>
                  </w:r>
                  <w:r>
                    <w:rPr>
                      <w:rFonts w:hint="eastAsia" w:ascii="Times New Roman" w:hAnsi="Times New Roman" w:cs="Times New Roman" w:eastAsiaTheme="minorEastAsia"/>
                      <w:color w:val="auto"/>
                      <w:sz w:val="21"/>
                      <w:szCs w:val="21"/>
                      <w:lang w:eastAsia="zh-CN"/>
                    </w:rPr>
                    <w:t>及冲厕</w:t>
                  </w:r>
                  <w:r>
                    <w:rPr>
                      <w:rFonts w:hint="default" w:ascii="Times New Roman" w:hAnsi="Times New Roman" w:cs="Times New Roman" w:eastAsiaTheme="minorEastAsia"/>
                      <w:color w:val="auto"/>
                      <w:sz w:val="21"/>
                      <w:szCs w:val="21"/>
                    </w:rPr>
                    <w:t>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COD</w:t>
                  </w:r>
                </w:p>
              </w:tc>
              <w:tc>
                <w:tcPr>
                  <w:tcW w:w="1279"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100</w:t>
                  </w:r>
                </w:p>
              </w:tc>
              <w:tc>
                <w:tcPr>
                  <w:tcW w:w="2672" w:type="pct"/>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BOD</w:t>
                  </w:r>
                  <w:r>
                    <w:rPr>
                      <w:rFonts w:hint="default" w:ascii="Times New Roman" w:hAnsi="Times New Roman" w:cs="Times New Roman" w:eastAsiaTheme="minorEastAsia"/>
                      <w:color w:val="auto"/>
                      <w:sz w:val="21"/>
                      <w:szCs w:val="21"/>
                      <w:highlight w:val="none"/>
                      <w:vertAlign w:val="subscript"/>
                    </w:rPr>
                    <w:t>5</w:t>
                  </w:r>
                </w:p>
              </w:tc>
              <w:tc>
                <w:tcPr>
                  <w:tcW w:w="1279"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w:t>
                  </w:r>
                </w:p>
              </w:tc>
              <w:tc>
                <w:tcPr>
                  <w:tcW w:w="2672" w:type="pct"/>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SS</w:t>
                  </w:r>
                </w:p>
              </w:tc>
              <w:tc>
                <w:tcPr>
                  <w:tcW w:w="1279"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70</w:t>
                  </w:r>
                </w:p>
              </w:tc>
              <w:tc>
                <w:tcPr>
                  <w:tcW w:w="2672" w:type="pct"/>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NH</w:t>
                  </w:r>
                  <w:r>
                    <w:rPr>
                      <w:rFonts w:hint="default" w:ascii="Times New Roman" w:hAnsi="Times New Roman" w:cs="Times New Roman" w:eastAsiaTheme="minorEastAsia"/>
                      <w:color w:val="auto"/>
                      <w:sz w:val="21"/>
                      <w:szCs w:val="21"/>
                      <w:highlight w:val="none"/>
                      <w:vertAlign w:val="subscript"/>
                    </w:rPr>
                    <w:t>3</w:t>
                  </w:r>
                  <w:r>
                    <w:rPr>
                      <w:rFonts w:hint="default" w:ascii="Times New Roman" w:hAnsi="Times New Roman" w:cs="Times New Roman" w:eastAsiaTheme="minorEastAsia"/>
                      <w:color w:val="auto"/>
                      <w:sz w:val="21"/>
                      <w:szCs w:val="21"/>
                      <w:highlight w:val="none"/>
                    </w:rPr>
                    <w:t>-N</w:t>
                  </w:r>
                </w:p>
              </w:tc>
              <w:tc>
                <w:tcPr>
                  <w:tcW w:w="1279"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w:t>
                  </w:r>
                </w:p>
              </w:tc>
              <w:tc>
                <w:tcPr>
                  <w:tcW w:w="2672" w:type="pct"/>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石油类</w:t>
                  </w:r>
                </w:p>
              </w:tc>
              <w:tc>
                <w:tcPr>
                  <w:tcW w:w="1279" w:type="pct"/>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w:t>
                  </w:r>
                </w:p>
              </w:tc>
              <w:tc>
                <w:tcPr>
                  <w:tcW w:w="2672" w:type="pct"/>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r>
          </w:tbl>
          <w:p>
            <w:pPr>
              <w:keepNext w:val="0"/>
              <w:keepLines w:val="0"/>
              <w:pageBreakBefore w:val="0"/>
              <w:widowControl w:val="0"/>
              <w:numPr>
                <w:ilvl w:val="0"/>
                <w:numId w:val="0"/>
              </w:numPr>
              <w:kinsoku/>
              <w:wordWrap w:val="0"/>
              <w:overflowPunct/>
              <w:topLinePunct w:val="0"/>
              <w:autoSpaceDE/>
              <w:autoSpaceDN/>
              <w:bidi w:val="0"/>
              <w:adjustRightInd/>
              <w:snapToGrid/>
              <w:spacing w:after="0" w:line="360" w:lineRule="auto"/>
              <w:ind w:right="0" w:rightChars="0" w:firstLine="480" w:firstLineChars="200"/>
              <w:jc w:val="left"/>
              <w:textAlignment w:val="auto"/>
              <w:outlineLvl w:val="9"/>
              <w:rPr>
                <w:rFonts w:hint="default" w:ascii="Times New Roman" w:hAnsi="Times New Roman" w:cs="Times New Roman" w:eastAsiaTheme="minorEastAsia"/>
                <w:b w:val="0"/>
                <w:bCs/>
                <w:color w:val="auto"/>
                <w:sz w:val="24"/>
                <w:lang w:eastAsia="zh-CN"/>
              </w:rPr>
            </w:pPr>
            <w:bookmarkStart w:id="17" w:name="_Toc10925_WPSOffice_Level1"/>
            <w:bookmarkStart w:id="18" w:name="_Toc9631_WPSOffice_Level1"/>
            <w:r>
              <w:rPr>
                <w:rFonts w:hint="default" w:ascii="Times New Roman" w:hAnsi="Times New Roman" w:cs="Times New Roman" w:eastAsiaTheme="minorEastAsia"/>
                <w:b w:val="0"/>
                <w:bCs/>
                <w:color w:val="auto"/>
                <w:sz w:val="24"/>
                <w:lang w:eastAsia="zh-CN"/>
              </w:rPr>
              <w:t>（</w:t>
            </w:r>
            <w:r>
              <w:rPr>
                <w:rFonts w:hint="default" w:ascii="Times New Roman" w:hAnsi="Times New Roman" w:cs="Times New Roman" w:eastAsiaTheme="minorEastAsia"/>
                <w:b w:val="0"/>
                <w:bCs/>
                <w:color w:val="auto"/>
                <w:sz w:val="24"/>
                <w:lang w:val="en-US" w:eastAsia="zh-CN"/>
              </w:rPr>
              <w:t>2</w:t>
            </w:r>
            <w:r>
              <w:rPr>
                <w:rFonts w:hint="default" w:ascii="Times New Roman" w:hAnsi="Times New Roman" w:cs="Times New Roman" w:eastAsiaTheme="minorEastAsia"/>
                <w:b w:val="0"/>
                <w:bCs/>
                <w:color w:val="auto"/>
                <w:sz w:val="24"/>
                <w:lang w:eastAsia="zh-CN"/>
              </w:rPr>
              <w:t>）废气</w:t>
            </w:r>
            <w:bookmarkEnd w:id="17"/>
            <w:bookmarkEnd w:id="18"/>
          </w:p>
          <w:p>
            <w:pPr>
              <w:keepNext w:val="0"/>
              <w:keepLines w:val="0"/>
              <w:pageBreakBefore w:val="0"/>
              <w:widowControl w:val="0"/>
              <w:numPr>
                <w:ilvl w:val="0"/>
                <w:numId w:val="0"/>
              </w:numPr>
              <w:kinsoku/>
              <w:wordWrap w:val="0"/>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color w:val="auto"/>
                <w:kern w:val="0"/>
                <w:sz w:val="24"/>
              </w:rPr>
            </w:pPr>
            <w:r>
              <w:rPr>
                <w:rFonts w:hint="default" w:ascii="Times New Roman" w:hAnsi="Times New Roman" w:cs="Times New Roman" w:eastAsiaTheme="minorEastAsia"/>
                <w:color w:val="auto"/>
                <w:kern w:val="0"/>
                <w:sz w:val="24"/>
              </w:rPr>
              <w:t>站区非甲烷总烃执行《大气污染物综合排放标准》（GB16297-1996）中无组织排放标准</w:t>
            </w:r>
            <w:r>
              <w:rPr>
                <w:rFonts w:hint="default" w:ascii="Times New Roman" w:hAnsi="Times New Roman" w:cs="Times New Roman" w:eastAsiaTheme="minorEastAsia"/>
                <w:color w:val="auto"/>
                <w:kern w:val="0"/>
                <w:sz w:val="24"/>
                <w:lang w:eastAsia="zh-CN"/>
              </w:rPr>
              <w:t>；油气回收装置排放口</w:t>
            </w:r>
            <w:r>
              <w:rPr>
                <w:rFonts w:hint="default" w:ascii="Times New Roman" w:hAnsi="Times New Roman" w:cs="Times New Roman" w:eastAsiaTheme="minorEastAsia"/>
                <w:color w:val="auto"/>
                <w:kern w:val="0"/>
                <w:sz w:val="24"/>
              </w:rPr>
              <w:t>非甲烷总烃</w:t>
            </w:r>
            <w:r>
              <w:rPr>
                <w:rFonts w:hint="default" w:ascii="Times New Roman" w:hAnsi="Times New Roman" w:cs="Times New Roman" w:eastAsiaTheme="minorEastAsia"/>
                <w:b w:val="0"/>
                <w:bCs/>
                <w:color w:val="auto"/>
                <w:sz w:val="24"/>
                <w:lang w:eastAsia="zh-CN"/>
              </w:rPr>
              <w:t>执行《加油站大气污染物排放标准》（</w:t>
            </w:r>
            <w:r>
              <w:rPr>
                <w:rFonts w:hint="default" w:ascii="Times New Roman" w:hAnsi="Times New Roman" w:cs="Times New Roman" w:eastAsiaTheme="minorEastAsia"/>
                <w:b w:val="0"/>
                <w:bCs/>
                <w:color w:val="auto"/>
                <w:sz w:val="24"/>
                <w:lang w:val="en-US" w:eastAsia="zh-CN"/>
              </w:rPr>
              <w:t>GB20952-2007</w:t>
            </w:r>
            <w:r>
              <w:rPr>
                <w:rFonts w:hint="default" w:ascii="Times New Roman" w:hAnsi="Times New Roman" w:cs="Times New Roman" w:eastAsiaTheme="minorEastAsia"/>
                <w:b w:val="0"/>
                <w:bCs/>
                <w:color w:val="auto"/>
                <w:sz w:val="24"/>
                <w:lang w:eastAsia="zh-CN"/>
              </w:rPr>
              <w:t>）。</w:t>
            </w:r>
          </w:p>
          <w:p>
            <w:pPr>
              <w:keepNext w:val="0"/>
              <w:keepLines w:val="0"/>
              <w:pageBreakBefore w:val="0"/>
              <w:widowControl w:val="0"/>
              <w:kinsoku/>
              <w:wordWrap/>
              <w:overflowPunct/>
              <w:topLinePunct w:val="0"/>
              <w:autoSpaceDE w:val="0"/>
              <w:autoSpaceDN w:val="0"/>
              <w:bidi w:val="0"/>
              <w:adjustRightInd/>
              <w:snapToGrid/>
              <w:spacing w:after="0" w:line="360" w:lineRule="auto"/>
              <w:jc w:val="center"/>
              <w:textAlignment w:val="auto"/>
              <w:outlineLvl w:val="9"/>
              <w:rPr>
                <w:rFonts w:hint="default" w:ascii="Times New Roman" w:hAnsi="Times New Roman" w:cs="Times New Roman" w:eastAsiaTheme="minorEastAsia"/>
                <w:b/>
                <w:color w:val="auto"/>
                <w:sz w:val="21"/>
                <w:szCs w:val="21"/>
              </w:rPr>
            </w:pPr>
            <w:bookmarkStart w:id="19" w:name="_Toc21833_WPSOffice_Level2"/>
            <w:bookmarkStart w:id="20" w:name="_Toc23397_WPSOffice_Level2"/>
            <w:r>
              <w:rPr>
                <w:rFonts w:hint="default" w:ascii="Times New Roman" w:hAnsi="Times New Roman" w:cs="Times New Roman" w:eastAsiaTheme="minorEastAsia"/>
                <w:b/>
                <w:color w:val="auto"/>
                <w:sz w:val="21"/>
                <w:szCs w:val="21"/>
              </w:rPr>
              <w:t>表</w:t>
            </w:r>
            <w:r>
              <w:rPr>
                <w:rFonts w:hint="default" w:ascii="Times New Roman" w:hAnsi="Times New Roman" w:cs="Times New Roman" w:eastAsiaTheme="minorEastAsia"/>
                <w:b/>
                <w:color w:val="auto"/>
                <w:sz w:val="21"/>
                <w:szCs w:val="21"/>
                <w:lang w:val="en-US" w:eastAsia="zh-CN"/>
              </w:rPr>
              <w:t xml:space="preserve">1-2  </w:t>
            </w:r>
            <w:r>
              <w:rPr>
                <w:rFonts w:hint="default" w:ascii="Times New Roman" w:hAnsi="Times New Roman" w:cs="Times New Roman" w:eastAsiaTheme="minorEastAsia"/>
                <w:b/>
                <w:color w:val="auto"/>
                <w:sz w:val="21"/>
                <w:szCs w:val="21"/>
              </w:rPr>
              <w:t>项目废气排放标准</w:t>
            </w:r>
            <w:bookmarkEnd w:id="19"/>
            <w:bookmarkEnd w:id="20"/>
          </w:p>
          <w:tbl>
            <w:tblPr>
              <w:tblStyle w:val="15"/>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4"/>
              <w:gridCol w:w="2208"/>
              <w:gridCol w:w="3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污染物名称</w:t>
                  </w:r>
                </w:p>
              </w:tc>
              <w:tc>
                <w:tcPr>
                  <w:tcW w:w="14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排放浓度限值</w:t>
                  </w:r>
                </w:p>
              </w:tc>
              <w:tc>
                <w:tcPr>
                  <w:tcW w:w="26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非甲烷总烃</w:t>
                  </w:r>
                </w:p>
              </w:tc>
              <w:tc>
                <w:tcPr>
                  <w:tcW w:w="14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yellow"/>
                      <w:lang w:val="en-US" w:eastAsia="zh-CN"/>
                    </w:rPr>
                  </w:pPr>
                  <w:r>
                    <w:rPr>
                      <w:rFonts w:hint="default" w:ascii="Times New Roman" w:hAnsi="Times New Roman" w:cs="Times New Roman" w:eastAsiaTheme="minorEastAsia"/>
                      <w:color w:val="auto"/>
                      <w:sz w:val="21"/>
                      <w:szCs w:val="21"/>
                      <w:highlight w:val="none"/>
                      <w:lang w:val="en-US" w:eastAsia="zh-CN"/>
                    </w:rPr>
                    <w:t>4.0</w:t>
                  </w:r>
                  <w:r>
                    <w:rPr>
                      <w:rFonts w:hint="default" w:ascii="Times New Roman" w:hAnsi="Times New Roman" w:cs="Times New Roman" w:eastAsiaTheme="minorEastAsia"/>
                      <w:b w:val="0"/>
                      <w:bCs w:val="0"/>
                      <w:color w:val="auto"/>
                      <w:sz w:val="21"/>
                      <w:szCs w:val="21"/>
                    </w:rPr>
                    <w:t>mg/m</w:t>
                  </w:r>
                  <w:r>
                    <w:rPr>
                      <w:rFonts w:hint="default" w:ascii="Times New Roman" w:hAnsi="Times New Roman" w:cs="Times New Roman" w:eastAsiaTheme="minorEastAsia"/>
                      <w:b w:val="0"/>
                      <w:bCs w:val="0"/>
                      <w:color w:val="auto"/>
                      <w:sz w:val="21"/>
                      <w:szCs w:val="21"/>
                      <w:vertAlign w:val="superscript"/>
                    </w:rPr>
                    <w:t>3</w:t>
                  </w:r>
                </w:p>
              </w:tc>
              <w:tc>
                <w:tcPr>
                  <w:tcW w:w="26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《大气污染物综合排放标准》（GB16297-1996）表2无组织排放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p>
              </w:tc>
              <w:tc>
                <w:tcPr>
                  <w:tcW w:w="14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25</w:t>
                  </w:r>
                  <w:r>
                    <w:rPr>
                      <w:rFonts w:hint="default" w:ascii="Times New Roman" w:hAnsi="Times New Roman" w:cs="Times New Roman" w:eastAsiaTheme="minorEastAsia"/>
                      <w:b w:val="0"/>
                      <w:bCs w:val="0"/>
                      <w:color w:val="auto"/>
                      <w:sz w:val="21"/>
                      <w:szCs w:val="21"/>
                    </w:rPr>
                    <w:t>g/m</w:t>
                  </w:r>
                  <w:r>
                    <w:rPr>
                      <w:rFonts w:hint="default" w:ascii="Times New Roman" w:hAnsi="Times New Roman" w:cs="Times New Roman" w:eastAsiaTheme="minorEastAsia"/>
                      <w:b w:val="0"/>
                      <w:bCs w:val="0"/>
                      <w:color w:val="auto"/>
                      <w:sz w:val="21"/>
                      <w:szCs w:val="21"/>
                      <w:vertAlign w:val="superscript"/>
                    </w:rPr>
                    <w:t>3</w:t>
                  </w:r>
                </w:p>
              </w:tc>
              <w:tc>
                <w:tcPr>
                  <w:tcW w:w="26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《加油站大气污染物排放标准》（</w:t>
                  </w:r>
                  <w:r>
                    <w:rPr>
                      <w:rFonts w:hint="default" w:ascii="Times New Roman" w:hAnsi="Times New Roman" w:cs="Times New Roman" w:eastAsiaTheme="minorEastAsia"/>
                      <w:color w:val="auto"/>
                      <w:sz w:val="21"/>
                      <w:szCs w:val="21"/>
                      <w:lang w:val="en-US" w:eastAsia="zh-CN"/>
                    </w:rPr>
                    <w:t>GB20952-2007</w:t>
                  </w:r>
                  <w:r>
                    <w:rPr>
                      <w:rFonts w:hint="default" w:ascii="Times New Roman" w:hAnsi="Times New Roman" w:cs="Times New Roman" w:eastAsiaTheme="minorEastAsia"/>
                      <w:color w:val="auto"/>
                      <w:sz w:val="21"/>
                      <w:szCs w:val="21"/>
                      <w:lang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b w:val="0"/>
                <w:bCs/>
                <w:color w:val="auto"/>
                <w:sz w:val="24"/>
              </w:rPr>
            </w:pPr>
            <w:bookmarkStart w:id="21" w:name="_Toc18666_WPSOffice_Level1"/>
            <w:bookmarkStart w:id="22" w:name="_Toc20433_WPSOffice_Level1"/>
            <w:r>
              <w:rPr>
                <w:rFonts w:hint="default" w:ascii="Times New Roman" w:hAnsi="Times New Roman" w:cs="Times New Roman" w:eastAsiaTheme="minorEastAsia"/>
                <w:b w:val="0"/>
                <w:bCs/>
                <w:color w:val="auto"/>
                <w:sz w:val="24"/>
                <w:lang w:eastAsia="zh-CN"/>
              </w:rPr>
              <w:t>（</w:t>
            </w:r>
            <w:r>
              <w:rPr>
                <w:rFonts w:hint="default" w:ascii="Times New Roman" w:hAnsi="Times New Roman" w:cs="Times New Roman" w:eastAsiaTheme="minorEastAsia"/>
                <w:b w:val="0"/>
                <w:bCs/>
                <w:color w:val="auto"/>
                <w:sz w:val="24"/>
                <w:lang w:val="en-US" w:eastAsia="zh-CN"/>
              </w:rPr>
              <w:t>3</w:t>
            </w:r>
            <w:r>
              <w:rPr>
                <w:rFonts w:hint="default" w:ascii="Times New Roman" w:hAnsi="Times New Roman" w:cs="Times New Roman" w:eastAsiaTheme="minorEastAsia"/>
                <w:b w:val="0"/>
                <w:bCs/>
                <w:color w:val="auto"/>
                <w:sz w:val="24"/>
                <w:lang w:eastAsia="zh-CN"/>
              </w:rPr>
              <w:t>）</w:t>
            </w:r>
            <w:r>
              <w:rPr>
                <w:rFonts w:hint="default" w:ascii="Times New Roman" w:hAnsi="Times New Roman" w:cs="Times New Roman" w:eastAsiaTheme="minorEastAsia"/>
                <w:b w:val="0"/>
                <w:bCs/>
                <w:color w:val="auto"/>
                <w:sz w:val="24"/>
              </w:rPr>
              <w:t>噪声</w:t>
            </w:r>
            <w:bookmarkEnd w:id="21"/>
            <w:bookmarkEnd w:id="22"/>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left"/>
              <w:textAlignment w:val="auto"/>
              <w:outlineLvl w:val="9"/>
              <w:rPr>
                <w:rFonts w:hint="default" w:ascii="Times New Roman" w:hAnsi="Times New Roman" w:cs="Times New Roman"/>
              </w:rPr>
            </w:pPr>
            <w:r>
              <w:rPr>
                <w:rFonts w:hint="default" w:ascii="Times New Roman" w:hAnsi="Times New Roman" w:cs="Times New Roman" w:eastAsiaTheme="minorEastAsia"/>
                <w:color w:val="auto"/>
                <w:sz w:val="24"/>
                <w:highlight w:val="none"/>
                <w:lang w:eastAsia="zh-CN"/>
              </w:rPr>
              <w:t>项目南侧</w:t>
            </w:r>
            <w:r>
              <w:rPr>
                <w:rFonts w:hint="default" w:ascii="Times New Roman" w:hAnsi="Times New Roman" w:cs="Times New Roman" w:eastAsiaTheme="minorEastAsia"/>
                <w:color w:val="auto"/>
                <w:sz w:val="24"/>
                <w:highlight w:val="none"/>
              </w:rPr>
              <w:t>、</w:t>
            </w:r>
            <w:r>
              <w:rPr>
                <w:rFonts w:hint="default" w:ascii="Times New Roman" w:hAnsi="Times New Roman" w:cs="Times New Roman" w:eastAsiaTheme="minorEastAsia"/>
                <w:color w:val="auto"/>
                <w:sz w:val="24"/>
                <w:highlight w:val="none"/>
                <w:lang w:eastAsia="zh-CN"/>
              </w:rPr>
              <w:t>北侧和东</w:t>
            </w:r>
            <w:r>
              <w:rPr>
                <w:rFonts w:hint="default" w:ascii="Times New Roman" w:hAnsi="Times New Roman" w:cs="Times New Roman" w:eastAsiaTheme="minorEastAsia"/>
                <w:color w:val="auto"/>
                <w:sz w:val="24"/>
                <w:highlight w:val="none"/>
              </w:rPr>
              <w:t>侧</w:t>
            </w:r>
            <w:r>
              <w:rPr>
                <w:rFonts w:hint="default" w:ascii="Times New Roman" w:hAnsi="Times New Roman" w:cs="Times New Roman" w:eastAsiaTheme="minorEastAsia"/>
                <w:color w:val="auto"/>
                <w:sz w:val="24"/>
                <w:highlight w:val="none"/>
                <w:lang w:eastAsia="zh-CN"/>
              </w:rPr>
              <w:t>厂界噪声</w:t>
            </w:r>
            <w:r>
              <w:rPr>
                <w:rFonts w:hint="default" w:ascii="Times New Roman" w:hAnsi="Times New Roman" w:cs="Times New Roman" w:eastAsiaTheme="minorEastAsia"/>
                <w:color w:val="auto"/>
                <w:sz w:val="24"/>
                <w:highlight w:val="none"/>
              </w:rPr>
              <w:t>执行《工业企业厂界环境噪声排放标准》（GB12348-2008）中</w:t>
            </w:r>
            <w:r>
              <w:rPr>
                <w:rFonts w:hint="default" w:ascii="Times New Roman" w:hAnsi="Times New Roman" w:cs="Times New Roman" w:eastAsiaTheme="minorEastAsia"/>
                <w:color w:val="auto"/>
                <w:sz w:val="24"/>
                <w:highlight w:val="none"/>
                <w:lang w:val="en-US" w:eastAsia="zh-CN"/>
              </w:rPr>
              <w:t>2</w:t>
            </w:r>
            <w:r>
              <w:rPr>
                <w:rFonts w:hint="default" w:ascii="Times New Roman" w:hAnsi="Times New Roman" w:cs="Times New Roman" w:eastAsiaTheme="minorEastAsia"/>
                <w:color w:val="auto"/>
                <w:sz w:val="24"/>
                <w:highlight w:val="none"/>
              </w:rPr>
              <w:t>类标准，</w:t>
            </w:r>
            <w:r>
              <w:rPr>
                <w:rFonts w:hint="default" w:ascii="Times New Roman" w:hAnsi="Times New Roman" w:cs="Times New Roman" w:eastAsiaTheme="minorEastAsia"/>
                <w:color w:val="auto"/>
                <w:sz w:val="24"/>
                <w:highlight w:val="none"/>
                <w:lang w:eastAsia="zh-CN"/>
              </w:rPr>
              <w:t>西侧厂界噪声</w:t>
            </w:r>
            <w:r>
              <w:rPr>
                <w:rFonts w:hint="default" w:ascii="Times New Roman" w:hAnsi="Times New Roman" w:cs="Times New Roman" w:eastAsiaTheme="minorEastAsia"/>
                <w:color w:val="auto"/>
                <w:sz w:val="24"/>
                <w:highlight w:val="none"/>
              </w:rPr>
              <w:t>执行《工业企业厂界环境噪声排放标准》（GB12348-2008）中</w:t>
            </w:r>
            <w:r>
              <w:rPr>
                <w:rFonts w:hint="default" w:ascii="Times New Roman" w:hAnsi="Times New Roman" w:cs="Times New Roman" w:eastAsiaTheme="minorEastAsia"/>
                <w:color w:val="auto"/>
                <w:sz w:val="24"/>
                <w:highlight w:val="none"/>
                <w:lang w:val="en-US" w:eastAsia="zh-CN"/>
              </w:rPr>
              <w:t>4</w:t>
            </w:r>
            <w:r>
              <w:rPr>
                <w:rFonts w:hint="default" w:ascii="Times New Roman" w:hAnsi="Times New Roman" w:cs="Times New Roman" w:eastAsiaTheme="minorEastAsia"/>
                <w:color w:val="auto"/>
                <w:sz w:val="24"/>
                <w:highlight w:val="none"/>
              </w:rPr>
              <w:t>类标准。</w:t>
            </w:r>
          </w:p>
          <w:p>
            <w:pPr>
              <w:keepNext w:val="0"/>
              <w:keepLines w:val="0"/>
              <w:pageBreakBefore w:val="0"/>
              <w:widowControl w:val="0"/>
              <w:kinsoku/>
              <w:wordWrap/>
              <w:overflowPunct/>
              <w:topLinePunct w:val="0"/>
              <w:autoSpaceDE w:val="0"/>
              <w:autoSpaceDN w:val="0"/>
              <w:bidi w:val="0"/>
              <w:adjustRightInd/>
              <w:snapToGrid/>
              <w:spacing w:after="0" w:line="360" w:lineRule="auto"/>
              <w:jc w:val="center"/>
              <w:textAlignment w:val="auto"/>
              <w:outlineLvl w:val="9"/>
              <w:rPr>
                <w:rFonts w:hint="default" w:ascii="Times New Roman" w:hAnsi="Times New Roman" w:cs="Times New Roman" w:eastAsiaTheme="minorEastAsia"/>
                <w:b/>
                <w:color w:val="auto"/>
                <w:sz w:val="21"/>
                <w:szCs w:val="21"/>
              </w:rPr>
            </w:pPr>
            <w:bookmarkStart w:id="23" w:name="_Toc27426_WPSOffice_Level2"/>
            <w:bookmarkStart w:id="24" w:name="_Toc9670_WPSOffice_Level2"/>
            <w:r>
              <w:rPr>
                <w:rFonts w:hint="default" w:ascii="Times New Roman" w:hAnsi="Times New Roman" w:cs="Times New Roman" w:eastAsiaTheme="minorEastAsia"/>
                <w:b/>
                <w:color w:val="auto"/>
                <w:sz w:val="21"/>
                <w:szCs w:val="21"/>
              </w:rPr>
              <w:t>表</w:t>
            </w:r>
            <w:r>
              <w:rPr>
                <w:rFonts w:hint="default" w:ascii="Times New Roman" w:hAnsi="Times New Roman" w:cs="Times New Roman" w:eastAsiaTheme="minorEastAsia"/>
                <w:b/>
                <w:color w:val="auto"/>
                <w:sz w:val="21"/>
                <w:szCs w:val="21"/>
                <w:lang w:val="en-US" w:eastAsia="zh-CN"/>
              </w:rPr>
              <w:t xml:space="preserve">1-3  </w:t>
            </w:r>
            <w:r>
              <w:rPr>
                <w:rFonts w:hint="default" w:ascii="Times New Roman" w:hAnsi="Times New Roman" w:cs="Times New Roman" w:eastAsiaTheme="minorEastAsia"/>
                <w:b/>
                <w:color w:val="auto"/>
                <w:sz w:val="21"/>
                <w:szCs w:val="21"/>
              </w:rPr>
              <w:t>工业企业厂界环境噪声排放标准（dB（A））</w:t>
            </w:r>
            <w:bookmarkEnd w:id="23"/>
            <w:bookmarkEnd w:id="24"/>
          </w:p>
          <w:tbl>
            <w:tblPr>
              <w:tblStyle w:val="15"/>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7"/>
              <w:gridCol w:w="2528"/>
              <w:gridCol w:w="2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类别</w:t>
                  </w:r>
                </w:p>
              </w:tc>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昼间</w:t>
                  </w:r>
                </w:p>
              </w:tc>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2类</w:t>
                  </w:r>
                </w:p>
              </w:tc>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60</w:t>
                  </w:r>
                </w:p>
              </w:tc>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4类</w:t>
                  </w:r>
                </w:p>
              </w:tc>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70</w:t>
                  </w:r>
                </w:p>
              </w:tc>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55</w:t>
                  </w:r>
                </w:p>
              </w:tc>
            </w:tr>
          </w:tbl>
          <w:p>
            <w:pPr>
              <w:pStyle w:val="19"/>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right="0" w:rightChars="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 （4）</w:t>
            </w:r>
            <w:r>
              <w:rPr>
                <w:rFonts w:hint="default" w:ascii="Times New Roman" w:hAnsi="Times New Roman" w:cs="Times New Roman"/>
                <w:color w:val="auto"/>
                <w:sz w:val="24"/>
                <w:szCs w:val="24"/>
                <w:highlight w:val="none"/>
                <w:lang w:val="en-US" w:eastAsia="zh-CN"/>
              </w:rPr>
              <w:t>固废</w:t>
            </w:r>
          </w:p>
          <w:p>
            <w:pPr>
              <w:pStyle w:val="19"/>
              <w:keepNext w:val="0"/>
              <w:keepLines w:val="0"/>
              <w:pageBreakBefore w:val="0"/>
              <w:widowControl w:val="0"/>
              <w:numPr>
                <w:ilvl w:val="0"/>
                <w:numId w:val="0"/>
              </w:numPr>
              <w:kinsoku/>
              <w:overflowPunct/>
              <w:topLinePunct w:val="0"/>
              <w:bidi w:val="0"/>
              <w:spacing w:before="0" w:line="360" w:lineRule="auto"/>
              <w:ind w:right="-29" w:rightChars="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snapToGrid w:val="0"/>
                <w:kern w:val="0"/>
                <w:sz w:val="24"/>
                <w:szCs w:val="24"/>
              </w:rPr>
              <w:t>一般固体废物执行《一般工业固体废物贮存、处置场污染控制标准》（GB18599-2001）及其2013年修改单中的相关规定；危险</w:t>
            </w:r>
            <w:r>
              <w:rPr>
                <w:rFonts w:hint="default" w:ascii="Times New Roman" w:hAnsi="Times New Roman" w:eastAsia="宋体" w:cs="Times New Roman"/>
                <w:snapToGrid w:val="0"/>
                <w:kern w:val="0"/>
                <w:sz w:val="24"/>
                <w:szCs w:val="24"/>
                <w:lang w:eastAsia="zh-CN"/>
              </w:rPr>
              <w:t>废物</w:t>
            </w:r>
            <w:r>
              <w:rPr>
                <w:rFonts w:hint="default" w:ascii="Times New Roman" w:hAnsi="Times New Roman" w:eastAsia="宋体" w:cs="Times New Roman"/>
                <w:snapToGrid w:val="0"/>
                <w:kern w:val="0"/>
                <w:sz w:val="24"/>
                <w:szCs w:val="24"/>
              </w:rPr>
              <w:t>执行《危险废物贮存污染控制标准》（GB18597-2001）及其2013年修改单中的相关规定。</w:t>
            </w:r>
          </w:p>
        </w:tc>
      </w:tr>
    </w:tbl>
    <w:p>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pPr>
        <w:pStyle w:val="6"/>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t>表 2 建设项目工程概况</w:t>
      </w:r>
    </w:p>
    <w:tbl>
      <w:tblPr>
        <w:tblStyle w:val="15"/>
        <w:tblW w:w="95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5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9507" w:type="dxa"/>
            <w:vAlign w:val="top"/>
          </w:tcPr>
          <w:p>
            <w:pPr>
              <w:pStyle w:val="19"/>
              <w:keepNext w:val="0"/>
              <w:keepLines w:val="0"/>
              <w:suppressLineNumbers w:val="0"/>
              <w:spacing w:before="80" w:beforeAutospacing="0" w:afterAutospacing="0"/>
              <w:ind w:left="107"/>
              <w:rPr>
                <w:rFonts w:hint="default" w:ascii="Times New Roman" w:hAnsi="Times New Roman" w:cs="Times New Roman"/>
                <w:b/>
                <w:kern w:val="2"/>
                <w:sz w:val="24"/>
              </w:rPr>
            </w:pPr>
            <w:r>
              <w:rPr>
                <w:rFonts w:hint="eastAsia" w:ascii="宋体" w:hAnsi="宋体" w:eastAsia="宋体" w:cs="Times New Roman"/>
                <w:color w:val="000000"/>
                <w:kern w:val="2"/>
                <w:sz w:val="24"/>
                <w:szCs w:val="24"/>
                <w:lang w:val="en-US" w:eastAsia="zh-CN" w:bidi="ar"/>
              </w:rPr>
              <w:t>工程建设内容：</w:t>
            </w:r>
          </w:p>
          <w:p>
            <w:pPr>
              <w:pStyle w:val="19"/>
              <w:keepNext w:val="0"/>
              <w:keepLines w:val="0"/>
              <w:pageBreakBefore w:val="0"/>
              <w:widowControl w:val="0"/>
              <w:kinsoku/>
              <w:wordWrap/>
              <w:overflowPunct/>
              <w:topLinePunct w:val="0"/>
              <w:autoSpaceDE w:val="0"/>
              <w:autoSpaceDN w:val="0"/>
              <w:bidi w:val="0"/>
              <w:adjustRightInd/>
              <w:snapToGrid/>
              <w:spacing w:before="80" w:line="360" w:lineRule="auto"/>
              <w:ind w:left="108"/>
              <w:textAlignment w:val="auto"/>
              <w:rPr>
                <w:rFonts w:hint="default" w:ascii="Times New Roman" w:hAnsi="Times New Roman" w:cs="Times New Roman"/>
                <w:b/>
                <w:sz w:val="24"/>
              </w:rPr>
            </w:pPr>
            <w:r>
              <w:rPr>
                <w:rFonts w:hint="default" w:ascii="Times New Roman" w:hAnsi="Times New Roman" w:cs="Times New Roman"/>
                <w:b/>
                <w:sz w:val="24"/>
              </w:rPr>
              <w:t>一、建设项目基本情况</w:t>
            </w:r>
          </w:p>
          <w:p>
            <w:pPr>
              <w:pStyle w:val="19"/>
              <w:keepNext w:val="0"/>
              <w:keepLines w:val="0"/>
              <w:pageBreakBefore w:val="0"/>
              <w:widowControl w:val="0"/>
              <w:kinsoku/>
              <w:wordWrap/>
              <w:overflowPunct/>
              <w:topLinePunct w:val="0"/>
              <w:autoSpaceDE w:val="0"/>
              <w:autoSpaceDN w:val="0"/>
              <w:bidi w:val="0"/>
              <w:adjustRightInd/>
              <w:snapToGrid/>
              <w:spacing w:before="0" w:line="360" w:lineRule="auto"/>
              <w:ind w:right="96" w:firstLine="436" w:firstLineChars="200"/>
              <w:jc w:val="both"/>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rPr>
              <w:t>项目名称：</w:t>
            </w:r>
            <w:r>
              <w:rPr>
                <w:rFonts w:hint="default" w:ascii="Times New Roman" w:hAnsi="Times New Roman" w:eastAsia="宋体" w:cs="Times New Roman"/>
                <w:sz w:val="24"/>
                <w:szCs w:val="24"/>
              </w:rPr>
              <w:t>陕西省石油化工工业贸易公司茂陵服务区东加油站</w:t>
            </w:r>
            <w:r>
              <w:rPr>
                <w:rFonts w:hint="default" w:ascii="Times New Roman" w:hAnsi="Times New Roman" w:eastAsia="宋体" w:cs="Times New Roman"/>
                <w:sz w:val="24"/>
                <w:szCs w:val="24"/>
                <w:lang w:eastAsia="zh-CN"/>
              </w:rPr>
              <w:t>建设</w:t>
            </w:r>
            <w:r>
              <w:rPr>
                <w:rFonts w:hint="default" w:ascii="Times New Roman" w:hAnsi="Times New Roman" w:eastAsia="宋体" w:cs="Times New Roman"/>
                <w:sz w:val="24"/>
                <w:szCs w:val="24"/>
              </w:rPr>
              <w:t>项目</w:t>
            </w:r>
          </w:p>
          <w:p>
            <w:pPr>
              <w:pStyle w:val="19"/>
              <w:keepNext w:val="0"/>
              <w:keepLines w:val="0"/>
              <w:pageBreakBefore w:val="0"/>
              <w:widowControl w:val="0"/>
              <w:kinsoku/>
              <w:wordWrap/>
              <w:overflowPunct/>
              <w:topLinePunct w:val="0"/>
              <w:autoSpaceDE w:val="0"/>
              <w:autoSpaceDN w:val="0"/>
              <w:bidi w:val="0"/>
              <w:adjustRightInd/>
              <w:snapToGrid/>
              <w:spacing w:before="0" w:line="360" w:lineRule="auto"/>
              <w:ind w:right="96" w:firstLine="436" w:firstLineChars="200"/>
              <w:jc w:val="both"/>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rPr>
              <w:t>建设单位：</w:t>
            </w:r>
            <w:r>
              <w:rPr>
                <w:rFonts w:hint="default" w:ascii="Times New Roman" w:hAnsi="Times New Roman" w:eastAsia="宋体" w:cs="Times New Roman"/>
                <w:sz w:val="24"/>
                <w:szCs w:val="24"/>
              </w:rPr>
              <w:t>陕西省石油化工工业贸易公司茂陵服务区东加油站</w:t>
            </w:r>
          </w:p>
          <w:p>
            <w:pPr>
              <w:pStyle w:val="19"/>
              <w:keepNext w:val="0"/>
              <w:keepLines w:val="0"/>
              <w:pageBreakBefore w:val="0"/>
              <w:widowControl w:val="0"/>
              <w:kinsoku/>
              <w:wordWrap/>
              <w:overflowPunct/>
              <w:topLinePunct w:val="0"/>
              <w:autoSpaceDE w:val="0"/>
              <w:autoSpaceDN w:val="0"/>
              <w:bidi w:val="0"/>
              <w:adjustRightInd/>
              <w:snapToGrid/>
              <w:spacing w:before="0" w:line="360" w:lineRule="auto"/>
              <w:ind w:right="96" w:firstLine="436" w:firstLineChars="200"/>
              <w:jc w:val="both"/>
              <w:textAlignment w:val="auto"/>
              <w:rPr>
                <w:rFonts w:hint="default" w:ascii="Times New Roman" w:hAnsi="Times New Roman" w:eastAsia="宋体" w:cs="Times New Roman"/>
                <w:spacing w:val="-11"/>
                <w:sz w:val="24"/>
              </w:rPr>
            </w:pPr>
            <w:r>
              <w:rPr>
                <w:rFonts w:hint="default" w:ascii="Times New Roman" w:hAnsi="Times New Roman" w:eastAsia="宋体" w:cs="Times New Roman"/>
                <w:spacing w:val="-11"/>
                <w:sz w:val="24"/>
              </w:rPr>
              <w:t>项目性质：新建</w:t>
            </w:r>
          </w:p>
          <w:p>
            <w:pPr>
              <w:pStyle w:val="19"/>
              <w:keepNext w:val="0"/>
              <w:keepLines w:val="0"/>
              <w:pageBreakBefore w:val="0"/>
              <w:widowControl w:val="0"/>
              <w:kinsoku/>
              <w:wordWrap/>
              <w:overflowPunct/>
              <w:topLinePunct w:val="0"/>
              <w:autoSpaceDE w:val="0"/>
              <w:autoSpaceDN w:val="0"/>
              <w:bidi w:val="0"/>
              <w:adjustRightInd/>
              <w:snapToGrid/>
              <w:spacing w:before="0" w:line="360" w:lineRule="auto"/>
              <w:ind w:right="96" w:firstLine="436" w:firstLineChars="200"/>
              <w:jc w:val="both"/>
              <w:textAlignment w:val="auto"/>
              <w:rPr>
                <w:rFonts w:hint="default" w:ascii="Times New Roman" w:hAnsi="Times New Roman" w:cs="Times New Roman"/>
                <w:sz w:val="24"/>
              </w:rPr>
            </w:pPr>
            <w:r>
              <w:rPr>
                <w:rFonts w:hint="default" w:ascii="Times New Roman" w:hAnsi="Times New Roman" w:cs="Times New Roman"/>
                <w:spacing w:val="-11"/>
                <w:sz w:val="24"/>
              </w:rPr>
              <w:t>建设地点：</w:t>
            </w:r>
            <w:r>
              <w:rPr>
                <w:rFonts w:hint="default" w:ascii="Times New Roman" w:hAnsi="Times New Roman" w:cs="Times New Roman"/>
                <w:sz w:val="24"/>
              </w:rPr>
              <w:t>本项目位于</w:t>
            </w:r>
            <w:r>
              <w:rPr>
                <w:rFonts w:hint="default" w:ascii="Times New Roman" w:hAnsi="Times New Roman" w:eastAsia="宋体" w:cs="Times New Roman"/>
                <w:sz w:val="24"/>
                <w:szCs w:val="24"/>
                <w:lang w:eastAsia="zh-CN"/>
              </w:rPr>
              <w:t>咸阳市兴平市西咸北环</w:t>
            </w:r>
            <w:r>
              <w:rPr>
                <w:rFonts w:hint="default" w:ascii="Times New Roman" w:hAnsi="Times New Roman" w:eastAsia="宋体" w:cs="Times New Roman"/>
                <w:sz w:val="24"/>
                <w:szCs w:val="24"/>
              </w:rPr>
              <w:t>高速</w:t>
            </w:r>
            <w:r>
              <w:rPr>
                <w:rFonts w:hint="default" w:ascii="Times New Roman" w:hAnsi="Times New Roman" w:eastAsia="宋体" w:cs="Times New Roman"/>
                <w:sz w:val="24"/>
                <w:szCs w:val="24"/>
                <w:lang w:eastAsia="zh-CN"/>
              </w:rPr>
              <w:t>公路</w:t>
            </w:r>
            <w:r>
              <w:rPr>
                <w:rFonts w:hint="default" w:ascii="Times New Roman" w:hAnsi="Times New Roman" w:eastAsia="宋体" w:cs="Times New Roman"/>
                <w:sz w:val="24"/>
                <w:szCs w:val="24"/>
              </w:rPr>
              <w:t>茂陵服务区东区</w:t>
            </w:r>
            <w:r>
              <w:rPr>
                <w:rFonts w:hint="default" w:ascii="Times New Roman" w:hAnsi="Times New Roman" w:eastAsia="宋体" w:cs="Times New Roman"/>
                <w:color w:val="000000"/>
                <w:sz w:val="24"/>
                <w:szCs w:val="24"/>
                <w:lang w:eastAsia="zh-CN"/>
              </w:rPr>
              <w:t>，具体</w:t>
            </w:r>
            <w:r>
              <w:rPr>
                <w:rFonts w:hint="default" w:ascii="Times New Roman" w:hAnsi="Times New Roman" w:eastAsia="宋体" w:cs="Times New Roman"/>
                <w:color w:val="000000"/>
                <w:sz w:val="24"/>
                <w:szCs w:val="24"/>
                <w:lang w:val="en-US" w:eastAsia="zh-CN"/>
              </w:rPr>
              <w:t>地理坐标为</w:t>
            </w:r>
            <w:r>
              <w:rPr>
                <w:rFonts w:hint="default" w:ascii="Times New Roman" w:hAnsi="Times New Roman" w:eastAsia="宋体" w:cs="Times New Roman"/>
                <w:color w:val="auto"/>
                <w:sz w:val="24"/>
                <w:szCs w:val="24"/>
                <w:lang w:val="en-US" w:eastAsia="zh-CN"/>
              </w:rPr>
              <w:t>N</w:t>
            </w:r>
            <w:r>
              <w:rPr>
                <w:rFonts w:hint="default" w:ascii="Times New Roman" w:hAnsi="Times New Roman" w:eastAsia="宋体" w:cs="Times New Roman"/>
                <w:color w:val="auto"/>
                <w:sz w:val="24"/>
                <w:szCs w:val="24"/>
                <w:lang w:eastAsia="zh-CN"/>
              </w:rPr>
              <w:t>34°23'25.34，</w:t>
            </w:r>
            <w:r>
              <w:rPr>
                <w:rFonts w:hint="default" w:ascii="Times New Roman" w:hAnsi="Times New Roman" w:eastAsia="宋体" w:cs="Times New Roman"/>
                <w:color w:val="auto"/>
                <w:sz w:val="24"/>
                <w:szCs w:val="24"/>
                <w:lang w:val="en-US" w:eastAsia="zh-CN"/>
              </w:rPr>
              <w:t>E</w:t>
            </w:r>
            <w:r>
              <w:rPr>
                <w:rFonts w:hint="default" w:ascii="Times New Roman" w:hAnsi="Times New Roman" w:eastAsia="宋体" w:cs="Times New Roman"/>
                <w:color w:val="auto"/>
                <w:sz w:val="24"/>
                <w:szCs w:val="24"/>
                <w:lang w:eastAsia="zh-CN"/>
              </w:rPr>
              <w:t>108°32'38.42"</w:t>
            </w:r>
            <w:r>
              <w:rPr>
                <w:rFonts w:hint="default" w:ascii="Times New Roman" w:hAnsi="Times New Roman" w:cs="Times New Roman"/>
                <w:spacing w:val="-11"/>
                <w:sz w:val="24"/>
              </w:rPr>
              <w:t>。</w:t>
            </w:r>
            <w:r>
              <w:rPr>
                <w:rFonts w:hint="default" w:ascii="Times New Roman" w:hAnsi="Times New Roman" w:cs="Times New Roman"/>
                <w:sz w:val="24"/>
                <w:highlight w:val="none"/>
                <w:lang w:eastAsia="zh-CN"/>
              </w:rPr>
              <w:t>西</w:t>
            </w:r>
            <w:r>
              <w:rPr>
                <w:rFonts w:hint="default" w:ascii="Times New Roman" w:hAnsi="Times New Roman" w:eastAsia="宋体" w:cs="Times New Roman"/>
                <w:sz w:val="24"/>
                <w:highlight w:val="none"/>
                <w:lang w:eastAsia="zh-CN"/>
              </w:rPr>
              <w:t>临</w:t>
            </w:r>
            <w:r>
              <w:rPr>
                <w:rFonts w:hint="default" w:ascii="Times New Roman" w:hAnsi="Times New Roman" w:eastAsia="宋体" w:cs="Times New Roman"/>
                <w:sz w:val="24"/>
                <w:highlight w:val="none"/>
              </w:rPr>
              <w:t>西咸北环线高速路</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color w:val="auto"/>
                <w:sz w:val="24"/>
                <w:szCs w:val="24"/>
                <w:highlight w:val="none"/>
                <w:lang w:val="en-US" w:eastAsia="zh-CN"/>
              </w:rPr>
              <w:t>西南侧与茂陵服务区东区停车场相邻，东侧、北侧、南侧均为空地，东南角约30m处为服务区住宿楼。</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spacing w:val="-5"/>
                <w:sz w:val="24"/>
              </w:rPr>
              <w:t>地理位置详见附图</w:t>
            </w:r>
            <w:r>
              <w:rPr>
                <w:rFonts w:hint="default" w:ascii="Times New Roman" w:hAnsi="Times New Roman" w:eastAsia="Times New Roman" w:cs="Times New Roman"/>
                <w:sz w:val="24"/>
              </w:rPr>
              <w:t>1</w:t>
            </w:r>
            <w:r>
              <w:rPr>
                <w:rFonts w:hint="default" w:ascii="Times New Roman" w:hAnsi="Times New Roman" w:eastAsia="宋体" w:cs="Times New Roman"/>
                <w:sz w:val="24"/>
                <w:lang w:eastAsia="zh-CN"/>
              </w:rPr>
              <w:t>，</w:t>
            </w:r>
            <w:r>
              <w:rPr>
                <w:rFonts w:hint="default" w:ascii="Times New Roman" w:hAnsi="Times New Roman" w:cs="Times New Roman" w:eastAsiaTheme="minorEastAsia"/>
                <w:color w:val="auto"/>
                <w:sz w:val="24"/>
                <w:szCs w:val="24"/>
                <w:lang w:val="en-US" w:eastAsia="zh-CN"/>
              </w:rPr>
              <w:t>站区平面布置详见附图2</w:t>
            </w:r>
            <w:r>
              <w:rPr>
                <w:rFonts w:hint="eastAsia" w:ascii="Times New Roman" w:hAnsi="Times New Roman" w:cs="Times New Roman" w:eastAsiaTheme="minorEastAsia"/>
                <w:color w:val="auto"/>
                <w:sz w:val="24"/>
                <w:szCs w:val="24"/>
                <w:lang w:val="en-US" w:eastAsia="zh-CN"/>
              </w:rPr>
              <w:t>，四邻关系见附图3</w:t>
            </w:r>
            <w:r>
              <w:rPr>
                <w:rFonts w:hint="default" w:ascii="Times New Roman" w:hAnsi="Times New Roman" w:cs="Times New Roman" w:eastAsiaTheme="minorEastAsia"/>
                <w:color w:val="auto"/>
                <w:sz w:val="24"/>
                <w:szCs w:val="24"/>
                <w:lang w:val="en-US" w:eastAsia="zh-CN"/>
              </w:rPr>
              <w:t>。</w:t>
            </w:r>
          </w:p>
          <w:p>
            <w:pPr>
              <w:pStyle w:val="19"/>
              <w:spacing w:before="80"/>
              <w:ind w:left="107"/>
              <w:rPr>
                <w:rFonts w:hint="default" w:ascii="Times New Roman" w:hAnsi="Times New Roman" w:eastAsia="宋体" w:cs="Times New Roman"/>
                <w:b/>
                <w:sz w:val="24"/>
              </w:rPr>
            </w:pPr>
            <w:r>
              <w:rPr>
                <w:rFonts w:hint="default" w:ascii="Times New Roman" w:hAnsi="Times New Roman" w:eastAsia="宋体" w:cs="Times New Roman"/>
                <w:b/>
                <w:sz w:val="24"/>
              </w:rPr>
              <w:t>二、建设内容</w:t>
            </w:r>
          </w:p>
          <w:p>
            <w:pPr>
              <w:pStyle w:val="19"/>
              <w:spacing w:before="160" w:line="364" w:lineRule="auto"/>
              <w:ind w:left="107" w:right="95" w:firstLine="480"/>
              <w:jc w:val="both"/>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项目总投资567.75万元，项目占地面积</w:t>
            </w:r>
            <w:r>
              <w:rPr>
                <w:rFonts w:hint="default" w:ascii="Times New Roman" w:hAnsi="Times New Roman" w:cs="Times New Roman"/>
                <w:color w:val="000000"/>
                <w:sz w:val="24"/>
                <w:szCs w:val="24"/>
                <w:lang w:val="en-US" w:eastAsia="zh-CN"/>
              </w:rPr>
              <w:t>4000</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2</w:t>
            </w:r>
            <w:r>
              <w:rPr>
                <w:rFonts w:hint="default" w:ascii="Times New Roman" w:hAnsi="Times New Roman" w:cs="Times New Roman" w:eastAsiaTheme="minorEastAsia"/>
                <w:color w:val="auto"/>
                <w:sz w:val="24"/>
                <w:szCs w:val="24"/>
                <w:lang w:val="en-US" w:eastAsia="zh-CN"/>
              </w:rPr>
              <w:t>，项目环评及批复建设内容与实际建设内容一览表见表2-1所示。</w:t>
            </w:r>
          </w:p>
          <w:p>
            <w:pPr>
              <w:pStyle w:val="4"/>
              <w:keepLines w:val="0"/>
              <w:pageBreakBefore w:val="0"/>
              <w:kinsoku/>
              <w:overflowPunct/>
              <w:topLinePunct w:val="0"/>
              <w:bidi w:val="0"/>
              <w:outlineLvl w:val="9"/>
              <w:rPr>
                <w:rFonts w:hint="default" w:ascii="Times New Roman" w:hAnsi="Times New Roman" w:cs="Times New Roman" w:eastAsiaTheme="minorEastAsia"/>
                <w:color w:val="auto"/>
                <w:lang w:val="en-US" w:eastAsia="zh-CN"/>
              </w:rPr>
            </w:pPr>
            <w:bookmarkStart w:id="25" w:name="_Toc31362"/>
            <w:bookmarkStart w:id="26" w:name="_Toc17286_WPSOffice_Level2"/>
            <w:bookmarkStart w:id="27" w:name="_Toc16857"/>
            <w:bookmarkStart w:id="28" w:name="_Toc11255"/>
            <w:bookmarkStart w:id="29" w:name="_Toc20060_WPSOffice_Level2"/>
            <w:r>
              <w:rPr>
                <w:rFonts w:hint="default" w:ascii="Times New Roman" w:hAnsi="Times New Roman" w:cs="Times New Roman" w:eastAsiaTheme="minorEastAsia"/>
                <w:color w:val="auto"/>
                <w:lang w:val="en-US" w:eastAsia="zh-CN"/>
              </w:rPr>
              <w:t xml:space="preserve">表2-1 </w:t>
            </w:r>
            <w:bookmarkEnd w:id="25"/>
            <w:bookmarkEnd w:id="26"/>
            <w:bookmarkEnd w:id="27"/>
            <w:bookmarkEnd w:id="28"/>
            <w:bookmarkEnd w:id="29"/>
            <w:r>
              <w:rPr>
                <w:rFonts w:hint="default" w:ascii="Times New Roman" w:hAnsi="Times New Roman" w:cs="Times New Roman" w:eastAsiaTheme="minorEastAsia"/>
                <w:color w:val="auto"/>
                <w:lang w:val="en-US" w:eastAsia="zh-CN"/>
              </w:rPr>
              <w:t xml:space="preserve"> 环评及批复建设内容与实际建设内容一览表</w:t>
            </w:r>
          </w:p>
          <w:tbl>
            <w:tblPr>
              <w:tblStyle w:val="15"/>
              <w:tblW w:w="9354"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444"/>
              <w:gridCol w:w="676"/>
              <w:gridCol w:w="3392"/>
              <w:gridCol w:w="3436"/>
              <w:gridCol w:w="661"/>
              <w:gridCol w:w="74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0" w:type="dxa"/>
                  <w:gridSpan w:val="2"/>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名称</w:t>
                  </w:r>
                </w:p>
              </w:tc>
              <w:tc>
                <w:tcPr>
                  <w:tcW w:w="3392"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环评建设内容</w:t>
                  </w:r>
                </w:p>
              </w:tc>
              <w:tc>
                <w:tcPr>
                  <w:tcW w:w="343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实际建设内容</w:t>
                  </w:r>
                </w:p>
              </w:tc>
              <w:tc>
                <w:tcPr>
                  <w:tcW w:w="661"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与环评审批的一致性</w:t>
                  </w:r>
                </w:p>
              </w:tc>
              <w:tc>
                <w:tcPr>
                  <w:tcW w:w="745"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是否有重大变动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0" w:type="dxa"/>
                  <w:gridSpan w:val="2"/>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项目名称</w:t>
                  </w:r>
                </w:p>
              </w:tc>
              <w:tc>
                <w:tcPr>
                  <w:tcW w:w="3392"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textAlignment w:val="auto"/>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陕西省石油化工工业贸易公司茂陵服务区东加油站建设项目</w:t>
                  </w:r>
                </w:p>
              </w:tc>
              <w:tc>
                <w:tcPr>
                  <w:tcW w:w="343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textAlignment w:val="auto"/>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陕西省石油化工工业贸易公司茂陵服务区东加油站建设项目</w:t>
                  </w:r>
                </w:p>
              </w:tc>
              <w:tc>
                <w:tcPr>
                  <w:tcW w:w="661"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一致</w:t>
                  </w:r>
                </w:p>
              </w:tc>
              <w:tc>
                <w:tcPr>
                  <w:tcW w:w="745"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0" w:type="dxa"/>
                  <w:gridSpan w:val="2"/>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投资规模</w:t>
                  </w:r>
                </w:p>
              </w:tc>
              <w:tc>
                <w:tcPr>
                  <w:tcW w:w="3392"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567.75</w:t>
                  </w:r>
                  <w:r>
                    <w:rPr>
                      <w:rFonts w:hint="default" w:ascii="Times New Roman" w:hAnsi="Times New Roman" w:eastAsia="宋体" w:cs="Times New Roman"/>
                      <w:sz w:val="21"/>
                    </w:rPr>
                    <w:t>万元</w:t>
                  </w:r>
                </w:p>
              </w:tc>
              <w:tc>
                <w:tcPr>
                  <w:tcW w:w="343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highlight w:val="none"/>
                      <w:lang w:val="en-US" w:eastAsia="zh-CN"/>
                    </w:rPr>
                    <w:t>567.75</w:t>
                  </w:r>
                  <w:r>
                    <w:rPr>
                      <w:rFonts w:hint="default" w:ascii="Times New Roman" w:hAnsi="Times New Roman" w:eastAsia="宋体" w:cs="Times New Roman"/>
                      <w:sz w:val="21"/>
                      <w:highlight w:val="none"/>
                    </w:rPr>
                    <w:t>万元</w:t>
                  </w:r>
                </w:p>
              </w:tc>
              <w:tc>
                <w:tcPr>
                  <w:tcW w:w="661"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一致</w:t>
                  </w:r>
                </w:p>
              </w:tc>
              <w:tc>
                <w:tcPr>
                  <w:tcW w:w="745"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0" w:type="dxa"/>
                  <w:gridSpan w:val="2"/>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占地面积</w:t>
                  </w:r>
                </w:p>
              </w:tc>
              <w:tc>
                <w:tcPr>
                  <w:tcW w:w="3392"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4000</w:t>
                  </w:r>
                  <w:r>
                    <w:rPr>
                      <w:rFonts w:hint="default" w:ascii="Times New Roman" w:hAnsi="Times New Roman" w:eastAsia="宋体" w:cs="Times New Roman"/>
                      <w:sz w:val="21"/>
                    </w:rPr>
                    <w:t>m</w:t>
                  </w:r>
                  <w:r>
                    <w:rPr>
                      <w:rFonts w:hint="default" w:ascii="Times New Roman" w:hAnsi="Times New Roman" w:eastAsia="宋体" w:cs="Times New Roman"/>
                      <w:sz w:val="21"/>
                      <w:vertAlign w:val="superscript"/>
                    </w:rPr>
                    <w:t>2</w:t>
                  </w:r>
                </w:p>
              </w:tc>
              <w:tc>
                <w:tcPr>
                  <w:tcW w:w="343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4000</w:t>
                  </w:r>
                  <w:r>
                    <w:rPr>
                      <w:rFonts w:hint="default" w:ascii="Times New Roman" w:hAnsi="Times New Roman" w:eastAsia="宋体" w:cs="Times New Roman"/>
                      <w:sz w:val="21"/>
                    </w:rPr>
                    <w:t>m</w:t>
                  </w:r>
                  <w:r>
                    <w:rPr>
                      <w:rFonts w:hint="default" w:ascii="Times New Roman" w:hAnsi="Times New Roman" w:eastAsia="宋体" w:cs="Times New Roman"/>
                      <w:sz w:val="21"/>
                      <w:vertAlign w:val="superscript"/>
                    </w:rPr>
                    <w:t>2</w:t>
                  </w:r>
                </w:p>
              </w:tc>
              <w:tc>
                <w:tcPr>
                  <w:tcW w:w="661"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一致</w:t>
                  </w:r>
                </w:p>
              </w:tc>
              <w:tc>
                <w:tcPr>
                  <w:tcW w:w="745"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0" w:type="dxa"/>
                  <w:gridSpan w:val="2"/>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销售规模及产品</w:t>
                  </w:r>
                </w:p>
              </w:tc>
              <w:tc>
                <w:tcPr>
                  <w:tcW w:w="3392"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textAlignment w:val="auto"/>
                    <w:rPr>
                      <w:rFonts w:hint="default" w:ascii="Times New Roman" w:hAnsi="Times New Roman" w:eastAsia="宋体" w:cs="Times New Roman"/>
                      <w:sz w:val="21"/>
                    </w:rPr>
                  </w:pPr>
                  <w:r>
                    <w:rPr>
                      <w:rFonts w:hint="default" w:ascii="Times New Roman" w:hAnsi="Times New Roman" w:eastAsia="宋体" w:cs="Times New Roman"/>
                      <w:sz w:val="21"/>
                    </w:rPr>
                    <w:t>年销售</w:t>
                  </w:r>
                  <w:r>
                    <w:rPr>
                      <w:rFonts w:hint="default" w:ascii="Times New Roman" w:hAnsi="Times New Roman" w:eastAsia="宋体" w:cs="Times New Roman"/>
                      <w:sz w:val="21"/>
                      <w:lang w:eastAsia="zh-CN"/>
                    </w:rPr>
                    <w:t>油品</w:t>
                  </w:r>
                  <w:r>
                    <w:rPr>
                      <w:rFonts w:hint="default" w:ascii="Times New Roman" w:hAnsi="Times New Roman" w:eastAsia="宋体" w:cs="Times New Roman"/>
                      <w:sz w:val="21"/>
                      <w:lang w:val="en-US" w:eastAsia="zh-CN"/>
                    </w:rPr>
                    <w:t>3000t，其中10</w:t>
                  </w:r>
                  <w:r>
                    <w:rPr>
                      <w:rFonts w:hint="default" w:ascii="Times New Roman" w:hAnsi="Times New Roman" w:eastAsia="宋体" w:cs="Times New Roman"/>
                      <w:sz w:val="21"/>
                    </w:rPr>
                    <w:t>00t汽油、</w:t>
                  </w:r>
                  <w:r>
                    <w:rPr>
                      <w:rFonts w:hint="default" w:ascii="Times New Roman" w:hAnsi="Times New Roman" w:eastAsia="宋体" w:cs="Times New Roman"/>
                      <w:sz w:val="21"/>
                      <w:lang w:val="en-US" w:eastAsia="zh-CN"/>
                    </w:rPr>
                    <w:t>20</w:t>
                  </w:r>
                  <w:r>
                    <w:rPr>
                      <w:rFonts w:hint="default" w:ascii="Times New Roman" w:hAnsi="Times New Roman" w:eastAsia="宋体" w:cs="Times New Roman"/>
                      <w:sz w:val="21"/>
                    </w:rPr>
                    <w:t>00t柴油</w:t>
                  </w:r>
                  <w:r>
                    <w:rPr>
                      <w:rFonts w:hint="default" w:ascii="Times New Roman" w:hAnsi="Times New Roman" w:eastAsia="宋体" w:cs="Times New Roman"/>
                      <w:sz w:val="21"/>
                      <w:lang w:eastAsia="zh-CN"/>
                    </w:rPr>
                    <w:t>；</w:t>
                  </w:r>
                  <w:r>
                    <w:rPr>
                      <w:rFonts w:hint="default" w:ascii="Times New Roman" w:hAnsi="Times New Roman" w:eastAsia="宋体" w:cs="Times New Roman"/>
                      <w:sz w:val="21"/>
                      <w:szCs w:val="21"/>
                      <w:lang w:eastAsia="zh-CN"/>
                    </w:rPr>
                    <w:t>汽油：</w:t>
                  </w:r>
                  <w:r>
                    <w:rPr>
                      <w:rFonts w:hint="default" w:ascii="Times New Roman" w:hAnsi="Times New Roman" w:eastAsia="宋体" w:cs="Times New Roman"/>
                      <w:sz w:val="21"/>
                      <w:szCs w:val="21"/>
                    </w:rPr>
                    <w:t>92#、95#</w:t>
                  </w:r>
                  <w:r>
                    <w:rPr>
                      <w:rFonts w:hint="default" w:ascii="Times New Roman" w:hAnsi="Times New Roman" w:eastAsia="宋体" w:cs="Times New Roman"/>
                      <w:sz w:val="21"/>
                      <w:szCs w:val="21"/>
                      <w:lang w:eastAsia="zh-CN"/>
                    </w:rPr>
                    <w:t>；柴油：</w:t>
                  </w:r>
                  <w:r>
                    <w:rPr>
                      <w:rFonts w:hint="default" w:ascii="Times New Roman" w:hAnsi="Times New Roman" w:eastAsia="宋体" w:cs="Times New Roman"/>
                      <w:sz w:val="21"/>
                      <w:szCs w:val="21"/>
                      <w:lang w:val="en-US" w:eastAsia="zh-CN"/>
                    </w:rPr>
                    <w:t>0#、-10#</w:t>
                  </w:r>
                </w:p>
              </w:tc>
              <w:tc>
                <w:tcPr>
                  <w:tcW w:w="343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textAlignment w:val="auto"/>
                    <w:rPr>
                      <w:rFonts w:hint="default" w:ascii="Times New Roman" w:hAnsi="Times New Roman" w:eastAsia="宋体" w:cs="Times New Roman"/>
                      <w:sz w:val="21"/>
                    </w:rPr>
                  </w:pPr>
                  <w:r>
                    <w:rPr>
                      <w:rFonts w:hint="default" w:ascii="Times New Roman" w:hAnsi="Times New Roman" w:eastAsia="宋体" w:cs="Times New Roman"/>
                      <w:sz w:val="21"/>
                    </w:rPr>
                    <w:t>年销售</w:t>
                  </w:r>
                  <w:r>
                    <w:rPr>
                      <w:rFonts w:hint="default" w:ascii="Times New Roman" w:hAnsi="Times New Roman" w:eastAsia="宋体" w:cs="Times New Roman"/>
                      <w:sz w:val="21"/>
                      <w:lang w:eastAsia="zh-CN"/>
                    </w:rPr>
                    <w:t>油品</w:t>
                  </w:r>
                  <w:r>
                    <w:rPr>
                      <w:rFonts w:hint="default" w:ascii="Times New Roman" w:hAnsi="Times New Roman" w:eastAsia="宋体" w:cs="Times New Roman"/>
                      <w:sz w:val="21"/>
                      <w:lang w:val="en-US" w:eastAsia="zh-CN"/>
                    </w:rPr>
                    <w:t>3000t，其中10</w:t>
                  </w:r>
                  <w:r>
                    <w:rPr>
                      <w:rFonts w:hint="default" w:ascii="Times New Roman" w:hAnsi="Times New Roman" w:eastAsia="宋体" w:cs="Times New Roman"/>
                      <w:sz w:val="21"/>
                    </w:rPr>
                    <w:t>00t汽油、</w:t>
                  </w:r>
                  <w:r>
                    <w:rPr>
                      <w:rFonts w:hint="default" w:ascii="Times New Roman" w:hAnsi="Times New Roman" w:eastAsia="宋体" w:cs="Times New Roman"/>
                      <w:sz w:val="21"/>
                      <w:lang w:val="en-US" w:eastAsia="zh-CN"/>
                    </w:rPr>
                    <w:t>20</w:t>
                  </w:r>
                  <w:r>
                    <w:rPr>
                      <w:rFonts w:hint="default" w:ascii="Times New Roman" w:hAnsi="Times New Roman" w:eastAsia="宋体" w:cs="Times New Roman"/>
                      <w:sz w:val="21"/>
                    </w:rPr>
                    <w:t>00t柴油</w:t>
                  </w:r>
                  <w:r>
                    <w:rPr>
                      <w:rFonts w:hint="default" w:ascii="Times New Roman" w:hAnsi="Times New Roman" w:eastAsia="宋体" w:cs="Times New Roman"/>
                      <w:sz w:val="21"/>
                      <w:lang w:eastAsia="zh-CN"/>
                    </w:rPr>
                    <w:t>；</w:t>
                  </w:r>
                  <w:r>
                    <w:rPr>
                      <w:rFonts w:hint="default" w:ascii="Times New Roman" w:hAnsi="Times New Roman" w:eastAsia="宋体" w:cs="Times New Roman"/>
                      <w:sz w:val="21"/>
                      <w:szCs w:val="21"/>
                      <w:lang w:eastAsia="zh-CN"/>
                    </w:rPr>
                    <w:t>汽油：</w:t>
                  </w:r>
                  <w:r>
                    <w:rPr>
                      <w:rFonts w:hint="default" w:ascii="Times New Roman" w:hAnsi="Times New Roman" w:eastAsia="宋体" w:cs="Times New Roman"/>
                      <w:sz w:val="21"/>
                      <w:szCs w:val="21"/>
                    </w:rPr>
                    <w:t>92#、95#</w:t>
                  </w:r>
                  <w:r>
                    <w:rPr>
                      <w:rFonts w:hint="default" w:ascii="Times New Roman" w:hAnsi="Times New Roman" w:eastAsia="宋体" w:cs="Times New Roman"/>
                      <w:sz w:val="21"/>
                      <w:szCs w:val="21"/>
                      <w:lang w:eastAsia="zh-CN"/>
                    </w:rPr>
                    <w:t>；柴油：</w:t>
                  </w:r>
                  <w:r>
                    <w:rPr>
                      <w:rFonts w:hint="default" w:ascii="Times New Roman" w:hAnsi="Times New Roman" w:eastAsia="宋体" w:cs="Times New Roman"/>
                      <w:sz w:val="21"/>
                      <w:szCs w:val="21"/>
                      <w:lang w:val="en-US" w:eastAsia="zh-CN"/>
                    </w:rPr>
                    <w:t>0#、-10#</w:t>
                  </w:r>
                </w:p>
              </w:tc>
              <w:tc>
                <w:tcPr>
                  <w:tcW w:w="661"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一致</w:t>
                  </w:r>
                </w:p>
              </w:tc>
              <w:tc>
                <w:tcPr>
                  <w:tcW w:w="745"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0" w:type="dxa"/>
                  <w:gridSpan w:val="2"/>
                  <w:vMerge w:val="restar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主体工程</w:t>
                  </w:r>
                </w:p>
              </w:tc>
              <w:tc>
                <w:tcPr>
                  <w:tcW w:w="3392"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textAlignment w:val="auto"/>
                    <w:rPr>
                      <w:rFonts w:hint="default" w:ascii="Times New Roman" w:hAnsi="Times New Roman" w:eastAsia="宋体" w:cs="Times New Roman"/>
                      <w:sz w:val="21"/>
                    </w:rPr>
                  </w:pPr>
                  <w:r>
                    <w:rPr>
                      <w:rFonts w:hint="default" w:ascii="Times New Roman" w:hAnsi="Times New Roman" w:eastAsia="宋体" w:cs="Times New Roman"/>
                      <w:color w:val="auto"/>
                      <w:sz w:val="21"/>
                      <w:szCs w:val="21"/>
                      <w:lang w:eastAsia="zh-CN"/>
                    </w:rPr>
                    <w:t>加油机</w:t>
                  </w:r>
                  <w:r>
                    <w:rPr>
                      <w:rFonts w:hint="default" w:ascii="Times New Roman" w:hAnsi="Times New Roman" w:eastAsia="宋体" w:cs="Times New Roman"/>
                      <w:color w:val="auto"/>
                      <w:sz w:val="21"/>
                      <w:szCs w:val="21"/>
                    </w:rPr>
                    <w:t>6座；双枪</w:t>
                  </w:r>
                  <w:r>
                    <w:rPr>
                      <w:rFonts w:hint="default" w:ascii="Times New Roman" w:hAnsi="Times New Roman" w:eastAsia="宋体" w:cs="Times New Roman"/>
                      <w:color w:val="auto"/>
                      <w:sz w:val="21"/>
                      <w:szCs w:val="21"/>
                      <w:lang w:eastAsia="zh-CN"/>
                    </w:rPr>
                    <w:t>柴油</w:t>
                  </w:r>
                  <w:r>
                    <w:rPr>
                      <w:rFonts w:hint="default" w:ascii="Times New Roman" w:hAnsi="Times New Roman" w:eastAsia="宋体" w:cs="Times New Roman"/>
                      <w:color w:val="auto"/>
                      <w:sz w:val="21"/>
                      <w:szCs w:val="21"/>
                    </w:rPr>
                    <w:t>加油机</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台，</w:t>
                  </w:r>
                  <w:r>
                    <w:rPr>
                      <w:rFonts w:hint="default" w:ascii="Times New Roman" w:hAnsi="Times New Roman" w:eastAsia="宋体" w:cs="Times New Roman"/>
                      <w:color w:val="auto"/>
                      <w:sz w:val="21"/>
                      <w:szCs w:val="21"/>
                      <w:lang w:eastAsia="zh-CN"/>
                    </w:rPr>
                    <w:t>四</w:t>
                  </w:r>
                  <w:r>
                    <w:rPr>
                      <w:rFonts w:hint="default" w:ascii="Times New Roman" w:hAnsi="Times New Roman" w:eastAsia="宋体" w:cs="Times New Roman"/>
                      <w:color w:val="auto"/>
                      <w:sz w:val="21"/>
                      <w:szCs w:val="21"/>
                    </w:rPr>
                    <w:t>枪</w:t>
                  </w:r>
                  <w:r>
                    <w:rPr>
                      <w:rFonts w:hint="default" w:ascii="Times New Roman" w:hAnsi="Times New Roman" w:eastAsia="宋体" w:cs="Times New Roman"/>
                      <w:color w:val="auto"/>
                      <w:sz w:val="21"/>
                      <w:szCs w:val="21"/>
                      <w:lang w:eastAsia="zh-CN"/>
                    </w:rPr>
                    <w:t>汽油</w:t>
                  </w:r>
                  <w:r>
                    <w:rPr>
                      <w:rFonts w:hint="default" w:ascii="Times New Roman" w:hAnsi="Times New Roman" w:eastAsia="宋体" w:cs="Times New Roman"/>
                      <w:color w:val="auto"/>
                      <w:sz w:val="21"/>
                      <w:szCs w:val="21"/>
                    </w:rPr>
                    <w:t>加油机</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采用潜油泵式加油方式。设加油油气回收系统、卸油油气回收系统和油气排放处理装置</w:t>
                  </w:r>
                </w:p>
              </w:tc>
              <w:tc>
                <w:tcPr>
                  <w:tcW w:w="343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textAlignment w:val="auto"/>
                    <w:rPr>
                      <w:rFonts w:hint="default" w:ascii="Times New Roman" w:hAnsi="Times New Roman" w:eastAsia="宋体" w:cs="Times New Roman"/>
                      <w:sz w:val="21"/>
                    </w:rPr>
                  </w:pPr>
                  <w:r>
                    <w:rPr>
                      <w:rFonts w:hint="default" w:ascii="Times New Roman" w:hAnsi="Times New Roman" w:eastAsia="宋体" w:cs="Times New Roman"/>
                      <w:color w:val="auto"/>
                      <w:sz w:val="21"/>
                      <w:szCs w:val="21"/>
                      <w:lang w:eastAsia="zh-CN"/>
                    </w:rPr>
                    <w:t>加油机</w:t>
                  </w:r>
                  <w:r>
                    <w:rPr>
                      <w:rFonts w:hint="default" w:ascii="Times New Roman" w:hAnsi="Times New Roman" w:eastAsia="宋体" w:cs="Times New Roman"/>
                      <w:color w:val="auto"/>
                      <w:sz w:val="21"/>
                      <w:szCs w:val="21"/>
                    </w:rPr>
                    <w:t>6座；双枪</w:t>
                  </w:r>
                  <w:r>
                    <w:rPr>
                      <w:rFonts w:hint="default" w:ascii="Times New Roman" w:hAnsi="Times New Roman" w:eastAsia="宋体" w:cs="Times New Roman"/>
                      <w:color w:val="auto"/>
                      <w:sz w:val="21"/>
                      <w:szCs w:val="21"/>
                      <w:lang w:eastAsia="zh-CN"/>
                    </w:rPr>
                    <w:t>柴油</w:t>
                  </w:r>
                  <w:r>
                    <w:rPr>
                      <w:rFonts w:hint="default" w:ascii="Times New Roman" w:hAnsi="Times New Roman" w:eastAsia="宋体" w:cs="Times New Roman"/>
                      <w:color w:val="auto"/>
                      <w:sz w:val="21"/>
                      <w:szCs w:val="21"/>
                    </w:rPr>
                    <w:t>加油机</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台，</w:t>
                  </w:r>
                  <w:r>
                    <w:rPr>
                      <w:rFonts w:hint="default" w:ascii="Times New Roman" w:hAnsi="Times New Roman" w:eastAsia="宋体" w:cs="Times New Roman"/>
                      <w:color w:val="auto"/>
                      <w:sz w:val="21"/>
                      <w:szCs w:val="21"/>
                      <w:lang w:eastAsia="zh-CN"/>
                    </w:rPr>
                    <w:t>四</w:t>
                  </w:r>
                  <w:r>
                    <w:rPr>
                      <w:rFonts w:hint="default" w:ascii="Times New Roman" w:hAnsi="Times New Roman" w:eastAsia="宋体" w:cs="Times New Roman"/>
                      <w:color w:val="auto"/>
                      <w:sz w:val="21"/>
                      <w:szCs w:val="21"/>
                    </w:rPr>
                    <w:t>枪</w:t>
                  </w:r>
                  <w:r>
                    <w:rPr>
                      <w:rFonts w:hint="default" w:ascii="Times New Roman" w:hAnsi="Times New Roman" w:eastAsia="宋体" w:cs="Times New Roman"/>
                      <w:color w:val="auto"/>
                      <w:sz w:val="21"/>
                      <w:szCs w:val="21"/>
                      <w:lang w:eastAsia="zh-CN"/>
                    </w:rPr>
                    <w:t>汽油</w:t>
                  </w:r>
                  <w:r>
                    <w:rPr>
                      <w:rFonts w:hint="default" w:ascii="Times New Roman" w:hAnsi="Times New Roman" w:eastAsia="宋体" w:cs="Times New Roman"/>
                      <w:color w:val="auto"/>
                      <w:sz w:val="21"/>
                      <w:szCs w:val="21"/>
                    </w:rPr>
                    <w:t>加油机</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采用潜油泵式加油方式。设加油油气回收系统、卸油油气回收系统和油气排放处理装置</w:t>
                  </w:r>
                </w:p>
              </w:tc>
              <w:tc>
                <w:tcPr>
                  <w:tcW w:w="661"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一致</w:t>
                  </w:r>
                </w:p>
              </w:tc>
              <w:tc>
                <w:tcPr>
                  <w:tcW w:w="74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100" w:afterAutospacing="1"/>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0" w:type="dxa"/>
                  <w:gridSpan w:val="2"/>
                  <w:vMerge w:val="continue"/>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szCs w:val="22"/>
                    </w:rPr>
                  </w:pPr>
                </w:p>
              </w:tc>
              <w:tc>
                <w:tcPr>
                  <w:tcW w:w="3392"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textAlignment w:val="auto"/>
                    <w:rPr>
                      <w:rFonts w:hint="default" w:ascii="Times New Roman" w:hAnsi="Times New Roman" w:eastAsia="宋体" w:cs="Times New Roman"/>
                      <w:sz w:val="21"/>
                      <w:lang w:eastAsia="zh-CN"/>
                    </w:rPr>
                  </w:pPr>
                  <w:r>
                    <w:rPr>
                      <w:rFonts w:hint="default" w:ascii="Times New Roman" w:hAnsi="Times New Roman" w:eastAsia="宋体" w:cs="Times New Roman"/>
                      <w:sz w:val="21"/>
                      <w:szCs w:val="21"/>
                    </w:rPr>
                    <w:t>卧式50m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SF双层油罐5个（2汽油3柴油</w:t>
                  </w:r>
                  <w:r>
                    <w:rPr>
                      <w:rFonts w:hint="default" w:ascii="Times New Roman" w:hAnsi="Times New Roman" w:eastAsia="宋体" w:cs="Times New Roman"/>
                      <w:sz w:val="21"/>
                      <w:szCs w:val="21"/>
                      <w:lang w:eastAsia="zh-CN"/>
                    </w:rPr>
                    <w:t>）</w:t>
                  </w:r>
                </w:p>
              </w:tc>
              <w:tc>
                <w:tcPr>
                  <w:tcW w:w="343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textAlignment w:val="auto"/>
                    <w:rPr>
                      <w:rFonts w:hint="default" w:ascii="Times New Roman" w:hAnsi="Times New Roman" w:eastAsia="宋体" w:cs="Times New Roman"/>
                      <w:sz w:val="21"/>
                    </w:rPr>
                  </w:pPr>
                  <w:r>
                    <w:rPr>
                      <w:rFonts w:hint="default" w:ascii="Times New Roman" w:hAnsi="Times New Roman" w:eastAsia="宋体" w:cs="Times New Roman"/>
                      <w:sz w:val="21"/>
                      <w:szCs w:val="21"/>
                    </w:rPr>
                    <w:t>卧式50m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SF双层油罐5个（2汽油3柴油）</w:t>
                  </w:r>
                </w:p>
              </w:tc>
              <w:tc>
                <w:tcPr>
                  <w:tcW w:w="661"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一致</w:t>
                  </w:r>
                </w:p>
              </w:tc>
              <w:tc>
                <w:tcPr>
                  <w:tcW w:w="745"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0" w:type="dxa"/>
                  <w:gridSpan w:val="2"/>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辅助工程</w:t>
                  </w:r>
                </w:p>
              </w:tc>
              <w:tc>
                <w:tcPr>
                  <w:tcW w:w="3392"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textAlignment w:val="auto"/>
                    <w:rPr>
                      <w:rFonts w:hint="default" w:ascii="Times New Roman" w:hAnsi="Times New Roman" w:eastAsia="宋体" w:cs="Times New Roman"/>
                      <w:sz w:val="21"/>
                      <w:lang w:val="en-US"/>
                    </w:rPr>
                  </w:pPr>
                  <w:r>
                    <w:rPr>
                      <w:rFonts w:hint="default" w:ascii="Times New Roman" w:hAnsi="Times New Roman" w:eastAsia="宋体" w:cs="Times New Roman"/>
                      <w:sz w:val="21"/>
                    </w:rPr>
                    <w:t>站房建筑面积</w:t>
                  </w:r>
                  <w:r>
                    <w:rPr>
                      <w:rFonts w:hint="default" w:ascii="Times New Roman" w:hAnsi="Times New Roman" w:eastAsia="宋体" w:cs="Times New Roman"/>
                      <w:color w:val="auto"/>
                      <w:sz w:val="21"/>
                      <w:szCs w:val="21"/>
                      <w:highlight w:val="none"/>
                      <w:lang w:val="en-US" w:eastAsia="zh-CN"/>
                    </w:rPr>
                    <w:t>112.86</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sz w:val="21"/>
                      <w:szCs w:val="21"/>
                    </w:rPr>
                    <w:t>，1F，</w:t>
                  </w:r>
                  <w:r>
                    <w:rPr>
                      <w:rFonts w:hint="eastAsia" w:ascii="Times New Roman" w:hAnsi="Times New Roman" w:cs="Times New Roman"/>
                      <w:sz w:val="21"/>
                      <w:szCs w:val="21"/>
                      <w:lang w:eastAsia="zh-CN"/>
                    </w:rPr>
                    <w:t>砖混</w:t>
                  </w:r>
                  <w:r>
                    <w:rPr>
                      <w:rFonts w:hint="default" w:ascii="Times New Roman" w:hAnsi="Times New Roman" w:eastAsia="宋体" w:cs="Times New Roman"/>
                      <w:sz w:val="21"/>
                      <w:szCs w:val="21"/>
                      <w:lang w:eastAsia="zh-CN"/>
                    </w:rPr>
                    <w:t>架</w:t>
                  </w:r>
                  <w:r>
                    <w:rPr>
                      <w:rFonts w:hint="default" w:ascii="Times New Roman" w:hAnsi="Times New Roman" w:eastAsia="宋体" w:cs="Times New Roman"/>
                      <w:sz w:val="21"/>
                      <w:szCs w:val="21"/>
                    </w:rPr>
                    <w:t>结构</w:t>
                  </w:r>
                </w:p>
              </w:tc>
              <w:tc>
                <w:tcPr>
                  <w:tcW w:w="343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textAlignment w:val="auto"/>
                    <w:rPr>
                      <w:rFonts w:hint="default" w:ascii="Times New Roman" w:hAnsi="Times New Roman" w:eastAsia="宋体" w:cs="Times New Roman"/>
                      <w:sz w:val="21"/>
                    </w:rPr>
                  </w:pPr>
                  <w:r>
                    <w:rPr>
                      <w:rFonts w:hint="default" w:ascii="Times New Roman" w:hAnsi="Times New Roman" w:eastAsia="宋体" w:cs="Times New Roman"/>
                      <w:sz w:val="21"/>
                    </w:rPr>
                    <w:t>站房建筑面积1</w:t>
                  </w:r>
                  <w:r>
                    <w:rPr>
                      <w:rFonts w:hint="default" w:ascii="Times New Roman" w:hAnsi="Times New Roman" w:eastAsia="宋体" w:cs="Times New Roman"/>
                      <w:sz w:val="21"/>
                      <w:lang w:val="en-US" w:eastAsia="zh-CN"/>
                    </w:rPr>
                    <w:t>12.86</w:t>
                  </w:r>
                  <w:r>
                    <w:rPr>
                      <w:rFonts w:hint="default" w:ascii="Times New Roman" w:hAnsi="Times New Roman" w:eastAsia="宋体" w:cs="Times New Roman"/>
                      <w:sz w:val="21"/>
                    </w:rPr>
                    <w:t>m</w:t>
                  </w:r>
                  <w:r>
                    <w:rPr>
                      <w:rFonts w:hint="default" w:ascii="Times New Roman" w:hAnsi="Times New Roman" w:eastAsia="宋体" w:cs="Times New Roman"/>
                      <w:position w:val="0"/>
                      <w:sz w:val="21"/>
                      <w:vertAlign w:val="superscript"/>
                    </w:rPr>
                    <w:t>2</w:t>
                  </w:r>
                  <w:r>
                    <w:rPr>
                      <w:rFonts w:hint="default" w:ascii="Times New Roman" w:hAnsi="Times New Roman" w:eastAsia="宋体" w:cs="Times New Roman"/>
                      <w:sz w:val="21"/>
                      <w:szCs w:val="21"/>
                    </w:rPr>
                    <w:t>，1F，砖混结构</w:t>
                  </w:r>
                </w:p>
              </w:tc>
              <w:tc>
                <w:tcPr>
                  <w:tcW w:w="661"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一致</w:t>
                  </w:r>
                </w:p>
              </w:tc>
              <w:tc>
                <w:tcPr>
                  <w:tcW w:w="745"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4" w:type="dxa"/>
                  <w:vMerge w:val="restart"/>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环保工程</w:t>
                  </w:r>
                </w:p>
              </w:tc>
              <w:tc>
                <w:tcPr>
                  <w:tcW w:w="67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废水</w:t>
                  </w:r>
                </w:p>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治理</w:t>
                  </w:r>
                </w:p>
              </w:tc>
              <w:tc>
                <w:tcPr>
                  <w:tcW w:w="3392"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firstLine="0"/>
                    <w:jc w:val="left"/>
                    <w:textAlignment w:val="auto"/>
                    <w:rPr>
                      <w:rFonts w:hint="default" w:ascii="Times New Roman" w:hAnsi="Times New Roman" w:eastAsia="宋体" w:cs="Times New Roman"/>
                      <w:sz w:val="21"/>
                      <w:lang w:val="en-US"/>
                    </w:rPr>
                  </w:pPr>
                  <w:r>
                    <w:rPr>
                      <w:rFonts w:hint="default" w:ascii="Times New Roman" w:hAnsi="Times New Roman" w:eastAsia="宋体" w:cs="Times New Roman"/>
                      <w:color w:val="auto"/>
                      <w:sz w:val="21"/>
                      <w:szCs w:val="21"/>
                      <w:highlight w:val="none"/>
                      <w:lang w:eastAsia="zh-CN"/>
                    </w:rPr>
                    <w:t>站内生活污水依托茂陵服务区污水处理系统处理后回用，不外排</w:t>
                  </w:r>
                  <w:r>
                    <w:rPr>
                      <w:rFonts w:hint="default" w:ascii="Times New Roman" w:hAnsi="Times New Roman" w:eastAsia="宋体" w:cs="Times New Roman"/>
                      <w:sz w:val="21"/>
                      <w:szCs w:val="21"/>
                    </w:rPr>
                    <w:t>。</w:t>
                  </w:r>
                </w:p>
              </w:tc>
              <w:tc>
                <w:tcPr>
                  <w:tcW w:w="343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textAlignment w:val="auto"/>
                    <w:rPr>
                      <w:rFonts w:hint="default" w:ascii="Times New Roman" w:hAnsi="Times New Roman" w:eastAsia="宋体" w:cs="Times New Roman"/>
                      <w:sz w:val="21"/>
                      <w:lang w:eastAsia="zh-CN"/>
                    </w:rPr>
                  </w:pPr>
                  <w:r>
                    <w:rPr>
                      <w:rFonts w:hint="default" w:ascii="Times New Roman" w:hAnsi="Times New Roman" w:eastAsia="宋体" w:cs="Times New Roman"/>
                      <w:color w:val="auto"/>
                      <w:sz w:val="21"/>
                      <w:szCs w:val="21"/>
                      <w:highlight w:val="none"/>
                      <w:lang w:eastAsia="zh-CN"/>
                    </w:rPr>
                    <w:t>站内生活污水依托茂陵服务区污水处理系统处理后回用，不外排</w:t>
                  </w:r>
                  <w:r>
                    <w:rPr>
                      <w:rFonts w:hint="default" w:ascii="Times New Roman" w:hAnsi="Times New Roman" w:eastAsia="宋体" w:cs="Times New Roman"/>
                      <w:sz w:val="21"/>
                      <w:lang w:eastAsia="zh-CN"/>
                    </w:rPr>
                    <w:t>。</w:t>
                  </w:r>
                </w:p>
              </w:tc>
              <w:tc>
                <w:tcPr>
                  <w:tcW w:w="661"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一致</w:t>
                  </w:r>
                </w:p>
              </w:tc>
              <w:tc>
                <w:tcPr>
                  <w:tcW w:w="745"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4" w:type="dxa"/>
                  <w:vMerge w:val="continue"/>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szCs w:val="22"/>
                    </w:rPr>
                  </w:pPr>
                </w:p>
              </w:tc>
              <w:tc>
                <w:tcPr>
                  <w:tcW w:w="67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废气</w:t>
                  </w:r>
                </w:p>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治理</w:t>
                  </w:r>
                </w:p>
              </w:tc>
              <w:tc>
                <w:tcPr>
                  <w:tcW w:w="3392"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textAlignment w:val="auto"/>
                    <w:rPr>
                      <w:rFonts w:hint="default" w:ascii="Times New Roman" w:hAnsi="Times New Roman" w:eastAsia="宋体" w:cs="Times New Roman"/>
                      <w:sz w:val="21"/>
                    </w:rPr>
                  </w:pPr>
                  <w:r>
                    <w:rPr>
                      <w:rFonts w:hint="default" w:ascii="Times New Roman" w:hAnsi="Times New Roman" w:eastAsia="宋体" w:cs="Times New Roman"/>
                      <w:color w:val="auto"/>
                      <w:sz w:val="21"/>
                      <w:szCs w:val="21"/>
                      <w:highlight w:val="none"/>
                    </w:rPr>
                    <w:t>油罐采用地埋设计，卸油</w:t>
                  </w:r>
                  <w:r>
                    <w:rPr>
                      <w:rFonts w:hint="default" w:ascii="Times New Roman" w:hAnsi="Times New Roman" w:eastAsia="宋体" w:cs="Times New Roman"/>
                      <w:color w:val="auto"/>
                      <w:sz w:val="21"/>
                      <w:szCs w:val="21"/>
                      <w:highlight w:val="none"/>
                      <w:lang w:eastAsia="zh-CN"/>
                    </w:rPr>
                    <w:t>、储油、</w:t>
                  </w:r>
                  <w:r>
                    <w:rPr>
                      <w:rFonts w:hint="default" w:ascii="Times New Roman" w:hAnsi="Times New Roman" w:eastAsia="宋体" w:cs="Times New Roman"/>
                      <w:color w:val="auto"/>
                      <w:sz w:val="21"/>
                      <w:szCs w:val="21"/>
                      <w:highlight w:val="none"/>
                    </w:rPr>
                    <w:t>加油机安装</w:t>
                  </w:r>
                  <w:r>
                    <w:rPr>
                      <w:rFonts w:hint="default" w:ascii="Times New Roman" w:hAnsi="Times New Roman" w:eastAsia="宋体" w:cs="Times New Roman"/>
                      <w:color w:val="auto"/>
                      <w:sz w:val="21"/>
                      <w:szCs w:val="21"/>
                      <w:highlight w:val="none"/>
                      <w:lang w:eastAsia="zh-CN"/>
                    </w:rPr>
                    <w:t>三级油气回收系统；汽车尾气经自然扩散，并加强管理</w:t>
                  </w:r>
                </w:p>
              </w:tc>
              <w:tc>
                <w:tcPr>
                  <w:tcW w:w="343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textAlignment w:val="auto"/>
                    <w:rPr>
                      <w:rFonts w:hint="default" w:ascii="Times New Roman" w:hAnsi="Times New Roman" w:eastAsia="宋体" w:cs="Times New Roman"/>
                      <w:sz w:val="21"/>
                    </w:rPr>
                  </w:pPr>
                  <w:r>
                    <w:rPr>
                      <w:rFonts w:hint="default" w:ascii="Times New Roman" w:hAnsi="Times New Roman" w:eastAsia="宋体" w:cs="Times New Roman"/>
                      <w:color w:val="auto"/>
                      <w:sz w:val="21"/>
                      <w:szCs w:val="21"/>
                      <w:highlight w:val="none"/>
                    </w:rPr>
                    <w:t>油罐采用地埋设计，卸油</w:t>
                  </w:r>
                  <w:r>
                    <w:rPr>
                      <w:rFonts w:hint="default" w:ascii="Times New Roman" w:hAnsi="Times New Roman" w:eastAsia="宋体" w:cs="Times New Roman"/>
                      <w:color w:val="auto"/>
                      <w:sz w:val="21"/>
                      <w:szCs w:val="21"/>
                      <w:highlight w:val="none"/>
                      <w:lang w:eastAsia="zh-CN"/>
                    </w:rPr>
                    <w:t>、储油、</w:t>
                  </w:r>
                  <w:r>
                    <w:rPr>
                      <w:rFonts w:hint="default" w:ascii="Times New Roman" w:hAnsi="Times New Roman" w:eastAsia="宋体" w:cs="Times New Roman"/>
                      <w:color w:val="auto"/>
                      <w:sz w:val="21"/>
                      <w:szCs w:val="21"/>
                      <w:highlight w:val="none"/>
                    </w:rPr>
                    <w:t>加油机安装</w:t>
                  </w:r>
                  <w:r>
                    <w:rPr>
                      <w:rFonts w:hint="default" w:ascii="Times New Roman" w:hAnsi="Times New Roman" w:eastAsia="宋体" w:cs="Times New Roman"/>
                      <w:color w:val="auto"/>
                      <w:sz w:val="21"/>
                      <w:szCs w:val="21"/>
                      <w:highlight w:val="none"/>
                      <w:lang w:eastAsia="zh-CN"/>
                    </w:rPr>
                    <w:t>三级油气回收系统；汽车尾气经自然扩散，并加强管理</w:t>
                  </w:r>
                </w:p>
              </w:tc>
              <w:tc>
                <w:tcPr>
                  <w:tcW w:w="661"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一致</w:t>
                  </w:r>
                </w:p>
              </w:tc>
              <w:tc>
                <w:tcPr>
                  <w:tcW w:w="745"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jc w:val="center"/>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4" w:type="dxa"/>
                  <w:vMerge w:val="continue"/>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szCs w:val="22"/>
                    </w:rPr>
                  </w:pPr>
                </w:p>
              </w:tc>
              <w:tc>
                <w:tcPr>
                  <w:tcW w:w="67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jc w:val="center"/>
                    <w:textAlignment w:val="auto"/>
                    <w:rPr>
                      <w:rFonts w:hint="default" w:ascii="Times New Roman" w:hAnsi="Times New Roman" w:eastAsia="宋体" w:cs="Times New Roman"/>
                      <w:spacing w:val="0"/>
                      <w:w w:val="100"/>
                      <w:sz w:val="21"/>
                      <w:lang w:eastAsia="zh-CN"/>
                    </w:rPr>
                  </w:pPr>
                  <w:r>
                    <w:rPr>
                      <w:rFonts w:hint="default" w:ascii="Times New Roman" w:hAnsi="Times New Roman" w:eastAsia="宋体" w:cs="Times New Roman"/>
                      <w:spacing w:val="0"/>
                      <w:w w:val="100"/>
                      <w:sz w:val="21"/>
                      <w:lang w:eastAsia="zh-CN"/>
                    </w:rPr>
                    <w:t>噪声</w:t>
                  </w:r>
                </w:p>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jc w:val="center"/>
                    <w:textAlignment w:val="auto"/>
                    <w:rPr>
                      <w:rFonts w:hint="default" w:ascii="Times New Roman" w:hAnsi="Times New Roman" w:eastAsia="宋体" w:cs="Times New Roman"/>
                      <w:sz w:val="21"/>
                      <w:lang w:eastAsia="zh-CN"/>
                    </w:rPr>
                  </w:pPr>
                  <w:r>
                    <w:rPr>
                      <w:rFonts w:hint="default" w:ascii="Times New Roman" w:hAnsi="Times New Roman" w:eastAsia="宋体" w:cs="Times New Roman"/>
                      <w:spacing w:val="0"/>
                      <w:w w:val="100"/>
                      <w:sz w:val="21"/>
                      <w:lang w:eastAsia="zh-CN"/>
                    </w:rPr>
                    <w:t>治理</w:t>
                  </w:r>
                </w:p>
              </w:tc>
              <w:tc>
                <w:tcPr>
                  <w:tcW w:w="3392"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textAlignment w:val="auto"/>
                    <w:rPr>
                      <w:rFonts w:hint="default" w:ascii="Times New Roman" w:hAnsi="Times New Roman" w:eastAsia="宋体" w:cs="Times New Roman"/>
                      <w:snapToGrid w:val="0"/>
                      <w:kern w:val="0"/>
                      <w:sz w:val="21"/>
                      <w:szCs w:val="21"/>
                    </w:rPr>
                  </w:pPr>
                  <w:r>
                    <w:rPr>
                      <w:rFonts w:hint="default" w:ascii="Times New Roman" w:hAnsi="Times New Roman" w:eastAsia="宋体" w:cs="Times New Roman"/>
                      <w:color w:val="auto"/>
                      <w:sz w:val="21"/>
                      <w:szCs w:val="21"/>
                      <w:highlight w:val="none"/>
                    </w:rPr>
                    <w:t>高噪声设备采用隔音、减振等措施；对进出站内机动车辆采取禁止鸣笛措施管理</w:t>
                  </w:r>
                </w:p>
              </w:tc>
              <w:tc>
                <w:tcPr>
                  <w:tcW w:w="343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textAlignment w:val="auto"/>
                    <w:rPr>
                      <w:rFonts w:hint="default" w:ascii="Times New Roman" w:hAnsi="Times New Roman" w:eastAsia="宋体" w:cs="Times New Roman"/>
                      <w:snapToGrid w:val="0"/>
                      <w:kern w:val="0"/>
                      <w:sz w:val="21"/>
                      <w:szCs w:val="21"/>
                    </w:rPr>
                  </w:pPr>
                  <w:r>
                    <w:rPr>
                      <w:rFonts w:hint="default" w:ascii="Times New Roman" w:hAnsi="Times New Roman" w:eastAsia="宋体" w:cs="Times New Roman"/>
                      <w:color w:val="auto"/>
                      <w:sz w:val="21"/>
                      <w:szCs w:val="21"/>
                      <w:highlight w:val="none"/>
                    </w:rPr>
                    <w:t>高噪声设备采用隔音、减振等措施；对进出站内机动车辆采取</w:t>
                  </w:r>
                  <w:r>
                    <w:rPr>
                      <w:rFonts w:hint="default" w:ascii="Times New Roman" w:hAnsi="Times New Roman" w:eastAsia="宋体" w:cs="Times New Roman"/>
                      <w:color w:val="auto"/>
                      <w:sz w:val="21"/>
                      <w:szCs w:val="21"/>
                    </w:rPr>
                    <w:t>进站时减速、禁止鸣笛、加油时车辆熄火和平稳启动等措施</w:t>
                  </w:r>
                </w:p>
              </w:tc>
              <w:tc>
                <w:tcPr>
                  <w:tcW w:w="661"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jc w:val="center"/>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一致</w:t>
                  </w:r>
                </w:p>
              </w:tc>
              <w:tc>
                <w:tcPr>
                  <w:tcW w:w="745"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jc w:val="center"/>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4" w:type="dxa"/>
                  <w:vMerge w:val="continue"/>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szCs w:val="22"/>
                    </w:rPr>
                  </w:pPr>
                </w:p>
              </w:tc>
              <w:tc>
                <w:tcPr>
                  <w:tcW w:w="67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jc w:val="left"/>
                    <w:textAlignment w:val="auto"/>
                    <w:rPr>
                      <w:rFonts w:hint="default" w:ascii="Times New Roman" w:hAnsi="Times New Roman" w:eastAsia="宋体" w:cs="Times New Roman"/>
                      <w:sz w:val="21"/>
                    </w:rPr>
                  </w:pPr>
                  <w:r>
                    <w:rPr>
                      <w:rFonts w:hint="default" w:ascii="Times New Roman" w:hAnsi="Times New Roman" w:eastAsia="宋体" w:cs="Times New Roman"/>
                      <w:spacing w:val="0"/>
                      <w:w w:val="100"/>
                      <w:sz w:val="21"/>
                      <w:lang w:eastAsia="zh-CN"/>
                    </w:rPr>
                    <w:t>一般固废处置</w:t>
                  </w:r>
                </w:p>
              </w:tc>
              <w:tc>
                <w:tcPr>
                  <w:tcW w:w="3392"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firstLine="0"/>
                    <w:jc w:val="left"/>
                    <w:textAlignment w:val="auto"/>
                    <w:rPr>
                      <w:rFonts w:hint="default" w:ascii="Times New Roman" w:hAnsi="Times New Roman" w:eastAsia="宋体" w:cs="Times New Roman"/>
                      <w:sz w:val="21"/>
                    </w:rPr>
                  </w:pPr>
                  <w:r>
                    <w:rPr>
                      <w:rFonts w:hint="default" w:ascii="Times New Roman" w:hAnsi="Times New Roman" w:eastAsia="宋体" w:cs="Times New Roman"/>
                      <w:sz w:val="21"/>
                      <w:szCs w:val="21"/>
                      <w:highlight w:val="none"/>
                    </w:rPr>
                    <w:t>设置垃圾箱分类收集，交由</w:t>
                  </w:r>
                  <w:r>
                    <w:rPr>
                      <w:rFonts w:hint="default" w:ascii="Times New Roman" w:hAnsi="Times New Roman" w:eastAsia="宋体" w:cs="Times New Roman"/>
                      <w:sz w:val="21"/>
                      <w:szCs w:val="21"/>
                      <w:highlight w:val="none"/>
                      <w:lang w:eastAsia="zh-CN"/>
                    </w:rPr>
                    <w:t>茂陵</w:t>
                  </w:r>
                  <w:r>
                    <w:rPr>
                      <w:rFonts w:hint="default" w:ascii="Times New Roman" w:hAnsi="Times New Roman" w:eastAsia="宋体" w:cs="Times New Roman"/>
                      <w:sz w:val="21"/>
                      <w:szCs w:val="21"/>
                      <w:highlight w:val="none"/>
                    </w:rPr>
                    <w:t>服务区统一处置</w:t>
                  </w:r>
                </w:p>
              </w:tc>
              <w:tc>
                <w:tcPr>
                  <w:tcW w:w="343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firstLine="0"/>
                    <w:jc w:val="left"/>
                    <w:textAlignment w:val="auto"/>
                    <w:rPr>
                      <w:rFonts w:hint="default" w:ascii="Times New Roman" w:hAnsi="Times New Roman" w:eastAsia="宋体" w:cs="Times New Roman"/>
                      <w:sz w:val="21"/>
                    </w:rPr>
                  </w:pPr>
                  <w:r>
                    <w:rPr>
                      <w:rFonts w:hint="default" w:ascii="Times New Roman" w:hAnsi="Times New Roman" w:eastAsia="宋体" w:cs="Times New Roman"/>
                      <w:sz w:val="21"/>
                      <w:szCs w:val="21"/>
                      <w:highlight w:val="none"/>
                    </w:rPr>
                    <w:t>设置垃圾箱分类收集，交由</w:t>
                  </w:r>
                  <w:r>
                    <w:rPr>
                      <w:rFonts w:hint="default" w:ascii="Times New Roman" w:hAnsi="Times New Roman" w:eastAsia="宋体" w:cs="Times New Roman"/>
                      <w:sz w:val="21"/>
                      <w:szCs w:val="21"/>
                      <w:highlight w:val="none"/>
                      <w:lang w:eastAsia="zh-CN"/>
                    </w:rPr>
                    <w:t>茂陵</w:t>
                  </w:r>
                  <w:r>
                    <w:rPr>
                      <w:rFonts w:hint="default" w:ascii="Times New Roman" w:hAnsi="Times New Roman" w:eastAsia="宋体" w:cs="Times New Roman"/>
                      <w:sz w:val="21"/>
                      <w:szCs w:val="21"/>
                      <w:highlight w:val="none"/>
                    </w:rPr>
                    <w:t>服务区统一处置</w:t>
                  </w:r>
                </w:p>
              </w:tc>
              <w:tc>
                <w:tcPr>
                  <w:tcW w:w="661"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一致</w:t>
                  </w:r>
                </w:p>
              </w:tc>
              <w:tc>
                <w:tcPr>
                  <w:tcW w:w="745" w:type="dxa"/>
                  <w:tcBorders>
                    <w:tl2br w:val="nil"/>
                    <w:tr2bl w:val="nil"/>
                  </w:tcBorders>
                  <w:vAlign w:val="center"/>
                </w:tcPr>
                <w:p>
                  <w:pPr>
                    <w:pStyle w:val="19"/>
                    <w:keepNext w:val="0"/>
                    <w:keepLines w:val="0"/>
                    <w:pageBreakBefore w:val="0"/>
                    <w:widowControl w:val="0"/>
                    <w:tabs>
                      <w:tab w:val="left" w:pos="286"/>
                    </w:tabs>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4" w:type="dxa"/>
                  <w:vMerge w:val="continue"/>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szCs w:val="22"/>
                    </w:rPr>
                  </w:pPr>
                </w:p>
              </w:tc>
              <w:tc>
                <w:tcPr>
                  <w:tcW w:w="67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jc w:val="center"/>
                    <w:textAlignment w:val="auto"/>
                    <w:rPr>
                      <w:rFonts w:hint="default" w:ascii="Times New Roman" w:hAnsi="Times New Roman" w:eastAsia="宋体" w:cs="Times New Roman"/>
                      <w:spacing w:val="0"/>
                      <w:w w:val="100"/>
                      <w:sz w:val="21"/>
                      <w:lang w:eastAsia="zh-CN"/>
                    </w:rPr>
                  </w:pPr>
                  <w:r>
                    <w:rPr>
                      <w:rFonts w:hint="default" w:ascii="Times New Roman" w:hAnsi="Times New Roman" w:eastAsia="宋体" w:cs="Times New Roman"/>
                      <w:spacing w:val="0"/>
                      <w:w w:val="100"/>
                      <w:sz w:val="21"/>
                      <w:lang w:eastAsia="zh-CN"/>
                    </w:rPr>
                    <w:t>危险废物处置</w:t>
                  </w:r>
                </w:p>
              </w:tc>
              <w:tc>
                <w:tcPr>
                  <w:tcW w:w="3392"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firstLine="0"/>
                    <w:jc w:val="left"/>
                    <w:textAlignment w:val="auto"/>
                    <w:rPr>
                      <w:rFonts w:hint="default" w:ascii="Times New Roman" w:hAnsi="Times New Roman" w:eastAsia="宋体" w:cs="Times New Roman"/>
                      <w:w w:val="100"/>
                      <w:sz w:val="21"/>
                    </w:rPr>
                  </w:pPr>
                  <w:r>
                    <w:rPr>
                      <w:rFonts w:hint="default" w:ascii="Times New Roman" w:hAnsi="Times New Roman" w:eastAsia="宋体" w:cs="Times New Roman"/>
                      <w:sz w:val="21"/>
                      <w:szCs w:val="21"/>
                      <w:highlight w:val="none"/>
                      <w:lang w:eastAsia="zh-CN"/>
                    </w:rPr>
                    <w:t>废润滑油、</w:t>
                  </w:r>
                  <w:r>
                    <w:rPr>
                      <w:rFonts w:hint="default" w:ascii="Times New Roman" w:hAnsi="Times New Roman" w:eastAsia="宋体" w:cs="Times New Roman"/>
                      <w:sz w:val="21"/>
                      <w:szCs w:val="21"/>
                      <w:lang w:eastAsia="zh-CN"/>
                    </w:rPr>
                    <w:t>废含油棉纱、废手套</w:t>
                  </w:r>
                  <w:r>
                    <w:rPr>
                      <w:rFonts w:hint="default" w:ascii="Times New Roman" w:hAnsi="Times New Roman" w:eastAsia="宋体" w:cs="Times New Roman"/>
                      <w:sz w:val="21"/>
                      <w:szCs w:val="21"/>
                      <w:highlight w:val="none"/>
                      <w:lang w:eastAsia="zh-CN"/>
                    </w:rPr>
                    <w:t>暂存于危废暂存箱，定期交由</w:t>
                  </w:r>
                  <w:r>
                    <w:rPr>
                      <w:rFonts w:hint="eastAsia" w:ascii="Times New Roman" w:hAnsi="Times New Roman" w:eastAsia="宋体" w:cs="Times New Roman"/>
                      <w:sz w:val="21"/>
                      <w:szCs w:val="21"/>
                      <w:highlight w:val="none"/>
                      <w:lang w:eastAsia="zh-CN"/>
                    </w:rPr>
                    <w:t>有资质单位</w:t>
                  </w:r>
                  <w:r>
                    <w:rPr>
                      <w:rFonts w:hint="default" w:ascii="Times New Roman" w:hAnsi="Times New Roman" w:eastAsia="宋体" w:cs="Times New Roman"/>
                      <w:sz w:val="21"/>
                      <w:szCs w:val="21"/>
                      <w:highlight w:val="none"/>
                      <w:lang w:eastAsia="zh-CN"/>
                    </w:rPr>
                    <w:t>处置；油罐清洗污泥交由</w:t>
                  </w:r>
                  <w:r>
                    <w:rPr>
                      <w:rFonts w:hint="default" w:ascii="Times New Roman" w:hAnsi="Times New Roman" w:eastAsia="宋体" w:cs="Times New Roman"/>
                      <w:sz w:val="21"/>
                      <w:szCs w:val="21"/>
                      <w:lang w:eastAsia="zh-CN"/>
                    </w:rPr>
                    <w:t>清罐单位直接拉走处置。</w:t>
                  </w:r>
                </w:p>
              </w:tc>
              <w:tc>
                <w:tcPr>
                  <w:tcW w:w="343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firstLine="0"/>
                    <w:jc w:val="left"/>
                    <w:textAlignment w:val="auto"/>
                    <w:rPr>
                      <w:rFonts w:hint="eastAsia" w:ascii="Times New Roman" w:hAnsi="Times New Roman" w:eastAsia="宋体" w:cs="Times New Roman"/>
                      <w:spacing w:val="0"/>
                      <w:sz w:val="21"/>
                      <w:lang w:val="en-US" w:eastAsia="zh-CN"/>
                    </w:rPr>
                  </w:pPr>
                  <w:r>
                    <w:rPr>
                      <w:rFonts w:hint="default" w:ascii="Times New Roman" w:hAnsi="Times New Roman" w:eastAsia="宋体" w:cs="Times New Roman"/>
                      <w:sz w:val="21"/>
                      <w:szCs w:val="21"/>
                      <w:highlight w:val="none"/>
                      <w:lang w:eastAsia="zh-CN"/>
                    </w:rPr>
                    <w:t>本项目站区内已建设1座危险废物暂存</w:t>
                  </w:r>
                  <w:r>
                    <w:rPr>
                      <w:rFonts w:hint="eastAsia" w:ascii="Times New Roman" w:hAnsi="Times New Roman" w:cs="Times New Roman"/>
                      <w:sz w:val="21"/>
                      <w:szCs w:val="21"/>
                      <w:highlight w:val="none"/>
                      <w:lang w:eastAsia="zh-CN"/>
                    </w:rPr>
                    <w:t>箱</w:t>
                  </w:r>
                  <w:r>
                    <w:rPr>
                      <w:rFonts w:hint="default" w:ascii="Times New Roman" w:hAnsi="Times New Roman" w:eastAsia="宋体" w:cs="Times New Roman"/>
                      <w:sz w:val="21"/>
                      <w:szCs w:val="21"/>
                      <w:highlight w:val="none"/>
                      <w:lang w:eastAsia="zh-CN"/>
                    </w:rPr>
                    <w:t>，危险废物按类分区储存；废润滑油、</w:t>
                  </w:r>
                  <w:r>
                    <w:rPr>
                      <w:rFonts w:hint="default" w:ascii="Times New Roman" w:hAnsi="Times New Roman" w:eastAsia="宋体" w:cs="Times New Roman"/>
                      <w:sz w:val="21"/>
                      <w:szCs w:val="21"/>
                      <w:lang w:eastAsia="zh-CN"/>
                    </w:rPr>
                    <w:t>废含油棉纱、手套</w:t>
                  </w:r>
                  <w:r>
                    <w:rPr>
                      <w:rFonts w:hint="default" w:ascii="Times New Roman" w:hAnsi="Times New Roman" w:eastAsia="宋体" w:cs="Times New Roman"/>
                      <w:sz w:val="21"/>
                      <w:szCs w:val="21"/>
                      <w:highlight w:val="none"/>
                      <w:lang w:eastAsia="zh-CN"/>
                    </w:rPr>
                    <w:t>定期交由陕西明瑞资源再生有限公司处置</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highlight w:val="none"/>
                      <w:lang w:eastAsia="zh-CN"/>
                    </w:rPr>
                    <w:t>油罐清洗污泥交由</w:t>
                  </w:r>
                  <w:r>
                    <w:rPr>
                      <w:rFonts w:hint="default" w:ascii="Times New Roman" w:hAnsi="Times New Roman" w:eastAsia="宋体" w:cs="Times New Roman"/>
                      <w:sz w:val="21"/>
                      <w:szCs w:val="21"/>
                      <w:lang w:eastAsia="zh-CN"/>
                    </w:rPr>
                    <w:t>清罐单位直接拉走处置。</w:t>
                  </w:r>
                </w:p>
              </w:tc>
              <w:tc>
                <w:tcPr>
                  <w:tcW w:w="661"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highlight w:val="none"/>
                      <w:lang w:val="en-US" w:eastAsia="zh-CN"/>
                    </w:rPr>
                  </w:pPr>
                  <w:r>
                    <w:rPr>
                      <w:rFonts w:hint="default" w:ascii="Times New Roman" w:hAnsi="Times New Roman" w:eastAsia="宋体" w:cs="Times New Roman"/>
                      <w:sz w:val="21"/>
                      <w:highlight w:val="none"/>
                      <w:lang w:val="en-US" w:eastAsia="zh-CN"/>
                    </w:rPr>
                    <w:t>一致</w:t>
                  </w:r>
                </w:p>
              </w:tc>
              <w:tc>
                <w:tcPr>
                  <w:tcW w:w="745"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ind w:left="11" w:right="2"/>
                    <w:jc w:val="center"/>
                    <w:textAlignment w:val="auto"/>
                    <w:rPr>
                      <w:rFonts w:hint="default" w:ascii="Times New Roman" w:hAnsi="Times New Roman" w:eastAsia="宋体" w:cs="Times New Roman"/>
                      <w:sz w:val="21"/>
                      <w:highlight w:val="none"/>
                      <w:lang w:eastAsia="zh-CN"/>
                    </w:rPr>
                  </w:pPr>
                  <w:r>
                    <w:rPr>
                      <w:rFonts w:hint="default" w:ascii="Times New Roman" w:hAnsi="Times New Roman" w:eastAsia="宋体" w:cs="Times New Roman"/>
                      <w:sz w:val="21"/>
                      <w:highlight w:val="none"/>
                      <w:lang w:eastAsia="zh-CN"/>
                    </w:rPr>
                    <w:t>否</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20"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100" w:afterAutospacing="1" w:line="240" w:lineRule="auto"/>
                    <w:ind w:left="0" w:right="0" w:firstLine="0"/>
                    <w:jc w:val="center"/>
                    <w:textAlignment w:val="auto"/>
                    <w:outlineLvl w:val="9"/>
                    <w:rPr>
                      <w:rFonts w:hint="default" w:ascii="Times New Roman" w:hAnsi="Times New Roman" w:eastAsia="宋体" w:cs="Times New Roman"/>
                      <w:color w:val="000000"/>
                      <w:spacing w:val="0"/>
                      <w:w w:val="100"/>
                      <w:sz w:val="21"/>
                      <w:szCs w:val="21"/>
                      <w:highlight w:val="none"/>
                    </w:rPr>
                  </w:pPr>
                  <w:r>
                    <w:rPr>
                      <w:rFonts w:hint="default" w:ascii="Times New Roman" w:hAnsi="Times New Roman" w:eastAsia="宋体" w:cs="Times New Roman"/>
                      <w:color w:val="000000"/>
                      <w:sz w:val="21"/>
                      <w:szCs w:val="21"/>
                      <w:highlight w:val="none"/>
                    </w:rPr>
                    <w:t>风险防范措施</w:t>
                  </w:r>
                </w:p>
              </w:tc>
              <w:tc>
                <w:tcPr>
                  <w:tcW w:w="3392"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firstLine="0"/>
                    <w:jc w:val="left"/>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17具</w:t>
                  </w:r>
                  <w:r>
                    <w:rPr>
                      <w:rFonts w:hint="default" w:ascii="Times New Roman" w:hAnsi="Times New Roman" w:eastAsia="宋体" w:cs="Times New Roman"/>
                      <w:sz w:val="21"/>
                      <w:szCs w:val="21"/>
                      <w:highlight w:val="none"/>
                      <w:lang w:eastAsia="zh-CN"/>
                    </w:rPr>
                    <w:t>8kg手提式ABC类干粉灭火器；</w:t>
                  </w:r>
                  <w:r>
                    <w:rPr>
                      <w:rFonts w:hint="default" w:ascii="Times New Roman" w:hAnsi="Times New Roman" w:eastAsia="宋体" w:cs="Times New Roman"/>
                      <w:sz w:val="21"/>
                      <w:szCs w:val="21"/>
                      <w:highlight w:val="none"/>
                      <w:lang w:val="en-US" w:eastAsia="zh-CN"/>
                    </w:rPr>
                    <w:t>4台</w:t>
                  </w:r>
                  <w:r>
                    <w:rPr>
                      <w:rFonts w:hint="default" w:ascii="Times New Roman" w:hAnsi="Times New Roman" w:eastAsia="宋体" w:cs="Times New Roman"/>
                      <w:sz w:val="21"/>
                      <w:szCs w:val="21"/>
                      <w:highlight w:val="none"/>
                      <w:lang w:eastAsia="zh-CN"/>
                    </w:rPr>
                    <w:t>35kg推车式ABC类干粉灭火器；</w:t>
                  </w:r>
                  <w:r>
                    <w:rPr>
                      <w:rFonts w:hint="default" w:ascii="Times New Roman" w:hAnsi="Times New Roman" w:eastAsia="宋体" w:cs="Times New Roman"/>
                      <w:sz w:val="21"/>
                      <w:szCs w:val="21"/>
                      <w:highlight w:val="none"/>
                      <w:lang w:val="en-US" w:eastAsia="zh-CN"/>
                    </w:rPr>
                    <w:t>5块</w:t>
                  </w:r>
                  <w:r>
                    <w:rPr>
                      <w:rFonts w:hint="default" w:ascii="Times New Roman" w:hAnsi="Times New Roman" w:eastAsia="宋体" w:cs="Times New Roman"/>
                      <w:sz w:val="21"/>
                      <w:szCs w:val="21"/>
                      <w:highlight w:val="none"/>
                      <w:lang w:eastAsia="zh-CN"/>
                    </w:rPr>
                    <w:t>灭火毯；消防沙</w:t>
                  </w:r>
                  <w:r>
                    <w:rPr>
                      <w:rFonts w:hint="default" w:ascii="Times New Roman" w:hAnsi="Times New Roman" w:eastAsia="宋体" w:cs="Times New Roman"/>
                      <w:sz w:val="21"/>
                      <w:szCs w:val="21"/>
                      <w:highlight w:val="none"/>
                      <w:lang w:val="en-US" w:eastAsia="zh-CN"/>
                    </w:rPr>
                    <w:t>2m</w:t>
                  </w:r>
                  <w:r>
                    <w:rPr>
                      <w:rFonts w:hint="default" w:ascii="Times New Roman" w:hAnsi="Times New Roman"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lang w:eastAsia="zh-CN"/>
                    </w:rPr>
                    <w:t>；2具4kg二氧化碳灭火器。</w:t>
                  </w:r>
                </w:p>
              </w:tc>
              <w:tc>
                <w:tcPr>
                  <w:tcW w:w="3436" w:type="dxa"/>
                  <w:tcBorders>
                    <w:tl2br w:val="nil"/>
                    <w:tr2bl w:val="nil"/>
                  </w:tcBorders>
                  <w:vAlign w:val="center"/>
                </w:tcPr>
                <w:p>
                  <w:pPr>
                    <w:pStyle w:val="19"/>
                    <w:keepNext w:val="0"/>
                    <w:keepLines w:val="0"/>
                    <w:pageBreakBefore w:val="0"/>
                    <w:widowControl w:val="0"/>
                    <w:kinsoku/>
                    <w:wordWrap/>
                    <w:overflowPunct/>
                    <w:topLinePunct w:val="0"/>
                    <w:autoSpaceDE w:val="0"/>
                    <w:autoSpaceDN w:val="0"/>
                    <w:bidi w:val="0"/>
                    <w:adjustRightInd/>
                    <w:snapToGrid/>
                    <w:spacing w:before="1" w:after="100" w:afterLines="-2147483648" w:afterAutospacing="1" w:line="240" w:lineRule="auto"/>
                    <w:ind w:left="11" w:right="2" w:firstLine="0"/>
                    <w:jc w:val="left"/>
                    <w:textAlignment w:val="auto"/>
                    <w:rPr>
                      <w:rFonts w:hint="default" w:ascii="Times New Roman" w:hAnsi="Times New Roman" w:eastAsia="宋体" w:cs="Times New Roman"/>
                      <w:sz w:val="21"/>
                      <w:szCs w:val="21"/>
                      <w:highlight w:val="yellow"/>
                      <w:lang w:eastAsia="zh-CN"/>
                    </w:rPr>
                  </w:pPr>
                  <w:r>
                    <w:rPr>
                      <w:rFonts w:hint="default" w:ascii="Times New Roman" w:hAnsi="Times New Roman" w:eastAsia="宋体" w:cs="Times New Roman"/>
                      <w:sz w:val="21"/>
                      <w:szCs w:val="21"/>
                      <w:highlight w:val="none"/>
                      <w:lang w:eastAsia="zh-CN"/>
                    </w:rPr>
                    <w:t>配备</w:t>
                  </w:r>
                  <w:r>
                    <w:rPr>
                      <w:rFonts w:hint="default" w:ascii="Times New Roman" w:hAnsi="Times New Roman" w:eastAsia="宋体" w:cs="Times New Roman"/>
                      <w:sz w:val="21"/>
                      <w:szCs w:val="21"/>
                      <w:highlight w:val="none"/>
                      <w:lang w:val="en-US" w:eastAsia="zh-CN"/>
                    </w:rPr>
                    <w:t>3台</w:t>
                  </w:r>
                  <w:r>
                    <w:rPr>
                      <w:rFonts w:hint="default" w:ascii="Times New Roman" w:hAnsi="Times New Roman" w:eastAsia="宋体" w:cs="Times New Roman"/>
                      <w:sz w:val="21"/>
                      <w:szCs w:val="21"/>
                      <w:highlight w:val="none"/>
                      <w:lang w:eastAsia="zh-CN"/>
                    </w:rPr>
                    <w:t>35kg推车式干粉灭火器；</w:t>
                  </w:r>
                  <w:r>
                    <w:rPr>
                      <w:rFonts w:hint="default" w:ascii="Times New Roman" w:hAnsi="Times New Roman" w:eastAsia="宋体" w:cs="Times New Roman"/>
                      <w:sz w:val="21"/>
                      <w:szCs w:val="21"/>
                      <w:highlight w:val="none"/>
                      <w:lang w:val="en-US" w:eastAsia="zh-CN"/>
                    </w:rPr>
                    <w:t>18具</w:t>
                  </w:r>
                  <w:r>
                    <w:rPr>
                      <w:rFonts w:hint="default" w:ascii="Times New Roman" w:hAnsi="Times New Roman" w:eastAsia="宋体" w:cs="Times New Roman"/>
                      <w:sz w:val="21"/>
                      <w:szCs w:val="21"/>
                      <w:highlight w:val="none"/>
                      <w:lang w:eastAsia="zh-CN"/>
                    </w:rPr>
                    <w:t>4kg手提式干粉灭火器；</w:t>
                  </w:r>
                  <w:r>
                    <w:rPr>
                      <w:rFonts w:hint="default" w:ascii="Times New Roman" w:hAnsi="Times New Roman" w:eastAsia="宋体" w:cs="Times New Roman"/>
                      <w:sz w:val="21"/>
                      <w:szCs w:val="21"/>
                      <w:highlight w:val="none"/>
                      <w:lang w:val="en-US" w:eastAsia="zh-CN"/>
                    </w:rPr>
                    <w:t>2具</w:t>
                  </w:r>
                  <w:r>
                    <w:rPr>
                      <w:rFonts w:hint="default" w:ascii="Times New Roman" w:hAnsi="Times New Roman" w:eastAsia="宋体" w:cs="Times New Roman"/>
                      <w:sz w:val="21"/>
                      <w:szCs w:val="21"/>
                      <w:highlight w:val="none"/>
                      <w:lang w:eastAsia="zh-CN"/>
                    </w:rPr>
                    <w:t>3kg手提式二氧化碳灭火器；</w:t>
                  </w:r>
                  <w:r>
                    <w:rPr>
                      <w:rFonts w:hint="default" w:ascii="Times New Roman" w:hAnsi="Times New Roman" w:eastAsia="宋体" w:cs="Times New Roman"/>
                      <w:sz w:val="21"/>
                      <w:szCs w:val="21"/>
                      <w:highlight w:val="none"/>
                      <w:lang w:val="en-US" w:eastAsia="zh-CN"/>
                    </w:rPr>
                    <w:t>2m</w:t>
                  </w:r>
                  <w:r>
                    <w:rPr>
                      <w:rFonts w:hint="default" w:ascii="Times New Roman" w:hAnsi="Times New Roman"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lang w:eastAsia="zh-CN"/>
                    </w:rPr>
                    <w:t>消防沙箱；</w:t>
                  </w:r>
                  <w:r>
                    <w:rPr>
                      <w:rFonts w:hint="default" w:ascii="Times New Roman" w:hAnsi="Times New Roman" w:eastAsia="宋体" w:cs="Times New Roman"/>
                      <w:sz w:val="21"/>
                      <w:szCs w:val="21"/>
                      <w:highlight w:val="none"/>
                      <w:lang w:val="en-US" w:eastAsia="zh-CN"/>
                    </w:rPr>
                    <w:t>6块</w:t>
                  </w:r>
                  <w:r>
                    <w:rPr>
                      <w:rFonts w:hint="default" w:ascii="Times New Roman" w:hAnsi="Times New Roman" w:eastAsia="宋体" w:cs="Times New Roman"/>
                      <w:sz w:val="21"/>
                      <w:szCs w:val="21"/>
                      <w:highlight w:val="none"/>
                      <w:lang w:eastAsia="zh-CN"/>
                    </w:rPr>
                    <w:t>灭火毯；</w:t>
                  </w:r>
                  <w:r>
                    <w:rPr>
                      <w:rFonts w:hint="default" w:ascii="Times New Roman" w:hAnsi="Times New Roman" w:eastAsia="宋体" w:cs="Times New Roman"/>
                      <w:sz w:val="21"/>
                      <w:szCs w:val="21"/>
                      <w:highlight w:val="none"/>
                      <w:lang w:val="en-US" w:eastAsia="zh-CN"/>
                    </w:rPr>
                    <w:t>5把</w:t>
                  </w:r>
                  <w:r>
                    <w:rPr>
                      <w:rFonts w:hint="default" w:ascii="Times New Roman" w:hAnsi="Times New Roman" w:eastAsia="宋体" w:cs="Times New Roman"/>
                      <w:sz w:val="21"/>
                      <w:szCs w:val="21"/>
                      <w:highlight w:val="none"/>
                      <w:lang w:eastAsia="zh-CN"/>
                    </w:rPr>
                    <w:t>消防铲；</w:t>
                  </w:r>
                  <w:r>
                    <w:rPr>
                      <w:rFonts w:hint="default" w:ascii="Times New Roman" w:hAnsi="Times New Roman" w:eastAsia="宋体" w:cs="Times New Roman"/>
                      <w:sz w:val="21"/>
                      <w:szCs w:val="21"/>
                      <w:highlight w:val="none"/>
                      <w:lang w:val="en-US" w:eastAsia="zh-CN"/>
                    </w:rPr>
                    <w:t>6个</w:t>
                  </w:r>
                  <w:r>
                    <w:rPr>
                      <w:rFonts w:hint="default" w:ascii="Times New Roman" w:hAnsi="Times New Roman" w:eastAsia="宋体" w:cs="Times New Roman"/>
                      <w:sz w:val="21"/>
                      <w:szCs w:val="21"/>
                      <w:highlight w:val="none"/>
                      <w:lang w:eastAsia="zh-CN"/>
                    </w:rPr>
                    <w:t>消防桶。</w:t>
                  </w:r>
                </w:p>
              </w:tc>
              <w:tc>
                <w:tcPr>
                  <w:tcW w:w="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100" w:afterAutospacing="1"/>
                    <w:ind w:left="0" w:right="0"/>
                    <w:jc w:val="center"/>
                    <w:textAlignment w:val="auto"/>
                    <w:outlineLvl w:val="9"/>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基本</w:t>
                  </w:r>
                </w:p>
                <w:p>
                  <w:pPr>
                    <w:keepNext w:val="0"/>
                    <w:keepLines w:val="0"/>
                    <w:pageBreakBefore w:val="0"/>
                    <w:widowControl w:val="0"/>
                    <w:kinsoku/>
                    <w:wordWrap/>
                    <w:overflowPunct/>
                    <w:topLinePunct w:val="0"/>
                    <w:autoSpaceDE w:val="0"/>
                    <w:autoSpaceDN w:val="0"/>
                    <w:bidi w:val="0"/>
                    <w:adjustRightInd/>
                    <w:snapToGrid/>
                    <w:spacing w:after="100" w:afterAutospacing="1"/>
                    <w:ind w:left="0" w:right="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一致</w:t>
                  </w:r>
                </w:p>
              </w:tc>
              <w:tc>
                <w:tcPr>
                  <w:tcW w:w="74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after="100" w:afterAutospacing="1"/>
                    <w:ind w:left="0" w:right="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否</w:t>
                  </w:r>
                </w:p>
              </w:tc>
            </w:tr>
          </w:tbl>
          <w:p>
            <w:pPr>
              <w:pStyle w:val="19"/>
              <w:spacing w:before="1" w:line="364" w:lineRule="auto"/>
              <w:ind w:left="0" w:right="95" w:firstLine="0"/>
              <w:jc w:val="both"/>
              <w:rPr>
                <w:rFonts w:hint="default" w:ascii="Times New Roman" w:hAnsi="Times New Roman" w:cs="Times New Roman"/>
                <w:sz w:val="24"/>
              </w:rPr>
            </w:pPr>
            <w:r>
              <w:rPr>
                <w:rFonts w:hint="default" w:ascii="Times New Roman" w:hAnsi="Times New Roman" w:eastAsia="宋体" w:cs="Times New Roman"/>
                <w:b/>
                <w:color w:val="auto"/>
                <w:sz w:val="24"/>
                <w:szCs w:val="22"/>
                <w:lang w:val="en-US" w:eastAsia="zh-CN"/>
              </w:rPr>
              <w:t>三、主要设备设施</w:t>
            </w:r>
          </w:p>
          <w:p>
            <w:pPr>
              <w:pStyle w:val="4"/>
              <w:keepLines w:val="0"/>
              <w:pageBreakBefore w:val="0"/>
              <w:kinsoku/>
              <w:overflowPunct/>
              <w:topLinePunct w:val="0"/>
              <w:bidi w:val="0"/>
              <w:spacing w:line="360" w:lineRule="auto"/>
              <w:ind w:firstLine="480" w:firstLineChars="200"/>
              <w:jc w:val="left"/>
              <w:outlineLvl w:val="9"/>
              <w:rPr>
                <w:rFonts w:hint="default" w:ascii="Times New Roman" w:hAnsi="Times New Roman" w:cs="Times New Roman" w:eastAsiaTheme="minorEastAsia"/>
                <w:b w:val="0"/>
                <w:color w:val="auto"/>
                <w:sz w:val="24"/>
                <w:szCs w:val="24"/>
                <w:lang w:val="en-US" w:eastAsia="zh-CN" w:bidi="ar-SA"/>
              </w:rPr>
            </w:pPr>
            <w:r>
              <w:rPr>
                <w:rFonts w:hint="default" w:ascii="Times New Roman" w:hAnsi="Times New Roman" w:cs="Times New Roman" w:eastAsiaTheme="minorEastAsia"/>
                <w:b w:val="0"/>
                <w:color w:val="auto"/>
                <w:sz w:val="24"/>
                <w:szCs w:val="24"/>
                <w:lang w:val="en-US" w:eastAsia="zh-CN" w:bidi="ar-SA"/>
              </w:rPr>
              <w:t>项目主要设备情况见下表2-2。</w:t>
            </w:r>
          </w:p>
          <w:p>
            <w:pPr>
              <w:pStyle w:val="4"/>
              <w:keepLines w:val="0"/>
              <w:pageBreakBefore w:val="0"/>
              <w:kinsoku/>
              <w:overflowPunct/>
              <w:topLinePunct w:val="0"/>
              <w:bidi w:val="0"/>
              <w:ind w:firstLine="0" w:firstLineChars="0"/>
              <w:jc w:val="center"/>
              <w:outlineLvl w:val="9"/>
              <w:rPr>
                <w:rFonts w:hint="default" w:ascii="Times New Roman" w:hAnsi="Times New Roman" w:cs="Times New Roman" w:eastAsiaTheme="minorEastAsia"/>
                <w:color w:val="auto"/>
                <w:sz w:val="21"/>
                <w:szCs w:val="22"/>
                <w:lang w:val="en-US" w:eastAsia="zh-CN"/>
              </w:rPr>
            </w:pPr>
            <w:r>
              <w:rPr>
                <w:rFonts w:hint="default" w:ascii="Times New Roman" w:hAnsi="Times New Roman" w:cs="Times New Roman" w:eastAsiaTheme="minorEastAsia"/>
                <w:color w:val="auto"/>
                <w:sz w:val="21"/>
                <w:szCs w:val="22"/>
                <w:lang w:val="en-US" w:eastAsia="zh-CN"/>
              </w:rPr>
              <w:t>表2-2  建设项目主要设备一览表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618"/>
              <w:gridCol w:w="999"/>
              <w:gridCol w:w="1419"/>
              <w:gridCol w:w="511"/>
              <w:gridCol w:w="511"/>
              <w:gridCol w:w="637"/>
              <w:gridCol w:w="781"/>
              <w:gridCol w:w="1484"/>
              <w:gridCol w:w="516"/>
              <w:gridCol w:w="46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dxa"/>
                  <w:vMerge w:val="restart"/>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4058" w:type="dxa"/>
                  <w:gridSpan w:val="5"/>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环评阶段</w:t>
                  </w:r>
                </w:p>
              </w:tc>
              <w:tc>
                <w:tcPr>
                  <w:tcW w:w="3885" w:type="dxa"/>
                  <w:gridSpan w:val="5"/>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实际工程</w:t>
                  </w:r>
                </w:p>
              </w:tc>
              <w:tc>
                <w:tcPr>
                  <w:tcW w:w="850" w:type="dxa"/>
                  <w:vMerge w:val="restart"/>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dxa"/>
                  <w:vMerge w:val="continue"/>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p>
              </w:tc>
              <w:tc>
                <w:tcPr>
                  <w:tcW w:w="1617"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设备名称</w:t>
                  </w:r>
                </w:p>
              </w:tc>
              <w:tc>
                <w:tcPr>
                  <w:tcW w:w="141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规格</w:t>
                  </w:r>
                  <w:r>
                    <w:rPr>
                      <w:rFonts w:hint="default" w:ascii="Times New Roman" w:hAnsi="Times New Roman" w:eastAsia="宋体" w:cs="Times New Roman"/>
                      <w:sz w:val="21"/>
                      <w:szCs w:val="21"/>
                    </w:rPr>
                    <w:t>及型号</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单位</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数量</w:t>
                  </w:r>
                </w:p>
              </w:tc>
              <w:tc>
                <w:tcPr>
                  <w:tcW w:w="1418"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设备名称</w:t>
                  </w:r>
                </w:p>
              </w:tc>
              <w:tc>
                <w:tcPr>
                  <w:tcW w:w="1484"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规格</w:t>
                  </w:r>
                  <w:r>
                    <w:rPr>
                      <w:rFonts w:hint="default" w:ascii="Times New Roman" w:hAnsi="Times New Roman" w:eastAsia="宋体" w:cs="Times New Roman"/>
                      <w:sz w:val="21"/>
                      <w:szCs w:val="21"/>
                    </w:rPr>
                    <w:t>及型号</w:t>
                  </w:r>
                </w:p>
              </w:tc>
              <w:tc>
                <w:tcPr>
                  <w:tcW w:w="51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467"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c>
                <w:tcPr>
                  <w:tcW w:w="850" w:type="dxa"/>
                  <w:vMerge w:val="continue"/>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dxa"/>
                  <w:vMerge w:val="restart"/>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617" w:type="dxa"/>
                  <w:gridSpan w:val="2"/>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加油机</w:t>
                  </w:r>
                </w:p>
              </w:tc>
              <w:tc>
                <w:tcPr>
                  <w:tcW w:w="141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双枪柴油加油机</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台</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418" w:type="dxa"/>
                  <w:gridSpan w:val="2"/>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加油机</w:t>
                  </w:r>
                </w:p>
              </w:tc>
              <w:tc>
                <w:tcPr>
                  <w:tcW w:w="1484"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双枪柴油加油机</w:t>
                  </w:r>
                </w:p>
              </w:tc>
              <w:tc>
                <w:tcPr>
                  <w:tcW w:w="51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467"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w:t>
                  </w:r>
                </w:p>
              </w:tc>
              <w:tc>
                <w:tcPr>
                  <w:tcW w:w="850"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dxa"/>
                  <w:vMerge w:val="continue"/>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p>
              </w:tc>
              <w:tc>
                <w:tcPr>
                  <w:tcW w:w="1617" w:type="dxa"/>
                  <w:gridSpan w:val="2"/>
                  <w:vMerge w:val="continue"/>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p>
              </w:tc>
              <w:tc>
                <w:tcPr>
                  <w:tcW w:w="141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四枪汽油加油机</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418" w:type="dxa"/>
                  <w:gridSpan w:val="2"/>
                  <w:vMerge w:val="continue"/>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p>
              </w:tc>
              <w:tc>
                <w:tcPr>
                  <w:tcW w:w="1484"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四枪汽油加油机</w:t>
                  </w:r>
                </w:p>
              </w:tc>
              <w:tc>
                <w:tcPr>
                  <w:tcW w:w="51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w:t>
                  </w:r>
                </w:p>
              </w:tc>
              <w:tc>
                <w:tcPr>
                  <w:tcW w:w="467"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w:t>
                  </w:r>
                </w:p>
              </w:tc>
              <w:tc>
                <w:tcPr>
                  <w:tcW w:w="850"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dxa"/>
                  <w:vMerge w:val="restart"/>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618"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柴油储罐</w:t>
                  </w:r>
                </w:p>
              </w:tc>
              <w:tc>
                <w:tcPr>
                  <w:tcW w:w="99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w:t>
                  </w:r>
                </w:p>
              </w:tc>
              <w:tc>
                <w:tcPr>
                  <w:tcW w:w="141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511"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个</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w:t>
                  </w:r>
                </w:p>
              </w:tc>
              <w:tc>
                <w:tcPr>
                  <w:tcW w:w="637"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柴油储罐</w:t>
                  </w:r>
                </w:p>
              </w:tc>
              <w:tc>
                <w:tcPr>
                  <w:tcW w:w="78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84"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地埋式SF双层油罐</w:t>
                  </w:r>
                </w:p>
              </w:tc>
              <w:tc>
                <w:tcPr>
                  <w:tcW w:w="516"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467"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850"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dxa"/>
                  <w:vMerge w:val="continue"/>
                  <w:vAlign w:val="center"/>
                </w:tcPr>
                <w:p>
                  <w:pPr>
                    <w:autoSpaceDE w:val="0"/>
                    <w:autoSpaceDN w:val="0"/>
                    <w:adjustRightInd w:val="0"/>
                    <w:snapToGrid w:val="0"/>
                    <w:spacing w:before="0" w:after="0"/>
                    <w:jc w:val="center"/>
                    <w:rPr>
                      <w:rFonts w:hint="default" w:ascii="Times New Roman" w:hAnsi="Times New Roman" w:eastAsia="宋体" w:cs="Times New Roman"/>
                    </w:rPr>
                  </w:pPr>
                </w:p>
              </w:tc>
              <w:tc>
                <w:tcPr>
                  <w:tcW w:w="618" w:type="dxa"/>
                  <w:vMerge w:val="continue"/>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rPr>
                  </w:pPr>
                </w:p>
              </w:tc>
              <w:tc>
                <w:tcPr>
                  <w:tcW w:w="99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w:t>
                  </w:r>
                </w:p>
              </w:tc>
              <w:tc>
                <w:tcPr>
                  <w:tcW w:w="1419" w:type="dxa"/>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511" w:type="dxa"/>
                  <w:vMerge w:val="continue"/>
                  <w:vAlign w:val="center"/>
                </w:tcPr>
                <w:p>
                  <w:pPr>
                    <w:autoSpaceDE w:val="0"/>
                    <w:autoSpaceDN w:val="0"/>
                    <w:adjustRightInd w:val="0"/>
                    <w:snapToGrid w:val="0"/>
                    <w:spacing w:before="0" w:after="0"/>
                    <w:jc w:val="center"/>
                    <w:rPr>
                      <w:rFonts w:hint="default" w:ascii="Times New Roman" w:hAnsi="Times New Roman" w:eastAsia="宋体" w:cs="Times New Roman"/>
                      <w:color w:val="auto"/>
                      <w:sz w:val="21"/>
                      <w:szCs w:val="21"/>
                      <w:lang w:val="en-US" w:eastAsia="zh-CN"/>
                    </w:rPr>
                  </w:pPr>
                </w:p>
              </w:tc>
              <w:tc>
                <w:tcPr>
                  <w:tcW w:w="511" w:type="dxa"/>
                  <w:vAlign w:val="center"/>
                </w:tcPr>
                <w:p>
                  <w:pPr>
                    <w:autoSpaceDE w:val="0"/>
                    <w:autoSpaceDN w:val="0"/>
                    <w:adjustRightInd w:val="0"/>
                    <w:snapToGrid w:val="0"/>
                    <w:spacing w:before="0"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37" w:type="dxa"/>
                  <w:vMerge w:val="continue"/>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p>
              </w:tc>
              <w:tc>
                <w:tcPr>
                  <w:tcW w:w="78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w:t>
                  </w:r>
                </w:p>
              </w:tc>
              <w:tc>
                <w:tcPr>
                  <w:tcW w:w="1484"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地埋式SF双层油罐</w:t>
                  </w:r>
                </w:p>
              </w:tc>
              <w:tc>
                <w:tcPr>
                  <w:tcW w:w="516" w:type="dxa"/>
                  <w:vMerge w:val="continue"/>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p>
              </w:tc>
              <w:tc>
                <w:tcPr>
                  <w:tcW w:w="467"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50" w:type="dxa"/>
                  <w:vMerge w:val="continue"/>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dxa"/>
                  <w:vMerge w:val="restart"/>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618"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汽油储罐</w:t>
                  </w:r>
                </w:p>
              </w:tc>
              <w:tc>
                <w:tcPr>
                  <w:tcW w:w="99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92#</w:t>
                  </w:r>
                </w:p>
              </w:tc>
              <w:tc>
                <w:tcPr>
                  <w:tcW w:w="141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511"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个</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p>
              </w:tc>
              <w:tc>
                <w:tcPr>
                  <w:tcW w:w="637"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汽油储罐</w:t>
                  </w:r>
                </w:p>
              </w:tc>
              <w:tc>
                <w:tcPr>
                  <w:tcW w:w="78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92#</w:t>
                  </w:r>
                </w:p>
              </w:tc>
              <w:tc>
                <w:tcPr>
                  <w:tcW w:w="1484"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地埋式SF双层油罐</w:t>
                  </w:r>
                </w:p>
              </w:tc>
              <w:tc>
                <w:tcPr>
                  <w:tcW w:w="516"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467"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50" w:type="dxa"/>
                  <w:vMerge w:val="restart"/>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dxa"/>
                  <w:vMerge w:val="continue"/>
                  <w:vAlign w:val="center"/>
                </w:tcPr>
                <w:p>
                  <w:pPr>
                    <w:autoSpaceDE w:val="0"/>
                    <w:autoSpaceDN w:val="0"/>
                    <w:adjustRightInd w:val="0"/>
                    <w:snapToGrid w:val="0"/>
                    <w:spacing w:before="0" w:after="0"/>
                    <w:jc w:val="center"/>
                    <w:rPr>
                      <w:rFonts w:hint="default" w:ascii="Times New Roman" w:hAnsi="Times New Roman" w:eastAsia="宋体" w:cs="Times New Roman"/>
                    </w:rPr>
                  </w:pPr>
                </w:p>
              </w:tc>
              <w:tc>
                <w:tcPr>
                  <w:tcW w:w="618" w:type="dxa"/>
                  <w:vMerge w:val="continue"/>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rPr>
                  </w:pPr>
                </w:p>
              </w:tc>
              <w:tc>
                <w:tcPr>
                  <w:tcW w:w="99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95#</w:t>
                  </w:r>
                </w:p>
              </w:tc>
              <w:tc>
                <w:tcPr>
                  <w:tcW w:w="141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地埋式SF双层油罐</w:t>
                  </w:r>
                </w:p>
              </w:tc>
              <w:tc>
                <w:tcPr>
                  <w:tcW w:w="511" w:type="dxa"/>
                  <w:vMerge w:val="continue"/>
                  <w:vAlign w:val="center"/>
                </w:tcPr>
                <w:p>
                  <w:pPr>
                    <w:autoSpaceDE w:val="0"/>
                    <w:autoSpaceDN w:val="0"/>
                    <w:adjustRightInd w:val="0"/>
                    <w:snapToGrid w:val="0"/>
                    <w:spacing w:before="0" w:after="0"/>
                    <w:jc w:val="center"/>
                    <w:rPr>
                      <w:rFonts w:hint="default" w:ascii="Times New Roman" w:hAnsi="Times New Roman" w:eastAsia="宋体" w:cs="Times New Roman"/>
                      <w:color w:val="auto"/>
                      <w:sz w:val="21"/>
                      <w:szCs w:val="21"/>
                      <w:lang w:val="en-US" w:eastAsia="zh-CN"/>
                    </w:rPr>
                  </w:pPr>
                </w:p>
              </w:tc>
              <w:tc>
                <w:tcPr>
                  <w:tcW w:w="511" w:type="dxa"/>
                  <w:vAlign w:val="center"/>
                </w:tcPr>
                <w:p>
                  <w:pPr>
                    <w:autoSpaceDE w:val="0"/>
                    <w:autoSpaceDN w:val="0"/>
                    <w:adjustRightInd w:val="0"/>
                    <w:snapToGrid w:val="0"/>
                    <w:spacing w:before="0"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p>
              </w:tc>
              <w:tc>
                <w:tcPr>
                  <w:tcW w:w="637" w:type="dxa"/>
                  <w:vMerge w:val="continue"/>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p>
              </w:tc>
              <w:tc>
                <w:tcPr>
                  <w:tcW w:w="78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95#</w:t>
                  </w:r>
                </w:p>
              </w:tc>
              <w:tc>
                <w:tcPr>
                  <w:tcW w:w="1484"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地埋式SF双层油罐</w:t>
                  </w:r>
                </w:p>
              </w:tc>
              <w:tc>
                <w:tcPr>
                  <w:tcW w:w="516" w:type="dxa"/>
                  <w:vMerge w:val="continue"/>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p>
              </w:tc>
              <w:tc>
                <w:tcPr>
                  <w:tcW w:w="467"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50" w:type="dxa"/>
                  <w:vMerge w:val="continue"/>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dxa"/>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617"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消防沙箱</w:t>
                  </w:r>
                </w:p>
              </w:tc>
              <w:tc>
                <w:tcPr>
                  <w:tcW w:w="141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座</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418"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消防沙箱</w:t>
                  </w:r>
                </w:p>
              </w:tc>
              <w:tc>
                <w:tcPr>
                  <w:tcW w:w="1484"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1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座</w:t>
                  </w:r>
                </w:p>
              </w:tc>
              <w:tc>
                <w:tcPr>
                  <w:tcW w:w="467"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850"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dxa"/>
                  <w:vAlign w:val="center"/>
                </w:tcPr>
                <w:p>
                  <w:pPr>
                    <w:autoSpaceDE w:val="0"/>
                    <w:autoSpaceDN w:val="0"/>
                    <w:adjustRightInd w:val="0"/>
                    <w:snapToGrid w:val="0"/>
                    <w:spacing w:before="0"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617"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消防器材</w:t>
                  </w:r>
                </w:p>
              </w:tc>
              <w:tc>
                <w:tcPr>
                  <w:tcW w:w="141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处</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1418"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消防器材</w:t>
                  </w:r>
                </w:p>
              </w:tc>
              <w:tc>
                <w:tcPr>
                  <w:tcW w:w="1484"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1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w:t>
                  </w:r>
                </w:p>
              </w:tc>
              <w:tc>
                <w:tcPr>
                  <w:tcW w:w="467"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w:t>
                  </w:r>
                </w:p>
              </w:tc>
              <w:tc>
                <w:tcPr>
                  <w:tcW w:w="850"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优于环评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dxa"/>
                  <w:vAlign w:val="center"/>
                </w:tcPr>
                <w:p>
                  <w:pPr>
                    <w:autoSpaceDE w:val="0"/>
                    <w:autoSpaceDN w:val="0"/>
                    <w:adjustRightInd w:val="0"/>
                    <w:snapToGrid w:val="0"/>
                    <w:spacing w:before="0"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617"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高液位</w:t>
                  </w:r>
                </w:p>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报警装置</w:t>
                  </w:r>
                </w:p>
              </w:tc>
              <w:tc>
                <w:tcPr>
                  <w:tcW w:w="141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套</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18"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高液位</w:t>
                  </w:r>
                </w:p>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报警装置</w:t>
                  </w:r>
                </w:p>
              </w:tc>
              <w:tc>
                <w:tcPr>
                  <w:tcW w:w="1484"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51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套</w:t>
                  </w:r>
                </w:p>
              </w:tc>
              <w:tc>
                <w:tcPr>
                  <w:tcW w:w="467"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50"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dxa"/>
                  <w:vAlign w:val="center"/>
                </w:tcPr>
                <w:p>
                  <w:pPr>
                    <w:autoSpaceDE w:val="0"/>
                    <w:autoSpaceDN w:val="0"/>
                    <w:adjustRightInd w:val="0"/>
                    <w:snapToGrid w:val="0"/>
                    <w:spacing w:before="0"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617"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防漏监测仪</w:t>
                  </w:r>
                </w:p>
              </w:tc>
              <w:tc>
                <w:tcPr>
                  <w:tcW w:w="141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套</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18"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防漏监测仪</w:t>
                  </w:r>
                </w:p>
              </w:tc>
              <w:tc>
                <w:tcPr>
                  <w:tcW w:w="1484"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1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467"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50"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dxa"/>
                  <w:vAlign w:val="center"/>
                </w:tcPr>
                <w:p>
                  <w:pPr>
                    <w:autoSpaceDE w:val="0"/>
                    <w:autoSpaceDN w:val="0"/>
                    <w:adjustRightInd w:val="0"/>
                    <w:snapToGrid w:val="0"/>
                    <w:spacing w:before="0"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617"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潜油泵</w:t>
                  </w:r>
                </w:p>
              </w:tc>
              <w:tc>
                <w:tcPr>
                  <w:tcW w:w="141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1.0HP</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台</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w:t>
                  </w:r>
                </w:p>
              </w:tc>
              <w:tc>
                <w:tcPr>
                  <w:tcW w:w="1418"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潜油泵</w:t>
                  </w:r>
                </w:p>
              </w:tc>
              <w:tc>
                <w:tcPr>
                  <w:tcW w:w="1484"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1.0HP</w:t>
                  </w:r>
                </w:p>
              </w:tc>
              <w:tc>
                <w:tcPr>
                  <w:tcW w:w="51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467"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850"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dxa"/>
                  <w:vAlign w:val="center"/>
                </w:tcPr>
                <w:p>
                  <w:pPr>
                    <w:autoSpaceDE w:val="0"/>
                    <w:autoSpaceDN w:val="0"/>
                    <w:adjustRightInd w:val="0"/>
                    <w:snapToGrid w:val="0"/>
                    <w:spacing w:before="0"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1617"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空调</w:t>
                  </w:r>
                </w:p>
              </w:tc>
              <w:tc>
                <w:tcPr>
                  <w:tcW w:w="1419"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台</w:t>
                  </w:r>
                </w:p>
              </w:tc>
              <w:tc>
                <w:tcPr>
                  <w:tcW w:w="511"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3</w:t>
                  </w:r>
                </w:p>
              </w:tc>
              <w:tc>
                <w:tcPr>
                  <w:tcW w:w="1418" w:type="dxa"/>
                  <w:gridSpan w:val="2"/>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空调</w:t>
                  </w:r>
                </w:p>
              </w:tc>
              <w:tc>
                <w:tcPr>
                  <w:tcW w:w="1484"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516"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台</w:t>
                  </w:r>
                </w:p>
              </w:tc>
              <w:tc>
                <w:tcPr>
                  <w:tcW w:w="467"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850" w:type="dxa"/>
                  <w:vAlign w:val="center"/>
                </w:tcPr>
                <w:p>
                  <w:pPr>
                    <w:autoSpaceDE w:val="0"/>
                    <w:autoSpaceDN w:val="0"/>
                    <w:adjustRightInd w:val="0"/>
                    <w:snapToGrid w:val="0"/>
                    <w:spacing w:before="0" w:after="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无变化</w:t>
                  </w:r>
                </w:p>
              </w:tc>
            </w:tr>
          </w:tbl>
          <w:p>
            <w:pPr>
              <w:pStyle w:val="19"/>
              <w:numPr>
                <w:ilvl w:val="0"/>
                <w:numId w:val="1"/>
              </w:numPr>
              <w:spacing w:before="161" w:line="364" w:lineRule="auto"/>
              <w:ind w:left="0" w:right="93" w:firstLine="0"/>
              <w:rPr>
                <w:rFonts w:hint="default" w:ascii="Times New Roman" w:hAnsi="Times New Roman" w:eastAsia="宋体" w:cs="Times New Roman"/>
                <w:b/>
                <w:spacing w:val="0"/>
                <w:sz w:val="24"/>
                <w:lang w:val="en-US" w:eastAsia="zh-CN"/>
              </w:rPr>
            </w:pPr>
            <w:r>
              <w:rPr>
                <w:rFonts w:hint="default" w:ascii="Times New Roman" w:hAnsi="Times New Roman" w:eastAsia="宋体" w:cs="Times New Roman"/>
                <w:b/>
                <w:spacing w:val="0"/>
                <w:sz w:val="24"/>
                <w:lang w:val="en-US" w:eastAsia="zh-CN"/>
              </w:rPr>
              <w:t>劳动定员及工作制度</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b w:val="0"/>
                <w:bCs/>
                <w:color w:val="auto"/>
                <w:kern w:val="2"/>
                <w:sz w:val="24"/>
                <w:szCs w:val="24"/>
                <w:lang w:val="en-US" w:eastAsia="zh-CN" w:bidi="ar-SA"/>
              </w:rPr>
            </w:pPr>
            <w:r>
              <w:rPr>
                <w:rFonts w:hint="default" w:ascii="Times New Roman" w:hAnsi="Times New Roman" w:cs="Times New Roman" w:eastAsiaTheme="minorEastAsia"/>
                <w:b w:val="0"/>
                <w:bCs/>
                <w:color w:val="auto"/>
                <w:kern w:val="2"/>
                <w:sz w:val="24"/>
                <w:szCs w:val="24"/>
                <w:lang w:val="en-US" w:eastAsia="zh-CN" w:bidi="ar-SA"/>
              </w:rPr>
              <w:t>本项目站场劳动定员为7人，</w:t>
            </w:r>
            <w:r>
              <w:rPr>
                <w:rFonts w:hint="default" w:ascii="Times New Roman" w:hAnsi="Times New Roman" w:cs="Times New Roman" w:eastAsiaTheme="minorEastAsia"/>
                <w:bCs/>
                <w:snapToGrid/>
                <w:color w:val="auto"/>
                <w:kern w:val="2"/>
                <w:sz w:val="24"/>
                <w:highlight w:val="none"/>
                <w:lang w:val="en-US" w:bidi="ar-SA"/>
              </w:rPr>
              <w:t>其中</w:t>
            </w:r>
            <w:r>
              <w:rPr>
                <w:rFonts w:hint="default" w:ascii="Times New Roman" w:hAnsi="Times New Roman" w:cs="Times New Roman" w:eastAsiaTheme="minorEastAsia"/>
                <w:bCs/>
                <w:snapToGrid/>
                <w:color w:val="auto"/>
                <w:kern w:val="2"/>
                <w:sz w:val="24"/>
                <w:highlight w:val="none"/>
                <w:lang w:val="en-US" w:eastAsia="zh-CN" w:bidi="ar-SA"/>
              </w:rPr>
              <w:t>管理人员1人，员工6</w:t>
            </w:r>
            <w:r>
              <w:rPr>
                <w:rFonts w:hint="default" w:ascii="Times New Roman" w:hAnsi="Times New Roman" w:cs="Times New Roman" w:eastAsiaTheme="minorEastAsia"/>
                <w:bCs/>
                <w:snapToGrid/>
                <w:color w:val="auto"/>
                <w:kern w:val="2"/>
                <w:sz w:val="24"/>
                <w:highlight w:val="none"/>
                <w:lang w:val="en-US" w:bidi="ar-SA"/>
              </w:rPr>
              <w:t>人</w:t>
            </w:r>
            <w:r>
              <w:rPr>
                <w:rFonts w:hint="default" w:ascii="Times New Roman" w:hAnsi="Times New Roman" w:cs="Times New Roman" w:eastAsiaTheme="minorEastAsia"/>
                <w:b w:val="0"/>
                <w:bCs/>
                <w:color w:val="auto"/>
                <w:kern w:val="2"/>
                <w:sz w:val="24"/>
                <w:szCs w:val="24"/>
                <w:lang w:val="en-US" w:eastAsia="zh-CN" w:bidi="ar-SA"/>
              </w:rPr>
              <w:t>。该站营运期每年工作日为365天，采用三班制，每班工作8小时。</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cs="Times New Roman" w:eastAsiaTheme="minorEastAsia"/>
                <w:b w:val="0"/>
                <w:bCs/>
                <w:color w:val="auto"/>
                <w:kern w:val="2"/>
                <w:sz w:val="24"/>
                <w:szCs w:val="24"/>
                <w:lang w:val="en-US" w:eastAsia="zh-CN" w:bidi="ar-SA"/>
              </w:rPr>
            </w:pPr>
            <w:r>
              <w:rPr>
                <w:rFonts w:hint="default" w:ascii="Times New Roman" w:hAnsi="Times New Roman" w:cs="Times New Roman" w:eastAsiaTheme="minorEastAsia"/>
                <w:b w:val="0"/>
                <w:bCs/>
                <w:color w:val="auto"/>
                <w:kern w:val="2"/>
                <w:sz w:val="24"/>
                <w:szCs w:val="24"/>
                <w:lang w:val="en-US" w:eastAsia="zh-CN" w:bidi="ar-SA"/>
              </w:rPr>
              <w:t>本项目实际工作制度与环评阶段一致。</w:t>
            </w:r>
          </w:p>
          <w:p>
            <w:pPr>
              <w:pStyle w:val="19"/>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right="91" w:firstLine="0"/>
              <w:textAlignment w:val="auto"/>
              <w:rPr>
                <w:rFonts w:hint="default" w:ascii="Times New Roman" w:hAnsi="Times New Roman" w:eastAsia="宋体" w:cs="Times New Roman"/>
                <w:b/>
                <w:spacing w:val="0"/>
                <w:sz w:val="24"/>
                <w:lang w:val="en-US" w:eastAsia="zh-CN"/>
              </w:rPr>
            </w:pPr>
            <w:r>
              <w:rPr>
                <w:rFonts w:hint="default" w:ascii="Times New Roman" w:hAnsi="Times New Roman" w:eastAsia="宋体" w:cs="Times New Roman"/>
                <w:b/>
                <w:spacing w:val="0"/>
                <w:sz w:val="24"/>
                <w:lang w:val="en-US" w:eastAsia="zh-CN"/>
              </w:rPr>
              <w:t>敏感点</w:t>
            </w:r>
          </w:p>
          <w:p>
            <w:pPr>
              <w:pStyle w:val="19"/>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480" w:firstLineChars="200"/>
              <w:textAlignment w:val="auto"/>
              <w:rPr>
                <w:rFonts w:hint="default" w:ascii="Times New Roman" w:hAnsi="Times New Roman" w:cs="Times New Roman" w:eastAsiaTheme="minorEastAsia"/>
                <w:b w:val="0"/>
                <w:bCs/>
                <w:color w:val="auto"/>
                <w:kern w:val="2"/>
                <w:sz w:val="24"/>
                <w:szCs w:val="24"/>
                <w:lang w:val="en-US" w:eastAsia="zh-CN" w:bidi="ar-SA"/>
              </w:rPr>
            </w:pPr>
            <w:r>
              <w:rPr>
                <w:rFonts w:hint="default" w:ascii="Times New Roman" w:hAnsi="Times New Roman" w:cs="Times New Roman" w:eastAsiaTheme="minorEastAsia"/>
                <w:b w:val="0"/>
                <w:bCs/>
                <w:color w:val="auto"/>
                <w:kern w:val="2"/>
                <w:sz w:val="24"/>
                <w:szCs w:val="24"/>
                <w:lang w:val="en-US" w:eastAsia="zh-CN" w:bidi="ar-SA"/>
              </w:rPr>
              <w:t>根据现场调查情况，本项目环境保护目标主要涉及空气，结合工程建设规模，各环境要素主要保护对象及目标见表2-</w:t>
            </w:r>
            <w:r>
              <w:rPr>
                <w:rFonts w:hint="eastAsia" w:ascii="Times New Roman" w:hAnsi="Times New Roman" w:cs="Times New Roman" w:eastAsiaTheme="minorEastAsia"/>
                <w:b w:val="0"/>
                <w:bCs/>
                <w:color w:val="auto"/>
                <w:kern w:val="2"/>
                <w:sz w:val="24"/>
                <w:szCs w:val="24"/>
                <w:lang w:val="en-US" w:eastAsia="zh-CN" w:bidi="ar-SA"/>
              </w:rPr>
              <w:t>3</w:t>
            </w:r>
            <w:r>
              <w:rPr>
                <w:rFonts w:hint="default" w:ascii="Times New Roman" w:hAnsi="Times New Roman" w:cs="Times New Roman" w:eastAsiaTheme="minorEastAsia"/>
                <w:b w:val="0"/>
                <w:bCs/>
                <w:color w:val="auto"/>
                <w:kern w:val="2"/>
                <w:sz w:val="24"/>
                <w:szCs w:val="24"/>
                <w:lang w:val="en-US" w:eastAsia="zh-CN" w:bidi="ar-SA"/>
              </w:rPr>
              <w:t>。与环评阶段相比，项目评价范围</w:t>
            </w:r>
            <w:r>
              <w:rPr>
                <w:rFonts w:hint="eastAsia" w:ascii="Times New Roman" w:hAnsi="Times New Roman" w:cs="Times New Roman" w:eastAsiaTheme="minorEastAsia"/>
                <w:b w:val="0"/>
                <w:bCs/>
                <w:color w:val="auto"/>
                <w:kern w:val="2"/>
                <w:sz w:val="24"/>
                <w:szCs w:val="24"/>
                <w:lang w:val="en-US" w:eastAsia="zh-CN" w:bidi="ar-SA"/>
              </w:rPr>
              <w:t>内敏感点</w:t>
            </w:r>
            <w:r>
              <w:rPr>
                <w:rFonts w:hint="default" w:ascii="Times New Roman" w:hAnsi="Times New Roman" w:cs="Times New Roman" w:eastAsiaTheme="minorEastAsia"/>
                <w:b w:val="0"/>
                <w:bCs/>
                <w:color w:val="auto"/>
                <w:kern w:val="2"/>
                <w:sz w:val="24"/>
                <w:szCs w:val="24"/>
                <w:lang w:val="en-US" w:eastAsia="zh-CN" w:bidi="ar-SA"/>
              </w:rPr>
              <w:t>未发生变化。</w:t>
            </w:r>
          </w:p>
          <w:p>
            <w:pPr>
              <w:pStyle w:val="20"/>
              <w:keepNext w:val="0"/>
              <w:keepLines w:val="0"/>
              <w:pageBreakBefore w:val="0"/>
              <w:widowControl w:val="0"/>
              <w:numPr>
                <w:ilvl w:val="-1"/>
                <w:numId w:val="0"/>
              </w:numPr>
              <w:tabs>
                <w:tab w:val="left" w:pos="1319"/>
              </w:tabs>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eastAsiaTheme="minorEastAsia"/>
                <w:b/>
                <w:bCs w:val="0"/>
                <w:color w:val="auto"/>
                <w:spacing w:val="0"/>
                <w:kern w:val="2"/>
                <w:sz w:val="21"/>
                <w:szCs w:val="21"/>
                <w:lang w:val="en-US" w:eastAsia="zh-CN" w:bidi="ar-SA"/>
              </w:rPr>
            </w:pPr>
            <w:r>
              <w:rPr>
                <w:rFonts w:hint="default" w:ascii="Times New Roman" w:hAnsi="Times New Roman" w:cs="Times New Roman" w:eastAsiaTheme="minorEastAsia"/>
                <w:b/>
                <w:bCs w:val="0"/>
                <w:color w:val="auto"/>
                <w:spacing w:val="0"/>
                <w:kern w:val="2"/>
                <w:sz w:val="21"/>
                <w:szCs w:val="21"/>
                <w:lang w:val="en-US" w:eastAsia="zh-CN" w:bidi="ar-SA"/>
              </w:rPr>
              <w:t>表2-</w:t>
            </w:r>
            <w:r>
              <w:rPr>
                <w:rFonts w:hint="eastAsia" w:ascii="Times New Roman" w:hAnsi="Times New Roman" w:cs="Times New Roman" w:eastAsiaTheme="minorEastAsia"/>
                <w:b/>
                <w:bCs w:val="0"/>
                <w:color w:val="auto"/>
                <w:spacing w:val="0"/>
                <w:kern w:val="2"/>
                <w:sz w:val="21"/>
                <w:szCs w:val="21"/>
                <w:lang w:val="en-US" w:eastAsia="zh-CN" w:bidi="ar-SA"/>
              </w:rPr>
              <w:t>3</w:t>
            </w:r>
            <w:r>
              <w:rPr>
                <w:rFonts w:hint="default" w:ascii="Times New Roman" w:hAnsi="Times New Roman" w:cs="Times New Roman" w:eastAsiaTheme="minorEastAsia"/>
                <w:b/>
                <w:bCs w:val="0"/>
                <w:color w:val="auto"/>
                <w:spacing w:val="0"/>
                <w:kern w:val="2"/>
                <w:sz w:val="21"/>
                <w:szCs w:val="21"/>
                <w:lang w:val="en-US" w:eastAsia="zh-CN" w:bidi="ar-SA"/>
              </w:rPr>
              <w:t xml:space="preserve">  项目周边敏感点一览表</w:t>
            </w:r>
          </w:p>
          <w:tbl>
            <w:tblPr>
              <w:tblStyle w:val="15"/>
              <w:tblW w:w="49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325"/>
              <w:gridCol w:w="1396"/>
              <w:gridCol w:w="1625"/>
              <w:gridCol w:w="803"/>
              <w:gridCol w:w="1108"/>
              <w:gridCol w:w="1084"/>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环境</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要素</w:t>
                  </w:r>
                </w:p>
              </w:tc>
              <w:tc>
                <w:tcPr>
                  <w:tcW w:w="1454"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坐标</w:t>
                  </w:r>
                  <w:r>
                    <w:rPr>
                      <w:rFonts w:hint="default" w:ascii="Times New Roman" w:hAnsi="Times New Roman" w:eastAsia="宋体" w:cs="Times New Roman"/>
                      <w:b w:val="0"/>
                      <w:bCs w:val="0"/>
                      <w:color w:val="auto"/>
                      <w:highlight w:val="none"/>
                      <w:lang w:val="en-US" w:eastAsia="zh-CN"/>
                    </w:rPr>
                    <w:t>/m</w:t>
                  </w:r>
                </w:p>
              </w:tc>
              <w:tc>
                <w:tcPr>
                  <w:tcW w:w="868"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保护对象</w:t>
                  </w:r>
                </w:p>
              </w:tc>
              <w:tc>
                <w:tcPr>
                  <w:tcW w:w="429"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保护内容</w:t>
                  </w:r>
                </w:p>
              </w:tc>
              <w:tc>
                <w:tcPr>
                  <w:tcW w:w="592"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环境功能区</w:t>
                  </w:r>
                </w:p>
              </w:tc>
              <w:tc>
                <w:tcPr>
                  <w:tcW w:w="579"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相对项目方位</w:t>
                  </w:r>
                </w:p>
              </w:tc>
              <w:tc>
                <w:tcPr>
                  <w:tcW w:w="653"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相对项目场界距离/m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X</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Y</w:t>
                  </w:r>
                </w:p>
              </w:tc>
              <w:tc>
                <w:tcPr>
                  <w:tcW w:w="868"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9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65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空气</w:t>
                  </w: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274051.13</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r>
                    <w:rPr>
                      <w:rFonts w:hint="default" w:ascii="Times New Roman" w:hAnsi="Times New Roman" w:eastAsia="宋体" w:cs="Times New Roman"/>
                      <w:color w:val="auto"/>
                      <w:highlight w:val="none"/>
                      <w:lang w:val="en-US" w:eastAsia="zh-CN"/>
                    </w:rPr>
                    <w:t>810721.53</w:t>
                  </w:r>
                </w:p>
              </w:tc>
              <w:tc>
                <w:tcPr>
                  <w:tcW w:w="8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西西张村</w:t>
                  </w:r>
                </w:p>
              </w:tc>
              <w:tc>
                <w:tcPr>
                  <w:tcW w:w="429"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人群健康、</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环境空气质量</w:t>
                  </w:r>
                </w:p>
              </w:tc>
              <w:tc>
                <w:tcPr>
                  <w:tcW w:w="592"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二类环境空气功能区</w:t>
                  </w: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N</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1960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272809.30</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3809254.24</w:t>
                  </w:r>
                </w:p>
              </w:tc>
              <w:tc>
                <w:tcPr>
                  <w:tcW w:w="8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西堡子村</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9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273422.54</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3808934.51</w:t>
                  </w:r>
                </w:p>
              </w:tc>
              <w:tc>
                <w:tcPr>
                  <w:tcW w:w="8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大南村</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9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NW</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271534.66</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3810179.19</w:t>
                  </w:r>
                </w:p>
              </w:tc>
              <w:tc>
                <w:tcPr>
                  <w:tcW w:w="8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阿尚村</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9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NW</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271858.74</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3808068.54</w:t>
                  </w:r>
                </w:p>
              </w:tc>
              <w:tc>
                <w:tcPr>
                  <w:tcW w:w="8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小南村</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9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272452.65</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3807093.93</w:t>
                  </w:r>
                </w:p>
              </w:tc>
              <w:tc>
                <w:tcPr>
                  <w:tcW w:w="8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礼村</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9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SW</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274152.60</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3806776.37</w:t>
                  </w:r>
                </w:p>
              </w:tc>
              <w:tc>
                <w:tcPr>
                  <w:tcW w:w="8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寨子窑</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9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color w:val="auto"/>
                      <w:highlight w:val="none"/>
                      <w:lang w:val="en-US" w:eastAsia="zh-CN"/>
                    </w:rPr>
                    <w:t>SW</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274152.32</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3806762.01</w:t>
                  </w:r>
                </w:p>
              </w:tc>
              <w:tc>
                <w:tcPr>
                  <w:tcW w:w="8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郑家寨</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9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275096.01</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3807047.57</w:t>
                  </w:r>
                </w:p>
              </w:tc>
              <w:tc>
                <w:tcPr>
                  <w:tcW w:w="8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三余村</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9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SE</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274118.81</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3807591.91</w:t>
                  </w:r>
                </w:p>
              </w:tc>
              <w:tc>
                <w:tcPr>
                  <w:tcW w:w="8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半个城</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9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SE</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275944.51</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3806908.49</w:t>
                  </w:r>
                </w:p>
              </w:tc>
              <w:tc>
                <w:tcPr>
                  <w:tcW w:w="8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御史村</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9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SE</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276802.89</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3806833.04</w:t>
                  </w:r>
                </w:p>
              </w:tc>
              <w:tc>
                <w:tcPr>
                  <w:tcW w:w="8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黑张村</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9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SE</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276795.10</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3807605.97</w:t>
                  </w:r>
                </w:p>
              </w:tc>
              <w:tc>
                <w:tcPr>
                  <w:tcW w:w="8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张马村</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9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SE</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275818.56</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3808130.29</w:t>
                  </w:r>
                </w:p>
              </w:tc>
              <w:tc>
                <w:tcPr>
                  <w:tcW w:w="8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兴隆庄</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9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E</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274837.39</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3808955.42</w:t>
                  </w:r>
                </w:p>
              </w:tc>
              <w:tc>
                <w:tcPr>
                  <w:tcW w:w="8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尚志村</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9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NE</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274810.43</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3810622.28</w:t>
                  </w:r>
                </w:p>
              </w:tc>
              <w:tc>
                <w:tcPr>
                  <w:tcW w:w="8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东西张村</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9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NE</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276431.39</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3809063.91</w:t>
                  </w:r>
                </w:p>
              </w:tc>
              <w:tc>
                <w:tcPr>
                  <w:tcW w:w="8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小依村</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9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NE</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273844.05</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3808182.82</w:t>
                  </w:r>
                </w:p>
              </w:tc>
              <w:tc>
                <w:tcPr>
                  <w:tcW w:w="8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服务区东区</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9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273536.72</w:t>
                  </w:r>
                </w:p>
              </w:tc>
              <w:tc>
                <w:tcPr>
                  <w:tcW w:w="74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3808229.32</w:t>
                  </w:r>
                </w:p>
              </w:tc>
              <w:tc>
                <w:tcPr>
                  <w:tcW w:w="86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服务区西区</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9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声环境</w:t>
                  </w:r>
                </w:p>
              </w:tc>
              <w:tc>
                <w:tcPr>
                  <w:tcW w:w="2322"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服务区东区</w:t>
                  </w:r>
                </w:p>
              </w:tc>
              <w:tc>
                <w:tcPr>
                  <w:tcW w:w="429"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声环境质量</w:t>
                  </w:r>
                </w:p>
              </w:tc>
              <w:tc>
                <w:tcPr>
                  <w:tcW w:w="592"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类声环境功能区</w:t>
                  </w: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lang w:val="en-US" w:eastAsia="zh-CN"/>
                    </w:rPr>
                    <w:t>S</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2322"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服务区西区</w:t>
                  </w:r>
                </w:p>
              </w:tc>
              <w:tc>
                <w:tcPr>
                  <w:tcW w:w="42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rPr>
                  </w:pPr>
                </w:p>
              </w:tc>
              <w:tc>
                <w:tcPr>
                  <w:tcW w:w="59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lang w:val="en-US" w:eastAsia="zh-CN"/>
                    </w:rPr>
                    <w:t>W</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地下水</w:t>
                  </w:r>
                </w:p>
              </w:tc>
              <w:tc>
                <w:tcPr>
                  <w:tcW w:w="2322"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1"/>
                      <w:szCs w:val="21"/>
                      <w:highlight w:val="none"/>
                      <w:lang w:eastAsia="zh-CN"/>
                    </w:rPr>
                    <w:t>站</w:t>
                  </w:r>
                  <w:r>
                    <w:rPr>
                      <w:rFonts w:hint="default" w:ascii="Times New Roman" w:hAnsi="Times New Roman" w:cs="Times New Roman"/>
                      <w:color w:val="auto"/>
                      <w:sz w:val="21"/>
                      <w:szCs w:val="21"/>
                      <w:highlight w:val="none"/>
                    </w:rPr>
                    <w:t>区范围地下水</w:t>
                  </w:r>
                  <w:r>
                    <w:rPr>
                      <w:rFonts w:hint="default" w:ascii="Times New Roman" w:hAnsi="Times New Roman" w:cs="Times New Roman"/>
                      <w:color w:val="auto"/>
                      <w:sz w:val="21"/>
                      <w:szCs w:val="21"/>
                      <w:highlight w:val="none"/>
                      <w:lang w:eastAsia="zh-CN"/>
                    </w:rPr>
                    <w:t>、服务区水井</w:t>
                  </w:r>
                </w:p>
              </w:tc>
              <w:tc>
                <w:tcPr>
                  <w:tcW w:w="42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地下水质量</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III类水质</w:t>
                  </w: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土壤</w:t>
                  </w:r>
                </w:p>
              </w:tc>
              <w:tc>
                <w:tcPr>
                  <w:tcW w:w="2322"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评价范围内土壤、项目周边耕地</w:t>
                  </w:r>
                </w:p>
              </w:tc>
              <w:tc>
                <w:tcPr>
                  <w:tcW w:w="42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土壤环境质量</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建设用地第二类用地</w:t>
                  </w:r>
                </w:p>
              </w:tc>
              <w:tc>
                <w:tcPr>
                  <w:tcW w:w="5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r>
          </w:tbl>
          <w:p>
            <w:pPr>
              <w:pStyle w:val="19"/>
              <w:keepNext w:val="0"/>
              <w:keepLines w:val="0"/>
              <w:numPr>
                <w:ilvl w:val="0"/>
                <w:numId w:val="1"/>
              </w:numPr>
              <w:suppressLineNumbers w:val="0"/>
              <w:spacing w:before="161" w:beforeAutospacing="0" w:afterAutospacing="0" w:line="364" w:lineRule="auto"/>
              <w:ind w:left="0" w:right="93" w:firstLine="0"/>
              <w:rPr>
                <w:rFonts w:hint="default" w:ascii="Times New Roman" w:hAnsi="Times New Roman" w:eastAsia="宋体" w:cs="Times New Roman"/>
                <w:b/>
                <w:spacing w:val="0"/>
                <w:kern w:val="2"/>
                <w:sz w:val="24"/>
                <w:lang w:val="en-US" w:eastAsia="zh-CN"/>
              </w:rPr>
            </w:pPr>
            <w:r>
              <w:rPr>
                <w:rFonts w:hint="default" w:ascii="Times New Roman" w:hAnsi="Times New Roman" w:eastAsia="宋体" w:cs="Times New Roman"/>
                <w:b/>
                <w:spacing w:val="0"/>
                <w:kern w:val="2"/>
                <w:sz w:val="24"/>
                <w:lang w:val="en-US" w:eastAsia="zh-CN"/>
              </w:rPr>
              <w:t>项目变动情况</w:t>
            </w:r>
          </w:p>
          <w:p>
            <w:pPr>
              <w:pStyle w:val="5"/>
              <w:keepNext w:val="0"/>
              <w:keepLines w:val="0"/>
              <w:pageBreakBefore w:val="0"/>
              <w:widowControl w:val="0"/>
              <w:numPr>
                <w:ilvl w:val="-1"/>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综上所述，根据《中华人民共和国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pPr>
              <w:pStyle w:val="19"/>
              <w:keepNext w:val="0"/>
              <w:keepLines w:val="0"/>
              <w:pageBreakBefore w:val="0"/>
              <w:widowControl w:val="0"/>
              <w:numPr>
                <w:ilvl w:val="0"/>
                <w:numId w:val="0"/>
              </w:numPr>
              <w:kinsoku/>
              <w:wordWrap/>
              <w:overflowPunct/>
              <w:topLinePunct w:val="0"/>
              <w:autoSpaceDE w:val="0"/>
              <w:autoSpaceDN w:val="0"/>
              <w:bidi w:val="0"/>
              <w:adjustRightInd/>
              <w:snapToGrid/>
              <w:spacing w:before="0" w:line="365" w:lineRule="auto"/>
              <w:ind w:leftChars="0" w:right="91" w:rightChars="0" w:firstLine="480" w:firstLineChars="200"/>
              <w:textAlignment w:val="auto"/>
              <w:rPr>
                <w:rFonts w:hint="default" w:ascii="Times New Roman" w:hAnsi="Times New Roman" w:cs="Times New Roman" w:eastAsiaTheme="minorEastAsia"/>
                <w:kern w:val="2"/>
                <w:sz w:val="24"/>
                <w:szCs w:val="24"/>
                <w:lang w:val="en-US" w:eastAsia="zh-CN"/>
              </w:rPr>
            </w:pPr>
            <w:r>
              <w:rPr>
                <w:rFonts w:hint="default" w:ascii="Times New Roman" w:hAnsi="Times New Roman" w:cs="Times New Roman"/>
                <w:b w:val="0"/>
                <w:bCs/>
                <w:color w:val="auto"/>
                <w:kern w:val="2"/>
                <w:sz w:val="24"/>
                <w:szCs w:val="24"/>
                <w:highlight w:val="none"/>
                <w:lang w:val="en-US" w:eastAsia="zh-CN" w:bidi="ar-SA"/>
              </w:rPr>
              <w:t>结合</w:t>
            </w:r>
            <w:r>
              <w:rPr>
                <w:rFonts w:hint="default" w:ascii="Times New Roman" w:hAnsi="Times New Roman" w:cs="Times New Roman" w:eastAsiaTheme="minorEastAsia"/>
                <w:b w:val="0"/>
                <w:color w:val="000000"/>
                <w:kern w:val="2"/>
                <w:sz w:val="24"/>
                <w:szCs w:val="24"/>
              </w:rPr>
              <w:t>现场调查</w:t>
            </w:r>
            <w:r>
              <w:rPr>
                <w:rFonts w:hint="default"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cs="Times New Roman" w:eastAsiaTheme="minorEastAsia"/>
                <w:kern w:val="2"/>
                <w:sz w:val="24"/>
                <w:szCs w:val="24"/>
                <w:lang w:val="en-US" w:eastAsia="zh-CN"/>
              </w:rPr>
              <w:t>项目建设内容与环评及批复文件总体一致，</w:t>
            </w:r>
            <w:r>
              <w:rPr>
                <w:rFonts w:hint="eastAsia" w:ascii="Times New Roman" w:hAnsi="Times New Roman" w:cs="Times New Roman" w:eastAsiaTheme="minorEastAsia"/>
                <w:kern w:val="2"/>
                <w:sz w:val="24"/>
                <w:szCs w:val="24"/>
                <w:lang w:val="en-US" w:eastAsia="zh-CN"/>
              </w:rPr>
              <w:t>不属于重大变动</w:t>
            </w:r>
            <w:r>
              <w:rPr>
                <w:rFonts w:hint="default" w:ascii="Times New Roman" w:hAnsi="Times New Roman" w:cs="Times New Roman" w:eastAsiaTheme="minorEastAsia"/>
                <w:kern w:val="2"/>
                <w:sz w:val="24"/>
                <w:szCs w:val="24"/>
                <w:lang w:val="en-US" w:eastAsia="zh-CN"/>
              </w:rPr>
              <w:t>。</w:t>
            </w:r>
            <w:r>
              <w:rPr>
                <w:rFonts w:hint="eastAsia" w:ascii="Times New Roman" w:hAnsi="Times New Roman" w:cs="Times New Roman" w:eastAsiaTheme="minorEastAsia"/>
                <w:kern w:val="2"/>
                <w:sz w:val="24"/>
                <w:szCs w:val="24"/>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07" w:type="dxa"/>
            <w:vAlign w:val="top"/>
          </w:tcPr>
          <w:p>
            <w:pPr>
              <w:pStyle w:val="1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60" w:lineRule="auto"/>
              <w:ind w:firstLine="0" w:firstLineChars="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原辅材料消耗及水平衡：</w:t>
            </w:r>
          </w:p>
          <w:p>
            <w:pPr>
              <w:pStyle w:val="1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Autospacing="0" w:line="360" w:lineRule="auto"/>
              <w:ind w:leftChars="0" w:right="0" w:rightChars="0"/>
              <w:textAlignment w:val="auto"/>
              <w:rPr>
                <w:rFonts w:hint="default" w:ascii="Times New Roman" w:hAnsi="Times New Roman" w:cs="Times New Roman"/>
                <w:b/>
                <w:spacing w:val="0"/>
                <w:kern w:val="2"/>
                <w:sz w:val="24"/>
                <w:lang w:val="en-US" w:eastAsia="zh-CN"/>
              </w:rPr>
            </w:pPr>
            <w:r>
              <w:rPr>
                <w:rFonts w:hint="eastAsia" w:ascii="Times New Roman" w:hAnsi="Times New Roman" w:cs="Times New Roman"/>
                <w:b/>
                <w:spacing w:val="0"/>
                <w:kern w:val="2"/>
                <w:sz w:val="24"/>
                <w:lang w:val="en-US" w:eastAsia="zh-CN"/>
              </w:rPr>
              <w:t>一、</w:t>
            </w:r>
            <w:r>
              <w:rPr>
                <w:rFonts w:hint="default" w:ascii="Times New Roman" w:hAnsi="Times New Roman" w:cs="Times New Roman"/>
                <w:b/>
                <w:spacing w:val="0"/>
                <w:kern w:val="2"/>
                <w:sz w:val="24"/>
                <w:lang w:val="en-US" w:eastAsia="zh-CN"/>
              </w:rPr>
              <w:t>主要原辅材料及燃料</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cs="Times New Roman" w:eastAsiaTheme="minorEastAsia"/>
                <w:bCs/>
                <w:color w:val="auto"/>
                <w:kern w:val="2"/>
                <w:sz w:val="24"/>
                <w:szCs w:val="24"/>
              </w:rPr>
            </w:pPr>
            <w:r>
              <w:rPr>
                <w:rFonts w:hint="default" w:ascii="Times New Roman" w:hAnsi="Times New Roman" w:cs="Times New Roman" w:eastAsiaTheme="minorEastAsia"/>
                <w:bCs/>
                <w:color w:val="auto"/>
                <w:kern w:val="2"/>
                <w:sz w:val="24"/>
                <w:szCs w:val="24"/>
              </w:rPr>
              <w:t>项目主要原辅材料用量见表</w:t>
            </w:r>
            <w:r>
              <w:rPr>
                <w:rFonts w:hint="default" w:ascii="Times New Roman" w:hAnsi="Times New Roman" w:cs="Times New Roman" w:eastAsiaTheme="minorEastAsia"/>
                <w:bCs/>
                <w:color w:val="auto"/>
                <w:kern w:val="2"/>
                <w:sz w:val="24"/>
                <w:szCs w:val="24"/>
                <w:lang w:val="en-US" w:eastAsia="zh-CN"/>
              </w:rPr>
              <w:t>2</w:t>
            </w:r>
            <w:r>
              <w:rPr>
                <w:rFonts w:hint="eastAsia" w:ascii="Times New Roman" w:hAnsi="Times New Roman" w:cs="Times New Roman" w:eastAsiaTheme="minorEastAsia"/>
                <w:bCs/>
                <w:color w:val="auto"/>
                <w:kern w:val="2"/>
                <w:sz w:val="24"/>
                <w:szCs w:val="24"/>
                <w:lang w:val="en-US" w:eastAsia="zh-CN"/>
              </w:rPr>
              <w:t>-4</w:t>
            </w:r>
            <w:r>
              <w:rPr>
                <w:rFonts w:hint="default" w:ascii="Times New Roman" w:hAnsi="Times New Roman" w:cs="Times New Roman" w:eastAsiaTheme="minorEastAsia"/>
                <w:bCs/>
                <w:color w:val="auto"/>
                <w:kern w:val="2"/>
                <w:sz w:val="24"/>
                <w:szCs w:val="24"/>
              </w:rPr>
              <w:t>所示。</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kern w:val="2"/>
                <w:sz w:val="21"/>
                <w:szCs w:val="21"/>
                <w:lang w:val="en-US" w:eastAsia="zh-CN"/>
              </w:rPr>
              <w:t>表2</w:t>
            </w:r>
            <w:r>
              <w:rPr>
                <w:rFonts w:hint="eastAsia" w:ascii="Times New Roman" w:hAnsi="Times New Roman" w:cs="Times New Roman" w:eastAsiaTheme="minorEastAsia"/>
                <w:b/>
                <w:bCs/>
                <w:kern w:val="2"/>
                <w:sz w:val="21"/>
                <w:szCs w:val="21"/>
                <w:lang w:val="en-US" w:eastAsia="zh-CN"/>
              </w:rPr>
              <w:t>-4</w:t>
            </w:r>
            <w:r>
              <w:rPr>
                <w:rFonts w:hint="default" w:ascii="Times New Roman" w:hAnsi="Times New Roman" w:cs="Times New Roman" w:eastAsiaTheme="minorEastAsia"/>
                <w:b/>
                <w:bCs/>
                <w:kern w:val="2"/>
                <w:sz w:val="21"/>
                <w:szCs w:val="21"/>
                <w:lang w:val="en-US" w:eastAsia="zh-CN"/>
              </w:rPr>
              <w:t xml:space="preserve">  </w:t>
            </w:r>
            <w:r>
              <w:rPr>
                <w:rFonts w:hint="default" w:ascii="Times New Roman" w:hAnsi="Times New Roman" w:cs="Times New Roman" w:eastAsiaTheme="minorEastAsia"/>
                <w:b/>
                <w:bCs/>
                <w:kern w:val="2"/>
                <w:sz w:val="21"/>
                <w:szCs w:val="21"/>
              </w:rPr>
              <w:t>项目实际主要原辅材料及能源使用一览表</w:t>
            </w:r>
          </w:p>
          <w:tbl>
            <w:tblPr>
              <w:tblStyle w:val="15"/>
              <w:tblW w:w="49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36" w:type="dxa"/>
                <w:bottom w:w="0" w:type="dxa"/>
                <w:right w:w="136" w:type="dxa"/>
              </w:tblCellMar>
            </w:tblPr>
            <w:tblGrid>
              <w:gridCol w:w="1245"/>
              <w:gridCol w:w="1501"/>
              <w:gridCol w:w="2292"/>
              <w:gridCol w:w="1829"/>
              <w:gridCol w:w="2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36" w:type="dxa"/>
                  <w:bottom w:w="0" w:type="dxa"/>
                  <w:right w:w="136" w:type="dxa"/>
                </w:tblCellMar>
              </w:tblPrEx>
              <w:trPr>
                <w:trHeight w:val="397" w:hRule="atLeast"/>
                <w:jc w:val="center"/>
              </w:trPr>
              <w:tc>
                <w:tcPr>
                  <w:tcW w:w="66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rPr>
                    <w:t>序号</w:t>
                  </w:r>
                </w:p>
              </w:tc>
              <w:tc>
                <w:tcPr>
                  <w:tcW w:w="79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产品名称</w:t>
                  </w:r>
                </w:p>
              </w:tc>
              <w:tc>
                <w:tcPr>
                  <w:tcW w:w="12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规格</w:t>
                  </w:r>
                </w:p>
              </w:tc>
              <w:tc>
                <w:tcPr>
                  <w:tcW w:w="97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年销售量t/a</w:t>
                  </w:r>
                </w:p>
              </w:tc>
              <w:tc>
                <w:tcPr>
                  <w:tcW w:w="135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36" w:type="dxa"/>
                  <w:bottom w:w="0" w:type="dxa"/>
                  <w:right w:w="136" w:type="dxa"/>
                </w:tblCellMar>
              </w:tblPrEx>
              <w:trPr>
                <w:trHeight w:val="397" w:hRule="atLeast"/>
                <w:jc w:val="center"/>
              </w:trPr>
              <w:tc>
                <w:tcPr>
                  <w:tcW w:w="66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rPr>
                    <w:t>1</w:t>
                  </w:r>
                </w:p>
              </w:tc>
              <w:tc>
                <w:tcPr>
                  <w:tcW w:w="79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汽油</w:t>
                  </w:r>
                </w:p>
              </w:tc>
              <w:tc>
                <w:tcPr>
                  <w:tcW w:w="12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92#、95#</w:t>
                  </w:r>
                </w:p>
              </w:tc>
              <w:tc>
                <w:tcPr>
                  <w:tcW w:w="97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lang w:val="en-US" w:eastAsia="zh-CN"/>
                    </w:rPr>
                    <w:t>1000</w:t>
                  </w:r>
                </w:p>
              </w:tc>
              <w:tc>
                <w:tcPr>
                  <w:tcW w:w="1353"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与环评一致</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不同型号产品数量根据市场的需求进行调整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36" w:type="dxa"/>
                  <w:bottom w:w="0" w:type="dxa"/>
                  <w:right w:w="136" w:type="dxa"/>
                </w:tblCellMar>
              </w:tblPrEx>
              <w:trPr>
                <w:trHeight w:val="397" w:hRule="atLeast"/>
                <w:jc w:val="center"/>
              </w:trPr>
              <w:tc>
                <w:tcPr>
                  <w:tcW w:w="66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lang w:val="en-US" w:eastAsia="zh-CN" w:bidi="ar"/>
                    </w:rPr>
                    <w:t>2</w:t>
                  </w:r>
                </w:p>
              </w:tc>
              <w:tc>
                <w:tcPr>
                  <w:tcW w:w="79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柴油</w:t>
                  </w:r>
                </w:p>
              </w:tc>
              <w:tc>
                <w:tcPr>
                  <w:tcW w:w="1217"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rPr>
                    <w:t>0#、-10#</w:t>
                  </w:r>
                </w:p>
              </w:tc>
              <w:tc>
                <w:tcPr>
                  <w:tcW w:w="971"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lang w:val="en-US" w:eastAsia="zh-CN"/>
                    </w:rPr>
                    <w:t>2000</w:t>
                  </w:r>
                </w:p>
              </w:tc>
              <w:tc>
                <w:tcPr>
                  <w:tcW w:w="1353"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highlight w:val="none"/>
                      <w:lang w:val="en-US" w:eastAsia="zh-CN"/>
                    </w:rPr>
                  </w:pPr>
                </w:p>
              </w:tc>
            </w:tr>
          </w:tbl>
          <w:p>
            <w:pPr>
              <w:pStyle w:val="19"/>
              <w:keepNext w:val="0"/>
              <w:keepLines w:val="0"/>
              <w:numPr>
                <w:ilvl w:val="0"/>
                <w:numId w:val="0"/>
              </w:numPr>
              <w:suppressLineNumbers w:val="0"/>
              <w:spacing w:before="161" w:beforeAutospacing="0" w:afterAutospacing="0" w:line="364" w:lineRule="auto"/>
              <w:ind w:leftChars="91" w:right="93" w:rightChars="0"/>
              <w:rPr>
                <w:rFonts w:hint="default" w:ascii="Times New Roman" w:hAnsi="Times New Roman" w:eastAsia="宋体" w:cs="Times New Roman"/>
                <w:b/>
                <w:spacing w:val="0"/>
                <w:kern w:val="2"/>
                <w:sz w:val="24"/>
                <w:lang w:val="en-US" w:eastAsia="zh-CN"/>
              </w:rPr>
            </w:pPr>
            <w:r>
              <w:rPr>
                <w:rFonts w:hint="eastAsia" w:ascii="Times New Roman" w:hAnsi="Times New Roman" w:cs="Times New Roman"/>
                <w:b/>
                <w:bCs/>
                <w:color w:val="auto"/>
                <w:kern w:val="2"/>
                <w:sz w:val="24"/>
                <w:szCs w:val="24"/>
                <w:lang w:val="en-US" w:eastAsia="zh-CN" w:bidi="ar-SA"/>
              </w:rPr>
              <w:t>二、</w:t>
            </w:r>
            <w:r>
              <w:rPr>
                <w:rFonts w:hint="default" w:ascii="Times New Roman" w:hAnsi="Times New Roman" w:eastAsia="宋体" w:cs="Times New Roman"/>
                <w:b/>
                <w:spacing w:val="0"/>
                <w:kern w:val="2"/>
                <w:sz w:val="24"/>
                <w:lang w:val="en-US" w:eastAsia="zh-CN"/>
              </w:rPr>
              <w:t>水源及水平衡</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cs="Times New Roman"/>
                <w:kern w:val="2"/>
                <w:sz w:val="24"/>
              </w:rPr>
            </w:pPr>
            <w:r>
              <w:rPr>
                <w:rFonts w:hint="default" w:ascii="Times New Roman" w:hAnsi="Times New Roman" w:cs="Times New Roman" w:eastAsiaTheme="minorEastAsia"/>
                <w:bCs/>
                <w:color w:val="auto"/>
                <w:spacing w:val="0"/>
                <w:kern w:val="2"/>
                <w:sz w:val="24"/>
                <w:szCs w:val="24"/>
                <w:lang w:val="en-US" w:eastAsia="zh-CN" w:bidi="ar-SA"/>
              </w:rPr>
              <w:t>根据实际调查及企业自述，项目污水主要为员工生活用水和顾客盥洗用水，项目</w:t>
            </w:r>
            <w:r>
              <w:rPr>
                <w:rFonts w:hint="default" w:ascii="Times New Roman" w:hAnsi="Times New Roman" w:cs="Times New Roman" w:eastAsiaTheme="minorEastAsia"/>
                <w:bCs/>
                <w:color w:val="auto"/>
                <w:spacing w:val="0"/>
                <w:kern w:val="2"/>
                <w:sz w:val="24"/>
                <w:szCs w:val="24"/>
                <w:lang w:val="en-US" w:bidi="ar-SA"/>
              </w:rPr>
              <w:t>用水量</w:t>
            </w:r>
            <w:r>
              <w:rPr>
                <w:rFonts w:hint="default" w:ascii="Times New Roman" w:hAnsi="Times New Roman" w:cs="Times New Roman" w:eastAsiaTheme="minorEastAsia"/>
                <w:bCs/>
                <w:color w:val="auto"/>
                <w:spacing w:val="0"/>
                <w:kern w:val="2"/>
                <w:sz w:val="24"/>
                <w:szCs w:val="24"/>
                <w:lang w:val="en-US" w:eastAsia="zh-CN" w:bidi="ar-SA"/>
              </w:rPr>
              <w:t>约</w:t>
            </w:r>
            <w:r>
              <w:rPr>
                <w:rFonts w:hint="default" w:ascii="Times New Roman" w:hAnsi="Times New Roman" w:cs="Times New Roman" w:eastAsiaTheme="minorEastAsia"/>
                <w:bCs/>
                <w:color w:val="auto"/>
                <w:spacing w:val="0"/>
                <w:kern w:val="2"/>
                <w:sz w:val="24"/>
                <w:szCs w:val="24"/>
                <w:lang w:val="en-US" w:bidi="ar-SA"/>
              </w:rPr>
              <w:t>为</w:t>
            </w:r>
            <w:r>
              <w:rPr>
                <w:rFonts w:hint="default" w:ascii="Times New Roman" w:hAnsi="Times New Roman" w:cs="Times New Roman" w:eastAsiaTheme="minorEastAsia"/>
                <w:bCs/>
                <w:color w:val="auto"/>
                <w:spacing w:val="0"/>
                <w:kern w:val="2"/>
                <w:sz w:val="24"/>
                <w:szCs w:val="24"/>
                <w:lang w:val="en-US" w:eastAsia="zh-CN" w:bidi="ar-SA"/>
              </w:rPr>
              <w:t>0.735</w:t>
            </w:r>
            <w:r>
              <w:rPr>
                <w:rFonts w:hint="default" w:ascii="Times New Roman" w:hAnsi="Times New Roman" w:eastAsia="宋体" w:cs="Times New Roman"/>
                <w:kern w:val="2"/>
                <w:sz w:val="24"/>
              </w:rPr>
              <w:t>m</w:t>
            </w:r>
            <w:r>
              <w:rPr>
                <w:rFonts w:hint="default" w:ascii="Times New Roman" w:hAnsi="Times New Roman" w:eastAsia="宋体" w:cs="Times New Roman"/>
                <w:kern w:val="2"/>
                <w:sz w:val="24"/>
                <w:vertAlign w:val="superscript"/>
              </w:rPr>
              <w:t>3</w:t>
            </w:r>
            <w:r>
              <w:rPr>
                <w:rFonts w:hint="default" w:ascii="Times New Roman" w:hAnsi="Times New Roman" w:eastAsia="宋体" w:cs="Times New Roman"/>
                <w:kern w:val="2"/>
                <w:sz w:val="24"/>
              </w:rPr>
              <w:t>/</w:t>
            </w:r>
            <w:r>
              <w:rPr>
                <w:rFonts w:hint="default" w:ascii="Times New Roman" w:hAnsi="Times New Roman" w:cs="Times New Roman"/>
                <w:kern w:val="2"/>
                <w:sz w:val="24"/>
                <w:lang w:val="en-US" w:eastAsia="zh-CN"/>
              </w:rPr>
              <w:t>d</w:t>
            </w:r>
            <w:r>
              <w:rPr>
                <w:rFonts w:hint="default" w:ascii="Times New Roman" w:hAnsi="Times New Roman" w:cs="Times New Roman" w:eastAsiaTheme="minorEastAsia"/>
                <w:bCs/>
                <w:color w:val="auto"/>
                <w:spacing w:val="0"/>
                <w:kern w:val="2"/>
                <w:sz w:val="24"/>
                <w:szCs w:val="24"/>
                <w:lang w:val="en-US" w:eastAsia="zh-CN" w:bidi="ar-SA"/>
              </w:rPr>
              <w:t>（268.275</w:t>
            </w:r>
            <w:r>
              <w:rPr>
                <w:rFonts w:hint="default" w:ascii="Times New Roman" w:hAnsi="Times New Roman" w:eastAsia="宋体" w:cs="Times New Roman"/>
                <w:kern w:val="2"/>
                <w:sz w:val="24"/>
              </w:rPr>
              <w:t>m</w:t>
            </w:r>
            <w:r>
              <w:rPr>
                <w:rFonts w:hint="default" w:ascii="Times New Roman" w:hAnsi="Times New Roman" w:eastAsia="宋体" w:cs="Times New Roman"/>
                <w:kern w:val="2"/>
                <w:sz w:val="24"/>
                <w:vertAlign w:val="superscript"/>
              </w:rPr>
              <w:t>3</w:t>
            </w:r>
            <w:r>
              <w:rPr>
                <w:rFonts w:hint="default" w:ascii="Times New Roman" w:hAnsi="Times New Roman" w:eastAsia="宋体" w:cs="Times New Roman"/>
                <w:kern w:val="2"/>
                <w:sz w:val="24"/>
              </w:rPr>
              <w:t>/a</w:t>
            </w:r>
            <w:r>
              <w:rPr>
                <w:rFonts w:hint="default" w:ascii="Times New Roman" w:hAnsi="Times New Roman" w:cs="Times New Roman"/>
                <w:kern w:val="2"/>
                <w:sz w:val="24"/>
                <w:lang w:eastAsia="zh-CN"/>
              </w:rPr>
              <w:t>）</w:t>
            </w:r>
            <w:r>
              <w:rPr>
                <w:rFonts w:hint="default" w:ascii="Times New Roman" w:hAnsi="Times New Roman" w:cs="Times New Roman" w:eastAsiaTheme="minorEastAsia"/>
                <w:bCs/>
                <w:color w:val="auto"/>
                <w:kern w:val="2"/>
                <w:sz w:val="24"/>
                <w:szCs w:val="24"/>
                <w:lang w:val="en-US" w:bidi="ar-SA"/>
              </w:rPr>
              <w:t>，</w:t>
            </w:r>
            <w:r>
              <w:rPr>
                <w:rFonts w:hint="default" w:ascii="Times New Roman" w:hAnsi="Times New Roman" w:cs="Times New Roman" w:eastAsiaTheme="minorEastAsia"/>
                <w:bCs/>
                <w:color w:val="auto"/>
                <w:kern w:val="2"/>
                <w:sz w:val="24"/>
                <w:szCs w:val="24"/>
                <w:lang w:val="en-US" w:eastAsia="zh-CN" w:bidi="ar-SA"/>
              </w:rPr>
              <w:t>包含员工饮用桶装水和冲厕用水，其中员工饮用桶装水由桶装水公司配送，冲厕用水接自西咸北环线茂陵服务区供水系统</w:t>
            </w:r>
            <w:r>
              <w:rPr>
                <w:rFonts w:hint="default" w:ascii="Times New Roman" w:hAnsi="Times New Roman" w:cs="Times New Roman" w:eastAsiaTheme="minorEastAsia"/>
                <w:bCs/>
                <w:color w:val="auto"/>
                <w:kern w:val="2"/>
                <w:sz w:val="24"/>
                <w:szCs w:val="24"/>
                <w:lang w:val="en-US" w:bidi="ar-SA"/>
              </w:rPr>
              <w:t>，可以满足项目需求。</w:t>
            </w:r>
            <w:r>
              <w:rPr>
                <w:rFonts w:hint="default" w:ascii="Times New Roman" w:hAnsi="Times New Roman" w:cs="Times New Roman" w:eastAsiaTheme="minorEastAsia"/>
                <w:bCs/>
                <w:color w:val="auto"/>
                <w:spacing w:val="0"/>
                <w:kern w:val="2"/>
                <w:sz w:val="24"/>
                <w:szCs w:val="24"/>
                <w:lang w:val="en-US" w:bidi="ar-SA"/>
              </w:rPr>
              <w:t>项目</w:t>
            </w:r>
            <w:r>
              <w:rPr>
                <w:rFonts w:hint="default" w:ascii="Times New Roman" w:hAnsi="Times New Roman" w:cs="Times New Roman"/>
                <w:kern w:val="2"/>
                <w:sz w:val="24"/>
              </w:rPr>
              <mc:AlternateContent>
                <mc:Choice Requires="wpg">
                  <w:drawing>
                    <wp:anchor distT="0" distB="0" distL="114300" distR="114300" simplePos="0" relativeHeight="251716608" behindDoc="0" locked="0" layoutInCell="1" allowOverlap="1">
                      <wp:simplePos x="0" y="0"/>
                      <wp:positionH relativeFrom="column">
                        <wp:posOffset>147320</wp:posOffset>
                      </wp:positionH>
                      <wp:positionV relativeFrom="paragraph">
                        <wp:posOffset>821055</wp:posOffset>
                      </wp:positionV>
                      <wp:extent cx="5679440" cy="737870"/>
                      <wp:effectExtent l="0" t="0" r="16510" b="5080"/>
                      <wp:wrapNone/>
                      <wp:docPr id="63" name="组合 63"/>
                      <wp:cNvGraphicFramePr/>
                      <a:graphic xmlns:a="http://schemas.openxmlformats.org/drawingml/2006/main">
                        <a:graphicData uri="http://schemas.microsoft.com/office/word/2010/wordprocessingGroup">
                          <wpg:wgp>
                            <wpg:cNvGrpSpPr/>
                            <wpg:grpSpPr>
                              <a:xfrm>
                                <a:off x="0" y="0"/>
                                <a:ext cx="5679440" cy="737907"/>
                                <a:chOff x="5472" y="163409"/>
                                <a:chExt cx="8884" cy="1403"/>
                              </a:xfrm>
                            </wpg:grpSpPr>
                            <wps:wsp>
                              <wps:cNvPr id="64" name="文本框 23"/>
                              <wps:cNvSpPr txBox="1"/>
                              <wps:spPr>
                                <a:xfrm>
                                  <a:off x="7592" y="163409"/>
                                  <a:ext cx="916" cy="5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val="en-US" w:eastAsia="zh-CN"/>
                                      </w:rPr>
                                      <w:t>0.147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65" name="组合 33"/>
                              <wpg:cNvGrpSpPr/>
                              <wpg:grpSpPr>
                                <a:xfrm>
                                  <a:off x="5472" y="163793"/>
                                  <a:ext cx="8884" cy="1019"/>
                                  <a:chOff x="5472" y="163793"/>
                                  <a:chExt cx="8884" cy="1019"/>
                                </a:xfrm>
                              </wpg:grpSpPr>
                              <wps:wsp>
                                <wps:cNvPr id="66" name="文本框 26"/>
                                <wps:cNvSpPr txBox="1"/>
                                <wps:spPr>
                                  <a:xfrm>
                                    <a:off x="11572" y="163793"/>
                                    <a:ext cx="967" cy="5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val="en-US" w:eastAsia="zh-CN"/>
                                        </w:rPr>
                                        <w:t>0.588</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67" name="组合 30"/>
                                <wpg:cNvGrpSpPr/>
                                <wpg:grpSpPr>
                                  <a:xfrm>
                                    <a:off x="5472" y="163933"/>
                                    <a:ext cx="6895" cy="863"/>
                                    <a:chOff x="5472" y="163933"/>
                                    <a:chExt cx="6895" cy="863"/>
                                  </a:xfrm>
                                </wpg:grpSpPr>
                                <wps:wsp>
                                  <wps:cNvPr id="68" name="文本框 14"/>
                                  <wps:cNvSpPr txBox="1"/>
                                  <wps:spPr>
                                    <a:xfrm>
                                      <a:off x="9524" y="164279"/>
                                      <a:ext cx="2149" cy="500"/>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服务区污水处理站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69" name="组合 29"/>
                                  <wpg:cNvGrpSpPr/>
                                  <wpg:grpSpPr>
                                    <a:xfrm>
                                      <a:off x="5472" y="163933"/>
                                      <a:ext cx="6895" cy="863"/>
                                      <a:chOff x="5472" y="163933"/>
                                      <a:chExt cx="6895" cy="863"/>
                                    </a:xfrm>
                                  </wpg:grpSpPr>
                                  <wpg:grpSp>
                                    <wpg:cNvPr id="70" name="组合 20"/>
                                    <wpg:cNvGrpSpPr/>
                                    <wpg:grpSpPr>
                                      <a:xfrm>
                                        <a:off x="5472" y="164168"/>
                                        <a:ext cx="6895" cy="628"/>
                                        <a:chOff x="6239" y="164202"/>
                                        <a:chExt cx="6895" cy="628"/>
                                      </a:xfrm>
                                    </wpg:grpSpPr>
                                    <wpg:grpSp>
                                      <wpg:cNvPr id="71" name="组合 17"/>
                                      <wpg:cNvGrpSpPr/>
                                      <wpg:grpSpPr>
                                        <a:xfrm>
                                          <a:off x="6239" y="164202"/>
                                          <a:ext cx="3331" cy="628"/>
                                          <a:chOff x="2375" y="164202"/>
                                          <a:chExt cx="3331" cy="628"/>
                                        </a:xfrm>
                                      </wpg:grpSpPr>
                                      <wps:wsp>
                                        <wps:cNvPr id="72" name="文本框 1"/>
                                        <wps:cNvSpPr txBox="1"/>
                                        <wps:spPr>
                                          <a:xfrm>
                                            <a:off x="2375" y="164202"/>
                                            <a:ext cx="1581" cy="50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新鲜水</w:t>
                                              </w:r>
                                              <w:r>
                                                <w:rPr>
                                                  <w:rFonts w:hint="eastAsia"/>
                                                  <w:lang w:val="en-US" w:eastAsia="zh-CN"/>
                                                </w:rPr>
                                                <w:t>0.735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文本框 16"/>
                                        <wps:cNvSpPr txBox="1"/>
                                        <wps:spPr>
                                          <a:xfrm>
                                            <a:off x="3826" y="164330"/>
                                            <a:ext cx="1880" cy="500"/>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饮用水及冲厕水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4" name="直接箭头连接符 18"/>
                                      <wps:cNvCnPr/>
                                      <wps:spPr>
                                        <a:xfrm>
                                          <a:off x="6381" y="164624"/>
                                          <a:ext cx="1309" cy="4"/>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5" name="直接箭头连接符 24"/>
                                      <wps:cNvCnPr/>
                                      <wps:spPr>
                                        <a:xfrm>
                                          <a:off x="9601" y="164595"/>
                                          <a:ext cx="683"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6" name="直接箭头连接符 27"/>
                                      <wps:cNvCnPr/>
                                      <wps:spPr>
                                        <a:xfrm>
                                          <a:off x="12451" y="164593"/>
                                          <a:ext cx="683"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grpSp>
                                  <wps:wsp>
                                    <wps:cNvPr id="77" name="文本框 22"/>
                                    <wps:cNvSpPr txBox="1"/>
                                    <wps:spPr>
                                      <a:xfrm>
                                        <a:off x="8727" y="163933"/>
                                        <a:ext cx="883" cy="5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val="en-US" w:eastAsia="zh-CN"/>
                                            </w:rPr>
                                            <w:t>0.588</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78" name="文本框 28"/>
                                <wps:cNvSpPr txBox="1"/>
                                <wps:spPr>
                                  <a:xfrm>
                                    <a:off x="12357" y="164312"/>
                                    <a:ext cx="1999" cy="500"/>
                                  </a:xfrm>
                                  <a:prstGeom prst="rect">
                                    <a:avLst/>
                                  </a:prstGeom>
                                  <a:solidFill>
                                    <a:schemeClr val="bg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综合利用，不外排</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1.6pt;margin-top:64.65pt;height:58.1pt;width:447.2pt;z-index:251716608;mso-width-relative:page;mso-height-relative:page;" coordorigin="5472,163409" coordsize="8884,1403" o:gfxdata="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">
                      <o:lock v:ext="edit" aspectratio="f"/>
                      <v:shape id="文本框 23" o:spid="_x0000_s1026" o:spt="202" type="#_x0000_t202" style="position:absolute;left:7592;top:163409;height:517;width:916;" filled="f" stroked="f" coordsize="21600,21600" o:gfxdata="UEsDBAoAAAAAAIdO4kAAAAAAAAAAAAAAAAAEAAAAZHJzL1BLAwQUAAAACACHTuJA7Bk8/r8AAADb&#10;AAAADwAAAGRycy9kb3ducmV2LnhtbEWPQWvCQBSE7wX/w/IEb3UTaU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ZPP6/&#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lang w:eastAsia="zh-CN"/>
                                </w:rPr>
                              </w:pPr>
                              <w:r>
                                <w:rPr>
                                  <w:rFonts w:hint="eastAsia"/>
                                  <w:lang w:val="en-US" w:eastAsia="zh-CN"/>
                                </w:rPr>
                                <w:t>0.147</w:t>
                              </w:r>
                            </w:p>
                          </w:txbxContent>
                        </v:textbox>
                      </v:shape>
                      <v:group id="组合 33" o:spid="_x0000_s1026" o:spt="203" style="position:absolute;left:5472;top:163793;height:1019;width:8884;" coordorigin="5472,163793" coordsize="8884,1019"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shape id="文本框 26" o:spid="_x0000_s1026" o:spt="202" type="#_x0000_t202" style="position:absolute;left:11572;top:163793;height:598;width:967;" filled="f" stroked="f" coordsize="21600,21600" o:gfxdata="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wc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eastAsia="宋体"/>
                                    <w:lang w:eastAsia="zh-CN"/>
                                  </w:rPr>
                                </w:pPr>
                                <w:r>
                                  <w:rPr>
                                    <w:rFonts w:hint="eastAsia"/>
                                    <w:lang w:val="en-US" w:eastAsia="zh-CN"/>
                                  </w:rPr>
                                  <w:t>0.588</w:t>
                                </w:r>
                              </w:p>
                            </w:txbxContent>
                          </v:textbox>
                        </v:shape>
                        <v:group id="组合 30" o:spid="_x0000_s1026" o:spt="203" style="position:absolute;left:5472;top:163933;height:863;width:6895;" coordorigin="5472,163933" coordsize="6895,863"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shape id="文本框 14" o:spid="_x0000_s1026" o:spt="202" type="#_x0000_t202" style="position:absolute;left:9524;top:164279;height:500;width:2149;" fillcolor="#FFFFFF [3212]" filled="t" stroked="t" coordsize="21600,21600" o:gfxdata="UEsDBAoAAAAAAIdO4kAAAAAAAAAAAAAAAAAEAAAAZHJzL1BLAwQUAAAACACHTuJAWoT9XbQAAADb&#10;AAAADwAAAGRycy9kb3ducmV2LnhtbEVPvQrCMBDeBd8hnOCmaRWKVGNBQRA3tYvb0ZxtsbmUJFp9&#10;ezMIjh/f/6Z4m068yPnWsoJ0noAgrqxuuVZQXg+zFQgfkDV2lknBhzwU2/Fog7m2A5/pdQm1iCHs&#10;c1TQhNDnUvqqIYN+bnviyN2tMxgidLXUDocYbjq5SJJMGmw5NjTY076h6nF5GgXHbBduVOqTXi6W&#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ahP1d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服务区污水处理站</w:t>
                                  </w:r>
                                </w:p>
                              </w:txbxContent>
                            </v:textbox>
                          </v:shape>
                          <v:group id="组合 29" o:spid="_x0000_s1026" o:spt="203" style="position:absolute;left:5472;top:163933;height:863;width:6895;" coordorigin="5472,163933" coordsize="6895,863"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group id="组合 20" o:spid="_x0000_s1026" o:spt="203" style="position:absolute;left:5472;top:164168;height:628;width:6895;" coordorigin="6239,164202" coordsize="6895,628"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group id="组合 17" o:spid="_x0000_s1026" o:spt="203" style="position:absolute;left:6239;top:164202;height:628;width:3331;" coordorigin="2375,164202" coordsize="3331,628"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shape id="文本框 1" o:spid="_x0000_s1026" o:spt="202" type="#_x0000_t202" style="position:absolute;left:2375;top:164202;height:500;width:1581;" fillcolor="#FFFFFF [3212]" filled="t" stroked="f" coordsize="21600,21600" o:gfxdata="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xdPq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rPr>
                                            <w:rFonts w:hint="eastAsia" w:eastAsia="宋体"/>
                                            <w:lang w:eastAsia="zh-CN"/>
                                          </w:rPr>
                                        </w:pPr>
                                        <w:r>
                                          <w:rPr>
                                            <w:rFonts w:hint="eastAsia"/>
                                            <w:lang w:eastAsia="zh-CN"/>
                                          </w:rPr>
                                          <w:t>新鲜水</w:t>
                                        </w:r>
                                        <w:r>
                                          <w:rPr>
                                            <w:rFonts w:hint="eastAsia"/>
                                            <w:lang w:val="en-US" w:eastAsia="zh-CN"/>
                                          </w:rPr>
                                          <w:t>0.735</w:t>
                                        </w:r>
                                      </w:p>
                                    </w:txbxContent>
                                  </v:textbox>
                                </v:shape>
                                <v:shape id="文本框 16" o:spid="_x0000_s1026" o:spt="202" type="#_x0000_t202" style="position:absolute;left:3826;top:164330;height:500;width:1880;" fillcolor="#FFFFFF [3212]" filled="t" stroked="t" coordsize="21600,21600" o:gfxdata="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R+fnx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饮用水及冲厕水</w:t>
                                        </w:r>
                                      </w:p>
                                    </w:txbxContent>
                                  </v:textbox>
                                </v:shape>
                              </v:group>
                              <v:shape id="直接箭头连接符 18" o:spid="_x0000_s1026" o:spt="32" type="#_x0000_t32" style="position:absolute;left:6381;top:164624;height:4;width:1309;" filled="f" stroked="t" coordsize="21600,21600" o:gfxdata="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oDlG8AAAA&#10;2wAAAA8AAAAAAAAAAQAgAAAAIgAAAGRycy9kb3ducmV2LnhtbFBLAQIUABQAAAAIAIdO4kAzLwWe&#10;OwAAADkAAAAQAAAAAAAAAAEAIAAAAAsBAABkcnMvc2hhcGV4bWwueG1sUEsFBgAAAAAGAAYAWwEA&#10;ALUDAAAAAA==&#10;">
                                <v:fill on="f" focussize="0,0"/>
                                <v:stroke weight="0.5pt" color="#000000 [3200]" miterlimit="8" joinstyle="miter" endarrow="open"/>
                                <v:imagedata o:title=""/>
                                <o:lock v:ext="edit" aspectratio="f"/>
                              </v:shape>
                              <v:shape id="直接箭头连接符 24" o:spid="_x0000_s1026" o:spt="32" type="#_x0000_t32" style="position:absolute;left:9601;top:164595;height:0;width:683;" filled="f" stroked="t" coordsize="21600,21600" o:gfxdata="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JKvKvQAA&#10;ANs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shape id="直接箭头连接符 27" o:spid="_x0000_s1026" o:spt="32" type="#_x0000_t32" style="position:absolute;left:12451;top:164593;height:0;width:683;" filled="f" stroked="t" coordsize="21600,21600" o:gfxdata="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9jW9vQAA&#10;ANs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group>
                            <v:shape id="文本框 22" o:spid="_x0000_s1026" o:spt="202" type="#_x0000_t202" style="position:absolute;left:8727;top:163933;height:507;width:883;"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lang w:eastAsia="zh-CN"/>
                                      </w:rPr>
                                    </w:pPr>
                                    <w:r>
                                      <w:rPr>
                                        <w:rFonts w:hint="eastAsia"/>
                                        <w:lang w:val="en-US" w:eastAsia="zh-CN"/>
                                      </w:rPr>
                                      <w:t>0.588</w:t>
                                    </w:r>
                                  </w:p>
                                </w:txbxContent>
                              </v:textbox>
                            </v:shape>
                          </v:group>
                        </v:group>
                        <v:shape id="文本框 28" o:spid="_x0000_s1026" o:spt="202" type="#_x0000_t202" style="position:absolute;left:12357;top:164312;height:500;width:1999;" fillcolor="#FFFFFF [3212]" filled="t" stroked="t" coordsize="21600,21600" o:gfxdata="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fXWuA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综合利用，不外排</w:t>
                                </w:r>
                              </w:p>
                            </w:txbxContent>
                          </v:textbox>
                        </v:shape>
                      </v:group>
                    </v:group>
                  </w:pict>
                </mc:Fallback>
              </mc:AlternateContent>
            </w:r>
            <w:r>
              <w:rPr>
                <w:rFonts w:hint="default" w:ascii="Times New Roman" w:hAnsi="Times New Roman" w:cs="Times New Roman" w:eastAsiaTheme="minorEastAsia"/>
                <w:bCs/>
                <w:color w:val="auto"/>
                <w:spacing w:val="0"/>
                <w:kern w:val="2"/>
                <w:sz w:val="24"/>
                <w:szCs w:val="24"/>
                <w:lang w:val="en-US" w:bidi="ar-SA"/>
              </w:rPr>
              <w:t>污水量约</w:t>
            </w:r>
            <w:r>
              <w:rPr>
                <w:rFonts w:hint="default" w:ascii="Times New Roman" w:hAnsi="Times New Roman" w:cs="Times New Roman"/>
                <w:kern w:val="2"/>
                <w:sz w:val="24"/>
                <w:lang w:val="en-US" w:eastAsia="zh-CN"/>
              </w:rPr>
              <w:t>0.588</w:t>
            </w:r>
            <w:r>
              <w:rPr>
                <w:rFonts w:hint="default" w:ascii="Times New Roman" w:hAnsi="Times New Roman" w:eastAsia="宋体" w:cs="Times New Roman"/>
                <w:kern w:val="2"/>
                <w:sz w:val="24"/>
              </w:rPr>
              <w:t>m</w:t>
            </w:r>
            <w:r>
              <w:rPr>
                <w:rFonts w:hint="default" w:ascii="Times New Roman" w:hAnsi="Times New Roman" w:eastAsia="宋体" w:cs="Times New Roman"/>
                <w:kern w:val="2"/>
                <w:sz w:val="24"/>
                <w:vertAlign w:val="superscript"/>
              </w:rPr>
              <w:t>3</w:t>
            </w:r>
            <w:r>
              <w:rPr>
                <w:rFonts w:hint="default" w:ascii="Times New Roman" w:hAnsi="Times New Roman" w:eastAsia="宋体" w:cs="Times New Roman"/>
                <w:kern w:val="2"/>
                <w:sz w:val="24"/>
              </w:rPr>
              <w:t>/</w:t>
            </w:r>
            <w:r>
              <w:rPr>
                <w:rFonts w:hint="default" w:ascii="Times New Roman" w:hAnsi="Times New Roman" w:cs="Times New Roman"/>
                <w:kern w:val="2"/>
                <w:sz w:val="24"/>
                <w:lang w:val="en-US" w:eastAsia="zh-CN"/>
              </w:rPr>
              <w:t>d</w:t>
            </w:r>
            <w:r>
              <w:rPr>
                <w:rFonts w:hint="default" w:ascii="Times New Roman" w:hAnsi="Times New Roman" w:cs="Times New Roman" w:eastAsiaTheme="minorEastAsia"/>
                <w:bCs/>
                <w:color w:val="auto"/>
                <w:spacing w:val="0"/>
                <w:kern w:val="2"/>
                <w:sz w:val="24"/>
                <w:szCs w:val="24"/>
                <w:lang w:val="en-US" w:eastAsia="zh-CN" w:bidi="ar-SA"/>
              </w:rPr>
              <w:t>（214.62</w:t>
            </w:r>
            <w:r>
              <w:rPr>
                <w:rFonts w:hint="default" w:ascii="Times New Roman" w:hAnsi="Times New Roman" w:eastAsia="宋体" w:cs="Times New Roman"/>
                <w:kern w:val="2"/>
                <w:sz w:val="24"/>
              </w:rPr>
              <w:t>m</w:t>
            </w:r>
            <w:r>
              <w:rPr>
                <w:rFonts w:hint="default" w:ascii="Times New Roman" w:hAnsi="Times New Roman" w:eastAsia="宋体" w:cs="Times New Roman"/>
                <w:kern w:val="2"/>
                <w:sz w:val="24"/>
                <w:vertAlign w:val="superscript"/>
              </w:rPr>
              <w:t>3</w:t>
            </w:r>
            <w:r>
              <w:rPr>
                <w:rFonts w:hint="default" w:ascii="Times New Roman" w:hAnsi="Times New Roman" w:eastAsia="宋体" w:cs="Times New Roman"/>
                <w:kern w:val="2"/>
                <w:sz w:val="24"/>
              </w:rPr>
              <w:t>/a</w:t>
            </w:r>
            <w:r>
              <w:rPr>
                <w:rFonts w:hint="default" w:ascii="Times New Roman" w:hAnsi="Times New Roman" w:cs="Times New Roman"/>
                <w:kern w:val="2"/>
                <w:sz w:val="24"/>
                <w:lang w:eastAsia="zh-CN"/>
              </w:rPr>
              <w:t>）</w:t>
            </w:r>
            <w:r>
              <w:rPr>
                <w:rFonts w:hint="default" w:ascii="Times New Roman" w:hAnsi="Times New Roman" w:cs="Times New Roman" w:eastAsiaTheme="minorEastAsia"/>
                <w:bCs/>
                <w:color w:val="auto"/>
                <w:spacing w:val="0"/>
                <w:kern w:val="2"/>
                <w:sz w:val="24"/>
                <w:szCs w:val="24"/>
                <w:lang w:val="en-US" w:bidi="ar-SA"/>
              </w:rPr>
              <w:t>，</w:t>
            </w:r>
            <w:r>
              <w:rPr>
                <w:rFonts w:hint="default" w:ascii="Times New Roman" w:hAnsi="Times New Roman" w:cs="Times New Roman"/>
                <w:snapToGrid w:val="0"/>
                <w:color w:val="auto"/>
                <w:kern w:val="0"/>
                <w:sz w:val="24"/>
              </w:rPr>
              <w:t>项目</w:t>
            </w:r>
            <w:r>
              <w:rPr>
                <w:rFonts w:hint="default" w:ascii="Times New Roman" w:hAnsi="Times New Roman" w:cs="Times New Roman"/>
                <w:snapToGrid w:val="0"/>
                <w:color w:val="auto"/>
                <w:kern w:val="0"/>
                <w:sz w:val="24"/>
                <w:szCs w:val="24"/>
              </w:rPr>
              <w:t>站内废水依托服务区内调节池+一体化埋地式中水回用膜处理设备处理后，出水回用于服务区绿化</w:t>
            </w:r>
            <w:r>
              <w:rPr>
                <w:rFonts w:hint="eastAsia" w:ascii="Times New Roman" w:hAnsi="Times New Roman" w:cs="Times New Roman"/>
                <w:snapToGrid w:val="0"/>
                <w:color w:val="auto"/>
                <w:kern w:val="0"/>
                <w:sz w:val="24"/>
                <w:szCs w:val="24"/>
                <w:lang w:eastAsia="zh-CN"/>
              </w:rPr>
              <w:t>及冲厕</w:t>
            </w:r>
            <w:r>
              <w:rPr>
                <w:rFonts w:hint="default" w:ascii="Times New Roman" w:hAnsi="Times New Roman" w:cs="Times New Roman"/>
                <w:snapToGrid w:val="0"/>
                <w:color w:val="auto"/>
                <w:kern w:val="0"/>
                <w:sz w:val="24"/>
                <w:szCs w:val="24"/>
              </w:rPr>
              <w:t>用水，不外排</w:t>
            </w:r>
            <w:r>
              <w:rPr>
                <w:rFonts w:hint="default" w:ascii="Times New Roman" w:hAnsi="Times New Roman" w:cs="Times New Roman"/>
                <w:snapToGrid w:val="0"/>
                <w:color w:val="auto"/>
                <w:kern w:val="0"/>
                <w:sz w:val="24"/>
                <w:lang w:eastAsia="zh-CN"/>
              </w:rPr>
              <w:t>。</w:t>
            </w:r>
            <w:r>
              <w:rPr>
                <w:rFonts w:hint="default" w:ascii="Times New Roman" w:hAnsi="Times New Roman" w:cs="Times New Roman" w:eastAsiaTheme="minorEastAsia"/>
                <w:bCs/>
                <w:color w:val="auto"/>
                <w:spacing w:val="0"/>
                <w:kern w:val="2"/>
                <w:sz w:val="24"/>
                <w:szCs w:val="24"/>
                <w:lang w:val="en-US" w:eastAsia="zh-CN" w:bidi="ar-SA"/>
              </w:rPr>
              <w:t>项目水平衡如下图</w:t>
            </w:r>
            <w:r>
              <w:rPr>
                <w:rFonts w:hint="eastAsia" w:ascii="Times New Roman" w:hAnsi="Times New Roman" w:cs="Times New Roman" w:eastAsiaTheme="minorEastAsia"/>
                <w:bCs/>
                <w:color w:val="auto"/>
                <w:spacing w:val="0"/>
                <w:kern w:val="2"/>
                <w:sz w:val="24"/>
                <w:szCs w:val="24"/>
                <w:lang w:val="en-US" w:eastAsia="zh-CN" w:bidi="ar-SA"/>
              </w:rPr>
              <w:t>2-</w:t>
            </w:r>
            <w:r>
              <w:rPr>
                <w:rFonts w:hint="default" w:ascii="Times New Roman" w:hAnsi="Times New Roman" w:cs="Times New Roman" w:eastAsiaTheme="minorEastAsia"/>
                <w:bCs/>
                <w:color w:val="auto"/>
                <w:spacing w:val="0"/>
                <w:kern w:val="2"/>
                <w:sz w:val="24"/>
                <w:szCs w:val="24"/>
                <w:lang w:val="en-US" w:eastAsia="zh-CN" w:bidi="ar-SA"/>
              </w:rPr>
              <w:t>1所示。</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cs="Times New Roman" w:eastAsiaTheme="minorEastAsia"/>
                <w:bCs/>
                <w:color w:val="auto"/>
                <w:kern w:val="2"/>
                <w:sz w:val="24"/>
                <w:szCs w:val="24"/>
                <w:lang w:val="en-US" w:eastAsia="zh-CN"/>
              </w:rPr>
            </w:pPr>
            <w:r>
              <w:rPr>
                <w:sz w:val="24"/>
              </w:rPr>
              <mc:AlternateContent>
                <mc:Choice Requires="wps">
                  <w:drawing>
                    <wp:anchor distT="0" distB="0" distL="114300" distR="114300" simplePos="0" relativeHeight="251717632" behindDoc="0" locked="0" layoutInCell="1" allowOverlap="1">
                      <wp:simplePos x="0" y="0"/>
                      <wp:positionH relativeFrom="column">
                        <wp:posOffset>1430655</wp:posOffset>
                      </wp:positionH>
                      <wp:positionV relativeFrom="paragraph">
                        <wp:posOffset>201295</wp:posOffset>
                      </wp:positionV>
                      <wp:extent cx="364490" cy="182880"/>
                      <wp:effectExtent l="1905" t="6350" r="14605" b="20320"/>
                      <wp:wrapNone/>
                      <wp:docPr id="81" name="直接箭头连接符 81"/>
                      <wp:cNvGraphicFramePr/>
                      <a:graphic xmlns:a="http://schemas.openxmlformats.org/drawingml/2006/main">
                        <a:graphicData uri="http://schemas.microsoft.com/office/word/2010/wordprocessingShape">
                          <wps:wsp>
                            <wps:cNvCnPr>
                              <a:endCxn id="64" idx="2"/>
                            </wps:cNvCnPr>
                            <wps:spPr>
                              <a:xfrm flipV="1">
                                <a:off x="2195195" y="2242185"/>
                                <a:ext cx="364490" cy="182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12.65pt;margin-top:15.85pt;height:14.4pt;width:28.7pt;z-index:251717632;mso-width-relative:page;mso-height-relative:page;" filled="f" stroked="t" coordsize="21600,21600" o:gfxdata="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ugBj9kAAAAJAQAADwAAAAAAAAABACAAAAAiAAAAZHJzL2Rvd25yZXYueG1sUEsB&#10;AhQAFAAAAAgAh07iQHOur2UtAgAAIgQAAA4AAAAAAAAAAQAgAAAAKAEAAGRycy9lMm9Eb2MueG1s&#10;UEsFBgAAAAAGAAYAWQEAAMcFAAAAAA==&#10;">
                      <v:fill on="f" focussize="0,0"/>
                      <v:stroke weight="0.5pt" color="#000000 [3213]" miterlimit="8" joinstyle="miter" endarrow="open"/>
                      <v:imagedata o:title=""/>
                      <o:lock v:ext="edit" aspectratio="f"/>
                    </v:shape>
                  </w:pict>
                </mc:Fallback>
              </mc:AlternateConten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cs="Times New Roman" w:eastAsiaTheme="minorEastAsia"/>
                <w:bCs/>
                <w:color w:val="auto"/>
                <w:kern w:val="2"/>
                <w:sz w:val="24"/>
                <w:szCs w:val="24"/>
                <w:lang w:val="en-US" w:eastAsia="zh-CN"/>
              </w:rPr>
            </w:pP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default" w:ascii="Times New Roman" w:hAnsi="Times New Roman" w:cs="Times New Roman" w:eastAsiaTheme="minorEastAsia"/>
                <w:bCs/>
                <w:color w:val="auto"/>
                <w:kern w:val="2"/>
                <w:sz w:val="24"/>
                <w:szCs w:val="24"/>
                <w:lang w:val="en-US" w:eastAsia="zh-CN"/>
              </w:rPr>
            </w:pP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2" w:firstLineChars="200"/>
              <w:jc w:val="center"/>
              <w:textAlignment w:val="auto"/>
              <w:outlineLvl w:val="9"/>
              <w:rPr>
                <w:rFonts w:hint="default" w:ascii="Times New Roman" w:hAnsi="Times New Roman" w:cs="Times New Roman" w:eastAsiaTheme="minorEastAsia"/>
                <w:bCs/>
                <w:color w:val="auto"/>
                <w:kern w:val="2"/>
                <w:sz w:val="24"/>
                <w:szCs w:val="24"/>
                <w:lang w:val="en-US" w:eastAsia="zh-CN"/>
              </w:rPr>
            </w:pPr>
            <w:r>
              <w:rPr>
                <w:rFonts w:hint="default" w:ascii="Times New Roman" w:hAnsi="Times New Roman" w:eastAsia="宋体" w:cs="Times New Roman"/>
                <w:b/>
                <w:color w:val="000000"/>
                <w:kern w:val="2"/>
                <w:sz w:val="21"/>
                <w:szCs w:val="21"/>
                <w:lang w:val="en-US" w:eastAsia="zh-CN" w:bidi="ar-SA"/>
              </w:rPr>
              <w:t>图</w:t>
            </w:r>
            <w:r>
              <w:rPr>
                <w:rFonts w:hint="default" w:ascii="Times New Roman" w:hAnsi="Times New Roman" w:cs="Times New Roman"/>
                <w:b/>
                <w:color w:val="000000"/>
                <w:kern w:val="2"/>
                <w:sz w:val="21"/>
                <w:szCs w:val="21"/>
                <w:lang w:val="en-US" w:eastAsia="zh-CN" w:bidi="ar-SA"/>
              </w:rPr>
              <w:t>2</w:t>
            </w:r>
            <w:r>
              <w:rPr>
                <w:rFonts w:hint="eastAsia" w:ascii="Times New Roman" w:hAnsi="Times New Roman" w:cs="Times New Roman"/>
                <w:b/>
                <w:color w:val="000000"/>
                <w:kern w:val="2"/>
                <w:sz w:val="21"/>
                <w:szCs w:val="21"/>
                <w:lang w:val="en-US" w:eastAsia="zh-CN" w:bidi="ar-SA"/>
              </w:rPr>
              <w:t>-</w:t>
            </w:r>
            <w:r>
              <w:rPr>
                <w:rFonts w:hint="default" w:ascii="Times New Roman" w:hAnsi="Times New Roman" w:eastAsia="宋体" w:cs="Times New Roman"/>
                <w:b/>
                <w:color w:val="000000"/>
                <w:kern w:val="2"/>
                <w:sz w:val="21"/>
                <w:szCs w:val="21"/>
                <w:lang w:val="en-US" w:eastAsia="zh-CN" w:bidi="ar-SA"/>
              </w:rPr>
              <w:t>1</w:t>
            </w:r>
            <w:r>
              <w:rPr>
                <w:rFonts w:hint="eastAsia" w:ascii="Times New Roman" w:hAnsi="Times New Roman" w:cs="Times New Roman"/>
                <w:b/>
                <w:color w:val="000000"/>
                <w:kern w:val="2"/>
                <w:sz w:val="21"/>
                <w:szCs w:val="21"/>
                <w:lang w:val="en-US" w:eastAsia="zh-CN" w:bidi="ar-SA"/>
              </w:rPr>
              <w:t xml:space="preserve"> </w:t>
            </w:r>
            <w:r>
              <w:rPr>
                <w:rFonts w:hint="default" w:ascii="Times New Roman" w:hAnsi="Times New Roman" w:eastAsia="宋体" w:cs="Times New Roman"/>
                <w:b/>
                <w:color w:val="000000"/>
                <w:kern w:val="2"/>
                <w:sz w:val="21"/>
                <w:szCs w:val="21"/>
                <w:lang w:val="en-US" w:eastAsia="zh-CN" w:bidi="ar-SA"/>
              </w:rPr>
              <w:t>项目水平衡图</w:t>
            </w:r>
            <w:r>
              <w:rPr>
                <w:rFonts w:hint="default" w:ascii="Times New Roman" w:hAnsi="Times New Roman" w:eastAsia="宋体" w:cs="Times New Roman"/>
                <w:b/>
                <w:bCs/>
                <w:kern w:val="2"/>
                <w:sz w:val="24"/>
                <w:lang w:val="en-US" w:eastAsia="zh-CN"/>
              </w:rPr>
              <w:t xml:space="preserve"> </w:t>
            </w:r>
            <w:r>
              <w:rPr>
                <w:rFonts w:hint="default" w:ascii="Times New Roman" w:hAnsi="Times New Roman" w:eastAsia="宋体" w:cs="Times New Roman"/>
                <w:b/>
                <w:bCs/>
                <w:kern w:val="2"/>
                <w:sz w:val="21"/>
                <w:szCs w:val="21"/>
                <w:lang w:val="en-US" w:eastAsia="zh-CN"/>
              </w:rPr>
              <w:t xml:space="preserve">  （单位：</w:t>
            </w:r>
            <w:r>
              <w:rPr>
                <w:rFonts w:hint="default" w:ascii="Times New Roman" w:hAnsi="Times New Roman" w:eastAsia="宋体" w:cs="Times New Roman"/>
                <w:b/>
                <w:bCs/>
                <w:kern w:val="2"/>
                <w:sz w:val="21"/>
                <w:szCs w:val="21"/>
              </w:rPr>
              <w:t>m</w:t>
            </w:r>
            <w:r>
              <w:rPr>
                <w:rFonts w:hint="default" w:ascii="Times New Roman" w:hAnsi="Times New Roman" w:eastAsia="宋体" w:cs="Times New Roman"/>
                <w:b/>
                <w:bCs/>
                <w:kern w:val="2"/>
                <w:sz w:val="21"/>
                <w:szCs w:val="21"/>
                <w:vertAlign w:val="superscript"/>
              </w:rPr>
              <w:t>3</w:t>
            </w:r>
            <w:r>
              <w:rPr>
                <w:rFonts w:hint="default" w:ascii="Times New Roman" w:hAnsi="Times New Roman" w:eastAsia="宋体" w:cs="Times New Roman"/>
                <w:b/>
                <w:bCs/>
                <w:kern w:val="2"/>
                <w:sz w:val="21"/>
                <w:szCs w:val="21"/>
              </w:rPr>
              <w:t>/d</w:t>
            </w:r>
            <w:r>
              <w:rPr>
                <w:rFonts w:hint="default" w:ascii="Times New Roman" w:hAnsi="Times New Roman" w:eastAsia="宋体" w:cs="Times New Roman"/>
                <w:b/>
                <w:bCs/>
                <w:kern w:val="2"/>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jc w:val="center"/>
        </w:trPr>
        <w:tc>
          <w:tcPr>
            <w:tcW w:w="9507" w:type="dxa"/>
            <w:vAlign w:val="top"/>
          </w:tcPr>
          <w:p>
            <w:pPr>
              <w:pStyle w:val="19"/>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Autospacing="0" w:line="480" w:lineRule="auto"/>
              <w:ind w:leftChars="0" w:right="0" w:rightChars="0"/>
              <w:textAlignment w:val="auto"/>
              <w:rPr>
                <w:rFonts w:hint="default" w:ascii="Times New Roman" w:hAnsi="Times New Roman" w:eastAsia="宋体" w:cs="Times New Roman"/>
                <w:b/>
                <w:spacing w:val="0"/>
                <w:kern w:val="2"/>
                <w:sz w:val="24"/>
                <w:lang w:val="en-US" w:eastAsia="zh-CN"/>
              </w:rPr>
            </w:pPr>
            <w:r>
              <w:rPr>
                <w:rFonts w:hint="default" w:ascii="Times New Roman" w:hAnsi="Times New Roman" w:eastAsia="宋体" w:cs="Times New Roman"/>
                <w:b w:val="0"/>
                <w:bCs/>
                <w:spacing w:val="0"/>
                <w:kern w:val="2"/>
                <w:sz w:val="24"/>
                <w:lang w:val="en-US" w:eastAsia="zh-CN"/>
              </w:rPr>
              <w:t>主要工艺流程及产物环节（附处理工艺流程图，标出产污节点）</w:t>
            </w:r>
          </w:p>
          <w:p>
            <w:pPr>
              <w:keepNext w:val="0"/>
              <w:keepLines w:val="0"/>
              <w:pageBreakBefore w:val="0"/>
              <w:numPr>
                <w:ilvl w:val="0"/>
                <w:numId w:val="0"/>
              </w:numPr>
              <w:suppressLineNumbers w:val="0"/>
              <w:kinsoku/>
              <w:overflowPunct/>
              <w:topLinePunct w:val="0"/>
              <w:bidi w:val="0"/>
              <w:adjustRightInd w:val="0"/>
              <w:snapToGrid w:val="0"/>
              <w:spacing w:beforeAutospacing="0" w:afterAutospacing="0" w:line="360" w:lineRule="auto"/>
              <w:ind w:left="480" w:leftChars="0" w:right="0" w:rightChars="0"/>
              <w:outlineLvl w:val="9"/>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加油站总工艺流程</w:t>
            </w:r>
            <w:r>
              <w:rPr>
                <w:rFonts w:hint="eastAsia" w:ascii="Times New Roman" w:hAnsi="Times New Roman" w:cs="Times New Roman"/>
                <w:color w:val="auto"/>
                <w:kern w:val="2"/>
                <w:sz w:val="24"/>
                <w:szCs w:val="24"/>
                <w:lang w:val="en-US" w:eastAsia="zh-CN"/>
              </w:rPr>
              <w:t>及产污环节</w:t>
            </w:r>
            <w:r>
              <w:rPr>
                <w:rFonts w:hint="default" w:ascii="Times New Roman" w:hAnsi="Times New Roman" w:eastAsia="宋体" w:cs="Times New Roman"/>
                <w:color w:val="auto"/>
                <w:kern w:val="2"/>
                <w:sz w:val="24"/>
                <w:szCs w:val="24"/>
                <w:lang w:val="en-US" w:eastAsia="zh-CN"/>
              </w:rPr>
              <w:t>见图</w:t>
            </w:r>
            <w:r>
              <w:rPr>
                <w:rFonts w:hint="default" w:ascii="Times New Roman" w:hAnsi="Times New Roman" w:cs="Times New Roman"/>
                <w:color w:val="auto"/>
                <w:kern w:val="2"/>
                <w:sz w:val="24"/>
                <w:szCs w:val="24"/>
                <w:lang w:val="en-US" w:eastAsia="zh-CN"/>
              </w:rPr>
              <w:t>2</w:t>
            </w:r>
            <w:r>
              <w:rPr>
                <w:rFonts w:hint="eastAsia" w:ascii="Times New Roman" w:hAnsi="Times New Roman" w:cs="Times New Roman"/>
                <w:color w:val="auto"/>
                <w:kern w:val="2"/>
                <w:sz w:val="24"/>
                <w:szCs w:val="24"/>
                <w:lang w:val="en-US" w:eastAsia="zh-CN"/>
              </w:rPr>
              <w:t>-</w:t>
            </w:r>
            <w:r>
              <w:rPr>
                <w:rFonts w:hint="default" w:ascii="Times New Roman" w:hAnsi="Times New Roman" w:cs="Times New Roman"/>
                <w:color w:val="auto"/>
                <w:kern w:val="2"/>
                <w:sz w:val="24"/>
                <w:szCs w:val="24"/>
                <w:lang w:val="en-US" w:eastAsia="zh-CN"/>
              </w:rPr>
              <w:t>2</w:t>
            </w:r>
            <w:r>
              <w:rPr>
                <w:rFonts w:hint="default" w:ascii="Times New Roman" w:hAnsi="Times New Roman" w:eastAsia="宋体" w:cs="Times New Roman"/>
                <w:color w:val="auto"/>
                <w:kern w:val="2"/>
                <w:sz w:val="24"/>
                <w:szCs w:val="24"/>
                <w:lang w:val="en-US" w:eastAsia="zh-CN"/>
              </w:rPr>
              <w:t>。</w:t>
            </w:r>
          </w:p>
          <w:p>
            <w:pPr>
              <w:keepNext w:val="0"/>
              <w:keepLines w:val="0"/>
              <w:pageBreakBefore w:val="0"/>
              <w:numPr>
                <w:ilvl w:val="0"/>
                <w:numId w:val="0"/>
              </w:numPr>
              <w:suppressLineNumbers w:val="0"/>
              <w:kinsoku/>
              <w:overflowPunct/>
              <w:topLinePunct w:val="0"/>
              <w:bidi w:val="0"/>
              <w:adjustRightInd w:val="0"/>
              <w:snapToGrid w:val="0"/>
              <w:spacing w:beforeAutospacing="0" w:afterAutospacing="0" w:line="360" w:lineRule="auto"/>
              <w:ind w:right="0" w:rightChars="0"/>
              <w:jc w:val="center"/>
              <w:outlineLvl w:val="9"/>
              <w:rPr>
                <w:rFonts w:hint="default" w:ascii="Times New Roman" w:hAnsi="Times New Roman" w:eastAsia="宋体" w:cs="Times New Roman"/>
                <w:color w:val="auto"/>
                <w:kern w:val="2"/>
                <w:sz w:val="24"/>
                <w:szCs w:val="24"/>
                <w:lang w:val="en-US" w:eastAsia="zh-CN"/>
              </w:rPr>
            </w:pPr>
            <w:r>
              <w:drawing>
                <wp:inline distT="0" distB="0" distL="114300" distR="114300">
                  <wp:extent cx="5549265" cy="2642870"/>
                  <wp:effectExtent l="0" t="0" r="13335" b="5080"/>
                  <wp:docPr id="358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9" name="图片 2"/>
                          <pic:cNvPicPr>
                            <a:picLocks noChangeAspect="1"/>
                          </pic:cNvPicPr>
                        </pic:nvPicPr>
                        <pic:blipFill>
                          <a:blip r:embed="rId11"/>
                          <a:stretch>
                            <a:fillRect/>
                          </a:stretch>
                        </pic:blipFill>
                        <pic:spPr>
                          <a:xfrm>
                            <a:off x="0" y="0"/>
                            <a:ext cx="5549265" cy="2642870"/>
                          </a:xfrm>
                          <a:prstGeom prst="rect">
                            <a:avLst/>
                          </a:prstGeom>
                          <a:noFill/>
                          <a:ln w="9525">
                            <a:noFill/>
                          </a:ln>
                        </pic:spPr>
                      </pic:pic>
                    </a:graphicData>
                  </a:graphic>
                </wp:inline>
              </w:drawing>
            </w:r>
          </w:p>
          <w:p>
            <w:pPr>
              <w:keepNext w:val="0"/>
              <w:keepLines w:val="0"/>
              <w:pageBreakBefore w:val="0"/>
              <w:numPr>
                <w:ilvl w:val="0"/>
                <w:numId w:val="0"/>
              </w:numPr>
              <w:suppressLineNumbers w:val="0"/>
              <w:kinsoku/>
              <w:overflowPunct/>
              <w:topLinePunct w:val="0"/>
              <w:bidi w:val="0"/>
              <w:adjustRightInd w:val="0"/>
              <w:snapToGrid w:val="0"/>
              <w:spacing w:beforeAutospacing="0" w:afterAutospacing="0" w:line="360" w:lineRule="auto"/>
              <w:ind w:right="0" w:rightChars="0"/>
              <w:jc w:val="center"/>
              <w:outlineLvl w:val="9"/>
              <w:rPr>
                <w:rFonts w:hint="default" w:ascii="Times New Roman" w:hAnsi="Times New Roman" w:eastAsia="宋体" w:cs="Times New Roman"/>
                <w:b/>
                <w:bCs/>
                <w:color w:val="auto"/>
                <w:kern w:val="2"/>
                <w:sz w:val="21"/>
                <w:szCs w:val="21"/>
                <w:lang w:val="en-US" w:eastAsia="zh-CN"/>
              </w:rPr>
            </w:pPr>
            <w:r>
              <w:rPr>
                <w:rFonts w:hint="default" w:ascii="Times New Roman" w:hAnsi="Times New Roman" w:cs="Times New Roman"/>
                <w:b/>
                <w:bCs/>
                <w:kern w:val="2"/>
                <w:sz w:val="21"/>
                <w:szCs w:val="21"/>
                <w:lang w:val="en-US" w:eastAsia="zh-CN"/>
              </w:rPr>
              <w:t>图2</w:t>
            </w:r>
            <w:r>
              <w:rPr>
                <w:rFonts w:hint="eastAsia" w:ascii="Times New Roman" w:hAnsi="Times New Roman" w:cs="Times New Roman"/>
                <w:b/>
                <w:bCs/>
                <w:kern w:val="2"/>
                <w:sz w:val="21"/>
                <w:szCs w:val="21"/>
                <w:lang w:val="en-US" w:eastAsia="zh-CN"/>
              </w:rPr>
              <w:t>-</w:t>
            </w:r>
            <w:r>
              <w:rPr>
                <w:rFonts w:hint="default" w:ascii="Times New Roman" w:hAnsi="Times New Roman" w:cs="Times New Roman"/>
                <w:b/>
                <w:bCs/>
                <w:kern w:val="2"/>
                <w:sz w:val="21"/>
                <w:szCs w:val="21"/>
                <w:lang w:val="en-US" w:eastAsia="zh-CN"/>
              </w:rPr>
              <w:t xml:space="preserve">2  </w:t>
            </w:r>
            <w:r>
              <w:rPr>
                <w:rFonts w:hint="default" w:ascii="Times New Roman" w:hAnsi="Times New Roman" w:eastAsia="宋体" w:cs="Times New Roman"/>
                <w:b/>
                <w:bCs/>
                <w:color w:val="auto"/>
                <w:kern w:val="2"/>
                <w:sz w:val="21"/>
                <w:szCs w:val="21"/>
                <w:lang w:val="en-US" w:eastAsia="zh-CN"/>
              </w:rPr>
              <w:t>加油站总工艺流程</w:t>
            </w:r>
            <w:r>
              <w:rPr>
                <w:rFonts w:hint="eastAsia" w:ascii="Times New Roman" w:hAnsi="Times New Roman" w:cs="Times New Roman"/>
                <w:b/>
                <w:bCs/>
                <w:color w:val="auto"/>
                <w:kern w:val="2"/>
                <w:sz w:val="21"/>
                <w:szCs w:val="21"/>
                <w:lang w:val="en-US" w:eastAsia="zh-CN"/>
              </w:rPr>
              <w:t>及产污环节</w:t>
            </w:r>
          </w:p>
          <w:p>
            <w:pPr>
              <w:pStyle w:val="5"/>
              <w:keepNext w:val="0"/>
              <w:keepLines w:val="0"/>
              <w:pageBreakBefore w:val="0"/>
              <w:widowControl w:val="0"/>
              <w:numPr>
                <w:ilvl w:val="-1"/>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default" w:ascii="Times New Roman" w:hAnsi="Times New Roman" w:cs="Times New Roman"/>
                <w:b w:val="0"/>
                <w:bCs/>
                <w:kern w:val="2"/>
                <w:sz w:val="24"/>
                <w:szCs w:val="22"/>
                <w:lang w:val="en-US" w:eastAsia="zh-CN"/>
              </w:rPr>
            </w:pPr>
            <w:r>
              <w:rPr>
                <w:rFonts w:hint="default" w:ascii="Times New Roman" w:hAnsi="Times New Roman" w:cs="Times New Roman"/>
                <w:b w:val="0"/>
                <w:bCs/>
                <w:kern w:val="2"/>
                <w:sz w:val="24"/>
                <w:szCs w:val="22"/>
                <w:lang w:val="en-US" w:eastAsia="zh-CN"/>
              </w:rPr>
              <w:t>工艺流程及产污环节简述：</w:t>
            </w:r>
          </w:p>
          <w:p>
            <w:pPr>
              <w:pStyle w:val="5"/>
              <w:keepNext w:val="0"/>
              <w:keepLines w:val="0"/>
              <w:pageBreakBefore w:val="0"/>
              <w:numPr>
                <w:ilvl w:val="0"/>
                <w:numId w:val="0"/>
              </w:numPr>
              <w:suppressLineNumbers w:val="0"/>
              <w:kinsoku/>
              <w:overflowPunct/>
              <w:topLinePunct w:val="0"/>
              <w:autoSpaceDE/>
              <w:autoSpaceDN/>
              <w:bidi w:val="0"/>
              <w:adjustRightInd/>
              <w:snapToGrid/>
              <w:spacing w:beforeAutospacing="0" w:afterLines="0" w:afterAutospacing="0" w:line="360" w:lineRule="auto"/>
              <w:ind w:leftChars="200" w:right="0" w:rightChars="0"/>
              <w:outlineLvl w:val="9"/>
              <w:rPr>
                <w:rFonts w:hint="default" w:ascii="Times New Roman" w:hAnsi="Times New Roman" w:cs="Times New Roman"/>
                <w:b w:val="0"/>
                <w:bCs/>
                <w:kern w:val="2"/>
                <w:sz w:val="24"/>
                <w:szCs w:val="22"/>
                <w:lang w:val="en-US" w:eastAsia="zh-CN"/>
              </w:rPr>
            </w:pPr>
            <w:r>
              <w:rPr>
                <w:rFonts w:hint="eastAsia" w:ascii="Times New Roman" w:hAnsi="Times New Roman" w:cs="Times New Roman"/>
                <w:b w:val="0"/>
                <w:bCs/>
                <w:kern w:val="2"/>
                <w:sz w:val="24"/>
                <w:szCs w:val="22"/>
                <w:lang w:val="en-US" w:eastAsia="zh-CN"/>
              </w:rPr>
              <w:t>（一）</w:t>
            </w:r>
            <w:r>
              <w:rPr>
                <w:rFonts w:hint="default" w:ascii="Times New Roman" w:hAnsi="Times New Roman" w:cs="Times New Roman"/>
                <w:b w:val="0"/>
                <w:bCs/>
                <w:kern w:val="2"/>
                <w:sz w:val="24"/>
                <w:szCs w:val="22"/>
                <w:lang w:val="en-US" w:eastAsia="zh-CN"/>
              </w:rPr>
              <w:t>卸油</w:t>
            </w:r>
          </w:p>
          <w:p>
            <w:pPr>
              <w:pStyle w:val="5"/>
              <w:keepNext w:val="0"/>
              <w:keepLines w:val="0"/>
              <w:pageBreakBefore w:val="0"/>
              <w:widowControl w:val="0"/>
              <w:numPr>
                <w:ilvl w:val="-1"/>
                <w:numId w:val="0"/>
              </w:numPr>
              <w:suppressLineNumbers w:val="0"/>
              <w:kinsoku/>
              <w:wordWrap/>
              <w:overflowPunct/>
              <w:topLinePunct w:val="0"/>
              <w:autoSpaceDE/>
              <w:autoSpaceDN/>
              <w:bidi w:val="0"/>
              <w:adjustRightInd/>
              <w:snapToGrid/>
              <w:spacing w:beforeAutospacing="0" w:afterLines="0" w:afterAutospacing="0" w:line="360" w:lineRule="auto"/>
              <w:ind w:left="220" w:leftChars="100" w:right="290" w:rightChars="132" w:firstLine="480" w:firstLineChars="200"/>
              <w:textAlignment w:val="auto"/>
              <w:outlineLvl w:val="9"/>
              <w:rPr>
                <w:rFonts w:hint="default" w:ascii="Times New Roman" w:hAnsi="Times New Roman" w:eastAsia="宋体" w:cs="Times New Roman"/>
                <w:snapToGrid w:val="0"/>
                <w:kern w:val="0"/>
                <w:sz w:val="24"/>
                <w:szCs w:val="24"/>
                <w:lang w:val="en-US" w:eastAsia="zh-CN"/>
              </w:rPr>
            </w:pPr>
            <w:r>
              <w:rPr>
                <w:rFonts w:hint="default" w:ascii="Times New Roman" w:hAnsi="Times New Roman" w:eastAsia="宋体" w:cs="Times New Roman"/>
                <w:snapToGrid w:val="0"/>
                <w:kern w:val="0"/>
                <w:sz w:val="24"/>
                <w:szCs w:val="24"/>
              </w:rPr>
              <w:t>装载油品的槽车进入油罐区前，汽车尾气管戴上防护罩，在收油员的指挥下稳定停靠在埋地油罐区密闭卸油口旁，与卸油口保持3-5米的距离，卸油作业前，卸油人员先用量油杆（铝材）检查待收油的油罐，确定其有效容积，是否可接受油品，确认无误后，并记下初始值，司机稳定油车后，油罐车熄火静置15min，卸油人员将防静电接地检测仪上的防静电夹夹在油车的裸露的车体上，开启防静电接地检测仪，观察防静电接地检测报警仪是否发出“笛、笛”的报警声，若没有听到或防静电接地监测仪面板上的红色指示灯未亮，说明该油车已进行良好的接地。用公称直径为50-100mm的防静电软管与相应的油罐卸油口相连接，并接好油气回收管道。再打开油车上的出口阀门，开始卸油，与卸出的油等体积的油气通过油气回收管道被置换到油罐车，完成油气回收。收油员与油车司机在卸油时观察卸油情况。经过一段后若已经卸完，卸油员或司机先关闭油车上出口阀，把软管抬高，把软管中的油品赶入埋地油罐中，直到软管无液状油品时，拆下卸油管和油气回收管道。洒落在地上的油品用站内准备的吸收剂进行吸收处理。最后在加油站安全员的带领下驶出加油站。油品卸车工艺流程见图</w:t>
            </w:r>
            <w:r>
              <w:rPr>
                <w:rFonts w:hint="default" w:ascii="Times New Roman" w:hAnsi="Times New Roman" w:eastAsia="宋体" w:cs="Times New Roman"/>
                <w:snapToGrid w:val="0"/>
                <w:kern w:val="0"/>
                <w:sz w:val="24"/>
                <w:szCs w:val="24"/>
                <w:lang w:val="en-US" w:eastAsia="zh-CN"/>
              </w:rPr>
              <w:t>2</w:t>
            </w:r>
            <w:r>
              <w:rPr>
                <w:rFonts w:hint="eastAsia" w:ascii="Times New Roman" w:hAnsi="Times New Roman" w:cs="Times New Roman"/>
                <w:snapToGrid w:val="0"/>
                <w:kern w:val="0"/>
                <w:sz w:val="24"/>
                <w:szCs w:val="24"/>
                <w:lang w:val="en-US" w:eastAsia="zh-CN"/>
              </w:rPr>
              <w:t>-2</w:t>
            </w:r>
            <w:r>
              <w:rPr>
                <w:rFonts w:hint="default" w:ascii="Times New Roman" w:hAnsi="Times New Roman" w:eastAsia="宋体" w:cs="Times New Roman"/>
                <w:snapToGrid w:val="0"/>
                <w:kern w:val="0"/>
                <w:sz w:val="24"/>
                <w:szCs w:val="24"/>
                <w:lang w:val="en-US" w:eastAsia="zh-CN"/>
              </w:rPr>
              <w:t>。</w:t>
            </w:r>
          </w:p>
          <w:p>
            <w:pPr>
              <w:pStyle w:val="5"/>
              <w:keepNext w:val="0"/>
              <w:keepLines w:val="0"/>
              <w:pageBreakBefore w:val="0"/>
              <w:numPr>
                <w:ilvl w:val="-1"/>
                <w:numId w:val="0"/>
              </w:numPr>
              <w:suppressLineNumbers w:val="0"/>
              <w:kinsoku/>
              <w:overflowPunct/>
              <w:topLinePunct w:val="0"/>
              <w:autoSpaceDE/>
              <w:autoSpaceDN/>
              <w:bidi w:val="0"/>
              <w:adjustRightInd/>
              <w:snapToGrid/>
              <w:spacing w:beforeAutospacing="0" w:afterLines="0" w:afterAutospacing="0" w:line="360" w:lineRule="auto"/>
              <w:ind w:left="0" w:leftChars="0" w:right="0" w:rightChars="0" w:firstLine="480" w:firstLineChars="200"/>
              <w:outlineLvl w:val="9"/>
              <w:rPr>
                <w:rFonts w:hint="default" w:ascii="Times New Roman" w:hAnsi="Times New Roman" w:cs="Times New Roman"/>
                <w:b w:val="0"/>
                <w:bCs/>
                <w:kern w:val="2"/>
                <w:sz w:val="24"/>
                <w:szCs w:val="22"/>
                <w:lang w:val="en-US" w:eastAsia="zh-CN"/>
              </w:rPr>
            </w:pPr>
            <w:r>
              <w:rPr>
                <w:rFonts w:hint="default" w:ascii="Times New Roman" w:hAnsi="Times New Roman" w:cs="Times New Roman"/>
                <w:b w:val="0"/>
                <w:bCs/>
                <w:kern w:val="2"/>
                <w:sz w:val="24"/>
                <w:szCs w:val="22"/>
                <w:lang w:val="en-US" w:eastAsia="zh-CN"/>
              </w:rPr>
              <w:t>本项目储油罐均为埋地式，采用浸没式密闭卸油方式，在卸油过程中，由于机械力的作用，加剧了油品的挥发程度，产生了油气。而储油罐中的气体空间随着油品的液位升高而减少，气体压力增大。为保持压力的平衡，一部分气体通过呼吸阀排出，形成了“大呼吸”的油气排放。</w:t>
            </w:r>
          </w:p>
          <w:p>
            <w:pPr>
              <w:pStyle w:val="5"/>
              <w:keepNext w:val="0"/>
              <w:keepLines w:val="0"/>
              <w:pageBreakBefore w:val="0"/>
              <w:numPr>
                <w:ilvl w:val="0"/>
                <w:numId w:val="0"/>
              </w:numPr>
              <w:suppressLineNumbers w:val="0"/>
              <w:kinsoku/>
              <w:overflowPunct/>
              <w:topLinePunct w:val="0"/>
              <w:autoSpaceDE/>
              <w:autoSpaceDN/>
              <w:bidi w:val="0"/>
              <w:adjustRightInd/>
              <w:snapToGrid/>
              <w:spacing w:beforeAutospacing="0" w:afterLines="0" w:afterAutospacing="0" w:line="360" w:lineRule="auto"/>
              <w:ind w:leftChars="200" w:right="0" w:rightChars="0"/>
              <w:outlineLvl w:val="9"/>
              <w:rPr>
                <w:rFonts w:hint="default" w:ascii="Times New Roman" w:hAnsi="Times New Roman" w:cs="Times New Roman"/>
                <w:b w:val="0"/>
                <w:bCs/>
                <w:kern w:val="2"/>
                <w:sz w:val="24"/>
                <w:szCs w:val="22"/>
                <w:lang w:val="en-US" w:eastAsia="zh-CN"/>
              </w:rPr>
            </w:pPr>
            <w:r>
              <w:rPr>
                <w:rFonts w:hint="eastAsia" w:ascii="Times New Roman" w:hAnsi="Times New Roman" w:cs="Times New Roman"/>
                <w:b w:val="0"/>
                <w:bCs/>
                <w:kern w:val="2"/>
                <w:sz w:val="24"/>
                <w:szCs w:val="22"/>
                <w:lang w:val="en-US" w:eastAsia="zh-CN"/>
              </w:rPr>
              <w:t>（二）</w:t>
            </w:r>
            <w:r>
              <w:rPr>
                <w:rFonts w:hint="default" w:ascii="Times New Roman" w:hAnsi="Times New Roman" w:cs="Times New Roman"/>
                <w:b w:val="0"/>
                <w:bCs/>
                <w:kern w:val="2"/>
                <w:sz w:val="24"/>
                <w:szCs w:val="22"/>
                <w:lang w:val="en-US" w:eastAsia="zh-CN"/>
              </w:rPr>
              <w:t>储油</w:t>
            </w:r>
          </w:p>
          <w:p>
            <w:pPr>
              <w:pStyle w:val="5"/>
              <w:keepNext w:val="0"/>
              <w:keepLines w:val="0"/>
              <w:pageBreakBefore w:val="0"/>
              <w:numPr>
                <w:ilvl w:val="-1"/>
                <w:numId w:val="0"/>
              </w:numPr>
              <w:suppressLineNumbers w:val="0"/>
              <w:kinsoku/>
              <w:overflowPunct/>
              <w:topLinePunct w:val="0"/>
              <w:autoSpaceDE/>
              <w:autoSpaceDN/>
              <w:bidi w:val="0"/>
              <w:adjustRightInd/>
              <w:snapToGrid/>
              <w:spacing w:beforeAutospacing="0" w:afterLines="0" w:afterAutospacing="0" w:line="360" w:lineRule="auto"/>
              <w:ind w:left="0" w:leftChars="0" w:right="0" w:rightChars="0" w:firstLine="480" w:firstLineChars="200"/>
              <w:outlineLvl w:val="9"/>
              <w:rPr>
                <w:rFonts w:hint="default" w:ascii="Times New Roman" w:hAnsi="Times New Roman" w:cs="Times New Roman"/>
                <w:b w:val="0"/>
                <w:bCs/>
                <w:kern w:val="2"/>
                <w:sz w:val="24"/>
                <w:szCs w:val="22"/>
                <w:lang w:val="en-US" w:eastAsia="zh-CN"/>
              </w:rPr>
            </w:pPr>
            <w:r>
              <w:rPr>
                <w:rFonts w:hint="default" w:ascii="Times New Roman" w:hAnsi="Times New Roman" w:cs="Times New Roman"/>
                <w:b w:val="0"/>
                <w:bCs/>
                <w:kern w:val="2"/>
                <w:sz w:val="24"/>
                <w:szCs w:val="22"/>
                <w:lang w:val="en-US" w:eastAsia="zh-CN"/>
              </w:rPr>
              <w:t>成品油在储罐内静置储存过程中，储油罐内的温度昼夜有规律变化。白天温度升高，热量使油气膨胀，压力增高，造成油气的挥发；晚间温度降低，罐内气体压力降低，吸入新鲜空气，为平衡蒸气压，油气从液相中蒸发，至止油面上的气体达到新的饱和蒸气压，造成油气的挥发。上述过程昼夜交替进行，形成了</w:t>
            </w:r>
            <w:r>
              <w:rPr>
                <w:rFonts w:hint="eastAsia" w:ascii="宋体" w:hAnsi="宋体" w:eastAsia="宋体" w:cs="宋体"/>
                <w:b w:val="0"/>
                <w:bCs/>
                <w:kern w:val="2"/>
                <w:sz w:val="24"/>
                <w:szCs w:val="22"/>
                <w:lang w:val="en-US" w:eastAsia="zh-CN"/>
              </w:rPr>
              <w:t>“小呼吸”</w:t>
            </w:r>
            <w:r>
              <w:rPr>
                <w:rFonts w:hint="default" w:ascii="Times New Roman" w:hAnsi="Times New Roman" w:cs="Times New Roman"/>
                <w:b w:val="0"/>
                <w:bCs/>
                <w:kern w:val="2"/>
                <w:sz w:val="24"/>
                <w:szCs w:val="22"/>
                <w:lang w:val="en-US" w:eastAsia="zh-CN"/>
              </w:rPr>
              <w:t>的油气排放。</w:t>
            </w:r>
          </w:p>
          <w:p>
            <w:pPr>
              <w:pStyle w:val="5"/>
              <w:keepNext w:val="0"/>
              <w:keepLines w:val="0"/>
              <w:pageBreakBefore w:val="0"/>
              <w:numPr>
                <w:ilvl w:val="0"/>
                <w:numId w:val="0"/>
              </w:numPr>
              <w:suppressLineNumbers w:val="0"/>
              <w:kinsoku/>
              <w:overflowPunct/>
              <w:topLinePunct w:val="0"/>
              <w:autoSpaceDE/>
              <w:autoSpaceDN/>
              <w:bidi w:val="0"/>
              <w:adjustRightInd/>
              <w:snapToGrid/>
              <w:spacing w:beforeAutospacing="0" w:afterLines="0" w:afterAutospacing="0" w:line="360" w:lineRule="auto"/>
              <w:ind w:leftChars="200" w:right="0" w:rightChars="0"/>
              <w:outlineLvl w:val="9"/>
              <w:rPr>
                <w:rFonts w:hint="default" w:ascii="Times New Roman" w:hAnsi="Times New Roman" w:cs="Times New Roman"/>
                <w:b w:val="0"/>
                <w:bCs/>
                <w:kern w:val="2"/>
                <w:sz w:val="24"/>
                <w:szCs w:val="22"/>
                <w:lang w:val="en-US" w:eastAsia="zh-CN"/>
              </w:rPr>
            </w:pPr>
            <w:r>
              <w:rPr>
                <w:rFonts w:hint="eastAsia" w:ascii="Times New Roman" w:hAnsi="Times New Roman" w:cs="Times New Roman"/>
                <w:b w:val="0"/>
                <w:bCs/>
                <w:kern w:val="2"/>
                <w:sz w:val="24"/>
                <w:szCs w:val="22"/>
                <w:lang w:val="en-US" w:eastAsia="zh-CN"/>
              </w:rPr>
              <w:t>（三）</w:t>
            </w:r>
            <w:r>
              <w:rPr>
                <w:rFonts w:hint="default" w:ascii="Times New Roman" w:hAnsi="Times New Roman" w:cs="Times New Roman"/>
                <w:b w:val="0"/>
                <w:bCs/>
                <w:kern w:val="2"/>
                <w:sz w:val="24"/>
                <w:szCs w:val="22"/>
                <w:lang w:val="en-US" w:eastAsia="zh-CN"/>
              </w:rPr>
              <w:t>加油</w:t>
            </w:r>
          </w:p>
          <w:p>
            <w:pPr>
              <w:pStyle w:val="5"/>
              <w:keepNext w:val="0"/>
              <w:keepLines w:val="0"/>
              <w:pageBreakBefore w:val="0"/>
              <w:numPr>
                <w:ilvl w:val="-1"/>
                <w:numId w:val="0"/>
              </w:numPr>
              <w:suppressLineNumbers w:val="0"/>
              <w:kinsoku/>
              <w:overflowPunct/>
              <w:topLinePunct w:val="0"/>
              <w:autoSpaceDE/>
              <w:autoSpaceDN/>
              <w:bidi w:val="0"/>
              <w:adjustRightInd/>
              <w:snapToGrid/>
              <w:spacing w:beforeAutospacing="0" w:afterLines="0" w:afterAutospacing="0" w:line="360" w:lineRule="auto"/>
              <w:ind w:left="0" w:leftChars="0" w:right="0" w:rightChars="0" w:firstLine="480" w:firstLineChars="200"/>
              <w:outlineLvl w:val="9"/>
              <w:rPr>
                <w:rFonts w:hint="default" w:ascii="Times New Roman" w:hAnsi="Times New Roman" w:cs="Times New Roman"/>
                <w:b w:val="0"/>
                <w:bCs/>
                <w:kern w:val="2"/>
                <w:sz w:val="24"/>
                <w:szCs w:val="22"/>
                <w:lang w:val="en-US" w:eastAsia="zh-CN"/>
              </w:rPr>
            </w:pPr>
            <w:r>
              <w:rPr>
                <w:rFonts w:hint="default" w:ascii="Times New Roman" w:hAnsi="Times New Roman" w:cs="Times New Roman"/>
                <w:b w:val="0"/>
                <w:bCs/>
                <w:kern w:val="2"/>
                <w:sz w:val="24"/>
                <w:szCs w:val="22"/>
                <w:lang w:val="en-US" w:eastAsia="zh-CN"/>
              </w:rPr>
              <w:t>在用车向油箱加油时，先通过加油机本身自带的压力泵将埋地罐中的成品油送至加油机计量系统进行计量，然后再通过与加油机连接点加油枪将油品送至车用油箱中，每个加油枪设单独管线吸油。此时，若不进行油气回收，产生的油气在车用油箱的加油口处无组织排放。</w:t>
            </w:r>
          </w:p>
          <w:p>
            <w:pPr>
              <w:pStyle w:val="7"/>
              <w:keepNext w:val="0"/>
              <w:keepLines w:val="0"/>
              <w:suppressLineNumbers w:val="0"/>
              <w:spacing w:before="0" w:beforeAutospacing="0" w:afterAutospacing="0" w:line="360" w:lineRule="auto"/>
              <w:ind w:left="0" w:firstLine="480" w:firstLineChars="200"/>
              <w:rPr>
                <w:rFonts w:hint="default" w:ascii="Times New Roman" w:hAnsi="Times New Roman" w:cs="Times New Roman"/>
                <w:b w:val="0"/>
                <w:bCs/>
                <w:kern w:val="2"/>
                <w:sz w:val="24"/>
                <w:szCs w:val="22"/>
                <w:lang w:val="en-US" w:eastAsia="zh-CN"/>
              </w:rPr>
            </w:pPr>
            <w:r>
              <w:rPr>
                <w:rFonts w:hint="default" w:ascii="Times New Roman" w:hAnsi="Times New Roman" w:cs="Times New Roman"/>
                <w:b w:val="0"/>
                <w:bCs/>
                <w:kern w:val="2"/>
                <w:sz w:val="24"/>
                <w:szCs w:val="22"/>
                <w:lang w:val="en-US" w:eastAsia="zh-CN"/>
              </w:rPr>
              <w:t>项目安装分散式油气回收系统回收汽油加油、储油、卸油过程中产生的油气进行密闭收集、储存和回收处理，抑制油气无组织逸散挥发，达到保护环境及顾客、员工身体健康的目的。</w:t>
            </w:r>
          </w:p>
          <w:p>
            <w:pPr>
              <w:keepNext w:val="0"/>
              <w:keepLines w:val="0"/>
              <w:numPr>
                <w:ilvl w:val="0"/>
                <w:numId w:val="0"/>
              </w:numPr>
              <w:suppressLineNumbers w:val="0"/>
              <w:spacing w:beforeAutospacing="0" w:afterAutospacing="0" w:line="360" w:lineRule="auto"/>
              <w:ind w:leftChars="200" w:right="0" w:rightChars="0"/>
              <w:rPr>
                <w:rFonts w:hint="default" w:ascii="Times New Roman" w:hAnsi="Times New Roman" w:cs="Times New Roman"/>
                <w:b w:val="0"/>
                <w:bCs/>
                <w:kern w:val="2"/>
                <w:sz w:val="24"/>
                <w:szCs w:val="22"/>
                <w:lang w:val="en-US" w:eastAsia="zh-CN"/>
              </w:rPr>
            </w:pPr>
            <w:r>
              <w:rPr>
                <w:rFonts w:hint="eastAsia" w:ascii="Times New Roman" w:hAnsi="Times New Roman" w:cs="Times New Roman"/>
                <w:b w:val="0"/>
                <w:bCs/>
                <w:kern w:val="2"/>
                <w:sz w:val="24"/>
                <w:szCs w:val="22"/>
                <w:lang w:val="en-US" w:eastAsia="zh-CN"/>
              </w:rPr>
              <w:t>（四）</w:t>
            </w:r>
            <w:r>
              <w:rPr>
                <w:rFonts w:hint="default" w:ascii="Times New Roman" w:hAnsi="Times New Roman" w:cs="Times New Roman"/>
                <w:b w:val="0"/>
                <w:bCs/>
                <w:kern w:val="2"/>
                <w:sz w:val="24"/>
                <w:szCs w:val="22"/>
                <w:lang w:val="en-US" w:eastAsia="zh-CN"/>
              </w:rPr>
              <w:t>三次油气回收装置工艺</w:t>
            </w:r>
          </w:p>
          <w:p>
            <w:pPr>
              <w:keepNext w:val="0"/>
              <w:keepLines w:val="0"/>
              <w:suppressLineNumbers w:val="0"/>
              <w:tabs>
                <w:tab w:val="left" w:pos="924"/>
              </w:tabs>
              <w:adjustRightInd w:val="0"/>
              <w:snapToGrid w:val="0"/>
              <w:spacing w:beforeAutospacing="0" w:afterAutospacing="0" w:line="360" w:lineRule="auto"/>
              <w:ind w:firstLine="480" w:firstLineChars="200"/>
              <w:rPr>
                <w:rFonts w:hint="default" w:ascii="Times New Roman" w:hAnsi="Times New Roman" w:cs="Times New Roman"/>
                <w:bCs/>
                <w:snapToGrid w:val="0"/>
                <w:color w:val="auto"/>
                <w:kern w:val="0"/>
                <w:sz w:val="24"/>
                <w:szCs w:val="24"/>
              </w:rPr>
            </w:pPr>
            <w:r>
              <w:rPr>
                <w:rFonts w:hint="default" w:ascii="Times New Roman" w:hAnsi="Times New Roman" w:cs="Times New Roman"/>
                <w:bCs/>
                <w:snapToGrid w:val="0"/>
                <w:color w:val="auto"/>
                <w:kern w:val="0"/>
                <w:sz w:val="24"/>
                <w:szCs w:val="24"/>
              </w:rPr>
              <w:t>由于汽油非常容易挥发，当油罐系统温度升高时，汽油蒸发加剧，会引起呼吸阀排放油气；由于热胀冷缩现象，当油罐系统温度降低时，呼吸阀会吸入空气，当油罐系统温度再次升高时，也会引起呼吸阀排放油气。</w:t>
            </w:r>
          </w:p>
          <w:p>
            <w:pPr>
              <w:keepNext w:val="0"/>
              <w:keepLines w:val="0"/>
              <w:suppressLineNumbers w:val="0"/>
              <w:tabs>
                <w:tab w:val="left" w:pos="924"/>
              </w:tabs>
              <w:adjustRightInd w:val="0"/>
              <w:snapToGrid w:val="0"/>
              <w:spacing w:beforeAutospacing="0" w:afterAutospacing="0" w:line="360" w:lineRule="auto"/>
              <w:ind w:firstLine="480" w:firstLineChars="200"/>
              <w:rPr>
                <w:rFonts w:hint="default" w:ascii="Times New Roman" w:hAnsi="Times New Roman" w:cs="Times New Roman"/>
                <w:bCs/>
                <w:snapToGrid w:val="0"/>
                <w:color w:val="auto"/>
                <w:kern w:val="0"/>
                <w:sz w:val="24"/>
                <w:szCs w:val="24"/>
              </w:rPr>
            </w:pPr>
            <w:r>
              <w:rPr>
                <w:rFonts w:hint="default" w:ascii="Times New Roman" w:hAnsi="Times New Roman" w:cs="Times New Roman"/>
                <w:bCs/>
                <w:snapToGrid w:val="0"/>
                <w:color w:val="auto"/>
                <w:kern w:val="0"/>
                <w:sz w:val="24"/>
                <w:szCs w:val="24"/>
              </w:rPr>
              <w:t>本加油站对三次油气回收采用的方法是将产生的油气送至炭吸附罐，轻烃被吸附在炭层上，除去了大部分轻烃后达标的尾气由炭吸附罐顶部排至大气。吸附饱和的炭吸附罐用真空泵抽真空，其中的轻烃被解吸，并送至超低温冷凝单元。 先由超低温冷凝机组第一级预冷至+2℃左右，除去水蒸气，再继续由第二级冷至-40℃，将大部分轻烃冷凝成液态油，暂存于贮油槽。而未被冷凝的气体，送至回收碳罐吸附，尾气由回收碳罐顶部排至大气。</w:t>
            </w:r>
          </w:p>
          <w:p>
            <w:pPr>
              <w:pStyle w:val="2"/>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rPr>
                <w:rFonts w:hint="default" w:ascii="Times New Roman" w:hAnsi="Times New Roman" w:cs="Times New Roman"/>
                <w:bCs/>
                <w:snapToGrid w:val="0"/>
                <w:color w:val="auto"/>
                <w:kern w:val="0"/>
                <w:sz w:val="24"/>
                <w:szCs w:val="24"/>
              </w:rPr>
            </w:pPr>
          </w:p>
          <w:p>
            <w:pPr>
              <w:pStyle w:val="4"/>
              <w:ind w:left="0" w:leftChars="0" w:firstLine="0" w:firstLineChars="0"/>
              <w:jc w:val="both"/>
              <w:rPr>
                <w:rFonts w:hint="default" w:ascii="Times New Roman" w:hAnsi="Times New Roman" w:cs="Times New Roman"/>
                <w:bCs/>
                <w:snapToGrid w:val="0"/>
                <w:color w:val="auto"/>
                <w:kern w:val="0"/>
                <w:sz w:val="24"/>
                <w:szCs w:val="24"/>
              </w:rPr>
            </w:pPr>
          </w:p>
          <w:p>
            <w:pPr>
              <w:spacing w:line="360" w:lineRule="auto"/>
              <w:jc w:val="both"/>
              <w:rPr>
                <w:rFonts w:hint="default" w:ascii="Times New Roman" w:hAnsi="Times New Roman" w:cs="Times New Roman"/>
                <w:b w:val="0"/>
                <w:bCs/>
                <w:color w:val="auto"/>
                <w:kern w:val="2"/>
                <w:sz w:val="24"/>
                <w:szCs w:val="24"/>
                <w:highlight w:val="none"/>
                <w:lang w:val="en-US" w:eastAsia="zh-CN" w:bidi="ar-SA"/>
              </w:rPr>
            </w:pPr>
          </w:p>
        </w:tc>
      </w:tr>
    </w:tbl>
    <w:p>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pPr>
        <w:pStyle w:val="6"/>
        <w:spacing w:before="55"/>
        <w:ind w:left="0" w:leftChars="0" w:firstLine="0" w:firstLineChars="0"/>
        <w:rPr>
          <w:rFonts w:hint="default" w:ascii="Times New Roman" w:hAnsi="Times New Roman" w:eastAsia="黑体" w:cs="Times New Roman"/>
        </w:rPr>
      </w:pPr>
      <w:r>
        <w:rPr>
          <w:rFonts w:hint="default" w:ascii="Times New Roman" w:hAnsi="Times New Roman" w:eastAsia="黑体" w:cs="Times New Roman"/>
          <w:spacing w:val="-36"/>
        </w:rPr>
        <w:t xml:space="preserve">表 </w:t>
      </w:r>
      <w:r>
        <w:rPr>
          <w:rFonts w:hint="default" w:ascii="Times New Roman" w:hAnsi="Times New Roman" w:eastAsia="黑体" w:cs="Times New Roman"/>
          <w:spacing w:val="-36"/>
          <w:lang w:val="en-US" w:eastAsia="zh-CN"/>
        </w:rPr>
        <w:t xml:space="preserve"> </w:t>
      </w:r>
      <w:r>
        <w:rPr>
          <w:rFonts w:hint="default" w:ascii="Times New Roman" w:hAnsi="Times New Roman" w:eastAsia="Times New Roman" w:cs="Times New Roman"/>
        </w:rPr>
        <w:t>3</w:t>
      </w:r>
      <w:r>
        <w:rPr>
          <w:rFonts w:hint="default" w:ascii="Times New Roman" w:hAnsi="Times New Roman" w:eastAsia="宋体" w:cs="Times New Roman"/>
          <w:lang w:val="en-US" w:eastAsia="zh-CN"/>
        </w:rPr>
        <w:t xml:space="preserve"> </w:t>
      </w:r>
      <w:r>
        <w:rPr>
          <w:rFonts w:hint="default" w:ascii="Times New Roman" w:hAnsi="Times New Roman" w:eastAsia="黑体" w:cs="Times New Roman"/>
          <w:spacing w:val="-3"/>
        </w:rPr>
        <w:t>主要污染源、污染物处理和排放</w:t>
      </w:r>
    </w:p>
    <w:tbl>
      <w:tblPr>
        <w:tblStyle w:val="16"/>
        <w:tblW w:w="9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3" w:hRule="atLeast"/>
          <w:jc w:val="center"/>
        </w:trPr>
        <w:tc>
          <w:tcPr>
            <w:tcW w:w="9154" w:type="dxa"/>
            <w:vAlign w:val="top"/>
          </w:tcPr>
          <w:p>
            <w:pPr>
              <w:keepNext w:val="0"/>
              <w:keepLines w:val="0"/>
              <w:numPr>
                <w:ilvl w:val="0"/>
                <w:numId w:val="0"/>
              </w:numPr>
              <w:suppressLineNumbers w:val="0"/>
              <w:spacing w:beforeAutospacing="0" w:afterAutospacing="0" w:line="360" w:lineRule="auto"/>
              <w:ind w:leftChars="0" w:right="0" w:rightChars="0"/>
              <w:rPr>
                <w:rFonts w:hint="default" w:ascii="Times New Roman" w:hAnsi="Times New Roman" w:cs="Times New Roman"/>
                <w:b/>
                <w:bCs/>
                <w:sz w:val="24"/>
                <w:szCs w:val="24"/>
                <w:lang w:val="en-US" w:eastAsia="zh-CN"/>
              </w:rPr>
            </w:pPr>
            <w:r>
              <w:rPr>
                <w:rFonts w:hint="default" w:ascii="Times New Roman" w:hAnsi="Times New Roman" w:cs="Times New Roman"/>
                <w:b w:val="0"/>
                <w:bCs w:val="0"/>
                <w:kern w:val="2"/>
                <w:sz w:val="24"/>
                <w:szCs w:val="24"/>
                <w:lang w:val="en-US" w:eastAsia="zh-CN"/>
              </w:rPr>
              <w:t>主要污染源、污染物处理和排放（附处理流程示意图，标出废水、废气、厂界噪声监测点位）</w:t>
            </w:r>
          </w:p>
          <w:p>
            <w:pPr>
              <w:numPr>
                <w:ilvl w:val="0"/>
                <w:numId w:val="0"/>
              </w:numPr>
              <w:spacing w:line="360" w:lineRule="auto"/>
              <w:ind w:leftChars="0" w:right="0" w:rightChars="0"/>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一、</w:t>
            </w:r>
            <w:r>
              <w:rPr>
                <w:rFonts w:hint="default" w:ascii="Times New Roman" w:hAnsi="Times New Roman" w:cs="Times New Roman"/>
                <w:b/>
                <w:bCs/>
                <w:sz w:val="24"/>
                <w:szCs w:val="24"/>
                <w:lang w:val="en-US" w:eastAsia="zh-CN"/>
              </w:rPr>
              <w:t>污染物治理设施</w:t>
            </w:r>
          </w:p>
          <w:p>
            <w:pPr>
              <w:numPr>
                <w:ilvl w:val="-1"/>
                <w:numId w:val="0"/>
              </w:numPr>
              <w:spacing w:line="360" w:lineRule="auto"/>
              <w:ind w:firstLine="0"/>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1、废水</w:t>
            </w:r>
          </w:p>
          <w:p>
            <w:pPr>
              <w:numPr>
                <w:ilvl w:val="-1"/>
                <w:numId w:val="0"/>
              </w:numPr>
              <w:spacing w:before="0" w:line="360" w:lineRule="auto"/>
              <w:ind w:left="0" w:firstLine="480" w:firstLineChars="200"/>
              <w:jc w:val="both"/>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项目运营期废水主要为生活污水，主要污染因子为：COD、BOD</w:t>
            </w:r>
            <w:r>
              <w:rPr>
                <w:rFonts w:hint="default" w:ascii="Times New Roman" w:hAnsi="Times New Roman" w:eastAsia="宋体" w:cs="Times New Roman"/>
                <w:b w:val="0"/>
                <w:bCs w:val="0"/>
                <w:sz w:val="24"/>
                <w:szCs w:val="24"/>
                <w:vertAlign w:val="subscript"/>
                <w:lang w:val="en-US" w:eastAsia="zh-CN"/>
              </w:rPr>
              <w:t>5</w:t>
            </w:r>
            <w:r>
              <w:rPr>
                <w:rFonts w:hint="default" w:ascii="Times New Roman" w:hAnsi="Times New Roman" w:eastAsia="宋体" w:cs="Times New Roman"/>
                <w:b w:val="0"/>
                <w:bCs w:val="0"/>
                <w:sz w:val="24"/>
                <w:szCs w:val="24"/>
                <w:lang w:val="en-US" w:eastAsia="zh-CN"/>
              </w:rPr>
              <w:t>、SS、氨氮等。项目生活污水进入西咸北环</w:t>
            </w:r>
            <w:r>
              <w:rPr>
                <w:rFonts w:hint="default" w:ascii="Times New Roman" w:hAnsi="Times New Roman" w:cs="Times New Roman"/>
                <w:b w:val="0"/>
                <w:bCs w:val="0"/>
                <w:sz w:val="24"/>
                <w:szCs w:val="24"/>
                <w:lang w:val="en-US" w:eastAsia="zh-CN"/>
              </w:rPr>
              <w:t>高速公路茂陵</w:t>
            </w:r>
            <w:r>
              <w:rPr>
                <w:rFonts w:hint="default" w:ascii="Times New Roman" w:hAnsi="Times New Roman" w:eastAsia="宋体" w:cs="Times New Roman"/>
                <w:b w:val="0"/>
                <w:bCs w:val="0"/>
                <w:sz w:val="24"/>
                <w:szCs w:val="24"/>
                <w:lang w:val="en-US" w:eastAsia="zh-CN"/>
              </w:rPr>
              <w:t>服务区</w:t>
            </w:r>
            <w:r>
              <w:rPr>
                <w:rFonts w:hint="default" w:ascii="Times New Roman" w:hAnsi="Times New Roman" w:cs="Times New Roman"/>
                <w:b w:val="0"/>
                <w:bCs w:val="0"/>
                <w:sz w:val="24"/>
                <w:szCs w:val="24"/>
                <w:lang w:val="en-US" w:eastAsia="zh-CN"/>
              </w:rPr>
              <w:t>东区</w:t>
            </w:r>
            <w:r>
              <w:rPr>
                <w:rFonts w:hint="default" w:ascii="Times New Roman" w:hAnsi="Times New Roman" w:eastAsia="宋体" w:cs="Times New Roman"/>
                <w:b w:val="0"/>
                <w:bCs w:val="0"/>
                <w:sz w:val="24"/>
                <w:szCs w:val="24"/>
                <w:lang w:val="en-US" w:eastAsia="zh-CN"/>
              </w:rPr>
              <w:t>污水处理系统进行深度处理，出水回用于</w:t>
            </w:r>
            <w:r>
              <w:rPr>
                <w:rFonts w:hint="default" w:ascii="Times New Roman" w:hAnsi="Times New Roman" w:eastAsia="宋体" w:cs="Times New Roman"/>
                <w:b w:val="0"/>
                <w:bCs w:val="0"/>
                <w:sz w:val="24"/>
                <w:szCs w:val="24"/>
                <w:lang w:val="zh-CN" w:eastAsia="zh-CN"/>
              </w:rPr>
              <w:t>服务区绿化</w:t>
            </w:r>
            <w:r>
              <w:rPr>
                <w:rFonts w:hint="eastAsia" w:ascii="Times New Roman" w:hAnsi="Times New Roman" w:cs="Times New Roman"/>
                <w:b w:val="0"/>
                <w:bCs w:val="0"/>
                <w:sz w:val="24"/>
                <w:szCs w:val="24"/>
                <w:lang w:val="zh-CN" w:eastAsia="zh-CN"/>
              </w:rPr>
              <w:t>及冲厕</w:t>
            </w:r>
            <w:r>
              <w:rPr>
                <w:rFonts w:hint="default" w:ascii="Times New Roman" w:hAnsi="Times New Roman" w:eastAsia="宋体" w:cs="Times New Roman"/>
                <w:b w:val="0"/>
                <w:bCs w:val="0"/>
                <w:sz w:val="24"/>
                <w:szCs w:val="24"/>
                <w:lang w:val="zh-CN" w:eastAsia="zh-CN"/>
              </w:rPr>
              <w:t>用水，不外排。</w:t>
            </w:r>
            <w:r>
              <w:rPr>
                <w:rFonts w:hint="default" w:ascii="Times New Roman" w:hAnsi="Times New Roman" w:eastAsia="宋体" w:cs="Times New Roman"/>
                <w:b w:val="0"/>
                <w:bCs w:val="0"/>
                <w:sz w:val="24"/>
                <w:szCs w:val="24"/>
                <w:lang w:val="en-US" w:eastAsia="zh-CN"/>
              </w:rPr>
              <w:t>西咸北环</w:t>
            </w:r>
            <w:r>
              <w:rPr>
                <w:rFonts w:hint="default" w:ascii="Times New Roman" w:hAnsi="Times New Roman" w:cs="Times New Roman"/>
                <w:b w:val="0"/>
                <w:bCs w:val="0"/>
                <w:sz w:val="24"/>
                <w:szCs w:val="24"/>
                <w:lang w:val="en-US" w:eastAsia="zh-CN"/>
              </w:rPr>
              <w:t>高速公路茂陵</w:t>
            </w:r>
            <w:r>
              <w:rPr>
                <w:rFonts w:hint="default" w:ascii="Times New Roman" w:hAnsi="Times New Roman" w:eastAsia="宋体" w:cs="Times New Roman"/>
                <w:b w:val="0"/>
                <w:bCs w:val="0"/>
                <w:sz w:val="24"/>
                <w:szCs w:val="24"/>
                <w:lang w:val="en-US" w:eastAsia="zh-CN"/>
              </w:rPr>
              <w:t>服务区</w:t>
            </w:r>
            <w:r>
              <w:rPr>
                <w:rFonts w:hint="default" w:ascii="Times New Roman" w:hAnsi="Times New Roman" w:cs="Times New Roman"/>
                <w:b w:val="0"/>
                <w:bCs w:val="0"/>
                <w:sz w:val="24"/>
                <w:szCs w:val="24"/>
                <w:lang w:val="en-US" w:eastAsia="zh-CN"/>
              </w:rPr>
              <w:t>东区</w:t>
            </w:r>
            <w:r>
              <w:rPr>
                <w:rFonts w:hint="default" w:ascii="Times New Roman" w:hAnsi="Times New Roman" w:eastAsia="宋体" w:cs="Times New Roman"/>
                <w:b w:val="0"/>
                <w:bCs w:val="0"/>
                <w:sz w:val="24"/>
                <w:szCs w:val="24"/>
                <w:lang w:val="en-US" w:eastAsia="zh-CN"/>
              </w:rPr>
              <w:t>污水处理系统采取的污水处理工艺为</w:t>
            </w:r>
            <w:r>
              <w:rPr>
                <w:rFonts w:hint="default" w:ascii="Times New Roman" w:hAnsi="Times New Roman" w:eastAsia="宋体" w:cs="Times New Roman"/>
                <w:kern w:val="0"/>
                <w:sz w:val="24"/>
                <w:szCs w:val="24"/>
              </w:rPr>
              <w:t>化粪池+生物接触氧化池+MBR膜处理工艺，</w:t>
            </w:r>
            <w:r>
              <w:rPr>
                <w:rFonts w:hint="default" w:ascii="Times New Roman" w:hAnsi="Times New Roman" w:eastAsia="宋体" w:cs="Times New Roman"/>
                <w:b w:val="0"/>
                <w:bCs w:val="0"/>
                <w:sz w:val="24"/>
                <w:szCs w:val="24"/>
                <w:lang w:val="en-US" w:eastAsia="zh-CN"/>
              </w:rPr>
              <w:t>其废水处理</w:t>
            </w:r>
            <w:r>
              <w:rPr>
                <w:rFonts w:hint="eastAsia" w:ascii="Times New Roman" w:hAnsi="Times New Roman" w:cs="Times New Roman"/>
                <w:b w:val="0"/>
                <w:bCs w:val="0"/>
                <w:sz w:val="24"/>
                <w:szCs w:val="24"/>
                <w:lang w:val="en-US" w:eastAsia="zh-CN"/>
              </w:rPr>
              <w:t>规模为</w:t>
            </w:r>
            <w:r>
              <w:rPr>
                <w:rFonts w:hint="default" w:ascii="Times New Roman" w:hAnsi="Times New Roman" w:eastAsia="宋体" w:cs="Times New Roman"/>
                <w:b w:val="0"/>
                <w:bCs w:val="0"/>
                <w:sz w:val="24"/>
                <w:szCs w:val="24"/>
                <w:highlight w:val="none"/>
                <w:lang w:val="en-US" w:eastAsia="zh-CN"/>
              </w:rPr>
              <w:t>25m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/d</w:t>
            </w:r>
            <w:r>
              <w:rPr>
                <w:rFonts w:hint="default" w:ascii="Times New Roman" w:hAnsi="Times New Roman" w:eastAsia="宋体" w:cs="Times New Roman"/>
                <w:b w:val="0"/>
                <w:bCs w:val="0"/>
                <w:sz w:val="24"/>
                <w:szCs w:val="24"/>
                <w:lang w:val="en-US" w:eastAsia="zh-CN"/>
              </w:rPr>
              <w:t>，</w:t>
            </w:r>
            <w:r>
              <w:rPr>
                <w:rFonts w:hint="default" w:ascii="Times New Roman" w:hAnsi="Times New Roman" w:cs="Times New Roman"/>
                <w:b w:val="0"/>
                <w:bCs w:val="0"/>
                <w:sz w:val="24"/>
                <w:szCs w:val="24"/>
                <w:lang w:val="en-US" w:eastAsia="zh-CN"/>
              </w:rPr>
              <w:t>茂陵</w:t>
            </w:r>
            <w:r>
              <w:rPr>
                <w:rFonts w:hint="default" w:ascii="Times New Roman" w:hAnsi="Times New Roman" w:eastAsia="宋体" w:cs="Times New Roman"/>
                <w:b w:val="0"/>
                <w:bCs w:val="0"/>
                <w:sz w:val="24"/>
                <w:szCs w:val="24"/>
                <w:lang w:val="en-US" w:eastAsia="zh-CN"/>
              </w:rPr>
              <w:t>服务区</w:t>
            </w:r>
            <w:r>
              <w:rPr>
                <w:rFonts w:hint="default" w:ascii="Times New Roman" w:hAnsi="Times New Roman" w:cs="Times New Roman"/>
                <w:b w:val="0"/>
                <w:bCs w:val="0"/>
                <w:sz w:val="24"/>
                <w:szCs w:val="24"/>
                <w:lang w:val="en-US" w:eastAsia="zh-CN"/>
              </w:rPr>
              <w:t>东区</w:t>
            </w:r>
            <w:r>
              <w:rPr>
                <w:rFonts w:hint="default" w:ascii="Times New Roman" w:hAnsi="Times New Roman" w:eastAsia="宋体" w:cs="Times New Roman"/>
                <w:b w:val="0"/>
                <w:bCs w:val="0"/>
                <w:sz w:val="24"/>
                <w:szCs w:val="24"/>
                <w:lang w:val="en-US" w:eastAsia="zh-CN"/>
              </w:rPr>
              <w:t>目前污水产生量约为15.0m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/d，本项目产生的废水量</w:t>
            </w:r>
            <w:r>
              <w:rPr>
                <w:rFonts w:hint="default" w:ascii="Times New Roman" w:hAnsi="Times New Roman" w:cs="Times New Roman"/>
                <w:b w:val="0"/>
                <w:bCs w:val="0"/>
                <w:sz w:val="24"/>
                <w:szCs w:val="24"/>
                <w:lang w:val="en-US" w:eastAsia="zh-CN"/>
              </w:rPr>
              <w:t>最大</w:t>
            </w:r>
            <w:r>
              <w:rPr>
                <w:rFonts w:hint="default" w:ascii="Times New Roman" w:hAnsi="Times New Roman" w:eastAsia="宋体" w:cs="Times New Roman"/>
                <w:b w:val="0"/>
                <w:bCs w:val="0"/>
                <w:sz w:val="24"/>
                <w:szCs w:val="24"/>
                <w:lang w:val="en-US" w:eastAsia="zh-CN"/>
              </w:rPr>
              <w:t>为</w:t>
            </w:r>
            <w:r>
              <w:rPr>
                <w:rFonts w:hint="default" w:ascii="Times New Roman" w:hAnsi="Times New Roman" w:cs="Times New Roman"/>
                <w:b w:val="0"/>
                <w:bCs w:val="0"/>
                <w:sz w:val="24"/>
                <w:szCs w:val="24"/>
                <w:lang w:val="en-US" w:eastAsia="zh-CN"/>
              </w:rPr>
              <w:t>0.588</w:t>
            </w:r>
            <w:r>
              <w:rPr>
                <w:rFonts w:hint="default" w:ascii="Times New Roman" w:hAnsi="Times New Roman" w:eastAsia="宋体" w:cs="Times New Roman"/>
                <w:b w:val="0"/>
                <w:bCs w:val="0"/>
                <w:sz w:val="24"/>
                <w:szCs w:val="24"/>
                <w:lang w:val="en-US"/>
              </w:rPr>
              <w:t>m</w:t>
            </w:r>
            <w:r>
              <w:rPr>
                <w:rFonts w:hint="default" w:ascii="Times New Roman" w:hAnsi="Times New Roman" w:eastAsia="宋体" w:cs="Times New Roman"/>
                <w:b w:val="0"/>
                <w:bCs w:val="0"/>
                <w:sz w:val="24"/>
                <w:szCs w:val="24"/>
                <w:vertAlign w:val="superscript"/>
                <w:lang w:val="en-US"/>
              </w:rPr>
              <w:t>3</w:t>
            </w:r>
            <w:r>
              <w:rPr>
                <w:rFonts w:hint="default" w:ascii="Times New Roman" w:hAnsi="Times New Roman" w:eastAsia="宋体" w:cs="Times New Roman"/>
                <w:b w:val="0"/>
                <w:bCs w:val="0"/>
                <w:sz w:val="24"/>
                <w:szCs w:val="24"/>
                <w:lang w:val="en-US"/>
              </w:rPr>
              <w:t>/d</w:t>
            </w:r>
            <w:r>
              <w:rPr>
                <w:rFonts w:hint="default" w:ascii="Times New Roman" w:hAnsi="Times New Roman" w:eastAsia="宋体" w:cs="Times New Roman"/>
                <w:b w:val="0"/>
                <w:bCs w:val="0"/>
                <w:sz w:val="24"/>
                <w:szCs w:val="24"/>
                <w:lang w:val="en-US" w:eastAsia="zh-CN"/>
              </w:rPr>
              <w:t>（</w:t>
            </w:r>
            <w:r>
              <w:rPr>
                <w:rFonts w:hint="default" w:ascii="Times New Roman" w:hAnsi="Times New Roman" w:cs="Times New Roman"/>
                <w:b w:val="0"/>
                <w:bCs w:val="0"/>
                <w:sz w:val="24"/>
                <w:szCs w:val="24"/>
                <w:lang w:val="en-US" w:eastAsia="zh-CN"/>
              </w:rPr>
              <w:t>214.62</w:t>
            </w:r>
            <w:r>
              <w:rPr>
                <w:rFonts w:hint="default" w:ascii="Times New Roman" w:hAnsi="Times New Roman" w:eastAsia="宋体" w:cs="Times New Roman"/>
                <w:b w:val="0"/>
                <w:bCs w:val="0"/>
                <w:sz w:val="24"/>
                <w:szCs w:val="24"/>
                <w:lang w:val="en-US"/>
              </w:rPr>
              <w:t>m</w:t>
            </w:r>
            <w:r>
              <w:rPr>
                <w:rFonts w:hint="default" w:ascii="Times New Roman" w:hAnsi="Times New Roman" w:eastAsia="宋体" w:cs="Times New Roman"/>
                <w:b w:val="0"/>
                <w:bCs w:val="0"/>
                <w:sz w:val="24"/>
                <w:szCs w:val="24"/>
                <w:vertAlign w:val="superscript"/>
                <w:lang w:val="en-US"/>
              </w:rPr>
              <w:t>3</w:t>
            </w:r>
            <w:r>
              <w:rPr>
                <w:rFonts w:hint="default" w:ascii="Times New Roman" w:hAnsi="Times New Roman" w:eastAsia="宋体" w:cs="Times New Roman"/>
                <w:b w:val="0"/>
                <w:bCs w:val="0"/>
                <w:sz w:val="24"/>
                <w:szCs w:val="24"/>
                <w:lang w:val="en-US"/>
              </w:rPr>
              <w:t>/a</w:t>
            </w:r>
            <w:r>
              <w:rPr>
                <w:rFonts w:hint="default" w:ascii="Times New Roman" w:hAnsi="Times New Roman" w:eastAsia="宋体" w:cs="Times New Roman"/>
                <w:b w:val="0"/>
                <w:bCs w:val="0"/>
                <w:sz w:val="24"/>
                <w:szCs w:val="24"/>
                <w:lang w:val="en-US" w:eastAsia="zh-CN"/>
              </w:rPr>
              <w:t>），未超出</w:t>
            </w:r>
            <w:r>
              <w:rPr>
                <w:rFonts w:hint="default" w:ascii="Times New Roman" w:hAnsi="Times New Roman" w:cs="Times New Roman"/>
                <w:b w:val="0"/>
                <w:bCs w:val="0"/>
                <w:sz w:val="24"/>
                <w:szCs w:val="24"/>
                <w:lang w:val="en-US" w:eastAsia="zh-CN"/>
              </w:rPr>
              <w:t>茂陵</w:t>
            </w:r>
            <w:r>
              <w:rPr>
                <w:rFonts w:hint="default" w:ascii="Times New Roman" w:hAnsi="Times New Roman" w:eastAsia="宋体" w:cs="Times New Roman"/>
                <w:b w:val="0"/>
                <w:bCs w:val="0"/>
                <w:sz w:val="24"/>
                <w:szCs w:val="24"/>
                <w:lang w:val="en-US" w:eastAsia="zh-CN"/>
              </w:rPr>
              <w:t>服务区污水处理系统处理量，因此本项目依托</w:t>
            </w:r>
            <w:r>
              <w:rPr>
                <w:rFonts w:hint="default" w:ascii="Times New Roman" w:hAnsi="Times New Roman" w:cs="Times New Roman"/>
                <w:b w:val="0"/>
                <w:bCs w:val="0"/>
                <w:sz w:val="24"/>
                <w:szCs w:val="24"/>
                <w:lang w:val="en-US" w:eastAsia="zh-CN"/>
              </w:rPr>
              <w:t>茂陵</w:t>
            </w:r>
            <w:r>
              <w:rPr>
                <w:rFonts w:hint="default" w:ascii="Times New Roman" w:hAnsi="Times New Roman" w:eastAsia="宋体" w:cs="Times New Roman"/>
                <w:b w:val="0"/>
                <w:bCs w:val="0"/>
                <w:sz w:val="24"/>
                <w:szCs w:val="24"/>
                <w:lang w:val="en-US" w:eastAsia="zh-CN"/>
              </w:rPr>
              <w:t>服务区污水处理系统可行。</w:t>
            </w:r>
          </w:p>
          <w:p>
            <w:pPr>
              <w:numPr>
                <w:ilvl w:val="-1"/>
                <w:numId w:val="0"/>
              </w:numPr>
              <w:spacing w:before="0" w:line="360" w:lineRule="auto"/>
              <w:ind w:left="0" w:firstLine="44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rPr>
              <w:drawing>
                <wp:anchor distT="0" distB="0" distL="114300" distR="114300" simplePos="0" relativeHeight="251693056" behindDoc="1" locked="0" layoutInCell="1" allowOverlap="1">
                  <wp:simplePos x="0" y="0"/>
                  <wp:positionH relativeFrom="column">
                    <wp:posOffset>355600</wp:posOffset>
                  </wp:positionH>
                  <wp:positionV relativeFrom="paragraph">
                    <wp:posOffset>270510</wp:posOffset>
                  </wp:positionV>
                  <wp:extent cx="5011420" cy="2555240"/>
                  <wp:effectExtent l="0" t="0" r="17780" b="16510"/>
                  <wp:wrapTight wrapText="bothSides">
                    <wp:wrapPolygon>
                      <wp:start x="0" y="0"/>
                      <wp:lineTo x="0" y="21417"/>
                      <wp:lineTo x="21512" y="21417"/>
                      <wp:lineTo x="21512" y="0"/>
                      <wp:lineTo x="0" y="0"/>
                    </wp:wrapPolygon>
                  </wp:wrapTight>
                  <wp:docPr id="26" name="图片 11" descr="说明: QQ图片2017111709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说明: QQ图片20171117095019"/>
                          <pic:cNvPicPr>
                            <a:picLocks noChangeAspect="1"/>
                          </pic:cNvPicPr>
                        </pic:nvPicPr>
                        <pic:blipFill>
                          <a:blip r:embed="rId12"/>
                          <a:srcRect t="2449" r="2461" b="2449"/>
                          <a:stretch>
                            <a:fillRect/>
                          </a:stretch>
                        </pic:blipFill>
                        <pic:spPr>
                          <a:xfrm>
                            <a:off x="0" y="0"/>
                            <a:ext cx="5011420" cy="2555240"/>
                          </a:xfrm>
                          <a:prstGeom prst="rect">
                            <a:avLst/>
                          </a:prstGeom>
                          <a:noFill/>
                          <a:ln>
                            <a:noFill/>
                          </a:ln>
                        </pic:spPr>
                      </pic:pic>
                    </a:graphicData>
                  </a:graphic>
                </wp:anchor>
              </w:drawing>
            </w:r>
            <w:r>
              <w:rPr>
                <w:rFonts w:hint="default" w:ascii="Times New Roman" w:hAnsi="Times New Roman" w:eastAsia="宋体" w:cs="Times New Roman"/>
                <w:b w:val="0"/>
                <w:bCs w:val="0"/>
                <w:sz w:val="24"/>
                <w:szCs w:val="24"/>
                <w:lang w:val="en-US" w:eastAsia="zh-CN"/>
              </w:rPr>
              <w:t>废水处理</w:t>
            </w:r>
            <w:r>
              <w:rPr>
                <w:rFonts w:hint="eastAsia" w:ascii="Times New Roman" w:hAnsi="Times New Roman" w:cs="Times New Roman"/>
                <w:b w:val="0"/>
                <w:bCs w:val="0"/>
                <w:sz w:val="24"/>
                <w:szCs w:val="24"/>
                <w:lang w:val="en-US" w:eastAsia="zh-CN"/>
              </w:rPr>
              <w:t>设施及</w:t>
            </w:r>
            <w:r>
              <w:rPr>
                <w:rFonts w:hint="default" w:ascii="Times New Roman" w:hAnsi="Times New Roman" w:eastAsia="宋体" w:cs="Times New Roman"/>
                <w:b w:val="0"/>
                <w:bCs w:val="0"/>
                <w:sz w:val="24"/>
                <w:szCs w:val="24"/>
                <w:lang w:val="en-US" w:eastAsia="zh-CN"/>
              </w:rPr>
              <w:t>工艺流程见图</w:t>
            </w:r>
            <w:r>
              <w:rPr>
                <w:rFonts w:hint="default" w:ascii="Times New Roman" w:hAnsi="Times New Roman" w:cs="Times New Roman"/>
                <w:b w:val="0"/>
                <w:bCs w:val="0"/>
                <w:sz w:val="24"/>
                <w:szCs w:val="24"/>
                <w:lang w:val="en-US" w:eastAsia="zh-CN"/>
              </w:rPr>
              <w:t>3-1</w:t>
            </w:r>
            <w:r>
              <w:rPr>
                <w:rFonts w:hint="default" w:ascii="Times New Roman" w:hAnsi="Times New Roman" w:eastAsia="宋体" w:cs="Times New Roman"/>
                <w:b w:val="0"/>
                <w:bCs w:val="0"/>
                <w:sz w:val="24"/>
                <w:szCs w:val="24"/>
                <w:lang w:val="en-US" w:eastAsia="zh-CN"/>
              </w:rPr>
              <w:t>。</w:t>
            </w:r>
          </w:p>
          <w:p>
            <w:pPr>
              <w:pStyle w:val="2"/>
              <w:jc w:val="both"/>
              <w:rPr>
                <w:rFonts w:hint="default" w:ascii="Times New Roman" w:hAnsi="Times New Roman" w:cs="Times New Roman"/>
              </w:rPr>
            </w:pPr>
          </w:p>
          <w:p>
            <w:pPr>
              <w:pStyle w:val="4"/>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废水处理工艺流程</w:t>
            </w:r>
          </w:p>
          <w:p>
            <w:pPr>
              <w:pStyle w:val="4"/>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cs="Times New Roman" w:eastAsiaTheme="minorEastAsia"/>
                <w:b/>
                <w:bCs/>
                <w:sz w:val="21"/>
                <w:szCs w:val="21"/>
                <w:highlight w:val="none"/>
                <w:lang w:val="en-US" w:eastAsia="zh-CN"/>
              </w:rPr>
            </w:pPr>
            <w:r>
              <w:rPr>
                <w:rFonts w:hint="default" w:ascii="宋体" w:hAnsi="宋体" w:eastAsia="宋体" w:cs="宋体"/>
                <w:sz w:val="24"/>
                <w:szCs w:val="24"/>
                <w:lang w:val="en-US" w:eastAsia="zh-CN"/>
              </w:rPr>
              <w:drawing>
                <wp:inline distT="0" distB="0" distL="114300" distR="114300">
                  <wp:extent cx="4507865" cy="2440305"/>
                  <wp:effectExtent l="0" t="0" r="6985" b="17145"/>
                  <wp:docPr id="28" name="图片 28" descr="72c70f041a5de699d1ed836e91702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2c70f041a5de699d1ed836e91702b6"/>
                          <pic:cNvPicPr>
                            <a:picLocks noChangeAspect="1"/>
                          </pic:cNvPicPr>
                        </pic:nvPicPr>
                        <pic:blipFill>
                          <a:blip r:embed="rId13"/>
                          <a:stretch>
                            <a:fillRect/>
                          </a:stretch>
                        </pic:blipFill>
                        <pic:spPr>
                          <a:xfrm>
                            <a:off x="0" y="0"/>
                            <a:ext cx="4507865" cy="2440305"/>
                          </a:xfrm>
                          <a:prstGeom prst="rect">
                            <a:avLst/>
                          </a:prstGeom>
                        </pic:spPr>
                      </pic:pic>
                    </a:graphicData>
                  </a:graphic>
                </wp:inline>
              </w:drawing>
            </w:r>
          </w:p>
          <w:p>
            <w:pPr>
              <w:pStyle w:val="4"/>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cs="Times New Roman" w:eastAsiaTheme="minorEastAsia"/>
                <w:b/>
                <w:bCs/>
                <w:sz w:val="21"/>
                <w:szCs w:val="21"/>
                <w:highlight w:val="none"/>
                <w:lang w:val="en-US" w:eastAsia="zh-CN"/>
              </w:rPr>
            </w:pPr>
            <w:r>
              <w:rPr>
                <w:rFonts w:hint="eastAsia" w:ascii="Times New Roman" w:hAnsi="Times New Roman" w:cs="Times New Roman" w:eastAsiaTheme="minorEastAsia"/>
                <w:b/>
                <w:bCs/>
                <w:sz w:val="21"/>
                <w:szCs w:val="21"/>
                <w:highlight w:val="none"/>
                <w:lang w:val="en-US" w:eastAsia="zh-CN"/>
              </w:rPr>
              <w:t>废水治理设施</w:t>
            </w:r>
          </w:p>
          <w:p>
            <w:pPr>
              <w:keepNext w:val="0"/>
              <w:keepLines w:val="0"/>
              <w:pageBreakBefore w:val="0"/>
              <w:widowControl w:val="0"/>
              <w:kinsoku/>
              <w:wordWrap/>
              <w:overflowPunct/>
              <w:topLinePunct w:val="0"/>
              <w:autoSpaceDE w:val="0"/>
              <w:autoSpaceDN w:val="0"/>
              <w:bidi w:val="0"/>
              <w:adjustRightInd/>
              <w:snapToGrid/>
              <w:spacing w:before="313" w:beforeLines="100"/>
              <w:jc w:val="center"/>
              <w:textAlignment w:val="auto"/>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图3-1 废水治理设施及工艺流程</w:t>
            </w:r>
          </w:p>
          <w:p>
            <w:pPr>
              <w:numPr>
                <w:ilvl w:val="-1"/>
                <w:numId w:val="0"/>
              </w:numPr>
              <w:spacing w:line="36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2、废气</w:t>
            </w:r>
          </w:p>
          <w:p>
            <w:pPr>
              <w:numPr>
                <w:ilvl w:val="0"/>
                <w:numId w:val="0"/>
              </w:numPr>
              <w:spacing w:after="0" w:line="360" w:lineRule="auto"/>
              <w:ind w:firstLine="0" w:firstLineChars="0"/>
              <w:outlineLvl w:val="9"/>
              <w:rPr>
                <w:rFonts w:hint="default"/>
                <w:lang w:val="en-US" w:eastAsia="zh-CN"/>
              </w:rPr>
            </w:pPr>
            <w:r>
              <w:rPr>
                <w:rFonts w:hint="default" w:ascii="Times New Roman" w:hAnsi="Times New Roman" w:cs="Times New Roman"/>
                <w:sz w:val="24"/>
                <w:szCs w:val="24"/>
                <w:lang w:val="en-US" w:eastAsia="zh-CN"/>
              </w:rPr>
              <w:t xml:space="preserve">    本项目不设置食堂，员工食宿均依托茂陵服务</w:t>
            </w:r>
            <w:r>
              <w:rPr>
                <w:rFonts w:hint="eastAsia" w:ascii="Times New Roman" w:hAnsi="Times New Roman" w:cs="Times New Roman"/>
                <w:sz w:val="24"/>
                <w:szCs w:val="24"/>
                <w:lang w:val="en-US" w:eastAsia="zh-CN"/>
              </w:rPr>
              <w:t>东</w:t>
            </w:r>
            <w:r>
              <w:rPr>
                <w:rFonts w:hint="default" w:ascii="Times New Roman" w:hAnsi="Times New Roman" w:cs="Times New Roman"/>
                <w:sz w:val="24"/>
                <w:szCs w:val="24"/>
                <w:lang w:val="en-US" w:eastAsia="zh-CN"/>
              </w:rPr>
              <w:t>区，故项目运营期产生的大气污染物主要为在油气灌装（卸油）、储存（静储）、加油等过程中挥发产生的油气（非甲烷总烃）。项目已经配备了三次油气回收装置，对周边环境影响不大。项目采用三次油气回收方式，一次、二次、三次回收装置见图3-2</w:t>
            </w:r>
            <w:r>
              <w:rPr>
                <w:rFonts w:hint="eastAsia" w:ascii="Times New Roman" w:hAnsi="Times New Roman" w:cs="Times New Roman"/>
                <w:sz w:val="24"/>
                <w:szCs w:val="24"/>
                <w:lang w:val="en-US" w:eastAsia="zh-CN"/>
              </w:rPr>
              <w:t>，</w:t>
            </w:r>
            <w:r>
              <w:rPr>
                <w:rFonts w:ascii="Times New Roman" w:hAnsi="Times New Roman" w:cs="Times New Roman"/>
                <w:kern w:val="2"/>
                <w:sz w:val="24"/>
                <w:szCs w:val="24"/>
                <w:lang w:val="en-US"/>
              </w:rPr>
              <w:t>油气回收装置监测仪及维修台账见图3</w:t>
            </w:r>
            <w:r>
              <w:rPr>
                <w:rFonts w:hint="eastAsia" w:ascii="Times New Roman" w:hAnsi="Times New Roman" w:cs="Times New Roman"/>
                <w:kern w:val="2"/>
                <w:sz w:val="24"/>
                <w:szCs w:val="24"/>
                <w:lang w:val="en-US" w:eastAsia="zh-CN"/>
              </w:rPr>
              <w:t>-2</w:t>
            </w:r>
            <w:r>
              <w:rPr>
                <w:rFonts w:ascii="Times New Roman" w:hAnsi="Times New Roman" w:cs="Times New Roman"/>
                <w:kern w:val="2"/>
                <w:sz w:val="24"/>
                <w:szCs w:val="24"/>
                <w:lang w:val="en-US"/>
              </w:rPr>
              <w:t>。</w:t>
            </w:r>
          </w:p>
          <w:tbl>
            <w:tblPr>
              <w:tblStyle w:val="16"/>
              <w:tblpPr w:leftFromText="180" w:rightFromText="180" w:vertAnchor="text" w:horzAnchor="page" w:tblpX="95" w:tblpY="136"/>
              <w:tblOverlap w:val="never"/>
              <w:tblW w:w="8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8"/>
              <w:gridCol w:w="4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2" w:hRule="atLeast"/>
              </w:trPr>
              <w:tc>
                <w:tcPr>
                  <w:tcW w:w="4488" w:type="dxa"/>
                  <w:vAlign w:val="top"/>
                </w:tcPr>
                <w:p>
                  <w:pPr>
                    <w:numPr>
                      <w:ilvl w:val="0"/>
                      <w:numId w:val="0"/>
                    </w:numPr>
                    <w:spacing w:line="360" w:lineRule="auto"/>
                    <w:jc w:val="center"/>
                    <w:rPr>
                      <w:rFonts w:hint="eastAsia" w:ascii="Times New Roman" w:hAnsi="Times New Roman" w:eastAsia="宋体" w:cs="Times New Roman"/>
                      <w:vertAlign w:val="baseline"/>
                      <w:lang w:eastAsia="zh-CN"/>
                    </w:rPr>
                  </w:pPr>
                  <w:r>
                    <w:rPr>
                      <w:rFonts w:hint="eastAsia" w:ascii="Times New Roman" w:hAnsi="Times New Roman" w:eastAsia="宋体" w:cs="Times New Roman"/>
                      <w:vertAlign w:val="baseline"/>
                      <w:lang w:eastAsia="zh-CN"/>
                    </w:rPr>
                    <w:drawing>
                      <wp:inline distT="0" distB="0" distL="114300" distR="114300">
                        <wp:extent cx="2574290" cy="2498090"/>
                        <wp:effectExtent l="0" t="0" r="16510" b="16510"/>
                        <wp:docPr id="11" name="图片 11" descr="9b309dfcb633f0409923952c253e628"/>
                        <wp:cNvGraphicFramePr/>
                        <a:graphic xmlns:a="http://schemas.openxmlformats.org/drawingml/2006/main">
                          <a:graphicData uri="http://schemas.openxmlformats.org/drawingml/2006/picture">
                            <pic:pic xmlns:pic="http://schemas.openxmlformats.org/drawingml/2006/picture">
                              <pic:nvPicPr>
                                <pic:cNvPr id="11" name="图片 11" descr="9b309dfcb633f0409923952c253e628"/>
                                <pic:cNvPicPr/>
                              </pic:nvPicPr>
                              <pic:blipFill>
                                <a:blip r:embed="rId14"/>
                                <a:stretch>
                                  <a:fillRect/>
                                </a:stretch>
                              </pic:blipFill>
                              <pic:spPr>
                                <a:xfrm>
                                  <a:off x="0" y="0"/>
                                  <a:ext cx="2574290" cy="2498090"/>
                                </a:xfrm>
                                <a:prstGeom prst="rect">
                                  <a:avLst/>
                                </a:prstGeom>
                              </pic:spPr>
                            </pic:pic>
                          </a:graphicData>
                        </a:graphic>
                      </wp:inline>
                    </w:drawing>
                  </w:r>
                </w:p>
              </w:tc>
              <w:tc>
                <w:tcPr>
                  <w:tcW w:w="4371" w:type="dxa"/>
                  <w:vAlign w:val="top"/>
                </w:tcPr>
                <w:p>
                  <w:pPr>
                    <w:numPr>
                      <w:ilvl w:val="0"/>
                      <w:numId w:val="0"/>
                    </w:numPr>
                    <w:spacing w:line="360" w:lineRule="auto"/>
                    <w:jc w:val="center"/>
                    <w:rPr>
                      <w:rFonts w:hint="default" w:ascii="Times New Roman" w:hAnsi="Times New Roman" w:cs="Times New Roman"/>
                      <w:vertAlign w:val="baseline"/>
                    </w:rPr>
                  </w:pPr>
                  <w:r>
                    <w:rPr>
                      <w:rFonts w:hint="default" w:ascii="Times New Roman" w:hAnsi="Times New Roman" w:cs="Times New Roman"/>
                      <w:color w:val="000000"/>
                      <w:lang w:eastAsia="zh-CN"/>
                    </w:rPr>
                    <w:drawing>
                      <wp:inline distT="0" distB="0" distL="114300" distR="114300">
                        <wp:extent cx="2574290" cy="2498090"/>
                        <wp:effectExtent l="0" t="0" r="16510" b="16510"/>
                        <wp:docPr id="92" name="图片 71" descr="mmexport1509883535965"/>
                        <wp:cNvGraphicFramePr/>
                        <a:graphic xmlns:a="http://schemas.openxmlformats.org/drawingml/2006/main">
                          <a:graphicData uri="http://schemas.openxmlformats.org/drawingml/2006/picture">
                            <pic:pic xmlns:pic="http://schemas.openxmlformats.org/drawingml/2006/picture">
                              <pic:nvPicPr>
                                <pic:cNvPr id="92" name="图片 71" descr="mmexport1509883535965"/>
                                <pic:cNvPicPr/>
                              </pic:nvPicPr>
                              <pic:blipFill>
                                <a:blip r:embed="rId15"/>
                                <a:stretch>
                                  <a:fillRect/>
                                </a:stretch>
                              </pic:blipFill>
                              <pic:spPr>
                                <a:xfrm>
                                  <a:off x="0" y="0"/>
                                  <a:ext cx="2574290" cy="24980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88" w:type="dxa"/>
                  <w:vAlign w:val="top"/>
                </w:tcPr>
                <w:p>
                  <w:pPr>
                    <w:jc w:val="center"/>
                    <w:rPr>
                      <w:rFonts w:hint="default" w:ascii="Times New Roman" w:hAnsi="Times New Roman" w:cs="Times New Roman"/>
                      <w:sz w:val="21"/>
                      <w:szCs w:val="21"/>
                      <w:vertAlign w:val="baseline"/>
                    </w:rPr>
                  </w:pPr>
                  <w:r>
                    <w:rPr>
                      <w:rFonts w:hint="default" w:ascii="Times New Roman" w:hAnsi="Times New Roman" w:cs="Times New Roman"/>
                      <w:b/>
                      <w:bCs/>
                      <w:sz w:val="21"/>
                      <w:szCs w:val="21"/>
                      <w:lang w:eastAsia="zh-CN"/>
                    </w:rPr>
                    <w:t>一次油气回收装置</w:t>
                  </w:r>
                </w:p>
              </w:tc>
              <w:tc>
                <w:tcPr>
                  <w:tcW w:w="4371" w:type="dxa"/>
                  <w:vAlign w:val="top"/>
                </w:tcPr>
                <w:p>
                  <w:pPr>
                    <w:jc w:val="center"/>
                    <w:rPr>
                      <w:rFonts w:hint="default" w:ascii="Times New Roman" w:hAnsi="Times New Roman" w:cs="Times New Roman"/>
                      <w:sz w:val="21"/>
                      <w:szCs w:val="21"/>
                      <w:vertAlign w:val="baseline"/>
                    </w:rPr>
                  </w:pPr>
                  <w:r>
                    <w:rPr>
                      <w:rFonts w:hint="default" w:ascii="Times New Roman" w:hAnsi="Times New Roman" w:cs="Times New Roman"/>
                      <w:b/>
                      <w:bCs/>
                      <w:sz w:val="21"/>
                      <w:szCs w:val="21"/>
                      <w:lang w:eastAsia="zh-CN"/>
                    </w:rPr>
                    <w:t>二次油气回收装置（油气回收泵</w:t>
                  </w:r>
                  <w:r>
                    <w:rPr>
                      <w:rFonts w:hint="default" w:ascii="Times New Roman" w:hAnsi="Times New Roman" w:cs="Times New Roman"/>
                      <w:b/>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8" w:hRule="atLeast"/>
              </w:trPr>
              <w:tc>
                <w:tcPr>
                  <w:tcW w:w="8859" w:type="dxa"/>
                  <w:gridSpan w:val="2"/>
                  <w:vAlign w:val="top"/>
                </w:tcPr>
                <w:p>
                  <w:pPr>
                    <w:jc w:val="center"/>
                    <w:rPr>
                      <w:rFonts w:hint="default" w:ascii="Times New Roman" w:hAnsi="Times New Roman" w:cs="Times New Roman"/>
                      <w:b/>
                      <w:bCs/>
                      <w:lang w:eastAsia="zh-CN"/>
                    </w:rPr>
                  </w:pPr>
                  <w:r>
                    <w:rPr>
                      <w:rFonts w:hint="default" w:ascii="Times New Roman" w:hAnsi="Times New Roman" w:cs="Times New Roman"/>
                      <w:b/>
                      <w:bCs/>
                      <w:lang w:eastAsia="zh-CN"/>
                    </w:rPr>
                    <w:drawing>
                      <wp:inline distT="0" distB="0" distL="114300" distR="114300">
                        <wp:extent cx="2555875" cy="2246630"/>
                        <wp:effectExtent l="0" t="0" r="15875" b="1270"/>
                        <wp:docPr id="14" name="图片 14" descr="304ffb399c0171a57b644dd0a399fd3"/>
                        <wp:cNvGraphicFramePr/>
                        <a:graphic xmlns:a="http://schemas.openxmlformats.org/drawingml/2006/main">
                          <a:graphicData uri="http://schemas.openxmlformats.org/drawingml/2006/picture">
                            <pic:pic xmlns:pic="http://schemas.openxmlformats.org/drawingml/2006/picture">
                              <pic:nvPicPr>
                                <pic:cNvPr id="14" name="图片 14" descr="304ffb399c0171a57b644dd0a399fd3"/>
                                <pic:cNvPicPr/>
                              </pic:nvPicPr>
                              <pic:blipFill>
                                <a:blip r:embed="rId16"/>
                                <a:stretch>
                                  <a:fillRect/>
                                </a:stretch>
                              </pic:blipFill>
                              <pic:spPr>
                                <a:xfrm>
                                  <a:off x="0" y="0"/>
                                  <a:ext cx="2555875" cy="22466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859" w:type="dxa"/>
                  <w:gridSpan w:val="2"/>
                  <w:vAlign w:val="top"/>
                </w:tcPr>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三次回收装置图</w:t>
                  </w:r>
                </w:p>
              </w:tc>
            </w:tr>
          </w:tbl>
          <w:p>
            <w:pPr>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图3-2  三次回收装置图</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1" w:hRule="atLeast"/>
              </w:trPr>
              <w:tc>
                <w:tcPr>
                  <w:tcW w:w="4645" w:type="dxa"/>
                </w:tcPr>
                <w:p>
                  <w:pPr>
                    <w:numPr>
                      <w:ilvl w:val="-1"/>
                      <w:numId w:val="0"/>
                    </w:numPr>
                    <w:spacing w:line="36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drawing>
                      <wp:inline distT="0" distB="0" distL="114300" distR="114300">
                        <wp:extent cx="2555875" cy="2498090"/>
                        <wp:effectExtent l="0" t="0" r="15875" b="16510"/>
                        <wp:docPr id="114" name="图片 114" descr="4"/>
                        <wp:cNvGraphicFramePr/>
                        <a:graphic xmlns:a="http://schemas.openxmlformats.org/drawingml/2006/main">
                          <a:graphicData uri="http://schemas.openxmlformats.org/drawingml/2006/picture">
                            <pic:pic xmlns:pic="http://schemas.openxmlformats.org/drawingml/2006/picture">
                              <pic:nvPicPr>
                                <pic:cNvPr id="114" name="图片 114" descr="4"/>
                                <pic:cNvPicPr/>
                              </pic:nvPicPr>
                              <pic:blipFill>
                                <a:blip r:embed="rId17"/>
                                <a:stretch>
                                  <a:fillRect/>
                                </a:stretch>
                              </pic:blipFill>
                              <pic:spPr>
                                <a:xfrm>
                                  <a:off x="0" y="0"/>
                                  <a:ext cx="2555875" cy="2498090"/>
                                </a:xfrm>
                                <a:prstGeom prst="rect">
                                  <a:avLst/>
                                </a:prstGeom>
                              </pic:spPr>
                            </pic:pic>
                          </a:graphicData>
                        </a:graphic>
                      </wp:inline>
                    </w:drawing>
                  </w:r>
                </w:p>
              </w:tc>
              <w:tc>
                <w:tcPr>
                  <w:tcW w:w="4646" w:type="dxa"/>
                </w:tcPr>
                <w:p>
                  <w:pPr>
                    <w:numPr>
                      <w:ilvl w:val="-1"/>
                      <w:numId w:val="0"/>
                    </w:numPr>
                    <w:spacing w:line="36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drawing>
                      <wp:inline distT="0" distB="0" distL="114300" distR="114300">
                        <wp:extent cx="2555875" cy="2498090"/>
                        <wp:effectExtent l="0" t="0" r="15875" b="16510"/>
                        <wp:docPr id="115" name="图片 115" descr="5"/>
                        <wp:cNvGraphicFramePr/>
                        <a:graphic xmlns:a="http://schemas.openxmlformats.org/drawingml/2006/main">
                          <a:graphicData uri="http://schemas.openxmlformats.org/drawingml/2006/picture">
                            <pic:pic xmlns:pic="http://schemas.openxmlformats.org/drawingml/2006/picture">
                              <pic:nvPicPr>
                                <pic:cNvPr id="115" name="图片 115" descr="5"/>
                                <pic:cNvPicPr/>
                              </pic:nvPicPr>
                              <pic:blipFill>
                                <a:blip r:embed="rId18"/>
                                <a:stretch>
                                  <a:fillRect/>
                                </a:stretch>
                              </pic:blipFill>
                              <pic:spPr>
                                <a:xfrm>
                                  <a:off x="0" y="0"/>
                                  <a:ext cx="2555875" cy="24980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5" w:type="dxa"/>
                </w:tcPr>
                <w:p>
                  <w:pPr>
                    <w:numPr>
                      <w:ilvl w:val="-1"/>
                      <w:numId w:val="0"/>
                    </w:numPr>
                    <w:spacing w:line="36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drawing>
                      <wp:inline distT="0" distB="0" distL="114300" distR="114300">
                        <wp:extent cx="2537460" cy="2498090"/>
                        <wp:effectExtent l="0" t="0" r="15240" b="16510"/>
                        <wp:docPr id="116" name="图片 116" descr="6"/>
                        <wp:cNvGraphicFramePr/>
                        <a:graphic xmlns:a="http://schemas.openxmlformats.org/drawingml/2006/main">
                          <a:graphicData uri="http://schemas.openxmlformats.org/drawingml/2006/picture">
                            <pic:pic xmlns:pic="http://schemas.openxmlformats.org/drawingml/2006/picture">
                              <pic:nvPicPr>
                                <pic:cNvPr id="116" name="图片 116" descr="6"/>
                                <pic:cNvPicPr/>
                              </pic:nvPicPr>
                              <pic:blipFill>
                                <a:blip r:embed="rId19"/>
                                <a:stretch>
                                  <a:fillRect/>
                                </a:stretch>
                              </pic:blipFill>
                              <pic:spPr>
                                <a:xfrm>
                                  <a:off x="0" y="0"/>
                                  <a:ext cx="2537460" cy="2498090"/>
                                </a:xfrm>
                                <a:prstGeom prst="rect">
                                  <a:avLst/>
                                </a:prstGeom>
                              </pic:spPr>
                            </pic:pic>
                          </a:graphicData>
                        </a:graphic>
                      </wp:inline>
                    </w:drawing>
                  </w:r>
                </w:p>
              </w:tc>
              <w:tc>
                <w:tcPr>
                  <w:tcW w:w="4646" w:type="dxa"/>
                </w:tcPr>
                <w:p>
                  <w:pPr>
                    <w:numPr>
                      <w:ilvl w:val="-1"/>
                      <w:numId w:val="0"/>
                    </w:numPr>
                    <w:spacing w:line="36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drawing>
                      <wp:inline distT="0" distB="0" distL="114300" distR="114300">
                        <wp:extent cx="2555875" cy="2498090"/>
                        <wp:effectExtent l="0" t="0" r="15875" b="16510"/>
                        <wp:docPr id="117" name="图片 117" descr="7"/>
                        <wp:cNvGraphicFramePr/>
                        <a:graphic xmlns:a="http://schemas.openxmlformats.org/drawingml/2006/main">
                          <a:graphicData uri="http://schemas.openxmlformats.org/drawingml/2006/picture">
                            <pic:pic xmlns:pic="http://schemas.openxmlformats.org/drawingml/2006/picture">
                              <pic:nvPicPr>
                                <pic:cNvPr id="117" name="图片 117" descr="7"/>
                                <pic:cNvPicPr/>
                              </pic:nvPicPr>
                              <pic:blipFill>
                                <a:blip r:embed="rId20"/>
                                <a:stretch>
                                  <a:fillRect/>
                                </a:stretch>
                              </pic:blipFill>
                              <pic:spPr>
                                <a:xfrm>
                                  <a:off x="0" y="0"/>
                                  <a:ext cx="2555875" cy="2498090"/>
                                </a:xfrm>
                                <a:prstGeom prst="rect">
                                  <a:avLst/>
                                </a:prstGeom>
                              </pic:spPr>
                            </pic:pic>
                          </a:graphicData>
                        </a:graphic>
                      </wp:inline>
                    </w:drawing>
                  </w:r>
                </w:p>
              </w:tc>
            </w:tr>
          </w:tbl>
          <w:p>
            <w:pPr>
              <w:numPr>
                <w:ilvl w:val="-1"/>
                <w:numId w:val="0"/>
              </w:numPr>
              <w:spacing w:line="360" w:lineRule="auto"/>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eastAsia="zh-CN"/>
              </w:rPr>
              <w:t>图</w:t>
            </w:r>
            <w:r>
              <w:rPr>
                <w:rFonts w:hint="eastAsia" w:cs="Times New Roman" w:eastAsiaTheme="minorEastAsia"/>
                <w:b/>
                <w:bCs/>
                <w:color w:val="auto"/>
                <w:sz w:val="21"/>
                <w:szCs w:val="21"/>
                <w:highlight w:val="none"/>
                <w:lang w:val="en-US" w:eastAsia="zh-CN"/>
              </w:rPr>
              <w:t>3-3</w:t>
            </w:r>
            <w:r>
              <w:rPr>
                <w:rFonts w:hint="default" w:ascii="Times New Roman" w:hAnsi="Times New Roman" w:cs="Times New Roman" w:eastAsiaTheme="minorEastAsia"/>
                <w:b/>
                <w:bCs/>
                <w:color w:val="auto"/>
                <w:sz w:val="21"/>
                <w:szCs w:val="21"/>
                <w:highlight w:val="none"/>
                <w:lang w:val="en-US" w:eastAsia="zh-CN"/>
              </w:rPr>
              <w:t xml:space="preserve">  </w:t>
            </w:r>
            <w:r>
              <w:rPr>
                <w:rFonts w:hint="eastAsia" w:cs="Times New Roman" w:eastAsiaTheme="minorEastAsia"/>
                <w:b/>
                <w:bCs/>
                <w:color w:val="auto"/>
                <w:sz w:val="21"/>
                <w:szCs w:val="21"/>
                <w:highlight w:val="none"/>
                <w:lang w:val="en-US" w:eastAsia="zh-CN"/>
              </w:rPr>
              <w:t>油气回收装置监测仪及维修台账</w:t>
            </w:r>
          </w:p>
          <w:p>
            <w:pPr>
              <w:numPr>
                <w:ilvl w:val="0"/>
                <w:numId w:val="2"/>
              </w:numPr>
              <w:spacing w:line="360" w:lineRule="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噪声</w:t>
            </w:r>
          </w:p>
          <w:p>
            <w:pPr>
              <w:pStyle w:val="5"/>
              <w:spacing w:before="0" w:after="0" w:line="363" w:lineRule="auto"/>
              <w:ind w:right="0" w:firstLine="480" w:firstLineChars="200"/>
              <w:jc w:val="both"/>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项目噪声污染源主要为机动车行驶产生的交通噪声和加油机运转噪声，项目噪声治理措施见表</w:t>
            </w:r>
            <w:r>
              <w:rPr>
                <w:rFonts w:hint="default" w:ascii="Times New Roman" w:hAnsi="Times New Roman" w:cs="Times New Roman" w:eastAsiaTheme="minorEastAsia"/>
                <w:sz w:val="24"/>
                <w:szCs w:val="24"/>
                <w:lang w:val="en-US" w:eastAsia="zh-CN"/>
              </w:rPr>
              <w:t>3-1</w:t>
            </w:r>
            <w:r>
              <w:rPr>
                <w:rFonts w:hint="default" w:ascii="Times New Roman" w:hAnsi="Times New Roman" w:cs="Times New Roman" w:eastAsiaTheme="minorEastAsia"/>
                <w:sz w:val="24"/>
                <w:szCs w:val="24"/>
              </w:rPr>
              <w:t>所示。</w:t>
            </w:r>
          </w:p>
          <w:p>
            <w:pPr>
              <w:pStyle w:val="5"/>
              <w:spacing w:before="0" w:after="0" w:line="363" w:lineRule="auto"/>
              <w:ind w:right="0" w:firstLine="422" w:firstLineChars="20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lang w:val="en-US" w:eastAsia="zh-CN"/>
              </w:rPr>
              <w:t xml:space="preserve">表3-1  </w:t>
            </w:r>
            <w:r>
              <w:rPr>
                <w:rFonts w:hint="default" w:ascii="Times New Roman" w:hAnsi="Times New Roman" w:cs="Times New Roman" w:eastAsiaTheme="minorEastAsia"/>
                <w:b/>
                <w:bCs/>
                <w:spacing w:val="-5"/>
                <w:sz w:val="21"/>
                <w:szCs w:val="21"/>
              </w:rPr>
              <w:t>噪</w:t>
            </w:r>
            <w:r>
              <w:rPr>
                <w:rFonts w:hint="default" w:ascii="Times New Roman" w:hAnsi="Times New Roman" w:cs="Times New Roman" w:eastAsiaTheme="minorEastAsia"/>
                <w:b/>
                <w:bCs/>
                <w:spacing w:val="-3"/>
                <w:sz w:val="21"/>
                <w:szCs w:val="21"/>
              </w:rPr>
              <w:t>声</w:t>
            </w:r>
            <w:r>
              <w:rPr>
                <w:rFonts w:hint="default" w:ascii="Times New Roman" w:hAnsi="Times New Roman" w:cs="Times New Roman" w:eastAsiaTheme="minorEastAsia"/>
                <w:b/>
                <w:bCs/>
                <w:spacing w:val="-5"/>
                <w:sz w:val="21"/>
                <w:szCs w:val="21"/>
              </w:rPr>
              <w:t>源强</w:t>
            </w:r>
            <w:r>
              <w:rPr>
                <w:rFonts w:hint="default" w:ascii="Times New Roman" w:hAnsi="Times New Roman" w:cs="Times New Roman" w:eastAsiaTheme="minorEastAsia"/>
                <w:b/>
                <w:bCs/>
                <w:spacing w:val="-3"/>
                <w:sz w:val="21"/>
                <w:szCs w:val="21"/>
              </w:rPr>
              <w:t>及</w:t>
            </w:r>
            <w:r>
              <w:rPr>
                <w:rFonts w:hint="default" w:ascii="Times New Roman" w:hAnsi="Times New Roman" w:cs="Times New Roman" w:eastAsiaTheme="minorEastAsia"/>
                <w:b/>
                <w:bCs/>
                <w:spacing w:val="-5"/>
                <w:sz w:val="21"/>
                <w:szCs w:val="21"/>
              </w:rPr>
              <w:t>防治</w:t>
            </w:r>
            <w:r>
              <w:rPr>
                <w:rFonts w:hint="default" w:ascii="Times New Roman" w:hAnsi="Times New Roman" w:cs="Times New Roman" w:eastAsiaTheme="minorEastAsia"/>
                <w:b/>
                <w:bCs/>
                <w:spacing w:val="-3"/>
                <w:sz w:val="21"/>
                <w:szCs w:val="21"/>
              </w:rPr>
              <w:t>措</w:t>
            </w:r>
            <w:r>
              <w:rPr>
                <w:rFonts w:hint="default" w:ascii="Times New Roman" w:hAnsi="Times New Roman" w:cs="Times New Roman" w:eastAsiaTheme="minorEastAsia"/>
                <w:b/>
                <w:bCs/>
                <w:sz w:val="21"/>
                <w:szCs w:val="21"/>
              </w:rPr>
              <w:t>施</w:t>
            </w:r>
            <w:r>
              <w:rPr>
                <w:rFonts w:hint="default" w:ascii="Times New Roman" w:hAnsi="Times New Roman" w:cs="Times New Roman" w:eastAsiaTheme="minorEastAsia"/>
                <w:b/>
                <w:bCs/>
                <w:sz w:val="21"/>
                <w:szCs w:val="21"/>
              </w:rPr>
              <w:tab/>
            </w:r>
            <w:r>
              <w:rPr>
                <w:rFonts w:hint="default" w:ascii="Times New Roman" w:hAnsi="Times New Roman" w:cs="Times New Roman" w:eastAsiaTheme="minorEastAsia"/>
                <w:b/>
                <w:bCs/>
                <w:sz w:val="21"/>
                <w:szCs w:val="21"/>
              </w:rPr>
              <w:t>单位：dB(A)</w:t>
            </w:r>
          </w:p>
          <w:tbl>
            <w:tblPr>
              <w:tblStyle w:val="15"/>
              <w:tblW w:w="897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42"/>
              <w:gridCol w:w="1570"/>
              <w:gridCol w:w="1762"/>
              <w:gridCol w:w="2231"/>
              <w:gridCol w:w="177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3" w:hRule="atLeast"/>
                <w:jc w:val="center"/>
              </w:trPr>
              <w:tc>
                <w:tcPr>
                  <w:tcW w:w="1642" w:type="dxa"/>
                  <w:tcBorders>
                    <w:tl2br w:val="nil"/>
                    <w:tr2bl w:val="nil"/>
                  </w:tcBorders>
                  <w:vAlign w:val="center"/>
                </w:tcPr>
                <w:p>
                  <w:pPr>
                    <w:pStyle w:val="19"/>
                    <w:widowControl w:val="0"/>
                    <w:autoSpaceDE w:val="0"/>
                    <w:autoSpaceDN w:val="0"/>
                    <w:adjustRightInd/>
                    <w:snapToGrid/>
                    <w:spacing w:before="1" w:after="0" w:afterLines="-2147483648"/>
                    <w:ind w:left="0" w:right="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570" w:type="dxa"/>
                  <w:tcBorders>
                    <w:tl2br w:val="nil"/>
                    <w:tr2bl w:val="nil"/>
                  </w:tcBorders>
                  <w:vAlign w:val="center"/>
                </w:tcPr>
                <w:p>
                  <w:pPr>
                    <w:pStyle w:val="19"/>
                    <w:widowControl w:val="0"/>
                    <w:autoSpaceDE w:val="0"/>
                    <w:autoSpaceDN w:val="0"/>
                    <w:adjustRightInd/>
                    <w:snapToGrid/>
                    <w:spacing w:before="1" w:after="0" w:afterLines="-2147483648"/>
                    <w:ind w:left="0" w:right="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1762" w:type="dxa"/>
                  <w:tcBorders>
                    <w:tl2br w:val="nil"/>
                    <w:tr2bl w:val="nil"/>
                  </w:tcBorders>
                  <w:vAlign w:val="center"/>
                </w:tcPr>
                <w:p>
                  <w:pPr>
                    <w:pStyle w:val="19"/>
                    <w:widowControl w:val="0"/>
                    <w:autoSpaceDE w:val="0"/>
                    <w:autoSpaceDN w:val="0"/>
                    <w:adjustRightInd/>
                    <w:snapToGrid/>
                    <w:spacing w:before="1" w:after="0" w:afterLines="-2147483648"/>
                    <w:ind w:left="0" w:right="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声压级</w:t>
                  </w:r>
                </w:p>
              </w:tc>
              <w:tc>
                <w:tcPr>
                  <w:tcW w:w="2231" w:type="dxa"/>
                  <w:tcBorders>
                    <w:tl2br w:val="nil"/>
                    <w:tr2bl w:val="nil"/>
                  </w:tcBorders>
                  <w:vAlign w:val="center"/>
                </w:tcPr>
                <w:p>
                  <w:pPr>
                    <w:pStyle w:val="19"/>
                    <w:widowControl w:val="0"/>
                    <w:autoSpaceDE w:val="0"/>
                    <w:autoSpaceDN w:val="0"/>
                    <w:adjustRightInd/>
                    <w:snapToGrid/>
                    <w:spacing w:before="1" w:after="0" w:afterLines="-2147483648"/>
                    <w:ind w:left="0" w:right="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治理措施</w:t>
                  </w:r>
                </w:p>
              </w:tc>
              <w:tc>
                <w:tcPr>
                  <w:tcW w:w="1773" w:type="dxa"/>
                  <w:tcBorders>
                    <w:tl2br w:val="nil"/>
                    <w:tr2bl w:val="nil"/>
                  </w:tcBorders>
                  <w:vAlign w:val="center"/>
                </w:tcPr>
                <w:p>
                  <w:pPr>
                    <w:pStyle w:val="19"/>
                    <w:widowControl w:val="0"/>
                    <w:autoSpaceDE w:val="0"/>
                    <w:autoSpaceDN w:val="0"/>
                    <w:adjustRightInd/>
                    <w:snapToGrid/>
                    <w:spacing w:before="1" w:after="0" w:afterLines="-2147483648" w:line="240" w:lineRule="auto"/>
                    <w:ind w:left="11" w:right="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治理后源强值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2" w:hRule="atLeast"/>
                <w:jc w:val="center"/>
              </w:trPr>
              <w:tc>
                <w:tcPr>
                  <w:tcW w:w="1642"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机动车</w:t>
                  </w:r>
                </w:p>
              </w:tc>
              <w:tc>
                <w:tcPr>
                  <w:tcW w:w="1570"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1762"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2231"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设置禁鸣标志</w:t>
                  </w:r>
                </w:p>
              </w:tc>
              <w:tc>
                <w:tcPr>
                  <w:tcW w:w="1773"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0" w:hRule="atLeast"/>
                <w:jc w:val="center"/>
              </w:trPr>
              <w:tc>
                <w:tcPr>
                  <w:tcW w:w="1642"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加油机</w:t>
                  </w:r>
                </w:p>
              </w:tc>
              <w:tc>
                <w:tcPr>
                  <w:tcW w:w="1570"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6</w:t>
                  </w:r>
                </w:p>
              </w:tc>
              <w:tc>
                <w:tcPr>
                  <w:tcW w:w="1762"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2231"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设置减振基础</w:t>
                  </w:r>
                </w:p>
              </w:tc>
              <w:tc>
                <w:tcPr>
                  <w:tcW w:w="1773" w:type="dxa"/>
                  <w:tcBorders>
                    <w:tl2br w:val="nil"/>
                    <w:tr2bl w:val="nil"/>
                  </w:tcBorders>
                  <w:vAlign w:val="center"/>
                </w:tcPr>
                <w:p>
                  <w:pPr>
                    <w:pStyle w:val="19"/>
                    <w:widowControl w:val="0"/>
                    <w:autoSpaceDE w:val="0"/>
                    <w:autoSpaceDN w:val="0"/>
                    <w:adjustRightInd/>
                    <w:snapToGrid/>
                    <w:spacing w:before="1" w:after="0" w:afterLines="-2147483648"/>
                    <w:ind w:left="11" w:right="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80" w:firstLineChars="200"/>
              <w:textAlignment w:val="auto"/>
              <w:rPr>
                <w:rFonts w:hint="default"/>
                <w:sz w:val="24"/>
                <w:szCs w:val="24"/>
                <w:lang w:val="en-US" w:eastAsia="zh-CN"/>
              </w:rPr>
            </w:pPr>
            <w:r>
              <w:rPr>
                <w:rFonts w:hint="default"/>
                <w:sz w:val="24"/>
                <w:szCs w:val="24"/>
                <w:lang w:val="en-US" w:eastAsia="zh-CN"/>
              </w:rPr>
              <w:t>项目监测点位示意图如下：</w:t>
            </w:r>
          </w:p>
          <w:p>
            <w:pPr>
              <w:numPr>
                <w:ilvl w:val="-1"/>
                <w:numId w:val="0"/>
              </w:numPr>
              <w:spacing w:line="360" w:lineRule="auto"/>
              <w:rPr>
                <w:rFonts w:hint="default" w:ascii="Times New Roman" w:hAnsi="Times New Roman" w:cs="Times New Roman"/>
                <w:sz w:val="24"/>
                <w:szCs w:val="24"/>
                <w:lang w:val="en-US" w:eastAsia="zh-CN"/>
              </w:rPr>
            </w:pPr>
            <w:r>
              <w:drawing>
                <wp:inline distT="0" distB="0" distL="114300" distR="114300">
                  <wp:extent cx="5657850" cy="467677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5657850" cy="4676775"/>
                          </a:xfrm>
                          <a:prstGeom prst="rect">
                            <a:avLst/>
                          </a:prstGeom>
                          <a:noFill/>
                          <a:ln>
                            <a:noFill/>
                          </a:ln>
                        </pic:spPr>
                      </pic:pic>
                    </a:graphicData>
                  </a:graphic>
                </wp:inline>
              </w:drawing>
            </w:r>
          </w:p>
          <w:p>
            <w:pPr>
              <w:numPr>
                <w:ilvl w:val="-1"/>
                <w:numId w:val="0"/>
              </w:numPr>
              <w:spacing w:line="360" w:lineRule="auto"/>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eastAsia="zh-CN"/>
              </w:rPr>
              <w:t>图</w:t>
            </w:r>
            <w:r>
              <w:rPr>
                <w:rFonts w:hint="default" w:ascii="Times New Roman" w:hAnsi="Times New Roman" w:cs="Times New Roman" w:eastAsiaTheme="minorEastAsia"/>
                <w:b/>
                <w:bCs/>
                <w:color w:val="auto"/>
                <w:sz w:val="21"/>
                <w:szCs w:val="21"/>
                <w:highlight w:val="none"/>
                <w:lang w:val="en-US" w:eastAsia="zh-CN"/>
              </w:rPr>
              <w:t>3-4  项目监测点位布置图</w:t>
            </w:r>
          </w:p>
          <w:p>
            <w:pPr>
              <w:pStyle w:val="2"/>
              <w:rPr>
                <w:rFonts w:hint="default" w:ascii="Times New Roman" w:hAnsi="Times New Roman" w:cs="Times New Roman" w:eastAsiaTheme="minorEastAsia"/>
                <w:b/>
                <w:bCs/>
                <w:color w:val="auto"/>
                <w:sz w:val="21"/>
                <w:szCs w:val="21"/>
                <w:highlight w:val="none"/>
                <w:lang w:val="en-US" w:eastAsia="zh-CN"/>
              </w:rPr>
            </w:pPr>
          </w:p>
          <w:p>
            <w:pPr>
              <w:pStyle w:val="4"/>
              <w:rPr>
                <w:rFonts w:hint="default"/>
                <w:lang w:val="en-US" w:eastAsia="zh-CN"/>
              </w:rPr>
            </w:pPr>
          </w:p>
          <w:p>
            <w:pPr>
              <w:rPr>
                <w:rFonts w:hint="default" w:ascii="Times New Roman" w:hAnsi="Times New Roman" w:cs="Times New Roman"/>
                <w:lang w:val="en-US" w:eastAsia="zh-CN"/>
              </w:rPr>
            </w:pPr>
          </w:p>
        </w:tc>
      </w:tr>
    </w:tbl>
    <w:p>
      <w:pPr>
        <w:rPr>
          <w:rFonts w:hint="default" w:ascii="Times New Roman" w:hAnsi="Times New Roman" w:cs="Times New Roman"/>
          <w:lang w:val="en-US" w:eastAsia="zh-CN"/>
        </w:rPr>
        <w:sectPr>
          <w:footerReference r:id="rId5" w:type="default"/>
          <w:pgSz w:w="11906" w:h="16838"/>
          <w:pgMar w:top="1800" w:right="1440" w:bottom="1800" w:left="144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16"/>
        <w:tblW w:w="9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507" w:type="dxa"/>
            <w:vAlign w:val="top"/>
          </w:tcPr>
          <w:p>
            <w:pPr>
              <w:keepNext w:val="0"/>
              <w:keepLines w:val="0"/>
              <w:pageBreakBefore w:val="0"/>
              <w:widowControl w:val="0"/>
              <w:numPr>
                <w:ilvl w:val="0"/>
                <w:numId w:val="2"/>
              </w:numPr>
              <w:kinsoku/>
              <w:wordWrap/>
              <w:overflowPunct/>
              <w:topLinePunct w:val="0"/>
              <w:autoSpaceDE w:val="0"/>
              <w:autoSpaceDN w:val="0"/>
              <w:bidi w:val="0"/>
              <w:adjustRightInd/>
              <w:snapToGrid/>
              <w:spacing w:before="0" w:beforeLines="50" w:line="360" w:lineRule="auto"/>
              <w:ind w:left="0"/>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固体废弃物</w:t>
            </w:r>
          </w:p>
          <w:p>
            <w:pPr>
              <w:keepLines w:val="0"/>
              <w:pageBreakBefore w:val="0"/>
              <w:numPr>
                <w:ilvl w:val="0"/>
                <w:numId w:val="0"/>
              </w:numPr>
              <w:kinsoku/>
              <w:overflowPunct/>
              <w:topLinePunct w:val="0"/>
              <w:bidi w:val="0"/>
              <w:adjustRightInd w:val="0"/>
              <w:snapToGrid w:val="0"/>
              <w:spacing w:line="360" w:lineRule="auto"/>
              <w:ind w:right="0" w:rightChars="0" w:firstLine="480" w:firstLineChars="200"/>
              <w:outlineLvl w:val="9"/>
              <w:rPr>
                <w:rFonts w:hint="eastAsia" w:ascii="宋体" w:hAnsi="宋体" w:eastAsia="宋体" w:cs="宋体"/>
                <w:sz w:val="21"/>
                <w:szCs w:val="21"/>
                <w:lang w:val="en-US" w:eastAsia="zh-CN"/>
              </w:rPr>
            </w:pPr>
            <w:r>
              <w:rPr>
                <w:rFonts w:hint="default" w:ascii="Times New Roman" w:hAnsi="Times New Roman" w:cs="Times New Roman"/>
                <w:sz w:val="24"/>
                <w:szCs w:val="24"/>
              </w:rPr>
              <w:t>本项目产生的固体废物</w:t>
            </w:r>
            <w:r>
              <w:rPr>
                <w:rFonts w:hint="default" w:ascii="Times New Roman" w:hAnsi="Times New Roman" w:cs="Times New Roman"/>
                <w:sz w:val="24"/>
                <w:szCs w:val="24"/>
                <w:lang w:eastAsia="zh-CN"/>
              </w:rPr>
              <w:t>包括</w:t>
            </w:r>
            <w:r>
              <w:rPr>
                <w:rFonts w:hint="default" w:ascii="Times New Roman" w:hAnsi="Times New Roman" w:cs="Times New Roman"/>
                <w:sz w:val="24"/>
                <w:szCs w:val="24"/>
                <w:lang w:val="en-US" w:eastAsia="zh-CN"/>
              </w:rPr>
              <w:t>生活垃圾</w:t>
            </w:r>
            <w:r>
              <w:rPr>
                <w:rFonts w:hint="default" w:ascii="Times New Roman" w:hAnsi="Times New Roman" w:cs="Times New Roman"/>
                <w:sz w:val="24"/>
                <w:szCs w:val="24"/>
                <w:lang w:eastAsia="zh-CN"/>
              </w:rPr>
              <w:t>和危险废物。</w:t>
            </w:r>
            <w:r>
              <w:rPr>
                <w:rFonts w:hint="default" w:ascii="Times New Roman" w:hAnsi="Times New Roman" w:cs="Times New Roman"/>
                <w:sz w:val="24"/>
                <w:szCs w:val="24"/>
                <w:lang w:val="en-US" w:eastAsia="zh-CN"/>
              </w:rPr>
              <w:t>生活垃圾</w:t>
            </w:r>
            <w:r>
              <w:rPr>
                <w:rFonts w:hint="default" w:ascii="Times New Roman" w:hAnsi="Times New Roman" w:cs="Times New Roman"/>
                <w:sz w:val="24"/>
                <w:szCs w:val="24"/>
              </w:rPr>
              <w:t>主要是员工日常活动及流动人员产生的</w:t>
            </w:r>
            <w:r>
              <w:rPr>
                <w:rFonts w:hint="default" w:ascii="Times New Roman" w:hAnsi="Times New Roman" w:cs="Times New Roman"/>
                <w:sz w:val="24"/>
                <w:szCs w:val="24"/>
                <w:lang w:val="en-US" w:eastAsia="zh-CN"/>
              </w:rPr>
              <w:t>固体废物</w:t>
            </w:r>
            <w:r>
              <w:rPr>
                <w:rFonts w:hint="default" w:ascii="Times New Roman" w:hAnsi="Times New Roman" w:cs="Times New Roman"/>
                <w:sz w:val="24"/>
                <w:szCs w:val="24"/>
                <w:lang w:eastAsia="zh-CN"/>
              </w:rPr>
              <w:t>。危险废物主要为</w:t>
            </w:r>
            <w:r>
              <w:rPr>
                <w:rFonts w:hint="default" w:ascii="Times New Roman" w:hAnsi="Times New Roman" w:cs="Times New Roman"/>
                <w:sz w:val="24"/>
                <w:szCs w:val="24"/>
              </w:rPr>
              <w:t>加油设备维修和维护产生的</w:t>
            </w:r>
            <w:r>
              <w:rPr>
                <w:rFonts w:hint="default" w:ascii="Times New Roman" w:hAnsi="Times New Roman" w:cs="Times New Roman"/>
                <w:sz w:val="24"/>
                <w:szCs w:val="24"/>
                <w:lang w:eastAsia="zh-CN"/>
              </w:rPr>
              <w:t>废润滑油、废含油棉纱、废手套</w:t>
            </w:r>
            <w:r>
              <w:rPr>
                <w:rFonts w:hint="eastAsia" w:ascii="Times New Roman" w:hAnsi="Times New Roman" w:cs="Times New Roman"/>
                <w:sz w:val="24"/>
                <w:szCs w:val="24"/>
                <w:lang w:eastAsia="zh-CN"/>
              </w:rPr>
              <w:t>，清罐产生的油泥</w:t>
            </w:r>
            <w:r>
              <w:rPr>
                <w:rFonts w:hint="eastAsia" w:ascii="Times New Roman" w:hAnsi="Times New Roman" w:cs="Times New Roman"/>
                <w:sz w:val="24"/>
                <w:szCs w:val="24"/>
              </w:rPr>
              <w:t>。</w:t>
            </w:r>
            <w:r>
              <w:rPr>
                <w:rFonts w:hint="eastAsia" w:ascii="Times New Roman" w:hAnsi="Times New Roman" w:cs="Times New Roman"/>
                <w:sz w:val="24"/>
                <w:szCs w:val="24"/>
                <w:lang w:eastAsia="zh-CN"/>
              </w:rPr>
              <w:t>项目固废产生量及处置措施见表</w:t>
            </w:r>
            <w:r>
              <w:rPr>
                <w:rFonts w:hint="eastAsia" w:ascii="Times New Roman" w:hAnsi="Times New Roman" w:cs="Times New Roman"/>
                <w:sz w:val="24"/>
                <w:szCs w:val="24"/>
                <w:lang w:val="en-US" w:eastAsia="zh-CN"/>
              </w:rPr>
              <w:t>3-2所示。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b/>
                <w:bCs/>
                <w:sz w:val="21"/>
                <w:szCs w:val="21"/>
                <w:lang w:eastAsia="zh-CN"/>
              </w:rPr>
              <w:t>表</w:t>
            </w:r>
            <w:r>
              <w:rPr>
                <w:rFonts w:hint="eastAsia" w:ascii="宋体" w:hAnsi="宋体" w:eastAsia="宋体" w:cs="宋体"/>
                <w:b/>
                <w:bCs/>
                <w:sz w:val="21"/>
                <w:szCs w:val="21"/>
                <w:lang w:val="en-US" w:eastAsia="zh-CN"/>
              </w:rPr>
              <w:t>3-2  项目固废产生量及处置措施情况一览表</w:t>
            </w:r>
          </w:p>
          <w:tbl>
            <w:tblPr>
              <w:tblStyle w:val="16"/>
              <w:tblW w:w="92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035"/>
              <w:gridCol w:w="1306"/>
              <w:gridCol w:w="1120"/>
              <w:gridCol w:w="1120"/>
              <w:gridCol w:w="890"/>
              <w:gridCol w:w="2041"/>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83"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类型</w:t>
                  </w:r>
                </w:p>
              </w:tc>
              <w:tc>
                <w:tcPr>
                  <w:tcW w:w="103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废物</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名称</w:t>
                  </w:r>
                </w:p>
              </w:tc>
              <w:tc>
                <w:tcPr>
                  <w:tcW w:w="1306"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产生过程</w:t>
                  </w:r>
                </w:p>
              </w:tc>
              <w:tc>
                <w:tcPr>
                  <w:tcW w:w="112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环评阶段</w:t>
                  </w:r>
                  <w:r>
                    <w:rPr>
                      <w:rFonts w:hint="eastAsia" w:ascii="Times New Roman" w:hAnsi="Times New Roman" w:cs="Times New Roman"/>
                      <w:sz w:val="21"/>
                      <w:szCs w:val="21"/>
                      <w:lang w:eastAsia="zh-CN"/>
                    </w:rPr>
                    <w:t>预测</w:t>
                  </w:r>
                  <w:r>
                    <w:rPr>
                      <w:rFonts w:hint="eastAsia" w:ascii="Times New Roman" w:hAnsi="Times New Roman" w:eastAsia="宋体" w:cs="Times New Roman"/>
                      <w:sz w:val="21"/>
                      <w:szCs w:val="21"/>
                      <w:lang w:eastAsia="zh-CN"/>
                    </w:rPr>
                    <w:t>产出量</w:t>
                  </w:r>
                </w:p>
              </w:tc>
              <w:tc>
                <w:tcPr>
                  <w:tcW w:w="112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实际</w:t>
                  </w:r>
                  <w:r>
                    <w:rPr>
                      <w:rFonts w:hint="default" w:ascii="Times New Roman" w:hAnsi="Times New Roman" w:eastAsia="宋体" w:cs="Times New Roman"/>
                      <w:sz w:val="21"/>
                      <w:szCs w:val="21"/>
                      <w:lang w:eastAsia="zh-CN"/>
                    </w:rPr>
                    <w:t>产生及处置量</w:t>
                  </w:r>
                </w:p>
              </w:tc>
              <w:tc>
                <w:tcPr>
                  <w:tcW w:w="89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类别</w:t>
                  </w:r>
                </w:p>
              </w:tc>
              <w:tc>
                <w:tcPr>
                  <w:tcW w:w="2041"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处理处置方式及去向</w:t>
                  </w:r>
                </w:p>
              </w:tc>
              <w:tc>
                <w:tcPr>
                  <w:tcW w:w="982"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83"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生活垃圾</w:t>
                  </w:r>
                </w:p>
              </w:tc>
              <w:tc>
                <w:tcPr>
                  <w:tcW w:w="103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生活垃圾</w:t>
                  </w:r>
                </w:p>
              </w:tc>
              <w:tc>
                <w:tcPr>
                  <w:tcW w:w="1306"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w:t>
                  </w:r>
                </w:p>
              </w:tc>
              <w:tc>
                <w:tcPr>
                  <w:tcW w:w="112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3.10</w:t>
                  </w:r>
                  <w:r>
                    <w:rPr>
                      <w:rFonts w:hint="default" w:ascii="Times New Roman" w:hAnsi="Times New Roman" w:eastAsia="宋体" w:cs="Times New Roman"/>
                      <w:sz w:val="21"/>
                      <w:szCs w:val="21"/>
                      <w:lang w:val="en-US"/>
                    </w:rPr>
                    <w:t>t/a</w:t>
                  </w:r>
                </w:p>
              </w:tc>
              <w:tc>
                <w:tcPr>
                  <w:tcW w:w="112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sz w:val="21"/>
                      <w:szCs w:val="21"/>
                      <w:lang w:val="en-US"/>
                    </w:rPr>
                  </w:pPr>
                  <w:r>
                    <w:rPr>
                      <w:rFonts w:hint="eastAsia" w:ascii="Times New Roman" w:hAnsi="Times New Roman" w:cs="Times New Roman"/>
                      <w:sz w:val="21"/>
                      <w:szCs w:val="21"/>
                      <w:lang w:val="en-US" w:eastAsia="zh-CN"/>
                    </w:rPr>
                    <w:t>0.2</w:t>
                  </w:r>
                  <w:r>
                    <w:rPr>
                      <w:rFonts w:hint="default" w:ascii="Times New Roman" w:hAnsi="Times New Roman" w:eastAsia="宋体" w:cs="Times New Roman"/>
                      <w:sz w:val="21"/>
                      <w:szCs w:val="21"/>
                      <w:lang w:val="en-US"/>
                    </w:rPr>
                    <w:t>t</w:t>
                  </w:r>
                </w:p>
              </w:tc>
              <w:tc>
                <w:tcPr>
                  <w:tcW w:w="89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w:t>
                  </w:r>
                </w:p>
              </w:tc>
              <w:tc>
                <w:tcPr>
                  <w:tcW w:w="2041"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分类收集，交由</w:t>
                  </w:r>
                  <w:r>
                    <w:rPr>
                      <w:rFonts w:hint="eastAsia" w:ascii="Times New Roman" w:hAnsi="Times New Roman" w:cs="Times New Roman"/>
                      <w:sz w:val="21"/>
                      <w:szCs w:val="21"/>
                      <w:lang w:val="en-US" w:eastAsia="zh-CN"/>
                    </w:rPr>
                    <w:t>茂陵服务区统一送往</w:t>
                  </w:r>
                  <w:r>
                    <w:rPr>
                      <w:rFonts w:hint="default" w:ascii="Times New Roman" w:hAnsi="Times New Roman" w:eastAsia="宋体" w:cs="Times New Roman"/>
                      <w:sz w:val="21"/>
                      <w:szCs w:val="21"/>
                      <w:lang w:val="en-US" w:eastAsia="zh-CN"/>
                    </w:rPr>
                    <w:t>环卫部门处</w:t>
                  </w:r>
                  <w:r>
                    <w:rPr>
                      <w:rFonts w:hint="eastAsia" w:ascii="Times New Roman" w:hAnsi="Times New Roman" w:cs="Times New Roman"/>
                      <w:sz w:val="21"/>
                      <w:szCs w:val="21"/>
                      <w:lang w:val="en-US" w:eastAsia="zh-CN"/>
                    </w:rPr>
                    <w:t>置</w:t>
                  </w:r>
                </w:p>
              </w:tc>
              <w:tc>
                <w:tcPr>
                  <w:tcW w:w="982"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783" w:type="dxa"/>
                  <w:vMerge w:val="restar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危险废物</w:t>
                  </w:r>
                </w:p>
              </w:tc>
              <w:tc>
                <w:tcPr>
                  <w:tcW w:w="103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废润滑油</w:t>
                  </w:r>
                </w:p>
              </w:tc>
              <w:tc>
                <w:tcPr>
                  <w:tcW w:w="1306"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加油设备维修和维护</w:t>
                  </w:r>
                </w:p>
              </w:tc>
              <w:tc>
                <w:tcPr>
                  <w:tcW w:w="112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0.05</w:t>
                  </w:r>
                  <w:r>
                    <w:rPr>
                      <w:rFonts w:hint="default" w:ascii="Times New Roman" w:hAnsi="Times New Roman" w:eastAsia="宋体" w:cs="Times New Roman"/>
                      <w:sz w:val="21"/>
                      <w:szCs w:val="21"/>
                      <w:lang w:val="en-US"/>
                    </w:rPr>
                    <w:t>t/a</w:t>
                  </w:r>
                </w:p>
              </w:tc>
              <w:tc>
                <w:tcPr>
                  <w:tcW w:w="112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验收阶段未</w:t>
                  </w:r>
                  <w:r>
                    <w:rPr>
                      <w:rFonts w:hint="eastAsia" w:ascii="Times New Roman" w:hAnsi="Times New Roman" w:eastAsia="宋体" w:cs="Times New Roman"/>
                      <w:sz w:val="21"/>
                      <w:szCs w:val="21"/>
                      <w:lang w:val="en-US" w:eastAsia="zh-CN"/>
                    </w:rPr>
                    <w:t>产生</w:t>
                  </w:r>
                </w:p>
              </w:tc>
              <w:tc>
                <w:tcPr>
                  <w:tcW w:w="89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HW08</w:t>
                  </w:r>
                </w:p>
              </w:tc>
              <w:tc>
                <w:tcPr>
                  <w:tcW w:w="2041" w:type="dxa"/>
                  <w:vMerge w:val="restar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置于危废暂存</w:t>
                  </w:r>
                  <w:r>
                    <w:rPr>
                      <w:rFonts w:hint="eastAsia" w:ascii="Times New Roman" w:hAnsi="Times New Roman" w:cs="Times New Roman"/>
                      <w:sz w:val="21"/>
                      <w:szCs w:val="21"/>
                      <w:lang w:val="en-US" w:eastAsia="zh-CN"/>
                    </w:rPr>
                    <w:t>箱</w:t>
                  </w:r>
                  <w:r>
                    <w:rPr>
                      <w:rFonts w:hint="default" w:ascii="Times New Roman" w:hAnsi="Times New Roman" w:eastAsia="宋体" w:cs="Times New Roman"/>
                      <w:sz w:val="21"/>
                      <w:szCs w:val="21"/>
                      <w:lang w:val="en-US" w:eastAsia="zh-CN"/>
                    </w:rPr>
                    <w:t>，交由陕西明瑞资源再生有限公司处置（附件7）</w:t>
                  </w:r>
                </w:p>
              </w:tc>
              <w:tc>
                <w:tcPr>
                  <w:tcW w:w="982" w:type="dxa"/>
                  <w:vMerge w:val="restar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危废暂存箱内设置有专用托盘、专用桶，底部设置有四周有围堰的防渗漏混凝土地台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783" w:type="dxa"/>
                  <w:vMerge w:val="continue"/>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sz w:val="21"/>
                      <w:szCs w:val="21"/>
                      <w:lang w:eastAsia="zh-CN"/>
                    </w:rPr>
                  </w:pPr>
                </w:p>
              </w:tc>
              <w:tc>
                <w:tcPr>
                  <w:tcW w:w="103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废含油棉纱、废手套</w:t>
                  </w:r>
                </w:p>
              </w:tc>
              <w:tc>
                <w:tcPr>
                  <w:tcW w:w="1306"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加油设备维修和维护</w:t>
                  </w:r>
                </w:p>
              </w:tc>
              <w:tc>
                <w:tcPr>
                  <w:tcW w:w="112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0.004</w:t>
                  </w:r>
                  <w:r>
                    <w:rPr>
                      <w:rFonts w:hint="default" w:ascii="Times New Roman" w:hAnsi="Times New Roman" w:eastAsia="宋体" w:cs="Times New Roman"/>
                      <w:sz w:val="21"/>
                      <w:szCs w:val="21"/>
                      <w:lang w:val="en-US" w:eastAsia="zh-CN"/>
                    </w:rPr>
                    <w:t>t/a</w:t>
                  </w:r>
                </w:p>
              </w:tc>
              <w:tc>
                <w:tcPr>
                  <w:tcW w:w="112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验收阶段未</w:t>
                  </w:r>
                  <w:r>
                    <w:rPr>
                      <w:rFonts w:hint="eastAsia" w:ascii="Times New Roman" w:hAnsi="Times New Roman" w:eastAsia="宋体" w:cs="Times New Roman"/>
                      <w:sz w:val="21"/>
                      <w:szCs w:val="21"/>
                      <w:lang w:val="en-US" w:eastAsia="zh-CN"/>
                    </w:rPr>
                    <w:t>产生</w:t>
                  </w:r>
                </w:p>
              </w:tc>
              <w:tc>
                <w:tcPr>
                  <w:tcW w:w="89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HW49</w:t>
                  </w:r>
                </w:p>
              </w:tc>
              <w:tc>
                <w:tcPr>
                  <w:tcW w:w="2041" w:type="dxa"/>
                  <w:vMerge w:val="continue"/>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982" w:type="dxa"/>
                  <w:vMerge w:val="continue"/>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83" w:type="dxa"/>
                  <w:vMerge w:val="continue"/>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rightChars="0"/>
                    <w:jc w:val="center"/>
                    <w:textAlignment w:val="auto"/>
                    <w:outlineLvl w:val="9"/>
                    <w:rPr>
                      <w:rFonts w:hint="default" w:ascii="Times New Roman" w:hAnsi="Times New Roman" w:eastAsia="宋体" w:cs="Times New Roman"/>
                      <w:sz w:val="21"/>
                      <w:szCs w:val="21"/>
                      <w:lang w:eastAsia="zh-CN"/>
                    </w:rPr>
                  </w:pPr>
                </w:p>
              </w:tc>
              <w:tc>
                <w:tcPr>
                  <w:tcW w:w="103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油罐底部油泥</w:t>
                  </w:r>
                </w:p>
              </w:tc>
              <w:tc>
                <w:tcPr>
                  <w:tcW w:w="1306"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燃料油储存过程中产生的油泥</w:t>
                  </w:r>
                </w:p>
              </w:tc>
              <w:tc>
                <w:tcPr>
                  <w:tcW w:w="112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0.15</w:t>
                  </w:r>
                  <w:r>
                    <w:rPr>
                      <w:rFonts w:hint="default" w:ascii="Times New Roman" w:hAnsi="Times New Roman" w:eastAsia="宋体" w:cs="Times New Roman"/>
                      <w:sz w:val="21"/>
                      <w:szCs w:val="21"/>
                      <w:lang w:val="en-US"/>
                    </w:rPr>
                    <w:t>t/a</w:t>
                  </w:r>
                </w:p>
              </w:tc>
              <w:tc>
                <w:tcPr>
                  <w:tcW w:w="112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验收阶段未</w:t>
                  </w:r>
                  <w:r>
                    <w:rPr>
                      <w:rFonts w:hint="eastAsia" w:ascii="Times New Roman" w:hAnsi="Times New Roman" w:eastAsia="宋体" w:cs="Times New Roman"/>
                      <w:sz w:val="21"/>
                      <w:szCs w:val="21"/>
                      <w:lang w:val="en-US" w:eastAsia="zh-CN"/>
                    </w:rPr>
                    <w:t>产生</w:t>
                  </w:r>
                </w:p>
              </w:tc>
              <w:tc>
                <w:tcPr>
                  <w:tcW w:w="89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HW08</w:t>
                  </w:r>
                </w:p>
              </w:tc>
              <w:tc>
                <w:tcPr>
                  <w:tcW w:w="2041"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由清罐单位直接拉走外委处置</w:t>
                  </w:r>
                </w:p>
              </w:tc>
              <w:tc>
                <w:tcPr>
                  <w:tcW w:w="982" w:type="dxa"/>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bl>
          <w:p>
            <w:pPr>
              <w:numPr>
                <w:ilvl w:val="0"/>
                <w:numId w:val="0"/>
              </w:numPr>
              <w:spacing w:line="360" w:lineRule="auto"/>
              <w:ind w:leftChars="0" w:right="0" w:rightChars="0"/>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二、</w:t>
            </w:r>
            <w:r>
              <w:rPr>
                <w:rFonts w:hint="default" w:ascii="Times New Roman" w:hAnsi="Times New Roman" w:cs="Times New Roman"/>
                <w:b/>
                <w:bCs/>
                <w:sz w:val="24"/>
                <w:szCs w:val="24"/>
                <w:lang w:val="en-US" w:eastAsia="zh-CN"/>
              </w:rPr>
              <w:t>其他环境保护设施</w:t>
            </w:r>
          </w:p>
          <w:p>
            <w:pPr>
              <w:pStyle w:val="7"/>
              <w:numPr>
                <w:ilvl w:val="-1"/>
                <w:numId w:val="0"/>
              </w:numPr>
              <w:spacing w:before="0" w:line="360" w:lineRule="auto"/>
              <w:ind w:left="0" w:firstLine="0" w:firstLineChars="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1、环境风险防范措施</w:t>
            </w:r>
          </w:p>
          <w:p>
            <w:pPr>
              <w:pStyle w:val="7"/>
              <w:numPr>
                <w:ilvl w:val="-1"/>
                <w:numId w:val="0"/>
              </w:numPr>
              <w:spacing w:before="0" w:line="360" w:lineRule="auto"/>
              <w:ind w:left="0" w:firstLine="480" w:firstLineChars="20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根据环境保护方面的法律、法规并结合项目实际运行编制了《陕西省石油化工工业贸易公司茂陵服务区东加油站突发环境事件应急预案》，并到咸阳市生态环境局兴平分局备案，备案编号：610481-2019-005-L。（附件8）</w:t>
            </w:r>
          </w:p>
          <w:p>
            <w:pPr>
              <w:pStyle w:val="7"/>
              <w:numPr>
                <w:ilvl w:val="-1"/>
                <w:numId w:val="0"/>
              </w:numPr>
              <w:spacing w:before="0" w:line="360" w:lineRule="auto"/>
              <w:ind w:left="0" w:firstLine="480" w:firstLineChars="200"/>
              <w:rPr>
                <w:rFonts w:hint="default" w:eastAsia="宋体"/>
                <w:lang w:val="en-US" w:eastAsia="zh-CN"/>
              </w:rPr>
            </w:pPr>
            <w:r>
              <w:rPr>
                <w:rFonts w:hint="default" w:ascii="Times New Roman" w:hAnsi="Times New Roman" w:cs="Times New Roman"/>
                <w:b w:val="0"/>
                <w:bCs w:val="0"/>
                <w:lang w:val="en-US" w:eastAsia="zh-CN"/>
              </w:rPr>
              <w:t>应急预案主要包括应急组织机构与职责、预防预警、应急处置、后期处置、应急保障、监督管理等方面，明确了应急响应机制，配备了响应的应急救援物资。建设项目风险防范设施一览表见表3-3</w:t>
            </w:r>
            <w:r>
              <w:rPr>
                <w:rFonts w:hint="eastAsia" w:ascii="Times New Roman" w:hAnsi="Times New Roman" w:cs="Times New Roman"/>
                <w:b w:val="0"/>
                <w:bCs w:val="0"/>
                <w:lang w:val="en-US" w:eastAsia="zh-CN"/>
              </w:rPr>
              <w:t>。</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b/>
                <w:bCs/>
                <w:sz w:val="21"/>
                <w:szCs w:val="21"/>
                <w:lang w:val="en-US" w:eastAsia="zh-CN"/>
              </w:rPr>
            </w:pPr>
            <w:r>
              <w:rPr>
                <w:rFonts w:hint="default"/>
                <w:b/>
                <w:bCs/>
                <w:sz w:val="21"/>
                <w:szCs w:val="21"/>
                <w:lang w:val="en-US" w:eastAsia="zh-CN"/>
              </w:rPr>
              <w:t>表3-3  建设项目</w:t>
            </w:r>
            <w:r>
              <w:rPr>
                <w:rFonts w:hint="eastAsia"/>
                <w:b/>
                <w:bCs/>
                <w:sz w:val="21"/>
                <w:szCs w:val="21"/>
                <w:lang w:val="en-US" w:eastAsia="zh-CN"/>
              </w:rPr>
              <w:t>环境</w:t>
            </w:r>
            <w:r>
              <w:rPr>
                <w:rFonts w:hint="default"/>
                <w:b/>
                <w:bCs/>
                <w:sz w:val="21"/>
                <w:szCs w:val="21"/>
                <w:lang w:val="en-US" w:eastAsia="zh-CN"/>
              </w:rPr>
              <w:t>风险防范设施一览表</w:t>
            </w:r>
          </w:p>
          <w:tbl>
            <w:tblPr>
              <w:tblStyle w:val="16"/>
              <w:tblW w:w="8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348"/>
              <w:gridCol w:w="2430"/>
              <w:gridCol w:w="630"/>
              <w:gridCol w:w="666"/>
              <w:gridCol w:w="2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42" w:type="dxa"/>
                  <w:vAlign w:val="center"/>
                </w:tcPr>
                <w:p>
                  <w:pPr>
                    <w:pStyle w:val="7"/>
                    <w:keepNext/>
                    <w:autoSpaceDE/>
                    <w:autoSpaceDN/>
                    <w:adjustRightInd w:val="0"/>
                    <w:snapToGrid w:val="0"/>
                    <w:spacing w:before="0"/>
                    <w:ind w:left="0"/>
                    <w:jc w:val="center"/>
                    <w:outlineLvl w:val="1"/>
                    <w:rPr>
                      <w:rFonts w:ascii="Times New Roman" w:hAnsi="Times New Roman" w:cs="Times New Roman"/>
                      <w:b w:val="0"/>
                      <w:kern w:val="2"/>
                      <w:sz w:val="21"/>
                      <w:szCs w:val="21"/>
                      <w:lang w:val="en-US"/>
                    </w:rPr>
                  </w:pPr>
                  <w:r>
                    <w:rPr>
                      <w:rFonts w:ascii="Times New Roman" w:hAnsi="Times New Roman" w:cs="Times New Roman"/>
                      <w:b w:val="0"/>
                      <w:kern w:val="2"/>
                      <w:sz w:val="21"/>
                      <w:szCs w:val="21"/>
                      <w:lang w:val="en-US"/>
                    </w:rPr>
                    <w:t>序号</w:t>
                  </w:r>
                </w:p>
              </w:tc>
              <w:tc>
                <w:tcPr>
                  <w:tcW w:w="2348" w:type="dxa"/>
                  <w:vAlign w:val="center"/>
                </w:tcPr>
                <w:p>
                  <w:pPr>
                    <w:pStyle w:val="7"/>
                    <w:keepNext/>
                    <w:autoSpaceDE/>
                    <w:autoSpaceDN/>
                    <w:adjustRightInd w:val="0"/>
                    <w:snapToGrid w:val="0"/>
                    <w:spacing w:before="0"/>
                    <w:ind w:left="0"/>
                    <w:jc w:val="center"/>
                    <w:outlineLvl w:val="1"/>
                    <w:rPr>
                      <w:rFonts w:ascii="Times New Roman" w:hAnsi="Times New Roman" w:cs="Times New Roman"/>
                      <w:b w:val="0"/>
                      <w:kern w:val="2"/>
                      <w:sz w:val="21"/>
                      <w:szCs w:val="21"/>
                      <w:lang w:val="en-US"/>
                    </w:rPr>
                  </w:pPr>
                  <w:r>
                    <w:rPr>
                      <w:rFonts w:ascii="Times New Roman" w:hAnsi="Times New Roman" w:cs="Times New Roman"/>
                      <w:b w:val="0"/>
                      <w:kern w:val="2"/>
                      <w:sz w:val="21"/>
                      <w:szCs w:val="21"/>
                      <w:lang w:val="en-US"/>
                    </w:rPr>
                    <w:t>名称</w:t>
                  </w:r>
                </w:p>
              </w:tc>
              <w:tc>
                <w:tcPr>
                  <w:tcW w:w="2430" w:type="dxa"/>
                  <w:vAlign w:val="center"/>
                </w:tcPr>
                <w:p>
                  <w:pPr>
                    <w:pStyle w:val="7"/>
                    <w:keepNext/>
                    <w:autoSpaceDE/>
                    <w:autoSpaceDN/>
                    <w:adjustRightInd w:val="0"/>
                    <w:snapToGrid w:val="0"/>
                    <w:spacing w:before="0"/>
                    <w:ind w:left="0"/>
                    <w:jc w:val="center"/>
                    <w:outlineLvl w:val="1"/>
                    <w:rPr>
                      <w:rFonts w:ascii="Times New Roman" w:hAnsi="Times New Roman" w:cs="Times New Roman"/>
                      <w:b w:val="0"/>
                      <w:kern w:val="2"/>
                      <w:sz w:val="21"/>
                      <w:szCs w:val="21"/>
                      <w:lang w:val="en-US"/>
                    </w:rPr>
                  </w:pPr>
                  <w:r>
                    <w:rPr>
                      <w:rFonts w:ascii="Times New Roman" w:hAnsi="Times New Roman" w:cs="Times New Roman"/>
                      <w:b w:val="0"/>
                      <w:kern w:val="2"/>
                      <w:sz w:val="21"/>
                      <w:szCs w:val="21"/>
                      <w:lang w:val="en-US"/>
                    </w:rPr>
                    <w:t>规格及型号</w:t>
                  </w:r>
                </w:p>
              </w:tc>
              <w:tc>
                <w:tcPr>
                  <w:tcW w:w="630" w:type="dxa"/>
                  <w:vAlign w:val="center"/>
                </w:tcPr>
                <w:p>
                  <w:pPr>
                    <w:pStyle w:val="7"/>
                    <w:keepNext/>
                    <w:autoSpaceDE/>
                    <w:autoSpaceDN/>
                    <w:adjustRightInd w:val="0"/>
                    <w:snapToGrid w:val="0"/>
                    <w:spacing w:before="0"/>
                    <w:ind w:left="0"/>
                    <w:jc w:val="center"/>
                    <w:outlineLvl w:val="1"/>
                    <w:rPr>
                      <w:rFonts w:ascii="Times New Roman" w:hAnsi="Times New Roman" w:cs="Times New Roman"/>
                      <w:b w:val="0"/>
                      <w:kern w:val="2"/>
                      <w:sz w:val="21"/>
                      <w:szCs w:val="21"/>
                      <w:lang w:val="en-US"/>
                    </w:rPr>
                  </w:pPr>
                  <w:r>
                    <w:rPr>
                      <w:rFonts w:ascii="Times New Roman" w:hAnsi="Times New Roman" w:cs="Times New Roman"/>
                      <w:b w:val="0"/>
                      <w:kern w:val="2"/>
                      <w:sz w:val="21"/>
                      <w:szCs w:val="21"/>
                      <w:lang w:val="en-US"/>
                    </w:rPr>
                    <w:t>单位</w:t>
                  </w:r>
                </w:p>
              </w:tc>
              <w:tc>
                <w:tcPr>
                  <w:tcW w:w="666" w:type="dxa"/>
                  <w:vAlign w:val="center"/>
                </w:tcPr>
                <w:p>
                  <w:pPr>
                    <w:pStyle w:val="7"/>
                    <w:keepNext/>
                    <w:autoSpaceDE/>
                    <w:autoSpaceDN/>
                    <w:adjustRightInd w:val="0"/>
                    <w:snapToGrid w:val="0"/>
                    <w:spacing w:before="0"/>
                    <w:ind w:left="0"/>
                    <w:jc w:val="center"/>
                    <w:outlineLvl w:val="1"/>
                    <w:rPr>
                      <w:rFonts w:ascii="Times New Roman" w:hAnsi="Times New Roman" w:cs="Times New Roman"/>
                      <w:b w:val="0"/>
                      <w:kern w:val="2"/>
                      <w:sz w:val="21"/>
                      <w:szCs w:val="21"/>
                      <w:lang w:val="en-US"/>
                    </w:rPr>
                  </w:pPr>
                  <w:r>
                    <w:rPr>
                      <w:rFonts w:ascii="Times New Roman" w:hAnsi="Times New Roman" w:cs="Times New Roman"/>
                      <w:b w:val="0"/>
                      <w:kern w:val="2"/>
                      <w:sz w:val="21"/>
                      <w:szCs w:val="21"/>
                      <w:lang w:val="en-US"/>
                    </w:rPr>
                    <w:t>数量</w:t>
                  </w:r>
                </w:p>
              </w:tc>
              <w:tc>
                <w:tcPr>
                  <w:tcW w:w="2164" w:type="dxa"/>
                  <w:vAlign w:val="center"/>
                </w:tcPr>
                <w:p>
                  <w:pPr>
                    <w:pStyle w:val="7"/>
                    <w:keepNext/>
                    <w:autoSpaceDE/>
                    <w:autoSpaceDN/>
                    <w:adjustRightInd w:val="0"/>
                    <w:snapToGrid w:val="0"/>
                    <w:spacing w:before="0"/>
                    <w:ind w:left="0"/>
                    <w:jc w:val="center"/>
                    <w:outlineLvl w:val="1"/>
                    <w:rPr>
                      <w:rFonts w:ascii="Times New Roman" w:hAnsi="Times New Roman" w:cs="Times New Roman"/>
                      <w:b w:val="0"/>
                      <w:kern w:val="2"/>
                      <w:sz w:val="21"/>
                      <w:szCs w:val="21"/>
                      <w:lang w:val="en-US"/>
                    </w:rPr>
                  </w:pPr>
                  <w:r>
                    <w:rPr>
                      <w:rFonts w:ascii="Times New Roman" w:hAnsi="Times New Roman" w:cs="Times New Roman"/>
                      <w:b w:val="0"/>
                      <w:kern w:val="2"/>
                      <w:sz w:val="21"/>
                      <w:szCs w:val="21"/>
                      <w:lang w:val="en-US"/>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42" w:type="dxa"/>
                  <w:vAlign w:val="center"/>
                </w:tcPr>
                <w:p>
                  <w:pPr>
                    <w:pStyle w:val="7"/>
                    <w:keepNext/>
                    <w:autoSpaceDE/>
                    <w:autoSpaceDN/>
                    <w:adjustRightInd w:val="0"/>
                    <w:snapToGrid w:val="0"/>
                    <w:spacing w:before="0"/>
                    <w:ind w:left="0"/>
                    <w:jc w:val="center"/>
                    <w:outlineLvl w:val="1"/>
                    <w:rPr>
                      <w:rFonts w:ascii="Times New Roman" w:hAnsi="Times New Roman" w:cs="Times New Roman"/>
                      <w:b w:val="0"/>
                      <w:kern w:val="2"/>
                      <w:sz w:val="21"/>
                      <w:szCs w:val="21"/>
                      <w:lang w:val="en-US"/>
                    </w:rPr>
                  </w:pPr>
                  <w:r>
                    <w:rPr>
                      <w:rFonts w:ascii="Times New Roman" w:hAnsi="Times New Roman" w:cs="Times New Roman"/>
                      <w:b w:val="0"/>
                      <w:kern w:val="2"/>
                      <w:sz w:val="21"/>
                      <w:szCs w:val="21"/>
                      <w:lang w:val="en-US"/>
                    </w:rPr>
                    <w:t>1</w:t>
                  </w:r>
                </w:p>
              </w:tc>
              <w:tc>
                <w:tcPr>
                  <w:tcW w:w="2348" w:type="dxa"/>
                  <w:vAlign w:val="center"/>
                </w:tcPr>
                <w:p>
                  <w:pPr>
                    <w:adjustRightInd w:val="0"/>
                    <w:snapToGrid w:val="0"/>
                    <w:jc w:val="center"/>
                    <w:rPr>
                      <w:rFonts w:ascii="Times New Roman" w:hAnsi="Times New Roman" w:cs="Times New Roman"/>
                      <w:bCs/>
                      <w:kern w:val="2"/>
                      <w:sz w:val="21"/>
                      <w:szCs w:val="21"/>
                      <w:lang w:val="en-US"/>
                    </w:rPr>
                  </w:pPr>
                  <w:r>
                    <w:rPr>
                      <w:rFonts w:ascii="Times New Roman" w:hAnsi="Times New Roman" w:cs="Times New Roman"/>
                      <w:kern w:val="2"/>
                      <w:sz w:val="21"/>
                      <w:szCs w:val="21"/>
                    </w:rPr>
                    <w:t>液位检测装置</w:t>
                  </w:r>
                </w:p>
              </w:tc>
              <w:tc>
                <w:tcPr>
                  <w:tcW w:w="2430" w:type="dxa"/>
                  <w:vAlign w:val="center"/>
                </w:tcPr>
                <w:p>
                  <w:pPr>
                    <w:adjustRightInd w:val="0"/>
                    <w:snapToGrid w:val="0"/>
                    <w:jc w:val="center"/>
                    <w:rPr>
                      <w:rFonts w:ascii="Times New Roman" w:hAnsi="Times New Roman" w:eastAsia="微软雅黑" w:cs="Times New Roman"/>
                      <w:bCs/>
                      <w:kern w:val="2"/>
                      <w:sz w:val="21"/>
                      <w:szCs w:val="21"/>
                      <w:lang w:val="en-US"/>
                    </w:rPr>
                  </w:pPr>
                  <w:r>
                    <w:rPr>
                      <w:rFonts w:ascii="Times New Roman" w:hAnsi="Times New Roman" w:cs="Times New Roman"/>
                      <w:kern w:val="2"/>
                      <w:sz w:val="21"/>
                      <w:szCs w:val="21"/>
                      <w:lang w:val="en-US"/>
                    </w:rPr>
                    <w:t>/</w:t>
                  </w:r>
                </w:p>
              </w:tc>
              <w:tc>
                <w:tcPr>
                  <w:tcW w:w="630" w:type="dxa"/>
                  <w:vAlign w:val="center"/>
                </w:tcPr>
                <w:p>
                  <w:pPr>
                    <w:adjustRightInd w:val="0"/>
                    <w:snapToGrid w:val="0"/>
                    <w:jc w:val="center"/>
                    <w:rPr>
                      <w:rFonts w:ascii="Times New Roman" w:hAnsi="Times New Roman" w:cs="Times New Roman"/>
                      <w:bCs/>
                      <w:kern w:val="2"/>
                      <w:sz w:val="21"/>
                      <w:szCs w:val="21"/>
                      <w:lang w:val="en-US"/>
                    </w:rPr>
                  </w:pPr>
                  <w:r>
                    <w:rPr>
                      <w:rFonts w:ascii="Times New Roman" w:hAnsi="Times New Roman" w:cs="Times New Roman"/>
                      <w:kern w:val="2"/>
                      <w:sz w:val="21"/>
                      <w:szCs w:val="21"/>
                      <w:lang w:val="en-US"/>
                    </w:rPr>
                    <w:t>个</w:t>
                  </w:r>
                </w:p>
              </w:tc>
              <w:tc>
                <w:tcPr>
                  <w:tcW w:w="666" w:type="dxa"/>
                  <w:vAlign w:val="center"/>
                </w:tcPr>
                <w:p>
                  <w:pPr>
                    <w:adjustRightInd w:val="0"/>
                    <w:snapToGrid w:val="0"/>
                    <w:jc w:val="center"/>
                    <w:rPr>
                      <w:rFonts w:ascii="Times New Roman" w:hAnsi="Times New Roman" w:cs="Times New Roman"/>
                      <w:bCs/>
                      <w:color w:val="FF0000"/>
                      <w:kern w:val="2"/>
                      <w:sz w:val="21"/>
                      <w:szCs w:val="21"/>
                      <w:lang w:val="en-US"/>
                    </w:rPr>
                  </w:pPr>
                  <w:r>
                    <w:rPr>
                      <w:rFonts w:ascii="Times New Roman" w:hAnsi="Times New Roman" w:cs="Times New Roman"/>
                      <w:kern w:val="2"/>
                      <w:sz w:val="21"/>
                      <w:szCs w:val="21"/>
                      <w:lang w:val="en-US"/>
                    </w:rPr>
                    <w:t>5</w:t>
                  </w:r>
                </w:p>
              </w:tc>
              <w:tc>
                <w:tcPr>
                  <w:tcW w:w="2164" w:type="dxa"/>
                  <w:vAlign w:val="center"/>
                </w:tcPr>
                <w:p>
                  <w:pPr>
                    <w:adjustRightInd w:val="0"/>
                    <w:snapToGrid w:val="0"/>
                    <w:jc w:val="center"/>
                    <w:rPr>
                      <w:rFonts w:ascii="Times New Roman" w:hAnsi="Times New Roman" w:cs="Times New Roman"/>
                      <w:kern w:val="2"/>
                      <w:sz w:val="21"/>
                      <w:szCs w:val="21"/>
                      <w:lang w:val="en-US"/>
                    </w:rPr>
                  </w:pPr>
                  <w:r>
                    <w:rPr>
                      <w:rFonts w:ascii="Times New Roman" w:hAnsi="Times New Roman" w:cs="Times New Roman"/>
                      <w:kern w:val="2"/>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42" w:type="dxa"/>
                  <w:vAlign w:val="center"/>
                </w:tcPr>
                <w:p>
                  <w:pPr>
                    <w:pStyle w:val="7"/>
                    <w:keepNext/>
                    <w:autoSpaceDE/>
                    <w:autoSpaceDN/>
                    <w:adjustRightInd w:val="0"/>
                    <w:snapToGrid w:val="0"/>
                    <w:spacing w:before="0"/>
                    <w:ind w:left="0"/>
                    <w:jc w:val="center"/>
                    <w:outlineLvl w:val="1"/>
                    <w:rPr>
                      <w:rFonts w:ascii="Times New Roman" w:hAnsi="Times New Roman" w:cs="Times New Roman"/>
                      <w:b w:val="0"/>
                      <w:kern w:val="2"/>
                      <w:sz w:val="21"/>
                      <w:szCs w:val="21"/>
                      <w:lang w:val="en-US"/>
                    </w:rPr>
                  </w:pPr>
                  <w:r>
                    <w:rPr>
                      <w:rFonts w:ascii="Times New Roman" w:hAnsi="Times New Roman" w:cs="Times New Roman"/>
                      <w:b w:val="0"/>
                      <w:kern w:val="2"/>
                      <w:sz w:val="21"/>
                      <w:szCs w:val="21"/>
                      <w:lang w:val="en-US"/>
                    </w:rPr>
                    <w:t>2</w:t>
                  </w:r>
                </w:p>
              </w:tc>
              <w:tc>
                <w:tcPr>
                  <w:tcW w:w="2348" w:type="dxa"/>
                  <w:vAlign w:val="center"/>
                </w:tcPr>
                <w:p>
                  <w:pPr>
                    <w:adjustRightInd w:val="0"/>
                    <w:snapToGrid w:val="0"/>
                    <w:jc w:val="center"/>
                    <w:rPr>
                      <w:rFonts w:ascii="Times New Roman" w:hAnsi="Times New Roman" w:cs="Times New Roman"/>
                      <w:bCs/>
                      <w:kern w:val="2"/>
                      <w:sz w:val="21"/>
                      <w:szCs w:val="21"/>
                      <w:lang w:val="en-US"/>
                    </w:rPr>
                  </w:pPr>
                  <w:r>
                    <w:rPr>
                      <w:rFonts w:ascii="Times New Roman" w:hAnsi="Times New Roman" w:cs="Times New Roman"/>
                      <w:kern w:val="2"/>
                      <w:sz w:val="21"/>
                      <w:szCs w:val="21"/>
                    </w:rPr>
                    <w:t>液位报警装置</w:t>
                  </w:r>
                </w:p>
              </w:tc>
              <w:tc>
                <w:tcPr>
                  <w:tcW w:w="2430" w:type="dxa"/>
                  <w:vAlign w:val="center"/>
                </w:tcPr>
                <w:p>
                  <w:pPr>
                    <w:adjustRightInd w:val="0"/>
                    <w:snapToGrid w:val="0"/>
                    <w:jc w:val="center"/>
                    <w:rPr>
                      <w:rFonts w:ascii="Times New Roman" w:hAnsi="Times New Roman" w:cs="Times New Roman"/>
                      <w:bCs/>
                      <w:kern w:val="2"/>
                      <w:sz w:val="21"/>
                      <w:szCs w:val="21"/>
                      <w:lang w:val="en-US"/>
                    </w:rPr>
                  </w:pPr>
                  <w:r>
                    <w:rPr>
                      <w:rFonts w:ascii="Times New Roman" w:hAnsi="Times New Roman" w:cs="Times New Roman"/>
                      <w:kern w:val="2"/>
                      <w:sz w:val="21"/>
                      <w:szCs w:val="21"/>
                    </w:rPr>
                    <w:t>/</w:t>
                  </w:r>
                </w:p>
              </w:tc>
              <w:tc>
                <w:tcPr>
                  <w:tcW w:w="630" w:type="dxa"/>
                  <w:vAlign w:val="center"/>
                </w:tcPr>
                <w:p>
                  <w:pPr>
                    <w:adjustRightInd w:val="0"/>
                    <w:snapToGrid w:val="0"/>
                    <w:jc w:val="center"/>
                    <w:rPr>
                      <w:rFonts w:ascii="Times New Roman" w:hAnsi="Times New Roman" w:cs="Times New Roman"/>
                      <w:bCs/>
                      <w:kern w:val="2"/>
                      <w:sz w:val="21"/>
                      <w:szCs w:val="21"/>
                      <w:lang w:val="en-US"/>
                    </w:rPr>
                  </w:pPr>
                  <w:r>
                    <w:rPr>
                      <w:rFonts w:ascii="Times New Roman" w:hAnsi="Times New Roman" w:cs="Times New Roman"/>
                      <w:kern w:val="2"/>
                      <w:sz w:val="21"/>
                      <w:szCs w:val="21"/>
                    </w:rPr>
                    <w:t>套</w:t>
                  </w:r>
                </w:p>
              </w:tc>
              <w:tc>
                <w:tcPr>
                  <w:tcW w:w="666" w:type="dxa"/>
                  <w:vAlign w:val="center"/>
                </w:tcPr>
                <w:p>
                  <w:pPr>
                    <w:adjustRightInd w:val="0"/>
                    <w:snapToGrid w:val="0"/>
                    <w:jc w:val="center"/>
                    <w:rPr>
                      <w:rFonts w:ascii="Times New Roman" w:hAnsi="Times New Roman" w:cs="Times New Roman"/>
                      <w:bCs/>
                      <w:color w:val="FF0000"/>
                      <w:kern w:val="2"/>
                      <w:sz w:val="21"/>
                      <w:szCs w:val="21"/>
                      <w:lang w:val="en-US"/>
                    </w:rPr>
                  </w:pPr>
                  <w:r>
                    <w:rPr>
                      <w:rFonts w:ascii="Times New Roman" w:hAnsi="Times New Roman" w:cs="Times New Roman"/>
                      <w:kern w:val="2"/>
                      <w:sz w:val="21"/>
                      <w:szCs w:val="21"/>
                    </w:rPr>
                    <w:t>5</w:t>
                  </w:r>
                </w:p>
              </w:tc>
              <w:tc>
                <w:tcPr>
                  <w:tcW w:w="2164" w:type="dxa"/>
                  <w:vAlign w:val="center"/>
                </w:tcPr>
                <w:p>
                  <w:pPr>
                    <w:adjustRightInd w:val="0"/>
                    <w:snapToGrid w:val="0"/>
                    <w:jc w:val="center"/>
                    <w:rPr>
                      <w:rFonts w:ascii="Times New Roman" w:hAnsi="Times New Roman" w:cs="Times New Roman"/>
                      <w:kern w:val="2"/>
                      <w:sz w:val="21"/>
                      <w:szCs w:val="21"/>
                      <w:lang w:val="en-US"/>
                    </w:rPr>
                  </w:pPr>
                  <w:r>
                    <w:rPr>
                      <w:rFonts w:ascii="Times New Roman" w:hAnsi="Times New Roman" w:cs="Times New Roman"/>
                      <w:kern w:val="2"/>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42" w:type="dxa"/>
                  <w:vAlign w:val="center"/>
                </w:tcPr>
                <w:p>
                  <w:pPr>
                    <w:pStyle w:val="7"/>
                    <w:keepNext/>
                    <w:autoSpaceDE/>
                    <w:autoSpaceDN/>
                    <w:adjustRightInd w:val="0"/>
                    <w:snapToGrid w:val="0"/>
                    <w:spacing w:before="0"/>
                    <w:ind w:left="0"/>
                    <w:jc w:val="center"/>
                    <w:outlineLvl w:val="1"/>
                    <w:rPr>
                      <w:rFonts w:ascii="Times New Roman" w:hAnsi="Times New Roman" w:cs="Times New Roman"/>
                      <w:b w:val="0"/>
                      <w:kern w:val="2"/>
                      <w:sz w:val="21"/>
                      <w:szCs w:val="21"/>
                      <w:lang w:val="en-US"/>
                    </w:rPr>
                  </w:pPr>
                  <w:r>
                    <w:rPr>
                      <w:rFonts w:ascii="Times New Roman" w:hAnsi="Times New Roman" w:cs="Times New Roman"/>
                      <w:b w:val="0"/>
                      <w:kern w:val="2"/>
                      <w:sz w:val="21"/>
                      <w:szCs w:val="21"/>
                      <w:lang w:val="en-US"/>
                    </w:rPr>
                    <w:t>3</w:t>
                  </w:r>
                </w:p>
              </w:tc>
              <w:tc>
                <w:tcPr>
                  <w:tcW w:w="2348" w:type="dxa"/>
                  <w:vAlign w:val="center"/>
                </w:tcPr>
                <w:p>
                  <w:pPr>
                    <w:adjustRightInd w:val="0"/>
                    <w:snapToGrid w:val="0"/>
                    <w:jc w:val="center"/>
                    <w:rPr>
                      <w:rFonts w:ascii="Times New Roman" w:hAnsi="Times New Roman" w:cs="Times New Roman"/>
                      <w:kern w:val="2"/>
                      <w:sz w:val="21"/>
                      <w:szCs w:val="21"/>
                      <w:lang w:val="en-US"/>
                    </w:rPr>
                  </w:pPr>
                  <w:r>
                    <w:rPr>
                      <w:rFonts w:ascii="Times New Roman" w:hAnsi="Times New Roman" w:cs="Times New Roman"/>
                      <w:kern w:val="2"/>
                      <w:sz w:val="21"/>
                      <w:szCs w:val="21"/>
                      <w:lang w:val="en-US"/>
                    </w:rPr>
                    <w:t>油品罐体泄漏报警系统</w:t>
                  </w:r>
                </w:p>
              </w:tc>
              <w:tc>
                <w:tcPr>
                  <w:tcW w:w="2430" w:type="dxa"/>
                  <w:vAlign w:val="center"/>
                </w:tcPr>
                <w:p>
                  <w:pPr>
                    <w:adjustRightInd w:val="0"/>
                    <w:snapToGrid w:val="0"/>
                    <w:jc w:val="center"/>
                    <w:rPr>
                      <w:rFonts w:ascii="Times New Roman" w:hAnsi="Times New Roman" w:cs="Times New Roman"/>
                      <w:kern w:val="2"/>
                      <w:sz w:val="21"/>
                      <w:szCs w:val="21"/>
                      <w:lang w:val="en-US"/>
                    </w:rPr>
                  </w:pPr>
                  <w:r>
                    <w:rPr>
                      <w:rFonts w:ascii="Times New Roman" w:hAnsi="Times New Roman" w:cs="Times New Roman"/>
                      <w:kern w:val="2"/>
                      <w:sz w:val="21"/>
                      <w:szCs w:val="21"/>
                      <w:lang w:val="en-US"/>
                    </w:rPr>
                    <w:t>/</w:t>
                  </w:r>
                </w:p>
              </w:tc>
              <w:tc>
                <w:tcPr>
                  <w:tcW w:w="630" w:type="dxa"/>
                  <w:vAlign w:val="center"/>
                </w:tcPr>
                <w:p>
                  <w:pPr>
                    <w:adjustRightInd w:val="0"/>
                    <w:snapToGrid w:val="0"/>
                    <w:jc w:val="center"/>
                    <w:rPr>
                      <w:rFonts w:ascii="Times New Roman" w:hAnsi="Times New Roman" w:cs="Times New Roman"/>
                      <w:kern w:val="2"/>
                      <w:sz w:val="21"/>
                      <w:szCs w:val="21"/>
                      <w:lang w:val="en-US"/>
                    </w:rPr>
                  </w:pPr>
                  <w:r>
                    <w:rPr>
                      <w:rFonts w:ascii="Times New Roman" w:hAnsi="Times New Roman" w:cs="Times New Roman"/>
                      <w:kern w:val="2"/>
                      <w:sz w:val="21"/>
                      <w:szCs w:val="21"/>
                      <w:lang w:val="en-US"/>
                    </w:rPr>
                    <w:t>套</w:t>
                  </w:r>
                </w:p>
              </w:tc>
              <w:tc>
                <w:tcPr>
                  <w:tcW w:w="666" w:type="dxa"/>
                  <w:vAlign w:val="center"/>
                </w:tcPr>
                <w:p>
                  <w:pPr>
                    <w:adjustRightInd w:val="0"/>
                    <w:snapToGrid w:val="0"/>
                    <w:jc w:val="center"/>
                    <w:rPr>
                      <w:rFonts w:ascii="Times New Roman" w:hAnsi="Times New Roman" w:cs="Times New Roman"/>
                      <w:kern w:val="2"/>
                      <w:sz w:val="21"/>
                      <w:szCs w:val="21"/>
                      <w:lang w:val="en-US"/>
                    </w:rPr>
                  </w:pPr>
                  <w:r>
                    <w:rPr>
                      <w:rFonts w:ascii="Times New Roman" w:hAnsi="Times New Roman" w:cs="Times New Roman"/>
                      <w:kern w:val="2"/>
                      <w:sz w:val="21"/>
                      <w:szCs w:val="21"/>
                      <w:lang w:val="en-US"/>
                    </w:rPr>
                    <w:t>1</w:t>
                  </w:r>
                </w:p>
              </w:tc>
              <w:tc>
                <w:tcPr>
                  <w:tcW w:w="2164" w:type="dxa"/>
                  <w:vAlign w:val="center"/>
                </w:tcPr>
                <w:p>
                  <w:pPr>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42" w:type="dxa"/>
                  <w:vAlign w:val="center"/>
                </w:tcPr>
                <w:p>
                  <w:pPr>
                    <w:pStyle w:val="7"/>
                    <w:keepNext/>
                    <w:autoSpaceDE/>
                    <w:autoSpaceDN/>
                    <w:adjustRightInd w:val="0"/>
                    <w:snapToGrid w:val="0"/>
                    <w:spacing w:before="0"/>
                    <w:ind w:left="0"/>
                    <w:jc w:val="center"/>
                    <w:outlineLvl w:val="1"/>
                    <w:rPr>
                      <w:rFonts w:ascii="Times New Roman" w:hAnsi="Times New Roman" w:cs="Times New Roman"/>
                      <w:b w:val="0"/>
                      <w:kern w:val="2"/>
                      <w:sz w:val="21"/>
                      <w:szCs w:val="21"/>
                      <w:lang w:val="en-US"/>
                    </w:rPr>
                  </w:pPr>
                  <w:r>
                    <w:rPr>
                      <w:rFonts w:ascii="Times New Roman" w:hAnsi="Times New Roman" w:cs="Times New Roman"/>
                      <w:b w:val="0"/>
                      <w:kern w:val="2"/>
                      <w:sz w:val="21"/>
                      <w:szCs w:val="21"/>
                      <w:lang w:val="en-US"/>
                    </w:rPr>
                    <w:t>4</w:t>
                  </w:r>
                </w:p>
              </w:tc>
              <w:tc>
                <w:tcPr>
                  <w:tcW w:w="2348" w:type="dxa"/>
                  <w:vAlign w:val="center"/>
                </w:tcPr>
                <w:p>
                  <w:pPr>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lang w:val="en-US"/>
                    </w:rPr>
                    <w:t>紧急切断设施</w:t>
                  </w:r>
                </w:p>
              </w:tc>
              <w:tc>
                <w:tcPr>
                  <w:tcW w:w="2430" w:type="dxa"/>
                  <w:vAlign w:val="center"/>
                </w:tcPr>
                <w:p>
                  <w:pPr>
                    <w:adjustRightInd w:val="0"/>
                    <w:snapToGrid w:val="0"/>
                    <w:jc w:val="center"/>
                    <w:rPr>
                      <w:rFonts w:ascii="Times New Roman" w:hAnsi="Times New Roman" w:cs="Times New Roman"/>
                      <w:kern w:val="2"/>
                      <w:sz w:val="21"/>
                      <w:szCs w:val="21"/>
                      <w:lang w:val="en-US"/>
                    </w:rPr>
                  </w:pPr>
                  <w:r>
                    <w:rPr>
                      <w:rFonts w:ascii="Times New Roman" w:hAnsi="Times New Roman" w:cs="Times New Roman"/>
                      <w:kern w:val="2"/>
                      <w:sz w:val="21"/>
                      <w:szCs w:val="21"/>
                      <w:lang w:val="en-US"/>
                    </w:rPr>
                    <w:t>/</w:t>
                  </w:r>
                </w:p>
              </w:tc>
              <w:tc>
                <w:tcPr>
                  <w:tcW w:w="630" w:type="dxa"/>
                  <w:vAlign w:val="center"/>
                </w:tcPr>
                <w:p>
                  <w:pPr>
                    <w:adjustRightInd w:val="0"/>
                    <w:snapToGrid w:val="0"/>
                    <w:jc w:val="center"/>
                    <w:rPr>
                      <w:rFonts w:ascii="Times New Roman" w:hAnsi="Times New Roman" w:cs="Times New Roman"/>
                      <w:kern w:val="2"/>
                      <w:sz w:val="21"/>
                      <w:szCs w:val="21"/>
                      <w:lang w:val="en-US"/>
                    </w:rPr>
                  </w:pPr>
                  <w:r>
                    <w:rPr>
                      <w:rFonts w:ascii="Times New Roman" w:hAnsi="Times New Roman" w:cs="Times New Roman"/>
                      <w:kern w:val="2"/>
                      <w:sz w:val="21"/>
                      <w:szCs w:val="21"/>
                      <w:lang w:val="en-US"/>
                    </w:rPr>
                    <w:t>个</w:t>
                  </w:r>
                </w:p>
              </w:tc>
              <w:tc>
                <w:tcPr>
                  <w:tcW w:w="666" w:type="dxa"/>
                  <w:vAlign w:val="center"/>
                </w:tcPr>
                <w:p>
                  <w:pPr>
                    <w:adjustRightInd w:val="0"/>
                    <w:snapToGrid w:val="0"/>
                    <w:jc w:val="center"/>
                    <w:rPr>
                      <w:rFonts w:ascii="Times New Roman" w:hAnsi="Times New Roman" w:cs="Times New Roman"/>
                      <w:kern w:val="2"/>
                      <w:sz w:val="21"/>
                      <w:szCs w:val="21"/>
                      <w:lang w:val="en-US"/>
                    </w:rPr>
                  </w:pPr>
                  <w:r>
                    <w:rPr>
                      <w:rFonts w:ascii="Times New Roman" w:hAnsi="Times New Roman" w:cs="Times New Roman"/>
                      <w:kern w:val="2"/>
                      <w:sz w:val="21"/>
                      <w:szCs w:val="21"/>
                      <w:lang w:val="en-US"/>
                    </w:rPr>
                    <w:t>6</w:t>
                  </w:r>
                </w:p>
              </w:tc>
              <w:tc>
                <w:tcPr>
                  <w:tcW w:w="2164" w:type="dxa"/>
                  <w:vAlign w:val="center"/>
                </w:tcPr>
                <w:p>
                  <w:pPr>
                    <w:adjustRightInd w:val="0"/>
                    <w:snapToGrid w:val="0"/>
                    <w:jc w:val="center"/>
                    <w:rPr>
                      <w:rFonts w:ascii="Times New Roman" w:hAnsi="Times New Roman" w:cs="Times New Roman"/>
                      <w:kern w:val="2"/>
                      <w:sz w:val="21"/>
                      <w:szCs w:val="21"/>
                      <w:lang w:val="en-US"/>
                    </w:rPr>
                  </w:pPr>
                  <w:r>
                    <w:rPr>
                      <w:rFonts w:ascii="Times New Roman" w:hAnsi="Times New Roman" w:cs="Times New Roman"/>
                      <w:kern w:val="2"/>
                      <w:sz w:val="21"/>
                      <w:szCs w:val="21"/>
                      <w:lang w:val="en-US"/>
                    </w:rPr>
                    <w:t>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42" w:type="dxa"/>
                  <w:vAlign w:val="center"/>
                </w:tcPr>
                <w:p>
                  <w:pPr>
                    <w:pStyle w:val="7"/>
                    <w:keepNext/>
                    <w:autoSpaceDE/>
                    <w:autoSpaceDN/>
                    <w:adjustRightInd w:val="0"/>
                    <w:snapToGrid w:val="0"/>
                    <w:spacing w:before="0"/>
                    <w:ind w:left="0"/>
                    <w:jc w:val="center"/>
                    <w:outlineLvl w:val="1"/>
                    <w:rPr>
                      <w:rFonts w:hint="eastAsia" w:ascii="Times New Roman" w:hAnsi="Times New Roman" w:eastAsia="宋体" w:cs="Times New Roman"/>
                      <w:b w:val="0"/>
                      <w:kern w:val="2"/>
                      <w:sz w:val="21"/>
                      <w:szCs w:val="21"/>
                      <w:lang w:val="en-US" w:eastAsia="zh-CN"/>
                    </w:rPr>
                  </w:pPr>
                  <w:r>
                    <w:rPr>
                      <w:rFonts w:hint="eastAsia" w:ascii="Times New Roman" w:hAnsi="Times New Roman" w:cs="Times New Roman"/>
                      <w:b w:val="0"/>
                      <w:kern w:val="2"/>
                      <w:sz w:val="21"/>
                      <w:szCs w:val="21"/>
                      <w:lang w:val="en-US" w:eastAsia="zh-CN"/>
                    </w:rPr>
                    <w:t>5</w:t>
                  </w:r>
                </w:p>
              </w:tc>
              <w:tc>
                <w:tcPr>
                  <w:tcW w:w="2348" w:type="dxa"/>
                  <w:vAlign w:val="center"/>
                </w:tcPr>
                <w:p>
                  <w:pPr>
                    <w:adjustRightInd w:val="0"/>
                    <w:snapToGrid w:val="0"/>
                    <w:jc w:val="center"/>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管道测漏仪</w:t>
                  </w:r>
                </w:p>
              </w:tc>
              <w:tc>
                <w:tcPr>
                  <w:tcW w:w="2430" w:type="dxa"/>
                  <w:vAlign w:val="center"/>
                </w:tcPr>
                <w:p>
                  <w:pPr>
                    <w:adjustRightInd w:val="0"/>
                    <w:snapToGrid w:val="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w:t>
                  </w:r>
                </w:p>
              </w:tc>
              <w:tc>
                <w:tcPr>
                  <w:tcW w:w="630" w:type="dxa"/>
                  <w:vAlign w:val="center"/>
                </w:tcPr>
                <w:p>
                  <w:pPr>
                    <w:adjustRightInd w:val="0"/>
                    <w:snapToGrid w:val="0"/>
                    <w:jc w:val="center"/>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套</w:t>
                  </w:r>
                </w:p>
              </w:tc>
              <w:tc>
                <w:tcPr>
                  <w:tcW w:w="666" w:type="dxa"/>
                  <w:vAlign w:val="center"/>
                </w:tcPr>
                <w:p>
                  <w:pPr>
                    <w:adjustRightInd w:val="0"/>
                    <w:snapToGrid w:val="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w:t>
                  </w:r>
                </w:p>
              </w:tc>
              <w:tc>
                <w:tcPr>
                  <w:tcW w:w="2164" w:type="dxa"/>
                  <w:vAlign w:val="center"/>
                </w:tcPr>
                <w:p>
                  <w:pPr>
                    <w:adjustRightInd w:val="0"/>
                    <w:snapToGrid w:val="0"/>
                    <w:jc w:val="center"/>
                    <w:rPr>
                      <w:rFonts w:ascii="Times New Roman" w:hAnsi="Times New Roman" w:cs="Times New Roman"/>
                      <w:kern w:val="2"/>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42" w:type="dxa"/>
                  <w:vAlign w:val="center"/>
                </w:tcPr>
                <w:p>
                  <w:pPr>
                    <w:pStyle w:val="7"/>
                    <w:keepNext/>
                    <w:autoSpaceDE/>
                    <w:autoSpaceDN/>
                    <w:adjustRightInd w:val="0"/>
                    <w:snapToGrid w:val="0"/>
                    <w:spacing w:before="0"/>
                    <w:ind w:left="0"/>
                    <w:jc w:val="center"/>
                    <w:outlineLvl w:val="1"/>
                    <w:rPr>
                      <w:rFonts w:hint="eastAsia" w:ascii="Times New Roman" w:hAnsi="Times New Roman" w:eastAsia="宋体" w:cs="Times New Roman"/>
                      <w:b w:val="0"/>
                      <w:kern w:val="2"/>
                      <w:sz w:val="21"/>
                      <w:szCs w:val="21"/>
                      <w:lang w:val="en-US" w:eastAsia="zh-CN"/>
                    </w:rPr>
                  </w:pPr>
                  <w:r>
                    <w:rPr>
                      <w:rFonts w:hint="eastAsia" w:ascii="Times New Roman" w:hAnsi="Times New Roman" w:cs="Times New Roman"/>
                      <w:b w:val="0"/>
                      <w:kern w:val="2"/>
                      <w:sz w:val="21"/>
                      <w:szCs w:val="21"/>
                      <w:lang w:val="en-US" w:eastAsia="zh-CN"/>
                    </w:rPr>
                    <w:t>6</w:t>
                  </w:r>
                </w:p>
              </w:tc>
              <w:tc>
                <w:tcPr>
                  <w:tcW w:w="2348" w:type="dxa"/>
                  <w:vAlign w:val="center"/>
                </w:tcPr>
                <w:p>
                  <w:pPr>
                    <w:pStyle w:val="7"/>
                    <w:keepNext/>
                    <w:autoSpaceDE/>
                    <w:autoSpaceDN/>
                    <w:adjustRightInd w:val="0"/>
                    <w:snapToGrid w:val="0"/>
                    <w:spacing w:before="0"/>
                    <w:ind w:left="0"/>
                    <w:jc w:val="center"/>
                    <w:outlineLvl w:val="1"/>
                    <w:rPr>
                      <w:rFonts w:ascii="Times New Roman" w:hAnsi="Times New Roman" w:cs="Times New Roman"/>
                      <w:b w:val="0"/>
                      <w:kern w:val="2"/>
                      <w:sz w:val="21"/>
                      <w:szCs w:val="21"/>
                      <w:lang w:val="en-US"/>
                    </w:rPr>
                  </w:pPr>
                  <w:r>
                    <w:rPr>
                      <w:rFonts w:ascii="Times New Roman" w:hAnsi="Times New Roman" w:cs="Times New Roman"/>
                      <w:b w:val="0"/>
                      <w:kern w:val="2"/>
                      <w:sz w:val="21"/>
                      <w:szCs w:val="21"/>
                      <w:lang w:val="en-US"/>
                    </w:rPr>
                    <w:t>应急预案备案表</w:t>
                  </w:r>
                </w:p>
              </w:tc>
              <w:tc>
                <w:tcPr>
                  <w:tcW w:w="2430" w:type="dxa"/>
                  <w:vAlign w:val="center"/>
                </w:tcPr>
                <w:p>
                  <w:pPr>
                    <w:pStyle w:val="7"/>
                    <w:keepNext/>
                    <w:autoSpaceDE/>
                    <w:autoSpaceDN/>
                    <w:adjustRightInd w:val="0"/>
                    <w:snapToGrid w:val="0"/>
                    <w:spacing w:before="0"/>
                    <w:ind w:left="0"/>
                    <w:jc w:val="center"/>
                    <w:outlineLvl w:val="1"/>
                    <w:rPr>
                      <w:rFonts w:ascii="Times New Roman" w:hAnsi="Times New Roman" w:cs="Times New Roman"/>
                      <w:b w:val="0"/>
                      <w:bCs w:val="0"/>
                      <w:kern w:val="2"/>
                      <w:sz w:val="21"/>
                      <w:szCs w:val="21"/>
                      <w:lang w:val="en-US"/>
                    </w:rPr>
                  </w:pPr>
                  <w:r>
                    <w:rPr>
                      <w:rFonts w:ascii="Times New Roman" w:hAnsi="Times New Roman" w:cs="Times New Roman"/>
                      <w:b w:val="0"/>
                      <w:bCs w:val="0"/>
                      <w:kern w:val="2"/>
                      <w:sz w:val="21"/>
                      <w:szCs w:val="21"/>
                      <w:lang w:val="en-US"/>
                    </w:rPr>
                    <w:t>610481-2019-00</w:t>
                  </w:r>
                  <w:r>
                    <w:rPr>
                      <w:rFonts w:hint="eastAsia" w:ascii="Times New Roman" w:hAnsi="Times New Roman" w:cs="Times New Roman"/>
                      <w:b w:val="0"/>
                      <w:bCs w:val="0"/>
                      <w:kern w:val="2"/>
                      <w:sz w:val="21"/>
                      <w:szCs w:val="21"/>
                      <w:lang w:val="en-US" w:eastAsia="zh-CN"/>
                    </w:rPr>
                    <w:t>5</w:t>
                  </w:r>
                  <w:r>
                    <w:rPr>
                      <w:rFonts w:ascii="Times New Roman" w:hAnsi="Times New Roman" w:cs="Times New Roman"/>
                      <w:b w:val="0"/>
                      <w:bCs w:val="0"/>
                      <w:kern w:val="2"/>
                      <w:sz w:val="21"/>
                      <w:szCs w:val="21"/>
                      <w:lang w:val="en-US"/>
                    </w:rPr>
                    <w:t>-L</w:t>
                  </w:r>
                </w:p>
              </w:tc>
              <w:tc>
                <w:tcPr>
                  <w:tcW w:w="630" w:type="dxa"/>
                  <w:vAlign w:val="center"/>
                </w:tcPr>
                <w:p>
                  <w:pPr>
                    <w:pStyle w:val="7"/>
                    <w:keepNext/>
                    <w:autoSpaceDE/>
                    <w:autoSpaceDN/>
                    <w:adjustRightInd w:val="0"/>
                    <w:snapToGrid w:val="0"/>
                    <w:spacing w:before="0"/>
                    <w:ind w:left="0"/>
                    <w:jc w:val="center"/>
                    <w:outlineLvl w:val="1"/>
                    <w:rPr>
                      <w:rFonts w:ascii="Times New Roman" w:hAnsi="Times New Roman" w:cs="Times New Roman"/>
                      <w:b w:val="0"/>
                      <w:kern w:val="2"/>
                      <w:sz w:val="21"/>
                      <w:szCs w:val="21"/>
                      <w:lang w:val="en-US"/>
                    </w:rPr>
                  </w:pPr>
                  <w:r>
                    <w:rPr>
                      <w:rFonts w:ascii="Times New Roman" w:hAnsi="Times New Roman" w:cs="Times New Roman"/>
                      <w:b w:val="0"/>
                      <w:kern w:val="2"/>
                      <w:sz w:val="21"/>
                      <w:szCs w:val="21"/>
                      <w:lang w:val="en-US"/>
                    </w:rPr>
                    <w:t>份</w:t>
                  </w:r>
                </w:p>
              </w:tc>
              <w:tc>
                <w:tcPr>
                  <w:tcW w:w="666" w:type="dxa"/>
                  <w:vAlign w:val="center"/>
                </w:tcPr>
                <w:p>
                  <w:pPr>
                    <w:pStyle w:val="7"/>
                    <w:keepNext/>
                    <w:autoSpaceDE/>
                    <w:autoSpaceDN/>
                    <w:adjustRightInd w:val="0"/>
                    <w:snapToGrid w:val="0"/>
                    <w:spacing w:before="0"/>
                    <w:ind w:left="0"/>
                    <w:jc w:val="center"/>
                    <w:outlineLvl w:val="1"/>
                    <w:rPr>
                      <w:rFonts w:ascii="Times New Roman" w:hAnsi="Times New Roman" w:cs="Times New Roman"/>
                      <w:b w:val="0"/>
                      <w:kern w:val="2"/>
                      <w:sz w:val="21"/>
                      <w:szCs w:val="21"/>
                      <w:lang w:val="en-US"/>
                    </w:rPr>
                  </w:pPr>
                  <w:r>
                    <w:rPr>
                      <w:rFonts w:ascii="Times New Roman" w:hAnsi="Times New Roman" w:cs="Times New Roman"/>
                      <w:b w:val="0"/>
                      <w:kern w:val="2"/>
                      <w:sz w:val="21"/>
                      <w:szCs w:val="21"/>
                      <w:lang w:val="en-US"/>
                    </w:rPr>
                    <w:t>1</w:t>
                  </w:r>
                </w:p>
              </w:tc>
              <w:tc>
                <w:tcPr>
                  <w:tcW w:w="2164" w:type="dxa"/>
                  <w:vAlign w:val="center"/>
                </w:tcPr>
                <w:p>
                  <w:pPr>
                    <w:pStyle w:val="7"/>
                    <w:keepNext/>
                    <w:autoSpaceDE/>
                    <w:autoSpaceDN/>
                    <w:adjustRightInd w:val="0"/>
                    <w:snapToGrid w:val="0"/>
                    <w:spacing w:before="0"/>
                    <w:ind w:left="0"/>
                    <w:jc w:val="center"/>
                    <w:outlineLvl w:val="1"/>
                    <w:rPr>
                      <w:rFonts w:ascii="Times New Roman" w:hAnsi="Times New Roman" w:cs="Times New Roman"/>
                      <w:b w:val="0"/>
                      <w:kern w:val="2"/>
                      <w:sz w:val="21"/>
                      <w:szCs w:val="21"/>
                      <w:lang w:val="en-US"/>
                    </w:rPr>
                  </w:pPr>
                  <w:r>
                    <w:rPr>
                      <w:rFonts w:ascii="Times New Roman" w:hAnsi="Times New Roman" w:cs="Times New Roman"/>
                      <w:b w:val="0"/>
                      <w:kern w:val="2"/>
                      <w:sz w:val="21"/>
                      <w:szCs w:val="21"/>
                      <w:lang w:val="en-US"/>
                    </w:rPr>
                    <w:t>/</w:t>
                  </w:r>
                </w:p>
              </w:tc>
            </w:tr>
          </w:tbl>
          <w:p>
            <w:pPr>
              <w:pStyle w:val="7"/>
              <w:numPr>
                <w:ilvl w:val="-1"/>
                <w:numId w:val="0"/>
              </w:numPr>
              <w:spacing w:before="0" w:line="360" w:lineRule="auto"/>
              <w:ind w:left="0" w:firstLine="0" w:firstLineChars="0"/>
              <w:jc w:val="left"/>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2、规范危险废弃物暂存</w:t>
            </w:r>
            <w:r>
              <w:rPr>
                <w:rFonts w:hint="eastAsia" w:ascii="Times New Roman" w:hAnsi="Times New Roman" w:cs="Times New Roman"/>
                <w:b w:val="0"/>
                <w:bCs w:val="0"/>
                <w:lang w:val="en-US" w:eastAsia="zh-CN"/>
              </w:rPr>
              <w:t>箱</w:t>
            </w:r>
            <w:r>
              <w:rPr>
                <w:rFonts w:hint="default" w:ascii="Times New Roman" w:hAnsi="Times New Roman" w:eastAsia="宋体" w:cs="Times New Roman"/>
                <w:b w:val="0"/>
                <w:bCs w:val="0"/>
                <w:lang w:val="en-US" w:eastAsia="zh-CN"/>
              </w:rPr>
              <w:t>场所防范措施检查</w:t>
            </w:r>
          </w:p>
          <w:p>
            <w:pPr>
              <w:pStyle w:val="7"/>
              <w:spacing w:before="0" w:line="360" w:lineRule="auto"/>
              <w:ind w:left="0" w:firstLine="480" w:firstLineChars="200"/>
              <w:rPr>
                <w:rFonts w:hint="default" w:ascii="Times New Roman" w:hAnsi="Times New Roman" w:cs="Times New Roman"/>
                <w:b w:val="0"/>
                <w:bCs w:val="0"/>
                <w:lang w:val="en-US" w:eastAsia="zh-CN"/>
              </w:rPr>
            </w:pPr>
            <w:r>
              <w:rPr>
                <w:rFonts w:hint="default" w:ascii="Times New Roman" w:hAnsi="Times New Roman" w:cs="Times New Roman"/>
                <w:b w:val="0"/>
                <w:bCs w:val="0"/>
                <w:lang w:eastAsia="zh-CN"/>
              </w:rPr>
              <w:t>陕西省石油化工工业贸易公司</w:t>
            </w:r>
            <w:r>
              <w:rPr>
                <w:rFonts w:hint="default" w:ascii="Times New Roman" w:hAnsi="Times New Roman" w:cs="Times New Roman"/>
                <w:b w:val="0"/>
                <w:bCs w:val="0"/>
                <w:lang w:val="en-US" w:eastAsia="zh-CN"/>
              </w:rPr>
              <w:t>茂陵服务区东加油站</w:t>
            </w:r>
            <w:r>
              <w:rPr>
                <w:rFonts w:hint="default" w:ascii="Times New Roman" w:hAnsi="Times New Roman" w:cs="Times New Roman"/>
                <w:b w:val="0"/>
                <w:bCs w:val="0"/>
                <w:lang w:eastAsia="zh-CN"/>
              </w:rPr>
              <w:t>建有危废暂存</w:t>
            </w:r>
            <w:r>
              <w:rPr>
                <w:rFonts w:hint="eastAsia" w:ascii="Times New Roman" w:hAnsi="Times New Roman" w:cs="Times New Roman"/>
                <w:b w:val="0"/>
                <w:bCs w:val="0"/>
                <w:lang w:eastAsia="zh-CN"/>
              </w:rPr>
              <w:t>箱</w:t>
            </w:r>
            <w:r>
              <w:rPr>
                <w:rFonts w:hint="default" w:ascii="Times New Roman" w:hAnsi="Times New Roman" w:cs="Times New Roman"/>
                <w:b w:val="0"/>
                <w:bCs w:val="0"/>
                <w:lang w:eastAsia="zh-CN"/>
              </w:rPr>
              <w:t>，危废暂存</w:t>
            </w:r>
            <w:r>
              <w:rPr>
                <w:rFonts w:hint="eastAsia" w:ascii="Times New Roman" w:hAnsi="Times New Roman" w:cs="Times New Roman"/>
                <w:b w:val="0"/>
                <w:bCs w:val="0"/>
                <w:lang w:eastAsia="zh-CN"/>
              </w:rPr>
              <w:t>箱</w:t>
            </w:r>
            <w:r>
              <w:rPr>
                <w:rFonts w:hint="default" w:ascii="Times New Roman" w:hAnsi="Times New Roman" w:cs="Times New Roman"/>
                <w:b w:val="0"/>
                <w:bCs w:val="0"/>
                <w:lang w:eastAsia="zh-CN"/>
              </w:rPr>
              <w:t>已进行防渗处理，内部设有标识，</w:t>
            </w:r>
            <w:r>
              <w:rPr>
                <w:rFonts w:hint="eastAsia" w:ascii="Times New Roman" w:hAnsi="Times New Roman" w:cs="Times New Roman"/>
                <w:b w:val="0"/>
                <w:bCs w:val="0"/>
                <w:lang w:eastAsia="zh-CN"/>
              </w:rPr>
              <w:t>并制定了</w:t>
            </w:r>
            <w:r>
              <w:rPr>
                <w:rFonts w:hint="default" w:ascii="Times New Roman" w:hAnsi="Times New Roman" w:cs="Times New Roman"/>
                <w:b w:val="0"/>
                <w:bCs w:val="0"/>
                <w:lang w:eastAsia="zh-CN"/>
              </w:rPr>
              <w:t>管理制度。危险废物置于危废暂存</w:t>
            </w:r>
            <w:r>
              <w:rPr>
                <w:rFonts w:hint="eastAsia" w:ascii="Times New Roman" w:hAnsi="Times New Roman" w:cs="Times New Roman"/>
                <w:b w:val="0"/>
                <w:bCs w:val="0"/>
                <w:lang w:eastAsia="zh-CN"/>
              </w:rPr>
              <w:t>箱</w:t>
            </w:r>
            <w:r>
              <w:rPr>
                <w:rFonts w:hint="default" w:ascii="Times New Roman" w:hAnsi="Times New Roman" w:cs="Times New Roman"/>
                <w:b w:val="0"/>
                <w:bCs w:val="0"/>
                <w:lang w:eastAsia="zh-CN"/>
              </w:rPr>
              <w:t>，分类置放，定期交由陕西明瑞资源再生有限公司。</w:t>
            </w:r>
            <w:r>
              <w:rPr>
                <w:rFonts w:hint="default" w:ascii="Times New Roman" w:hAnsi="Times New Roman" w:cs="Times New Roman"/>
                <w:b w:val="0"/>
                <w:bCs w:val="0"/>
                <w:highlight w:val="none"/>
                <w:lang w:eastAsia="zh-CN"/>
              </w:rPr>
              <w:t>危废暂存</w:t>
            </w:r>
            <w:r>
              <w:rPr>
                <w:rFonts w:hint="eastAsia" w:ascii="Times New Roman" w:hAnsi="Times New Roman" w:cs="Times New Roman"/>
                <w:b w:val="0"/>
                <w:bCs w:val="0"/>
                <w:highlight w:val="none"/>
                <w:lang w:eastAsia="zh-CN"/>
              </w:rPr>
              <w:t>箱</w:t>
            </w:r>
            <w:r>
              <w:rPr>
                <w:rFonts w:hint="default" w:ascii="Times New Roman" w:hAnsi="Times New Roman" w:cs="Times New Roman"/>
                <w:b w:val="0"/>
                <w:bCs w:val="0"/>
                <w:highlight w:val="none"/>
                <w:lang w:eastAsia="zh-CN"/>
              </w:rPr>
              <w:t>具体见图</w:t>
            </w:r>
            <w:r>
              <w:rPr>
                <w:rFonts w:hint="default" w:ascii="Times New Roman" w:hAnsi="Times New Roman" w:cs="Times New Roman"/>
                <w:b w:val="0"/>
                <w:bCs w:val="0"/>
                <w:highlight w:val="none"/>
                <w:lang w:val="en-US" w:eastAsia="zh-CN"/>
              </w:rPr>
              <w:t>3-</w:t>
            </w:r>
            <w:r>
              <w:rPr>
                <w:rFonts w:hint="eastAsia" w:ascii="Times New Roman" w:hAnsi="Times New Roman" w:cs="Times New Roman"/>
                <w:b w:val="0"/>
                <w:bCs w:val="0"/>
                <w:highlight w:val="none"/>
                <w:lang w:val="en-US" w:eastAsia="zh-CN"/>
              </w:rPr>
              <w:t>5</w:t>
            </w:r>
            <w:r>
              <w:rPr>
                <w:rFonts w:hint="default" w:ascii="Times New Roman" w:hAnsi="Times New Roman" w:cs="Times New Roman"/>
                <w:b w:val="0"/>
                <w:bCs w:val="0"/>
                <w:lang w:val="en-US" w:eastAsia="zh-CN"/>
              </w:rPr>
              <w:t>。</w:t>
            </w:r>
          </w:p>
          <w:tbl>
            <w:tblPr>
              <w:tblStyle w:val="16"/>
              <w:tblpPr w:leftFromText="180" w:rightFromText="180" w:vertAnchor="text" w:horzAnchor="page" w:tblpX="90" w:tblpY="55"/>
              <w:tblOverlap w:val="never"/>
              <w:tblW w:w="9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5" w:type="dxa"/>
                </w:tcPr>
                <w:p>
                  <w:pPr>
                    <w:pStyle w:val="7"/>
                    <w:spacing w:before="0" w:line="360" w:lineRule="auto"/>
                    <w:ind w:left="0" w:leftChars="0" w:firstLine="0" w:firstLineChars="0"/>
                    <w:jc w:val="center"/>
                    <w:rPr>
                      <w:rFonts w:hint="default"/>
                      <w:lang w:eastAsia="zh-CN"/>
                    </w:rPr>
                  </w:pPr>
                  <w:r>
                    <w:rPr>
                      <w:rFonts w:hint="eastAsia" w:ascii="宋体" w:hAnsi="宋体" w:eastAsia="宋体" w:cs="宋体"/>
                      <w:sz w:val="24"/>
                      <w:szCs w:val="24"/>
                      <w:lang w:eastAsia="zh-CN"/>
                    </w:rPr>
                    <w:drawing>
                      <wp:inline distT="0" distB="0" distL="114300" distR="114300">
                        <wp:extent cx="2572385" cy="2421890"/>
                        <wp:effectExtent l="0" t="0" r="18415" b="16510"/>
                        <wp:docPr id="17" name="图片 17" descr="b507ac84604dd3dc43358eb0c14a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507ac84604dd3dc43358eb0c14a4cc"/>
                                <pic:cNvPicPr>
                                  <a:picLocks noChangeAspect="1"/>
                                </pic:cNvPicPr>
                              </pic:nvPicPr>
                              <pic:blipFill>
                                <a:blip r:embed="rId22"/>
                                <a:stretch>
                                  <a:fillRect/>
                                </a:stretch>
                              </pic:blipFill>
                              <pic:spPr>
                                <a:xfrm>
                                  <a:off x="0" y="0"/>
                                  <a:ext cx="2572385" cy="2421890"/>
                                </a:xfrm>
                                <a:prstGeom prst="rect">
                                  <a:avLst/>
                                </a:prstGeom>
                              </pic:spPr>
                            </pic:pic>
                          </a:graphicData>
                        </a:graphic>
                      </wp:inline>
                    </w:drawing>
                  </w:r>
                </w:p>
              </w:tc>
              <w:tc>
                <w:tcPr>
                  <w:tcW w:w="4646" w:type="dxa"/>
                </w:tcPr>
                <w:p>
                  <w:pPr>
                    <w:pStyle w:val="7"/>
                    <w:spacing w:before="0" w:line="360" w:lineRule="auto"/>
                    <w:ind w:left="0" w:leftChars="0" w:firstLine="0" w:firstLineChars="0"/>
                    <w:jc w:val="center"/>
                    <w:rPr>
                      <w:rFonts w:hint="default"/>
                      <w:lang w:eastAsia="zh-CN"/>
                    </w:rPr>
                  </w:pPr>
                  <w:r>
                    <w:rPr>
                      <w:rFonts w:hint="eastAsia" w:ascii="宋体" w:hAnsi="宋体" w:eastAsia="宋体" w:cs="宋体"/>
                      <w:sz w:val="24"/>
                      <w:szCs w:val="24"/>
                      <w:lang w:eastAsia="zh-CN"/>
                    </w:rPr>
                    <w:drawing>
                      <wp:inline distT="0" distB="0" distL="114300" distR="114300">
                        <wp:extent cx="2574290" cy="2422525"/>
                        <wp:effectExtent l="0" t="0" r="16510" b="15875"/>
                        <wp:docPr id="4" name="图片 4" descr="b3f0f884e91ca42dac6f65f3d944fd9"/>
                        <wp:cNvGraphicFramePr/>
                        <a:graphic xmlns:a="http://schemas.openxmlformats.org/drawingml/2006/main">
                          <a:graphicData uri="http://schemas.openxmlformats.org/drawingml/2006/picture">
                            <pic:pic xmlns:pic="http://schemas.openxmlformats.org/drawingml/2006/picture">
                              <pic:nvPicPr>
                                <pic:cNvPr id="4" name="图片 4" descr="b3f0f884e91ca42dac6f65f3d944fd9"/>
                                <pic:cNvPicPr/>
                              </pic:nvPicPr>
                              <pic:blipFill>
                                <a:blip r:embed="rId23"/>
                                <a:stretch>
                                  <a:fillRect/>
                                </a:stretch>
                              </pic:blipFill>
                              <pic:spPr>
                                <a:xfrm>
                                  <a:off x="0" y="0"/>
                                  <a:ext cx="2574290" cy="24225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1" w:type="dxa"/>
                  <w:gridSpan w:val="2"/>
                </w:tcPr>
                <w:p>
                  <w:pPr>
                    <w:pStyle w:val="7"/>
                    <w:spacing w:before="0" w:line="360" w:lineRule="auto"/>
                    <w:ind w:left="0" w:leftChars="0" w:firstLine="0" w:firstLineChars="0"/>
                    <w:jc w:val="center"/>
                    <w:rPr>
                      <w:rFonts w:hint="eastAsia" w:ascii="宋体" w:hAnsi="宋体" w:eastAsia="宋体" w:cs="宋体"/>
                      <w:sz w:val="24"/>
                      <w:szCs w:val="24"/>
                      <w:lang w:val="en-US" w:eastAsia="zh-CN"/>
                    </w:rPr>
                  </w:pPr>
                  <w:r>
                    <w:rPr>
                      <w:rFonts w:hint="eastAsia" w:cs="宋体"/>
                      <w:sz w:val="21"/>
                      <w:szCs w:val="21"/>
                      <w:lang w:val="en-US" w:eastAsia="zh-CN"/>
                    </w:rPr>
                    <w:t>危废暂存箱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4" w:hRule="atLeast"/>
              </w:trPr>
              <w:tc>
                <w:tcPr>
                  <w:tcW w:w="4645" w:type="dxa"/>
                </w:tcPr>
                <w:p>
                  <w:pPr>
                    <w:pStyle w:val="7"/>
                    <w:spacing w:before="0" w:line="360" w:lineRule="auto"/>
                    <w:ind w:left="0" w:leftChars="0" w:firstLine="0" w:firstLineChars="0"/>
                    <w:jc w:val="both"/>
                    <w:rPr>
                      <w:rFonts w:hint="default" w:ascii="宋体" w:hAnsi="宋体" w:eastAsia="宋体" w:cs="宋体"/>
                      <w:sz w:val="24"/>
                      <w:szCs w:val="24"/>
                      <w:lang w:val="en-US" w:eastAsia="zh-CN"/>
                    </w:rPr>
                  </w:pPr>
                </w:p>
                <w:p>
                  <w:pPr>
                    <w:pStyle w:val="7"/>
                    <w:spacing w:before="0" w:line="360" w:lineRule="auto"/>
                    <w:ind w:left="0" w:leftChars="0" w:firstLine="0" w:firstLineChars="0"/>
                    <w:jc w:val="both"/>
                    <w:rPr>
                      <w:rFonts w:hint="default" w:ascii="宋体" w:hAnsi="宋体" w:eastAsia="宋体" w:cs="宋体"/>
                      <w:sz w:val="24"/>
                      <w:szCs w:val="24"/>
                      <w:lang w:val="en-US" w:eastAsia="zh-CN"/>
                    </w:rPr>
                  </w:pPr>
                </w:p>
                <w:p>
                  <w:pPr>
                    <w:pStyle w:val="7"/>
                    <w:spacing w:before="0" w:line="360" w:lineRule="auto"/>
                    <w:ind w:left="0" w:leftChars="0" w:firstLine="0" w:firstLineChars="0"/>
                    <w:jc w:val="both"/>
                    <w:rPr>
                      <w:rFonts w:hint="eastAsia" w:ascii="宋体" w:hAnsi="宋体" w:eastAsia="宋体" w:cs="宋体"/>
                      <w:sz w:val="24"/>
                      <w:szCs w:val="24"/>
                      <w:lang w:eastAsia="zh-CN"/>
                    </w:rPr>
                  </w:pPr>
                  <w:r>
                    <w:rPr>
                      <w:rFonts w:hint="default" w:ascii="宋体" w:hAnsi="宋体" w:eastAsia="宋体" w:cs="宋体"/>
                      <w:sz w:val="24"/>
                      <w:szCs w:val="24"/>
                      <w:lang w:val="en-US" w:eastAsia="zh-CN"/>
                    </w:rPr>
                    <w:drawing>
                      <wp:inline distT="0" distB="0" distL="114300" distR="114300">
                        <wp:extent cx="2120900" cy="2779395"/>
                        <wp:effectExtent l="0" t="0" r="1905" b="12700"/>
                        <wp:docPr id="30" name="图片 30" descr="31d11aad5e539340c1468fd134dfc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1d11aad5e539340c1468fd134dfcb9"/>
                                <pic:cNvPicPr>
                                  <a:picLocks noChangeAspect="1"/>
                                </pic:cNvPicPr>
                              </pic:nvPicPr>
                              <pic:blipFill>
                                <a:blip r:embed="rId24"/>
                                <a:stretch>
                                  <a:fillRect/>
                                </a:stretch>
                              </pic:blipFill>
                              <pic:spPr>
                                <a:xfrm rot="16200000">
                                  <a:off x="0" y="0"/>
                                  <a:ext cx="2120900" cy="2779395"/>
                                </a:xfrm>
                                <a:prstGeom prst="rect">
                                  <a:avLst/>
                                </a:prstGeom>
                              </pic:spPr>
                            </pic:pic>
                          </a:graphicData>
                        </a:graphic>
                      </wp:inline>
                    </w:drawing>
                  </w:r>
                </w:p>
              </w:tc>
              <w:tc>
                <w:tcPr>
                  <w:tcW w:w="4646" w:type="dxa"/>
                </w:tcPr>
                <w:p>
                  <w:pPr>
                    <w:pStyle w:val="7"/>
                    <w:spacing w:before="0" w:line="360" w:lineRule="auto"/>
                    <w:ind w:left="0" w:leftChars="0" w:firstLine="0" w:firstLineChars="0"/>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2639060" cy="3325495"/>
                        <wp:effectExtent l="0" t="0" r="8890" b="8255"/>
                        <wp:docPr id="9" name="图片 9" descr="8637ad7ab3969ea22c3f0fb5a2b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637ad7ab3969ea22c3f0fb5a2b1663"/>
                                <pic:cNvPicPr>
                                  <a:picLocks noChangeAspect="1"/>
                                </pic:cNvPicPr>
                              </pic:nvPicPr>
                              <pic:blipFill>
                                <a:blip r:embed="rId25"/>
                                <a:stretch>
                                  <a:fillRect/>
                                </a:stretch>
                              </pic:blipFill>
                              <pic:spPr>
                                <a:xfrm>
                                  <a:off x="0" y="0"/>
                                  <a:ext cx="2639060" cy="33254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5" w:type="dxa"/>
                </w:tcPr>
                <w:p>
                  <w:pPr>
                    <w:pStyle w:val="7"/>
                    <w:spacing w:before="0" w:line="360" w:lineRule="auto"/>
                    <w:ind w:left="0" w:leftChars="0" w:firstLine="0" w:firstLineChars="0"/>
                    <w:jc w:val="center"/>
                    <w:rPr>
                      <w:rFonts w:hint="default" w:ascii="宋体" w:hAnsi="宋体" w:eastAsia="宋体" w:cs="宋体"/>
                      <w:sz w:val="24"/>
                      <w:szCs w:val="24"/>
                      <w:lang w:val="en-US" w:eastAsia="zh-CN"/>
                    </w:rPr>
                  </w:pPr>
                  <w:r>
                    <w:rPr>
                      <w:rFonts w:hint="eastAsia" w:ascii="宋体" w:hAnsi="宋体" w:eastAsia="宋体" w:cs="宋体"/>
                      <w:sz w:val="21"/>
                      <w:szCs w:val="21"/>
                      <w:lang w:val="en-US" w:eastAsia="zh-CN"/>
                    </w:rPr>
                    <w:t>危废处置台账</w:t>
                  </w:r>
                </w:p>
              </w:tc>
              <w:tc>
                <w:tcPr>
                  <w:tcW w:w="4646" w:type="dxa"/>
                </w:tcPr>
                <w:p>
                  <w:pPr>
                    <w:pStyle w:val="7"/>
                    <w:spacing w:before="0" w:line="360" w:lineRule="auto"/>
                    <w:ind w:left="0" w:leftChars="0" w:firstLine="0" w:firstLineChars="0"/>
                    <w:jc w:val="center"/>
                    <w:rPr>
                      <w:rFonts w:hint="eastAsia" w:ascii="宋体" w:hAnsi="宋体" w:eastAsia="宋体" w:cs="宋体"/>
                      <w:sz w:val="21"/>
                      <w:szCs w:val="21"/>
                      <w:lang w:val="en-US" w:eastAsia="zh-CN"/>
                    </w:rPr>
                  </w:pPr>
                  <w:r>
                    <w:rPr>
                      <w:rFonts w:hint="eastAsia" w:cs="宋体"/>
                      <w:sz w:val="21"/>
                      <w:szCs w:val="21"/>
                      <w:lang w:val="en-US" w:eastAsia="zh-CN"/>
                    </w:rPr>
                    <w:t>危废管理制度</w:t>
                  </w:r>
                </w:p>
              </w:tc>
            </w:tr>
          </w:tbl>
          <w:p>
            <w:pPr>
              <w:numPr>
                <w:ilvl w:val="-1"/>
                <w:numId w:val="0"/>
              </w:numPr>
              <w:spacing w:line="360" w:lineRule="auto"/>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图3-</w:t>
            </w:r>
            <w:r>
              <w:rPr>
                <w:rFonts w:hint="eastAsia" w:ascii="Times New Roman" w:hAnsi="Times New Roman" w:cs="Times New Roman" w:eastAsiaTheme="minorEastAsia"/>
                <w:b/>
                <w:bCs/>
                <w:color w:val="auto"/>
                <w:sz w:val="21"/>
                <w:szCs w:val="21"/>
                <w:highlight w:val="none"/>
                <w:lang w:val="en-US" w:eastAsia="zh-CN"/>
              </w:rPr>
              <w:t>5</w:t>
            </w:r>
            <w:r>
              <w:rPr>
                <w:rFonts w:hint="default" w:ascii="Times New Roman" w:hAnsi="Times New Roman" w:cs="Times New Roman" w:eastAsiaTheme="minorEastAsia"/>
                <w:b/>
                <w:bCs/>
                <w:color w:val="auto"/>
                <w:sz w:val="21"/>
                <w:szCs w:val="21"/>
                <w:highlight w:val="none"/>
                <w:lang w:val="en-US" w:eastAsia="zh-CN"/>
              </w:rPr>
              <w:t xml:space="preserve">  危废暂存</w:t>
            </w:r>
            <w:r>
              <w:rPr>
                <w:rFonts w:hint="eastAsia" w:ascii="Times New Roman" w:hAnsi="Times New Roman" w:cs="Times New Roman" w:eastAsiaTheme="minorEastAsia"/>
                <w:b/>
                <w:bCs/>
                <w:color w:val="auto"/>
                <w:sz w:val="21"/>
                <w:szCs w:val="21"/>
                <w:highlight w:val="none"/>
                <w:lang w:val="en-US" w:eastAsia="zh-CN"/>
              </w:rPr>
              <w:t>箱</w:t>
            </w:r>
          </w:p>
          <w:p>
            <w:pPr>
              <w:keepNext w:val="0"/>
              <w:keepLines w:val="0"/>
              <w:pageBreakBefore w:val="0"/>
              <w:widowControl w:val="0"/>
              <w:numPr>
                <w:ilvl w:val="-1"/>
                <w:numId w:val="0"/>
              </w:numPr>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szCs w:val="24"/>
                <w:highlight w:val="yellow"/>
                <w:lang w:val="en-US" w:eastAsia="zh-CN"/>
              </w:rPr>
            </w:pPr>
            <w:r>
              <w:rPr>
                <w:rFonts w:hint="default" w:ascii="Times New Roman" w:hAnsi="Times New Roman" w:cs="Times New Roman"/>
                <w:sz w:val="24"/>
                <w:szCs w:val="24"/>
                <w:lang w:val="en-US" w:eastAsia="zh-CN"/>
              </w:rPr>
              <w:t>3、其他设施</w:t>
            </w:r>
          </w:p>
          <w:p>
            <w:pPr>
              <w:tabs>
                <w:tab w:val="left" w:pos="924"/>
              </w:tabs>
              <w:adjustRightInd w:val="0"/>
              <w:snapToGrid w:val="0"/>
              <w:spacing w:line="360" w:lineRule="auto"/>
              <w:ind w:firstLine="480" w:firstLineChars="200"/>
              <w:rPr>
                <w:rFonts w:hint="default"/>
                <w:lang w:eastAsia="zh-CN"/>
              </w:rPr>
            </w:pPr>
            <w:r>
              <w:rPr>
                <w:rFonts w:hint="default"/>
                <w:sz w:val="24"/>
                <w:szCs w:val="24"/>
                <w:highlight w:val="none"/>
                <w:lang w:val="en-US" w:eastAsia="zh-CN"/>
              </w:rPr>
              <w:t>项目利用</w:t>
            </w:r>
            <w:r>
              <w:rPr>
                <w:rFonts w:hint="eastAsia"/>
                <w:sz w:val="24"/>
                <w:szCs w:val="24"/>
                <w:highlight w:val="none"/>
                <w:lang w:val="en-US" w:eastAsia="zh-CN"/>
              </w:rPr>
              <w:t>服务区水井作为地下水监控井</w:t>
            </w:r>
            <w:r>
              <w:rPr>
                <w:rFonts w:hint="default"/>
                <w:sz w:val="24"/>
                <w:szCs w:val="24"/>
                <w:lang w:val="en-US" w:eastAsia="zh-CN"/>
              </w:rPr>
              <w:t>，</w:t>
            </w:r>
            <w:r>
              <w:rPr>
                <w:rFonts w:hint="default"/>
                <w:sz w:val="24"/>
                <w:szCs w:val="24"/>
              </w:rPr>
              <w:t>油罐采用内钢外玻璃纤维增强塑料双层储罐，</w:t>
            </w:r>
            <w:r>
              <w:rPr>
                <w:rFonts w:hint="eastAsia"/>
                <w:sz w:val="24"/>
                <w:szCs w:val="24"/>
                <w:lang w:eastAsia="zh-CN"/>
              </w:rPr>
              <w:t>储罐合格证见附件</w:t>
            </w:r>
            <w:r>
              <w:rPr>
                <w:rFonts w:hint="eastAsia"/>
                <w:sz w:val="24"/>
                <w:szCs w:val="24"/>
                <w:lang w:val="en-US" w:eastAsia="zh-CN"/>
              </w:rPr>
              <w:t>10。</w:t>
            </w:r>
            <w:r>
              <w:rPr>
                <w:rFonts w:hint="default"/>
                <w:sz w:val="24"/>
                <w:szCs w:val="24"/>
              </w:rPr>
              <w:t>为有效防止废水、油品跑冒滴漏对周围地下水造成不利影响，在油罐区、发油区、管理区设防紧急停机锁存报警器、加油机泄漏低限报警器、储罐超压报警器、储罐液位低限报警器、储罐液位高限报警器、储油罐池渗漏检测报警器等，加油站采取分区防渗措施</w:t>
            </w:r>
            <w:r>
              <w:rPr>
                <w:rFonts w:hint="default"/>
                <w:sz w:val="24"/>
                <w:szCs w:val="24"/>
                <w:lang w:eastAsia="zh-CN"/>
              </w:rPr>
              <w:t>。</w:t>
            </w:r>
          </w:p>
          <w:p>
            <w:pPr>
              <w:tabs>
                <w:tab w:val="left" w:pos="924"/>
              </w:tabs>
              <w:adjustRightInd w:val="0"/>
              <w:snapToGrid w:val="0"/>
              <w:spacing w:line="360" w:lineRule="auto"/>
              <w:ind w:firstLine="480" w:firstLineChars="200"/>
              <w:jc w:val="both"/>
              <w:rPr>
                <w:rFonts w:hint="eastAsia" w:ascii="Times New Roman" w:hAnsi="Times New Roman" w:cs="Times New Roman"/>
                <w:bCs/>
                <w:snapToGrid w:val="0"/>
                <w:sz w:val="24"/>
                <w:szCs w:val="24"/>
                <w:highlight w:val="none"/>
                <w:lang w:eastAsia="zh-CN"/>
              </w:rPr>
            </w:pPr>
            <w:r>
              <w:rPr>
                <w:rFonts w:hint="eastAsia" w:ascii="Times New Roman" w:hAnsi="Times New Roman" w:cs="Times New Roman"/>
                <w:bCs/>
                <w:snapToGrid w:val="0"/>
                <w:sz w:val="24"/>
                <w:szCs w:val="24"/>
                <w:highlight w:val="none"/>
                <w:lang w:eastAsia="zh-CN"/>
              </w:rPr>
              <w:t>据调查及企业自述，项目</w:t>
            </w:r>
            <w:r>
              <w:rPr>
                <w:rFonts w:ascii="Times New Roman" w:hAnsi="Times New Roman" w:cs="Times New Roman"/>
                <w:bCs/>
                <w:snapToGrid w:val="0"/>
                <w:sz w:val="24"/>
                <w:szCs w:val="24"/>
                <w:highlight w:val="none"/>
              </w:rPr>
              <w:t>整个加油区</w:t>
            </w:r>
            <w:r>
              <w:rPr>
                <w:rFonts w:hint="eastAsia" w:ascii="Times New Roman" w:hAnsi="Times New Roman" w:cs="Times New Roman"/>
                <w:bCs/>
                <w:snapToGrid w:val="0"/>
                <w:sz w:val="24"/>
                <w:szCs w:val="24"/>
                <w:highlight w:val="none"/>
                <w:lang w:eastAsia="zh-CN"/>
              </w:rPr>
              <w:t>采用</w:t>
            </w:r>
            <w:r>
              <w:rPr>
                <w:rFonts w:ascii="Times New Roman" w:hAnsi="Times New Roman" w:cs="Times New Roman"/>
                <w:bCs/>
                <w:snapToGrid w:val="0"/>
                <w:sz w:val="24"/>
                <w:szCs w:val="24"/>
                <w:highlight w:val="none"/>
              </w:rPr>
              <w:t>抗渗混凝土结构，混凝土强度等级</w:t>
            </w:r>
            <w:r>
              <w:rPr>
                <w:rFonts w:hint="eastAsia" w:ascii="Times New Roman" w:hAnsi="Times New Roman" w:cs="Times New Roman"/>
                <w:bCs/>
                <w:snapToGrid w:val="0"/>
                <w:sz w:val="24"/>
                <w:szCs w:val="24"/>
                <w:highlight w:val="none"/>
                <w:lang w:eastAsia="zh-CN"/>
              </w:rPr>
              <w:t>大于</w:t>
            </w:r>
            <w:r>
              <w:rPr>
                <w:rFonts w:ascii="Times New Roman" w:hAnsi="Times New Roman" w:cs="Times New Roman"/>
                <w:bCs/>
                <w:snapToGrid w:val="0"/>
                <w:sz w:val="24"/>
                <w:szCs w:val="24"/>
                <w:highlight w:val="none"/>
              </w:rPr>
              <w:t>C25，厚度</w:t>
            </w:r>
            <w:r>
              <w:rPr>
                <w:rFonts w:hint="eastAsia" w:ascii="Times New Roman" w:hAnsi="Times New Roman" w:cs="Times New Roman"/>
                <w:bCs/>
                <w:snapToGrid w:val="0"/>
                <w:sz w:val="24"/>
                <w:szCs w:val="24"/>
                <w:highlight w:val="none"/>
                <w:lang w:eastAsia="zh-CN"/>
              </w:rPr>
              <w:t>大于</w:t>
            </w:r>
            <w:r>
              <w:rPr>
                <w:rFonts w:ascii="Times New Roman" w:hAnsi="Times New Roman" w:cs="Times New Roman"/>
                <w:bCs/>
                <w:snapToGrid w:val="0"/>
                <w:sz w:val="24"/>
                <w:szCs w:val="24"/>
                <w:highlight w:val="none"/>
              </w:rPr>
              <w:t>100mm</w:t>
            </w:r>
            <w:r>
              <w:rPr>
                <w:rFonts w:hint="eastAsia" w:ascii="Times New Roman" w:hAnsi="Times New Roman" w:cs="Times New Roman"/>
                <w:bCs/>
                <w:snapToGrid w:val="0"/>
                <w:sz w:val="24"/>
                <w:szCs w:val="24"/>
                <w:highlight w:val="none"/>
                <w:lang w:eastAsia="zh-CN"/>
              </w:rPr>
              <w:t>；对生活区和站房区</w:t>
            </w:r>
            <w:r>
              <w:rPr>
                <w:rFonts w:ascii="Times New Roman" w:hAnsi="Times New Roman" w:cs="Times New Roman"/>
                <w:bCs/>
                <w:snapToGrid w:val="0"/>
                <w:sz w:val="24"/>
                <w:szCs w:val="24"/>
                <w:highlight w:val="none"/>
              </w:rPr>
              <w:t>做一般地面硬化</w:t>
            </w:r>
            <w:r>
              <w:rPr>
                <w:rFonts w:hint="eastAsia" w:ascii="Times New Roman" w:hAnsi="Times New Roman" w:cs="Times New Roman"/>
                <w:bCs/>
                <w:snapToGrid w:val="0"/>
                <w:sz w:val="24"/>
                <w:szCs w:val="24"/>
                <w:highlight w:val="none"/>
                <w:lang w:eastAsia="zh-CN"/>
              </w:rPr>
              <w:t>；项目加油管道材质为双层热塑性塑料管道，卸油管道、通气管道、一二三次回收管道均采用钢管；油罐围堰采用混凝土结构，做防水处理，罐区内硬化</w:t>
            </w:r>
            <w:r>
              <w:rPr>
                <w:rFonts w:ascii="Times New Roman" w:hAnsi="Times New Roman" w:cs="Times New Roman"/>
                <w:bCs/>
                <w:snapToGrid w:val="0"/>
                <w:sz w:val="24"/>
                <w:szCs w:val="24"/>
                <w:highlight w:val="none"/>
              </w:rPr>
              <w:t>；</w:t>
            </w:r>
            <w:r>
              <w:rPr>
                <w:rFonts w:hint="eastAsia" w:ascii="Times New Roman" w:hAnsi="Times New Roman" w:cs="Times New Roman"/>
                <w:bCs/>
                <w:snapToGrid w:val="0"/>
                <w:sz w:val="24"/>
                <w:szCs w:val="24"/>
                <w:highlight w:val="none"/>
                <w:lang w:eastAsia="zh-CN"/>
              </w:rPr>
              <w:t>项目</w:t>
            </w:r>
            <w:r>
              <w:rPr>
                <w:rFonts w:ascii="Times New Roman" w:hAnsi="Times New Roman" w:cs="Times New Roman"/>
                <w:bCs/>
                <w:snapToGrid w:val="0"/>
                <w:sz w:val="24"/>
                <w:szCs w:val="24"/>
                <w:highlight w:val="none"/>
              </w:rPr>
              <w:t>输油管线采用双层夹套输油管线</w:t>
            </w:r>
            <w:r>
              <w:rPr>
                <w:rFonts w:hint="eastAsia" w:ascii="Times New Roman" w:hAnsi="Times New Roman" w:cs="Times New Roman"/>
                <w:bCs/>
                <w:snapToGrid w:val="0"/>
                <w:sz w:val="24"/>
                <w:szCs w:val="24"/>
                <w:highlight w:val="none"/>
                <w:lang w:eastAsia="zh-CN"/>
              </w:rPr>
              <w:t>，埋地管道防腐设计采用加强级防腐；</w:t>
            </w:r>
            <w:r>
              <w:rPr>
                <w:rFonts w:ascii="Times New Roman" w:hAnsi="Times New Roman" w:cs="Times New Roman"/>
                <w:bCs/>
                <w:snapToGrid w:val="0"/>
                <w:sz w:val="24"/>
                <w:szCs w:val="24"/>
                <w:highlight w:val="none"/>
              </w:rPr>
              <w:t>危废暂存</w:t>
            </w:r>
            <w:r>
              <w:rPr>
                <w:rFonts w:hint="eastAsia" w:ascii="Times New Roman" w:hAnsi="Times New Roman" w:cs="Times New Roman"/>
                <w:bCs/>
                <w:snapToGrid w:val="0"/>
                <w:sz w:val="24"/>
                <w:szCs w:val="24"/>
                <w:highlight w:val="none"/>
                <w:lang w:eastAsia="zh-CN"/>
              </w:rPr>
              <w:t>箱底部</w:t>
            </w:r>
            <w:r>
              <w:rPr>
                <w:rFonts w:ascii="Times New Roman" w:hAnsi="Times New Roman" w:cs="Times New Roman"/>
                <w:bCs/>
                <w:snapToGrid w:val="0"/>
                <w:sz w:val="24"/>
                <w:szCs w:val="24"/>
                <w:highlight w:val="none"/>
              </w:rPr>
              <w:t>采取混凝土硬化</w:t>
            </w:r>
            <w:r>
              <w:rPr>
                <w:rFonts w:hint="eastAsia" w:ascii="Times New Roman" w:hAnsi="Times New Roman" w:cs="Times New Roman"/>
                <w:bCs/>
                <w:snapToGrid w:val="0"/>
                <w:sz w:val="24"/>
                <w:szCs w:val="24"/>
                <w:highlight w:val="none"/>
                <w:lang w:eastAsia="zh-CN"/>
              </w:rPr>
              <w:t>。同时，保证生产运营阶段</w:t>
            </w:r>
            <w:r>
              <w:rPr>
                <w:rFonts w:ascii="Times New Roman" w:hAnsi="Times New Roman" w:cs="Times New Roman"/>
                <w:bCs/>
                <w:snapToGrid w:val="0"/>
                <w:sz w:val="24"/>
                <w:szCs w:val="24"/>
                <w:highlight w:val="none"/>
              </w:rPr>
              <w:t>加强环保设施的管理，</w:t>
            </w:r>
            <w:r>
              <w:rPr>
                <w:rFonts w:hint="eastAsia" w:ascii="Times New Roman" w:hAnsi="Times New Roman" w:cs="Times New Roman"/>
                <w:bCs/>
                <w:snapToGrid w:val="0"/>
                <w:sz w:val="24"/>
                <w:szCs w:val="24"/>
                <w:highlight w:val="none"/>
                <w:lang w:eastAsia="zh-CN"/>
              </w:rPr>
              <w:t>以</w:t>
            </w:r>
            <w:r>
              <w:rPr>
                <w:rFonts w:ascii="Times New Roman" w:hAnsi="Times New Roman" w:cs="Times New Roman"/>
                <w:bCs/>
                <w:snapToGrid w:val="0"/>
                <w:sz w:val="24"/>
                <w:szCs w:val="24"/>
                <w:highlight w:val="none"/>
              </w:rPr>
              <w:t>避免跑、冒、滴、漏情况的发生</w:t>
            </w:r>
            <w:r>
              <w:rPr>
                <w:rFonts w:hint="eastAsia" w:ascii="Times New Roman" w:hAnsi="Times New Roman" w:cs="Times New Roman"/>
                <w:bCs/>
                <w:snapToGrid w:val="0"/>
                <w:sz w:val="24"/>
                <w:szCs w:val="24"/>
                <w:highlight w:val="none"/>
                <w:lang w:eastAsia="zh-CN"/>
              </w:rPr>
              <w:t>。</w:t>
            </w:r>
          </w:p>
          <w:p>
            <w:pPr>
              <w:tabs>
                <w:tab w:val="left" w:pos="924"/>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4.排污</w:t>
            </w:r>
            <w:r>
              <w:rPr>
                <w:rFonts w:hint="default"/>
                <w:sz w:val="24"/>
                <w:szCs w:val="24"/>
                <w:lang w:val="en-US"/>
              </w:rPr>
              <w:t>许可</w:t>
            </w:r>
          </w:p>
          <w:p>
            <w:pPr>
              <w:tabs>
                <w:tab w:val="left" w:pos="924"/>
              </w:tabs>
              <w:adjustRightInd w:val="0"/>
              <w:snapToGrid w:val="0"/>
              <w:spacing w:line="360" w:lineRule="auto"/>
              <w:ind w:firstLine="480" w:firstLineChars="200"/>
              <w:rPr>
                <w:rFonts w:hint="default"/>
                <w:sz w:val="24"/>
                <w:szCs w:val="24"/>
              </w:rPr>
            </w:pPr>
            <w:r>
              <w:rPr>
                <w:rFonts w:hint="eastAsia"/>
                <w:sz w:val="24"/>
                <w:szCs w:val="24"/>
                <w:lang w:val="en-US" w:eastAsia="zh-CN"/>
              </w:rPr>
              <w:t>根据《固定污染源排污许可分类管理名录（2019年版）》 四十二、零售业 100汽车、摩托车、零配件和燃料及其他动力销售 其他加油站需要开展登记管理。目前，企业已于2020年12月14日进行排污登记，回执编号：</w:t>
            </w:r>
            <w:r>
              <w:rPr>
                <w:rFonts w:hint="default" w:ascii="Times New Roman" w:hAnsi="Times New Roman" w:cs="Times New Roman"/>
                <w:sz w:val="24"/>
                <w:szCs w:val="24"/>
                <w:lang w:val="en-US" w:eastAsia="zh-CN"/>
              </w:rPr>
              <w:t>91610481MA6XNJLH8A001Z</w:t>
            </w:r>
            <w:r>
              <w:rPr>
                <w:rFonts w:hint="eastAsia"/>
                <w:sz w:val="24"/>
                <w:szCs w:val="24"/>
                <w:lang w:val="en-US" w:eastAsia="zh-CN"/>
              </w:rPr>
              <w:t>（详见附件9）</w:t>
            </w:r>
            <w:r>
              <w:rPr>
                <w:rFonts w:hint="default"/>
                <w:sz w:val="24"/>
                <w:szCs w:val="24"/>
              </w:rPr>
              <w:t>。</w:t>
            </w:r>
          </w:p>
          <w:p>
            <w:pPr>
              <w:numPr>
                <w:ilvl w:val="0"/>
                <w:numId w:val="0"/>
              </w:numPr>
              <w:tabs>
                <w:tab w:val="left" w:pos="924"/>
              </w:tabs>
              <w:adjustRightInd w:val="0"/>
              <w:snapToGrid w:val="0"/>
              <w:spacing w:line="360" w:lineRule="auto"/>
              <w:ind w:leftChars="200" w:right="0" w:rightChars="0"/>
              <w:rPr>
                <w:rFonts w:hint="eastAsia"/>
                <w:sz w:val="24"/>
                <w:szCs w:val="24"/>
                <w:highlight w:val="none"/>
                <w:lang w:val="en-US" w:eastAsia="zh-CN"/>
              </w:rPr>
            </w:pPr>
            <w:r>
              <w:rPr>
                <w:rFonts w:hint="eastAsia"/>
                <w:sz w:val="24"/>
                <w:szCs w:val="24"/>
                <w:highlight w:val="none"/>
                <w:lang w:val="en-US" w:eastAsia="zh-CN"/>
              </w:rPr>
              <w:t>5.环保规章制度</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after="0"/>
              <w:ind w:right="0" w:rightChars="0" w:firstLine="480" w:firstLineChars="200"/>
              <w:textAlignment w:val="auto"/>
              <w:rPr>
                <w:rFonts w:hint="default" w:ascii="宋体" w:hAnsi="宋体" w:eastAsia="宋体" w:cs="宋体"/>
                <w:sz w:val="24"/>
                <w:szCs w:val="24"/>
                <w:highlight w:val="none"/>
                <w:lang w:val="en-US" w:eastAsia="zh-CN" w:bidi="zh-CN"/>
              </w:rPr>
            </w:pPr>
            <w:r>
              <w:rPr>
                <w:rFonts w:hint="eastAsia" w:ascii="宋体" w:hAnsi="宋体" w:eastAsia="宋体" w:cs="宋体"/>
                <w:sz w:val="24"/>
                <w:szCs w:val="24"/>
                <w:highlight w:val="none"/>
                <w:lang w:val="en-US" w:eastAsia="zh-CN" w:bidi="zh-CN"/>
              </w:rPr>
              <w:t>建设单位</w:t>
            </w:r>
            <w:r>
              <w:rPr>
                <w:rFonts w:hint="eastAsia" w:ascii="宋体" w:eastAsia="宋体" w:cs="宋体"/>
                <w:sz w:val="24"/>
                <w:szCs w:val="24"/>
                <w:highlight w:val="none"/>
                <w:lang w:val="en-US" w:eastAsia="zh-CN" w:bidi="zh-CN"/>
              </w:rPr>
              <w:t>制定了各项环保规章制度及办法，内容详见附件11。</w:t>
            </w:r>
          </w:p>
          <w:p>
            <w:pPr>
              <w:numPr>
                <w:ilvl w:val="0"/>
                <w:numId w:val="0"/>
              </w:numPr>
              <w:spacing w:line="360" w:lineRule="auto"/>
              <w:ind w:leftChars="0" w:right="0" w:rightChars="0"/>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三、</w:t>
            </w:r>
            <w:r>
              <w:rPr>
                <w:rFonts w:hint="default" w:ascii="Times New Roman" w:hAnsi="Times New Roman" w:cs="Times New Roman"/>
                <w:b/>
                <w:bCs/>
                <w:sz w:val="24"/>
                <w:szCs w:val="24"/>
                <w:lang w:val="en-US" w:eastAsia="zh-CN"/>
              </w:rPr>
              <w:t>环保设施投资及“三同时”落实情况</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80" w:firstLineChars="200"/>
              <w:textAlignment w:val="auto"/>
              <w:outlineLvl w:val="9"/>
              <w:rPr>
                <w:rFonts w:hint="default"/>
                <w:lang w:val="en-US" w:eastAsia="zh-CN"/>
              </w:rPr>
            </w:pPr>
            <w:r>
              <w:rPr>
                <w:rFonts w:hint="default" w:ascii="Times New Roman" w:hAnsi="Times New Roman" w:cs="Times New Roman"/>
                <w:sz w:val="24"/>
                <w:szCs w:val="24"/>
                <w:lang w:val="en-US" w:eastAsia="zh-CN"/>
              </w:rPr>
              <w:t>项目总投资567.75万元，其中环保投资36.9万元，占总投资金额的6.49%，具体投资内容见表3-</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所示。</w:t>
            </w:r>
          </w:p>
          <w:p>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center"/>
              <w:textAlignment w:val="auto"/>
              <w:outlineLvl w:val="9"/>
              <w:rPr>
                <w:rFonts w:hint="eastAsia"/>
                <w:lang w:val="en-US" w:eastAsia="zh-CN"/>
              </w:rPr>
            </w:pPr>
            <w:r>
              <w:rPr>
                <w:rFonts w:hint="default"/>
                <w:b/>
                <w:bCs/>
                <w:sz w:val="21"/>
                <w:szCs w:val="21"/>
                <w:lang w:val="en-US" w:eastAsia="zh-CN"/>
              </w:rPr>
              <w:t>表3-</w:t>
            </w:r>
            <w:r>
              <w:rPr>
                <w:rFonts w:hint="eastAsia"/>
                <w:b/>
                <w:bCs/>
                <w:sz w:val="21"/>
                <w:szCs w:val="21"/>
                <w:lang w:val="en-US" w:eastAsia="zh-CN"/>
              </w:rPr>
              <w:t>4</w:t>
            </w:r>
            <w:r>
              <w:rPr>
                <w:rFonts w:hint="default"/>
                <w:b/>
                <w:bCs/>
                <w:sz w:val="21"/>
                <w:szCs w:val="21"/>
                <w:lang w:val="en-US" w:eastAsia="zh-CN"/>
              </w:rPr>
              <w:t xml:space="preserve">  </w:t>
            </w:r>
            <w:r>
              <w:rPr>
                <w:rFonts w:hint="default"/>
                <w:b/>
                <w:bCs/>
                <w:sz w:val="21"/>
                <w:szCs w:val="21"/>
              </w:rPr>
              <w:t>项目环保设施环评、实际建设情况一览表</w:t>
            </w:r>
          </w:p>
          <w:tbl>
            <w:tblPr>
              <w:tblStyle w:val="15"/>
              <w:tblW w:w="935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28" w:type="dxa"/>
                <w:bottom w:w="0" w:type="dxa"/>
                <w:right w:w="28" w:type="dxa"/>
              </w:tblCellMar>
            </w:tblPr>
            <w:tblGrid>
              <w:gridCol w:w="554"/>
              <w:gridCol w:w="1209"/>
              <w:gridCol w:w="2116"/>
              <w:gridCol w:w="1109"/>
              <w:gridCol w:w="2145"/>
              <w:gridCol w:w="1258"/>
              <w:gridCol w:w="96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340" w:hRule="atLeast"/>
                <w:jc w:val="center"/>
              </w:trPr>
              <w:tc>
                <w:tcPr>
                  <w:tcW w:w="55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类别</w:t>
                  </w:r>
                </w:p>
              </w:tc>
              <w:tc>
                <w:tcPr>
                  <w:tcW w:w="1209"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治理内容</w:t>
                  </w:r>
                </w:p>
              </w:tc>
              <w:tc>
                <w:tcPr>
                  <w:tcW w:w="2116"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环评及</w:t>
                  </w:r>
                  <w:r>
                    <w:rPr>
                      <w:rFonts w:hint="default" w:ascii="Times New Roman" w:hAnsi="Times New Roman" w:eastAsia="宋体" w:cs="Times New Roman"/>
                      <w:sz w:val="21"/>
                      <w:szCs w:val="21"/>
                    </w:rPr>
                    <w:t>批复要求</w:t>
                  </w:r>
                </w:p>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投资内容</w:t>
                  </w:r>
                </w:p>
              </w:tc>
              <w:tc>
                <w:tcPr>
                  <w:tcW w:w="1109"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环保投资（万元）</w:t>
                  </w:r>
                </w:p>
              </w:tc>
              <w:tc>
                <w:tcPr>
                  <w:tcW w:w="2145"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实际环保投资内容</w:t>
                  </w:r>
                </w:p>
              </w:tc>
              <w:tc>
                <w:tcPr>
                  <w:tcW w:w="1258"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实际环保</w:t>
                  </w:r>
                </w:p>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投</w:t>
                  </w:r>
                  <w:r>
                    <w:rPr>
                      <w:rFonts w:hint="default" w:ascii="Times New Roman" w:hAnsi="Times New Roman" w:eastAsia="宋体" w:cs="Times New Roman"/>
                      <w:sz w:val="21"/>
                      <w:szCs w:val="21"/>
                      <w:lang w:val="en-US" w:eastAsia="zh-CN"/>
                    </w:rPr>
                    <w:t>资</w:t>
                  </w:r>
                  <w:r>
                    <w:rPr>
                      <w:rFonts w:hint="eastAsia" w:ascii="Times New Roman" w:hAnsi="Times New Roman" w:cs="Times New Roman"/>
                      <w:sz w:val="21"/>
                      <w:szCs w:val="21"/>
                      <w:lang w:val="en-US" w:eastAsia="zh-CN"/>
                    </w:rPr>
                    <w:t>（万元）</w:t>
                  </w:r>
                </w:p>
              </w:tc>
              <w:tc>
                <w:tcPr>
                  <w:tcW w:w="963"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90" w:hRule="atLeast"/>
                <w:jc w:val="center"/>
              </w:trPr>
              <w:tc>
                <w:tcPr>
                  <w:tcW w:w="55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1209"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非甲烷总烃</w:t>
                  </w:r>
                </w:p>
              </w:tc>
              <w:tc>
                <w:tcPr>
                  <w:tcW w:w="2116"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安装油气回收装置及其相关配套设施</w:t>
                  </w:r>
                </w:p>
              </w:tc>
              <w:tc>
                <w:tcPr>
                  <w:tcW w:w="1109"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w:t>
                  </w:r>
                  <w:r>
                    <w:rPr>
                      <w:rFonts w:hint="default" w:ascii="Times New Roman" w:hAnsi="Times New Roman" w:eastAsia="宋体" w:cs="Times New Roman"/>
                      <w:sz w:val="21"/>
                      <w:szCs w:val="21"/>
                    </w:rPr>
                    <w:t>.0</w:t>
                  </w:r>
                </w:p>
              </w:tc>
              <w:tc>
                <w:tcPr>
                  <w:tcW w:w="2145"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安装油气回收装置及其相关配套设施</w:t>
                  </w:r>
                </w:p>
              </w:tc>
              <w:tc>
                <w:tcPr>
                  <w:tcW w:w="1258"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rPr>
                    <w:t>.0</w:t>
                  </w:r>
                </w:p>
              </w:tc>
              <w:tc>
                <w:tcPr>
                  <w:tcW w:w="963"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满足</w:t>
                  </w:r>
                </w:p>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633" w:hRule="atLeast"/>
                <w:jc w:val="center"/>
              </w:trPr>
              <w:tc>
                <w:tcPr>
                  <w:tcW w:w="55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1209"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生活污水</w:t>
                  </w:r>
                </w:p>
              </w:tc>
              <w:tc>
                <w:tcPr>
                  <w:tcW w:w="2116"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依托服务区处理设施</w:t>
                  </w:r>
                </w:p>
              </w:tc>
              <w:tc>
                <w:tcPr>
                  <w:tcW w:w="1109"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w:t>
                  </w:r>
                </w:p>
              </w:tc>
              <w:tc>
                <w:tcPr>
                  <w:tcW w:w="2145"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依托服务区处理设施</w:t>
                  </w:r>
                </w:p>
              </w:tc>
              <w:tc>
                <w:tcPr>
                  <w:tcW w:w="1258"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963"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满足</w:t>
                  </w:r>
                </w:p>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340" w:hRule="atLeast"/>
                <w:jc w:val="center"/>
              </w:trPr>
              <w:tc>
                <w:tcPr>
                  <w:tcW w:w="554" w:type="dxa"/>
                  <w:vMerge w:val="restart"/>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w:t>
                  </w:r>
                </w:p>
              </w:tc>
              <w:tc>
                <w:tcPr>
                  <w:tcW w:w="1209"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c>
                <w:tcPr>
                  <w:tcW w:w="2116"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垃圾桶</w:t>
                  </w:r>
                </w:p>
              </w:tc>
              <w:tc>
                <w:tcPr>
                  <w:tcW w:w="1109"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0.</w:t>
                  </w:r>
                  <w:r>
                    <w:rPr>
                      <w:rFonts w:hint="default" w:ascii="Times New Roman" w:hAnsi="Times New Roman" w:eastAsia="宋体" w:cs="Times New Roman"/>
                      <w:sz w:val="21"/>
                      <w:szCs w:val="21"/>
                      <w:lang w:val="en-US" w:eastAsia="zh-CN"/>
                    </w:rPr>
                    <w:t>2</w:t>
                  </w:r>
                </w:p>
              </w:tc>
              <w:tc>
                <w:tcPr>
                  <w:tcW w:w="2145"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垃圾桶</w:t>
                  </w:r>
                </w:p>
              </w:tc>
              <w:tc>
                <w:tcPr>
                  <w:tcW w:w="1258"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0.</w:t>
                  </w:r>
                  <w:r>
                    <w:rPr>
                      <w:rFonts w:hint="default" w:ascii="Times New Roman" w:hAnsi="Times New Roman" w:eastAsia="宋体" w:cs="Times New Roman"/>
                      <w:sz w:val="21"/>
                      <w:szCs w:val="21"/>
                      <w:lang w:val="en-US" w:eastAsia="zh-CN"/>
                    </w:rPr>
                    <w:t>2</w:t>
                  </w:r>
                </w:p>
              </w:tc>
              <w:tc>
                <w:tcPr>
                  <w:tcW w:w="963"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满足</w:t>
                  </w:r>
                </w:p>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340" w:hRule="atLeast"/>
                <w:jc w:val="center"/>
              </w:trPr>
              <w:tc>
                <w:tcPr>
                  <w:tcW w:w="554" w:type="dxa"/>
                  <w:vMerge w:val="continue"/>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p>
              </w:tc>
              <w:tc>
                <w:tcPr>
                  <w:tcW w:w="1209"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危废</w:t>
                  </w:r>
                </w:p>
              </w:tc>
              <w:tc>
                <w:tcPr>
                  <w:tcW w:w="2116"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设立危废暂存</w:t>
                  </w:r>
                  <w:r>
                    <w:rPr>
                      <w:rFonts w:hint="eastAsia" w:ascii="Times New Roman" w:hAnsi="Times New Roman" w:cs="Times New Roman"/>
                      <w:sz w:val="21"/>
                      <w:szCs w:val="21"/>
                      <w:lang w:eastAsia="zh-CN"/>
                    </w:rPr>
                    <w:t>箱</w:t>
                  </w:r>
                  <w:r>
                    <w:rPr>
                      <w:rFonts w:hint="default" w:ascii="Times New Roman" w:hAnsi="Times New Roman" w:eastAsia="宋体" w:cs="Times New Roman"/>
                      <w:sz w:val="21"/>
                      <w:szCs w:val="21"/>
                    </w:rPr>
                    <w:t>，并送有资质单位处理</w:t>
                  </w:r>
                </w:p>
              </w:tc>
              <w:tc>
                <w:tcPr>
                  <w:tcW w:w="1109"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.0</w:t>
                  </w:r>
                </w:p>
              </w:tc>
              <w:tc>
                <w:tcPr>
                  <w:tcW w:w="2145"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设立</w:t>
                  </w:r>
                  <w:r>
                    <w:rPr>
                      <w:rFonts w:hint="eastAsia" w:ascii="Times New Roman" w:hAnsi="Times New Roman" w:cs="Times New Roman"/>
                      <w:sz w:val="21"/>
                      <w:szCs w:val="21"/>
                      <w:lang w:eastAsia="zh-CN"/>
                    </w:rPr>
                    <w:t>防渗</w:t>
                  </w:r>
                  <w:r>
                    <w:rPr>
                      <w:rFonts w:hint="default" w:ascii="Times New Roman" w:hAnsi="Times New Roman" w:eastAsia="宋体" w:cs="Times New Roman"/>
                      <w:sz w:val="21"/>
                      <w:szCs w:val="21"/>
                    </w:rPr>
                    <w:t>危废暂存</w:t>
                  </w:r>
                  <w:r>
                    <w:rPr>
                      <w:rFonts w:hint="eastAsia" w:ascii="Times New Roman" w:hAnsi="Times New Roman" w:cs="Times New Roman"/>
                      <w:sz w:val="21"/>
                      <w:szCs w:val="21"/>
                      <w:lang w:eastAsia="zh-CN"/>
                    </w:rPr>
                    <w:t>箱</w:t>
                  </w:r>
                  <w:r>
                    <w:rPr>
                      <w:rFonts w:hint="default" w:ascii="Times New Roman" w:hAnsi="Times New Roman" w:eastAsia="宋体" w:cs="Times New Roman"/>
                      <w:sz w:val="21"/>
                      <w:szCs w:val="21"/>
                    </w:rPr>
                    <w:t>，</w:t>
                  </w:r>
                  <w:r>
                    <w:rPr>
                      <w:rFonts w:hint="eastAsia" w:ascii="Times New Roman" w:hAnsi="Times New Roman" w:cs="Times New Roman"/>
                      <w:sz w:val="21"/>
                      <w:szCs w:val="21"/>
                      <w:lang w:eastAsia="zh-CN"/>
                    </w:rPr>
                    <w:t>专用托盘，专用桶，</w:t>
                  </w:r>
                  <w:r>
                    <w:rPr>
                      <w:rFonts w:hint="default" w:ascii="Times New Roman" w:hAnsi="Times New Roman" w:eastAsia="宋体" w:cs="Times New Roman"/>
                      <w:sz w:val="21"/>
                      <w:szCs w:val="21"/>
                    </w:rPr>
                    <w:t>并送有资质单位处理</w:t>
                  </w:r>
                </w:p>
              </w:tc>
              <w:tc>
                <w:tcPr>
                  <w:tcW w:w="1258"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.0</w:t>
                  </w:r>
                </w:p>
              </w:tc>
              <w:tc>
                <w:tcPr>
                  <w:tcW w:w="963" w:type="dxa"/>
                  <w:tcBorders>
                    <w:tl2br w:val="nil"/>
                    <w:tr2bl w:val="nil"/>
                  </w:tcBorders>
                  <w:noWrap w:val="0"/>
                  <w:vAlign w:val="center"/>
                </w:tcPr>
                <w:p>
                  <w:pPr>
                    <w:pStyle w:val="19"/>
                    <w:widowControl w:val="0"/>
                    <w:tabs>
                      <w:tab w:val="left" w:pos="454"/>
                    </w:tabs>
                    <w:autoSpaceDE w:val="0"/>
                    <w:autoSpaceDN w:val="0"/>
                    <w:adjustRightInd/>
                    <w:snapToGrid/>
                    <w:spacing w:before="1" w:after="0" w:afterLines="-2147483648"/>
                    <w:ind w:left="291" w:leftChars="37" w:right="70" w:hanging="210" w:hangingChars="10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满足</w:t>
                  </w:r>
                </w:p>
                <w:p>
                  <w:pPr>
                    <w:pStyle w:val="19"/>
                    <w:widowControl w:val="0"/>
                    <w:tabs>
                      <w:tab w:val="left" w:pos="454"/>
                    </w:tabs>
                    <w:autoSpaceDE w:val="0"/>
                    <w:autoSpaceDN w:val="0"/>
                    <w:adjustRightInd/>
                    <w:snapToGrid/>
                    <w:spacing w:before="1" w:after="0" w:afterLines="-2147483648"/>
                    <w:ind w:left="291" w:leftChars="37" w:right="70" w:hanging="210" w:hangingChars="10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340" w:hRule="atLeast"/>
                <w:jc w:val="center"/>
              </w:trPr>
              <w:tc>
                <w:tcPr>
                  <w:tcW w:w="554"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209"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噪声设备</w:t>
                  </w:r>
                </w:p>
              </w:tc>
              <w:tc>
                <w:tcPr>
                  <w:tcW w:w="2116"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选用低噪声设备，置于地下，安装减振垫</w:t>
                  </w:r>
                </w:p>
              </w:tc>
              <w:tc>
                <w:tcPr>
                  <w:tcW w:w="1109"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w:t>
                  </w:r>
                </w:p>
              </w:tc>
              <w:tc>
                <w:tcPr>
                  <w:tcW w:w="2145"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选用低噪声设备，置于地下，安装减振垫</w:t>
                  </w:r>
                </w:p>
              </w:tc>
              <w:tc>
                <w:tcPr>
                  <w:tcW w:w="1258"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w:t>
                  </w:r>
                </w:p>
              </w:tc>
              <w:tc>
                <w:tcPr>
                  <w:tcW w:w="963"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满足</w:t>
                  </w:r>
                </w:p>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890" w:hRule="atLeast"/>
                <w:jc w:val="center"/>
              </w:trPr>
              <w:tc>
                <w:tcPr>
                  <w:tcW w:w="1763" w:type="dxa"/>
                  <w:gridSpan w:val="2"/>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环境风险</w:t>
                  </w:r>
                </w:p>
              </w:tc>
              <w:tc>
                <w:tcPr>
                  <w:tcW w:w="2116"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防渗处理、设检漏系统、配备应急器材、物资</w:t>
                  </w:r>
                </w:p>
              </w:tc>
              <w:tc>
                <w:tcPr>
                  <w:tcW w:w="1109"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10</w:t>
                  </w:r>
                </w:p>
              </w:tc>
              <w:tc>
                <w:tcPr>
                  <w:tcW w:w="2145"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防渗处理、设检漏系统、配备应急器材、物资</w:t>
                  </w:r>
                </w:p>
              </w:tc>
              <w:tc>
                <w:tcPr>
                  <w:tcW w:w="1258"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10.1</w:t>
                  </w:r>
                </w:p>
              </w:tc>
              <w:tc>
                <w:tcPr>
                  <w:tcW w:w="963" w:type="dxa"/>
                  <w:tcBorders>
                    <w:tl2br w:val="nil"/>
                    <w:tr2bl w:val="nil"/>
                  </w:tcBorders>
                  <w:noWrap w:val="0"/>
                  <w:vAlign w:val="center"/>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满足</w:t>
                  </w:r>
                </w:p>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jc w:val="center"/>
              </w:trPr>
              <w:tc>
                <w:tcPr>
                  <w:tcW w:w="3879" w:type="dxa"/>
                  <w:gridSpan w:val="3"/>
                  <w:tcBorders>
                    <w:tl2br w:val="nil"/>
                    <w:tr2bl w:val="nil"/>
                  </w:tcBorders>
                </w:tcPr>
                <w:p>
                  <w:pPr>
                    <w:pStyle w:val="19"/>
                    <w:widowControl w:val="0"/>
                    <w:autoSpaceDE w:val="0"/>
                    <w:autoSpaceDN w:val="0"/>
                    <w:adjustRightInd/>
                    <w:snapToGrid/>
                    <w:spacing w:before="1" w:after="0" w:afterLines="-2147483648" w:line="240" w:lineRule="auto"/>
                    <w:ind w:left="82" w:right="7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计</w:t>
                  </w:r>
                </w:p>
              </w:tc>
              <w:tc>
                <w:tcPr>
                  <w:tcW w:w="1109" w:type="dxa"/>
                  <w:tcBorders>
                    <w:tl2br w:val="nil"/>
                    <w:tr2bl w:val="nil"/>
                  </w:tcBorders>
                </w:tcPr>
                <w:p>
                  <w:pPr>
                    <w:pStyle w:val="19"/>
                    <w:widowControl w:val="0"/>
                    <w:autoSpaceDE w:val="0"/>
                    <w:autoSpaceDN w:val="0"/>
                    <w:adjustRightInd/>
                    <w:snapToGrid/>
                    <w:spacing w:before="1" w:after="0" w:afterLines="-2147483648" w:line="240" w:lineRule="auto"/>
                    <w:ind w:left="82" w:right="7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35.7</w:t>
                  </w:r>
                </w:p>
              </w:tc>
              <w:tc>
                <w:tcPr>
                  <w:tcW w:w="2145" w:type="dxa"/>
                  <w:tcBorders>
                    <w:tl2br w:val="nil"/>
                    <w:tr2bl w:val="nil"/>
                  </w:tcBorders>
                </w:tcPr>
                <w:p>
                  <w:pPr>
                    <w:pStyle w:val="19"/>
                    <w:widowControl w:val="0"/>
                    <w:autoSpaceDE w:val="0"/>
                    <w:autoSpaceDN w:val="0"/>
                    <w:adjustRightInd/>
                    <w:snapToGrid/>
                    <w:spacing w:before="1" w:after="0" w:afterLines="-2147483648"/>
                    <w:ind w:left="82" w:right="7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合计</w:t>
                  </w:r>
                </w:p>
              </w:tc>
              <w:tc>
                <w:tcPr>
                  <w:tcW w:w="1258" w:type="dxa"/>
                  <w:tcBorders>
                    <w:tl2br w:val="nil"/>
                    <w:tr2bl w:val="nil"/>
                  </w:tcBorders>
                </w:tcPr>
                <w:p>
                  <w:pPr>
                    <w:pStyle w:val="19"/>
                    <w:widowControl w:val="0"/>
                    <w:autoSpaceDE w:val="0"/>
                    <w:autoSpaceDN w:val="0"/>
                    <w:adjustRightInd/>
                    <w:snapToGrid/>
                    <w:spacing w:before="1" w:after="0" w:afterLines="-2147483648" w:line="240" w:lineRule="auto"/>
                    <w:ind w:left="82" w:right="7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36.9</w:t>
                  </w:r>
                </w:p>
              </w:tc>
              <w:tc>
                <w:tcPr>
                  <w:tcW w:w="963" w:type="dxa"/>
                  <w:tcBorders>
                    <w:tl2br w:val="nil"/>
                    <w:tr2bl w:val="nil"/>
                  </w:tcBorders>
                </w:tcPr>
                <w:p>
                  <w:pPr>
                    <w:pStyle w:val="19"/>
                    <w:widowControl w:val="0"/>
                    <w:autoSpaceDE w:val="0"/>
                    <w:autoSpaceDN w:val="0"/>
                    <w:adjustRightInd/>
                    <w:snapToGrid/>
                    <w:spacing w:before="1" w:after="0" w:afterLines="-2147483648" w:line="240" w:lineRule="auto"/>
                    <w:ind w:left="82" w:right="7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pPr>
              <w:pStyle w:val="2"/>
              <w:ind w:left="0" w:leftChars="0" w:firstLine="0" w:firstLineChars="0"/>
              <w:rPr>
                <w:rFonts w:hint="eastAsia"/>
                <w:lang w:val="en-US" w:eastAsia="zh-CN"/>
              </w:rPr>
            </w:pPr>
            <w:r>
              <w:rPr>
                <w:rFonts w:hint="eastAsia"/>
                <w:lang w:val="en-US" w:eastAsia="zh-CN"/>
              </w:rPr>
              <w:t xml:space="preserve">                                                                                       </w:t>
            </w: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default"/>
                <w:lang w:val="en-US" w:eastAsia="zh-CN"/>
              </w:rPr>
            </w:pPr>
            <w:r>
              <w:rPr>
                <w:rFonts w:hint="eastAsia"/>
                <w:lang w:val="en-US" w:eastAsia="zh-CN"/>
              </w:rPr>
              <w:t xml:space="preserve">               </w:t>
            </w:r>
          </w:p>
        </w:tc>
      </w:tr>
    </w:tbl>
    <w:p>
      <w:pPr>
        <w:spacing w:line="360" w:lineRule="auto"/>
        <w:ind w:firstLine="440" w:firstLineChars="200"/>
        <w:rPr>
          <w:rFonts w:hint="default" w:ascii="Times New Roman" w:hAnsi="Times New Roman" w:cs="Times New Roman"/>
          <w:lang w:val="en-US" w:eastAsia="zh-CN"/>
        </w:rPr>
      </w:pPr>
      <w:r>
        <w:rPr>
          <w:rFonts w:hint="default" w:ascii="Times New Roman" w:hAnsi="Times New Roman" w:cs="Times New Roman"/>
          <w:lang w:val="en-US" w:eastAsia="zh-CN"/>
        </w:rPr>
        <w:br w:type="page"/>
      </w:r>
    </w:p>
    <w:p>
      <w:pPr>
        <w:pStyle w:val="6"/>
        <w:spacing w:before="55"/>
        <w:ind w:left="0" w:leftChars="0" w:firstLine="0" w:firstLineChars="0"/>
        <w:rPr>
          <w:rFonts w:hint="default" w:ascii="Times New Roman" w:hAnsi="Times New Roman" w:eastAsia="黑体" w:cs="Times New Roman"/>
          <w:spacing w:val="-3"/>
        </w:rPr>
      </w:pPr>
      <w:r>
        <w:rPr>
          <w:rFonts w:hint="default" w:ascii="Times New Roman" w:hAnsi="Times New Roman" w:eastAsia="黑体" w:cs="Times New Roman"/>
          <w:spacing w:val="-36"/>
        </w:rPr>
        <w:t xml:space="preserve">表 </w:t>
      </w:r>
      <w:r>
        <w:rPr>
          <w:rFonts w:hint="default" w:ascii="Times New Roman" w:hAnsi="Times New Roman" w:eastAsia="Times New Roman" w:cs="Times New Roman"/>
        </w:rPr>
        <w:t>4</w:t>
      </w:r>
      <w:r>
        <w:rPr>
          <w:rFonts w:hint="default" w:ascii="Times New Roman" w:hAnsi="Times New Roman" w:eastAsia="Times New Roman" w:cs="Times New Roman"/>
          <w:spacing w:val="68"/>
        </w:rPr>
        <w:t xml:space="preserve"> </w:t>
      </w:r>
      <w:r>
        <w:rPr>
          <w:rFonts w:hint="default" w:ascii="Times New Roman" w:hAnsi="Times New Roman" w:eastAsia="黑体" w:cs="Times New Roman"/>
          <w:spacing w:val="-3"/>
        </w:rPr>
        <w:t>建设项目环境影响报告表主要结论及审批部门审批决定</w:t>
      </w:r>
    </w:p>
    <w:tbl>
      <w:tblPr>
        <w:tblStyle w:val="16"/>
        <w:tblW w:w="9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507" w:type="dxa"/>
            <w:vAlign w:val="top"/>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Autospacing="0" w:after="0" w:afterLines="50" w:afterAutospacing="0"/>
              <w:ind w:left="0" w:leftChars="0" w:firstLine="0" w:firstLineChars="0"/>
              <w:textAlignment w:val="auto"/>
              <w:rPr>
                <w:rFonts w:hint="default" w:ascii="Times New Roman" w:hAnsi="Times New Roman" w:cs="Times New Roman"/>
              </w:rPr>
            </w:pPr>
            <w:r>
              <w:rPr>
                <w:rFonts w:hint="default" w:ascii="Times New Roman" w:hAnsi="Times New Roman" w:cs="Times New Roman"/>
                <w:b w:val="0"/>
                <w:bCs w:val="0"/>
                <w:kern w:val="2"/>
              </w:rPr>
              <w:t>建设项目环境影响报告表主要结论及审批部门审批决定</w:t>
            </w:r>
            <w:r>
              <w:rPr>
                <w:rFonts w:hint="eastAsia" w:ascii="Times New Roman" w:hAnsi="Times New Roman" w:cs="Times New Roman"/>
                <w:b w:val="0"/>
                <w:bCs w:val="0"/>
                <w:kern w:val="2"/>
                <w:lang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firstLine="0" w:firstLineChars="0"/>
              <w:textAlignment w:val="auto"/>
              <w:rPr>
                <w:rFonts w:hint="default" w:ascii="Times New Roman" w:hAnsi="Times New Roman" w:cs="Times New Roman"/>
              </w:rPr>
            </w:pPr>
            <w:r>
              <w:rPr>
                <w:rFonts w:hint="default" w:ascii="Times New Roman" w:hAnsi="Times New Roman" w:cs="Times New Roman"/>
              </w:rPr>
              <w:t>一、环境影响报告表主要结论与建议</w:t>
            </w:r>
          </w:p>
          <w:p>
            <w:pPr>
              <w:spacing w:line="360" w:lineRule="auto"/>
              <w:ind w:firstLine="480" w:firstLineChars="200"/>
              <w:rPr>
                <w:rFonts w:hint="default" w:ascii="Times New Roman" w:hAnsi="Times New Roman" w:cs="Times New Roman"/>
                <w:sz w:val="24"/>
                <w:szCs w:val="24"/>
                <w:lang w:val="zh-CN" w:eastAsia="zh-CN"/>
              </w:rPr>
            </w:pPr>
            <w:r>
              <w:rPr>
                <w:rFonts w:hint="default" w:ascii="Times New Roman" w:hAnsi="Times New Roman" w:cs="Times New Roman"/>
                <w:sz w:val="24"/>
                <w:szCs w:val="24"/>
                <w:lang w:val="zh-CN" w:eastAsia="zh-CN"/>
              </w:rPr>
              <w:t>根据西安海浪环保科技有限公司编制的《陕西省石油化工工业贸易公司茂陵服务区东加油站建设项目环境影响评价报告表》，其主要结论如下：</w:t>
            </w:r>
          </w:p>
          <w:tbl>
            <w:tblPr>
              <w:tblStyle w:val="1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8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7" w:type="dxa"/>
                  <w:tcBorders>
                    <w:tl2br w:val="nil"/>
                    <w:tr2bl w:val="nil"/>
                  </w:tcBorders>
                  <w:vAlign w:val="center"/>
                </w:tcPr>
                <w:p>
                  <w:pPr>
                    <w:widowControl/>
                    <w:spacing w:before="0" w:after="0" w:line="240" w:lineRule="auto"/>
                    <w:ind w:left="0"/>
                    <w:jc w:val="center"/>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类别</w:t>
                  </w:r>
                </w:p>
              </w:tc>
              <w:tc>
                <w:tcPr>
                  <w:tcW w:w="8077" w:type="dxa"/>
                  <w:tcBorders>
                    <w:tl2br w:val="nil"/>
                    <w:tr2bl w:val="nil"/>
                  </w:tcBorders>
                  <w:vAlign w:val="center"/>
                </w:tcPr>
                <w:p>
                  <w:pPr>
                    <w:widowControl/>
                    <w:spacing w:before="0" w:after="0" w:line="240" w:lineRule="auto"/>
                    <w:ind w:left="0"/>
                    <w:jc w:val="center"/>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7" w:type="dxa"/>
                  <w:tcBorders>
                    <w:tl2br w:val="nil"/>
                    <w:tr2bl w:val="nil"/>
                  </w:tcBorders>
                  <w:vAlign w:val="center"/>
                </w:tcPr>
                <w:p>
                  <w:pPr>
                    <w:widowControl/>
                    <w:spacing w:before="0" w:after="0" w:line="240" w:lineRule="auto"/>
                    <w:ind w:left="0"/>
                    <w:jc w:val="center"/>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w:t>
                  </w:r>
                </w:p>
                <w:p>
                  <w:pPr>
                    <w:widowControl/>
                    <w:spacing w:before="0" w:after="0" w:line="240" w:lineRule="auto"/>
                    <w:ind w:left="0"/>
                    <w:jc w:val="center"/>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影响分析</w:t>
                  </w:r>
                </w:p>
              </w:tc>
              <w:tc>
                <w:tcPr>
                  <w:tcW w:w="8077" w:type="dxa"/>
                  <w:tcBorders>
                    <w:tl2br w:val="nil"/>
                    <w:tr2bl w:val="nil"/>
                  </w:tcBorders>
                  <w:vAlign w:val="center"/>
                </w:tcPr>
                <w:p>
                  <w:pPr>
                    <w:keepNext w:val="0"/>
                    <w:widowControl/>
                    <w:adjustRightInd/>
                    <w:snapToGrid/>
                    <w:spacing w:after="0"/>
                    <w:ind w:firstLine="0" w:firstLineChars="0"/>
                    <w:jc w:val="both"/>
                    <w:outlineLvl w:val="9"/>
                    <w:rPr>
                      <w:rFonts w:hint="default" w:ascii="Times New Roman" w:hAnsi="Times New Roman" w:cs="Times New Roman"/>
                      <w:sz w:val="21"/>
                      <w:szCs w:val="21"/>
                    </w:rPr>
                  </w:pPr>
                  <w:r>
                    <w:rPr>
                      <w:rFonts w:hint="default" w:ascii="Times New Roman" w:hAnsi="Times New Roman" w:cs="Times New Roman"/>
                      <w:sz w:val="21"/>
                      <w:szCs w:val="21"/>
                    </w:rPr>
                    <w:t>项目卸油和加油等过程中产生的非甲烷总烃经油气回收系统回收后，可满足《大气污染物综合排放标准》(GB16297-1996)要求，对周围环境空气质量影响较小；车辆在站内行程较短，尾气排放量较小，且扩散速度较快，对周围环境空气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7" w:type="dxa"/>
                  <w:vMerge w:val="restart"/>
                  <w:tcBorders>
                    <w:tl2br w:val="nil"/>
                    <w:tr2bl w:val="nil"/>
                  </w:tcBorders>
                  <w:vAlign w:val="center"/>
                </w:tcPr>
                <w:p>
                  <w:pPr>
                    <w:widowControl/>
                    <w:spacing w:before="0" w:after="0" w:line="240" w:lineRule="auto"/>
                    <w:ind w:left="0"/>
                    <w:jc w:val="center"/>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水环境</w:t>
                  </w:r>
                </w:p>
                <w:p>
                  <w:pPr>
                    <w:widowControl/>
                    <w:spacing w:before="0" w:after="0" w:line="240" w:lineRule="auto"/>
                    <w:ind w:left="0"/>
                    <w:jc w:val="center"/>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影响分析</w:t>
                  </w:r>
                </w:p>
              </w:tc>
              <w:tc>
                <w:tcPr>
                  <w:tcW w:w="80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地表水：项目站内废水依托服务区内一体化埋地式中水回用膜处理设备处理后，出水回用于服务区</w:t>
                  </w:r>
                  <w:r>
                    <w:rPr>
                      <w:rFonts w:hint="default" w:ascii="Times New Roman" w:hAnsi="Times New Roman" w:cs="Times New Roman"/>
                      <w:sz w:val="21"/>
                      <w:szCs w:val="21"/>
                      <w:lang w:eastAsia="zh-CN"/>
                    </w:rPr>
                    <w:t>冲厕和</w:t>
                  </w:r>
                  <w:r>
                    <w:rPr>
                      <w:rFonts w:hint="default" w:ascii="Times New Roman" w:hAnsi="Times New Roman" w:eastAsia="宋体" w:cs="Times New Roman"/>
                      <w:sz w:val="21"/>
                      <w:szCs w:val="21"/>
                    </w:rPr>
                    <w:t>场区绿化，不外排。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7" w:type="dxa"/>
                  <w:vMerge w:val="continue"/>
                  <w:tcBorders>
                    <w:tl2br w:val="nil"/>
                    <w:tr2bl w:val="nil"/>
                  </w:tcBorders>
                  <w:vAlign w:val="center"/>
                </w:tcPr>
                <w:p>
                  <w:pPr>
                    <w:widowControl/>
                    <w:jc w:val="center"/>
                    <w:outlineLvl w:val="9"/>
                    <w:rPr>
                      <w:rFonts w:hint="default" w:ascii="Times New Roman" w:hAnsi="Times New Roman" w:eastAsia="宋体" w:cs="Times New Roman"/>
                      <w:sz w:val="21"/>
                      <w:szCs w:val="21"/>
                    </w:rPr>
                  </w:pPr>
                </w:p>
              </w:tc>
              <w:tc>
                <w:tcPr>
                  <w:tcW w:w="80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地下水：本项目防止地下水污染的防渗工程主要是在储罐区等处，参照《环境影响评价技术导则—地下水环境》（HJ 610-2016）和《汽车加油加气站设计与施工规范（2014年修订）》（GB50156-2012）相应标准要求铺设防渗混凝土，各池体增加防渗层，以阻止地面的污染物进入地下水中。同时，对站内管线定期巡检，杜绝地下水污染隐患。通过采取上述防渗防腐措施，达到相应的防渗标准后，项目运营期不会对区域地下水造成明显不利影响，防治措施有效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7" w:type="dxa"/>
                  <w:tcBorders>
                    <w:tl2br w:val="nil"/>
                    <w:tr2bl w:val="nil"/>
                  </w:tcBorders>
                  <w:vAlign w:val="center"/>
                </w:tcPr>
                <w:p>
                  <w:pPr>
                    <w:widowControl/>
                    <w:spacing w:before="0" w:after="0" w:line="240" w:lineRule="auto"/>
                    <w:ind w:left="0"/>
                    <w:jc w:val="center"/>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p>
                  <w:pPr>
                    <w:widowControl/>
                    <w:spacing w:before="0" w:after="0" w:line="240" w:lineRule="auto"/>
                    <w:ind w:left="0"/>
                    <w:jc w:val="center"/>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影响分析</w:t>
                  </w:r>
                </w:p>
              </w:tc>
              <w:tc>
                <w:tcPr>
                  <w:tcW w:w="80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主要噪声源为项目区内来往的机动车行驶产生的交通噪声以及加油机油泵运行时产生的噪声。设备噪声经过减振降噪措施后厂界噪声贡献值达标；车辆噪声通过减速及绿化带隔音，加之出入距离短，且项目紧邻道路，对周围声环境质量影响程度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7" w:type="dxa"/>
                  <w:tcBorders>
                    <w:tl2br w:val="nil"/>
                    <w:tr2bl w:val="nil"/>
                  </w:tcBorders>
                  <w:vAlign w:val="center"/>
                </w:tcPr>
                <w:p>
                  <w:pPr>
                    <w:widowControl/>
                    <w:spacing w:before="0" w:after="0" w:line="240" w:lineRule="auto"/>
                    <w:ind w:left="0"/>
                    <w:jc w:val="center"/>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固体废物</w:t>
                  </w:r>
                </w:p>
                <w:p>
                  <w:pPr>
                    <w:widowControl/>
                    <w:spacing w:before="0" w:after="0" w:line="240" w:lineRule="auto"/>
                    <w:ind w:left="0"/>
                    <w:jc w:val="center"/>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影响分析</w:t>
                  </w:r>
                </w:p>
              </w:tc>
              <w:tc>
                <w:tcPr>
                  <w:tcW w:w="80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本项目生活垃圾统一收集后交由环卫部门集中处置，对环境影响较小；</w:t>
                  </w:r>
                  <w:r>
                    <w:rPr>
                      <w:rFonts w:hint="default" w:ascii="Times New Roman" w:hAnsi="Times New Roman" w:cs="Times New Roman"/>
                      <w:sz w:val="21"/>
                      <w:szCs w:val="21"/>
                      <w:lang w:eastAsia="zh-CN"/>
                    </w:rPr>
                    <w:t>油罐清理污泥直接交由油罐单位运走；</w:t>
                  </w:r>
                  <w:r>
                    <w:rPr>
                      <w:rFonts w:hint="default" w:ascii="Times New Roman" w:hAnsi="Times New Roman" w:eastAsia="宋体" w:cs="Times New Roman"/>
                      <w:sz w:val="21"/>
                      <w:szCs w:val="21"/>
                    </w:rPr>
                    <w:t>危废暂存于危废储存间，最终交由有资质单位处置，对环境影响较小。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77" w:type="dxa"/>
                  <w:tcBorders>
                    <w:tl2br w:val="nil"/>
                    <w:tr2bl w:val="nil"/>
                  </w:tcBorders>
                  <w:vAlign w:val="center"/>
                </w:tcPr>
                <w:p>
                  <w:pPr>
                    <w:widowControl/>
                    <w:spacing w:before="0" w:after="0" w:line="240" w:lineRule="auto"/>
                    <w:ind w:left="0"/>
                    <w:jc w:val="center"/>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风险评价</w:t>
                  </w:r>
                </w:p>
              </w:tc>
              <w:tc>
                <w:tcPr>
                  <w:tcW w:w="8077" w:type="dxa"/>
                  <w:tcBorders>
                    <w:tl2br w:val="nil"/>
                    <w:tr2bl w:val="nil"/>
                  </w:tcBorders>
                  <w:vAlign w:val="center"/>
                </w:tcPr>
                <w:p>
                  <w:pPr>
                    <w:widowControl/>
                    <w:spacing w:before="0" w:after="0" w:line="240" w:lineRule="auto"/>
                    <w:ind w:left="0"/>
                    <w:jc w:val="both"/>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要求项目严格按照《汽车加油加气站设计与施工规范（2014年修正）》（GB50156-2012）的要求进行设计，并按安全评价中提出的安全管理相关要求，采取必要的安全措施。采取以上措施后，项目环境风险可接受。</w:t>
                  </w:r>
                </w:p>
              </w:tc>
            </w:tr>
          </w:tbl>
          <w:p>
            <w:pPr>
              <w:keepNext w:val="0"/>
              <w:keepLines w:val="0"/>
              <w:pageBreakBefore w:val="0"/>
              <w:widowControl w:val="0"/>
              <w:numPr>
                <w:ilvl w:val="0"/>
                <w:numId w:val="0"/>
              </w:numPr>
              <w:kinsoku/>
              <w:wordWrap/>
              <w:overflowPunct/>
              <w:topLinePunct w:val="0"/>
              <w:autoSpaceDE w:val="0"/>
              <w:autoSpaceDN w:val="0"/>
              <w:bidi w:val="0"/>
              <w:adjustRightInd/>
              <w:snapToGrid w:val="0"/>
              <w:spacing w:after="0" w:line="360" w:lineRule="auto"/>
              <w:ind w:right="0" w:rightChars="0"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综上所述，项目建设符合国家产业政策及相关规划，项目在运营后将产生废水、废气、噪声及固体废物污染等，在严格采取本报告表所提出的各项环境保护措施后，项目对周围环境的影响可以控制在允许的范围以内，该建设项目在环境保护方面是可行的。</w:t>
            </w:r>
          </w:p>
          <w:p>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firstLine="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二、审批部门审批决定</w:t>
            </w:r>
          </w:p>
          <w:p>
            <w:pPr>
              <w:snapToGrid w:val="0"/>
              <w:spacing w:after="0" w:line="360" w:lineRule="auto"/>
              <w:ind w:firstLine="480" w:firstLineChars="200"/>
              <w:rPr>
                <w:rFonts w:hint="default" w:ascii="Times New Roman" w:hAnsi="Times New Roman" w:eastAsia="宋体" w:cs="Times New Roman"/>
                <w:sz w:val="24"/>
                <w:szCs w:val="24"/>
              </w:rPr>
            </w:pPr>
            <w:bookmarkStart w:id="30" w:name="bookmark2"/>
            <w:bookmarkStart w:id="31" w:name="bookmark0"/>
            <w:bookmarkStart w:id="32" w:name="bookmark1"/>
            <w:r>
              <w:rPr>
                <w:rFonts w:hint="default" w:ascii="Times New Roman" w:hAnsi="Times New Roman" w:cs="Times New Roman"/>
                <w:sz w:val="24"/>
                <w:szCs w:val="24"/>
                <w:lang w:eastAsia="zh-CN"/>
              </w:rPr>
              <w:t>咸阳市生态环境局兴平分局</w:t>
            </w:r>
            <w:bookmarkEnd w:id="30"/>
            <w:bookmarkEnd w:id="31"/>
            <w:bookmarkEnd w:id="32"/>
            <w:bookmarkStart w:id="33" w:name="bookmark4"/>
            <w:bookmarkStart w:id="34" w:name="bookmark3"/>
            <w:bookmarkStart w:id="35" w:name="bookmark5"/>
            <w:r>
              <w:rPr>
                <w:rFonts w:hint="default" w:ascii="Times New Roman" w:hAnsi="Times New Roman" w:cs="Times New Roman"/>
                <w:sz w:val="24"/>
                <w:szCs w:val="24"/>
                <w:lang w:eastAsia="zh-CN"/>
              </w:rPr>
              <w:t>关于陕西省石油化工工业贸易公司茂陵服务区东加油站</w:t>
            </w:r>
            <w:bookmarkEnd w:id="33"/>
            <w:bookmarkEnd w:id="34"/>
            <w:bookmarkEnd w:id="35"/>
            <w:r>
              <w:rPr>
                <w:rFonts w:hint="default" w:ascii="Times New Roman" w:hAnsi="Times New Roman" w:cs="Times New Roman"/>
                <w:sz w:val="24"/>
                <w:szCs w:val="24"/>
                <w:lang w:eastAsia="zh-CN"/>
              </w:rPr>
              <w:t>建设项目环境影响报告表</w:t>
            </w:r>
            <w:r>
              <w:rPr>
                <w:rFonts w:hint="default" w:ascii="Times New Roman" w:hAnsi="Times New Roman" w:eastAsia="宋体" w:cs="Times New Roman"/>
                <w:sz w:val="24"/>
                <w:szCs w:val="24"/>
              </w:rPr>
              <w:t>的批复</w:t>
            </w:r>
            <w:r>
              <w:rPr>
                <w:rFonts w:hint="default" w:ascii="Times New Roman" w:hAnsi="Times New Roman" w:cs="Times New Roman"/>
                <w:sz w:val="24"/>
                <w:szCs w:val="24"/>
                <w:lang w:eastAsia="zh-CN"/>
              </w:rPr>
              <w:t>（咸环兴批复</w:t>
            </w:r>
            <w:r>
              <w:rPr>
                <w:rFonts w:hint="eastAsia" w:ascii="宋体" w:hAnsi="宋体" w:eastAsia="宋体" w:cs="宋体"/>
                <w:sz w:val="24"/>
                <w:szCs w:val="24"/>
                <w:lang w:val="en-US" w:eastAsia="zh-CN"/>
              </w:rPr>
              <w:t>[</w:t>
            </w:r>
            <w:r>
              <w:rPr>
                <w:rFonts w:hint="default" w:ascii="Times New Roman" w:hAnsi="Times New Roman" w:cs="Times New Roman"/>
                <w:sz w:val="24"/>
                <w:szCs w:val="24"/>
                <w:lang w:eastAsia="zh-CN"/>
              </w:rPr>
              <w:t>2020</w:t>
            </w:r>
            <w:r>
              <w:rPr>
                <w:rFonts w:hint="eastAsia" w:ascii="宋体" w:hAnsi="宋体" w:eastAsia="宋体" w:cs="宋体"/>
                <w:sz w:val="24"/>
                <w:szCs w:val="24"/>
                <w:lang w:val="en-US" w:eastAsia="zh-CN"/>
              </w:rPr>
              <w:t>]</w:t>
            </w:r>
            <w:r>
              <w:rPr>
                <w:rFonts w:hint="default" w:ascii="Times New Roman" w:hAnsi="Times New Roman" w:cs="Times New Roman"/>
                <w:sz w:val="24"/>
                <w:szCs w:val="24"/>
                <w:lang w:val="en-US" w:eastAsia="zh-CN"/>
              </w:rPr>
              <w:t>56</w:t>
            </w:r>
            <w:r>
              <w:rPr>
                <w:rFonts w:hint="default" w:ascii="Times New Roman" w:hAnsi="Times New Roman" w:cs="Times New Roman"/>
                <w:sz w:val="24"/>
                <w:szCs w:val="24"/>
                <w:lang w:eastAsia="zh-CN"/>
              </w:rPr>
              <w:t>号），</w:t>
            </w:r>
            <w:r>
              <w:rPr>
                <w:rFonts w:hint="default" w:ascii="Times New Roman" w:hAnsi="Times New Roman" w:eastAsia="宋体" w:cs="Times New Roman"/>
                <w:sz w:val="24"/>
                <w:szCs w:val="24"/>
              </w:rPr>
              <w:t>批复如下：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eastAsia="zh-CN"/>
              </w:rPr>
              <w:t>一、</w:t>
            </w:r>
            <w:r>
              <w:rPr>
                <w:rFonts w:hint="default" w:ascii="Times New Roman" w:hAnsi="Times New Roman" w:cs="Times New Roman"/>
                <w:b/>
                <w:bCs/>
                <w:sz w:val="24"/>
                <w:szCs w:val="24"/>
              </w:rPr>
              <w:t>项目</w:t>
            </w:r>
            <w:r>
              <w:rPr>
                <w:rFonts w:hint="default" w:ascii="Times New Roman" w:hAnsi="Times New Roman" w:cs="Times New Roman"/>
                <w:b/>
                <w:bCs/>
                <w:sz w:val="24"/>
                <w:szCs w:val="24"/>
                <w:lang w:eastAsia="zh-CN"/>
              </w:rPr>
              <w:t>基本情况</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after="0" w:line="360" w:lineRule="auto"/>
              <w:ind w:right="0" w:rightChars="0" w:firstLine="480" w:firstLineChars="200"/>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lang w:eastAsia="zh-CN"/>
              </w:rPr>
              <w:t>项目位于兴平市西咸北环高速公路茂陵服务区东区，项目总面积4</w:t>
            </w:r>
            <w:r>
              <w:rPr>
                <w:rFonts w:hint="default" w:ascii="Times New Roman" w:hAnsi="Times New Roman" w:cs="Times New Roman"/>
                <w:sz w:val="24"/>
                <w:szCs w:val="24"/>
                <w:lang w:val="en-US" w:eastAsia="zh-CN"/>
              </w:rPr>
              <w:t>0</w:t>
            </w:r>
            <w:r>
              <w:rPr>
                <w:rFonts w:hint="default" w:ascii="Times New Roman" w:hAnsi="Times New Roman" w:cs="Times New Roman"/>
                <w:sz w:val="24"/>
                <w:szCs w:val="24"/>
                <w:lang w:eastAsia="zh-CN"/>
              </w:rPr>
              <w:t>00</w:t>
            </w:r>
            <w:r>
              <w:rPr>
                <w:rFonts w:hint="default" w:ascii="Times New Roman" w:hAnsi="Times New Roman" w:cs="Times New Roman"/>
                <w:sz w:val="24"/>
                <w:szCs w:val="24"/>
                <w:lang w:val="en-US" w:eastAsia="zh-CN"/>
              </w:rPr>
              <w:t>m</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eastAsia="zh-CN"/>
              </w:rPr>
              <w:t>，主要建设一座</w:t>
            </w:r>
            <w:r>
              <w:rPr>
                <w:rFonts w:hint="default" w:ascii="Times New Roman" w:hAnsi="Times New Roman" w:cs="Times New Roman"/>
                <w:sz w:val="24"/>
                <w:szCs w:val="24"/>
                <w:lang w:val="en-US" w:eastAsia="zh-CN"/>
              </w:rPr>
              <w:t>112.86m</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vertAlign w:val="baseline"/>
                <w:lang w:val="en-US" w:eastAsia="zh-CN"/>
              </w:rPr>
              <w:t>站房、1459.2m</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vertAlign w:val="baseline"/>
                <w:lang w:val="en-US" w:eastAsia="zh-CN"/>
              </w:rPr>
              <w:t>罩棚、3具50m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vertAlign w:val="baseline"/>
                <w:lang w:val="en-US" w:eastAsia="zh-CN"/>
              </w:rPr>
              <w:t>柴油罐、2具50m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vertAlign w:val="baseline"/>
                <w:lang w:val="en-US" w:eastAsia="zh-CN"/>
              </w:rPr>
              <w:t>汽油罐、6台税控燃油加油机、消防沙池2m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vertAlign w:val="baseline"/>
                <w:lang w:val="en-US" w:eastAsia="zh-CN"/>
              </w:rPr>
              <w:t>，配套建设油罐区、食宿等其他配套设施。项目总投资567.75万元，其中环保投资35.7万元，占总投资的6.29%。该加油站等级为一级站。</w:t>
            </w:r>
          </w:p>
          <w:p>
            <w:pPr>
              <w:keepNext w:val="0"/>
              <w:keepLines w:val="0"/>
              <w:pageBreakBefore w:val="0"/>
              <w:kinsoku/>
              <w:wordWrap/>
              <w:overflowPunct/>
              <w:topLinePunct w:val="0"/>
              <w:bidi w:val="0"/>
              <w:snapToGrid w:val="0"/>
              <w:spacing w:after="0"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依据技术审查专家组意见和《报告表》结论，项目在全面落实《报告表》中提出的各项污染防治措施后，环境不利影响可得到有效控制。我局原则同意按照《报告表》中所列建设项目的地点、性质、规模及环境保护措施进行建设。</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eastAsia="zh-CN"/>
              </w:rPr>
              <w:t>二、项目在建设和运营过程中必须做好以下工作</w:t>
            </w:r>
          </w:p>
          <w:p>
            <w:pPr>
              <w:keepNext w:val="0"/>
              <w:keepLines w:val="0"/>
              <w:pageBreakBefore w:val="0"/>
              <w:kinsoku/>
              <w:wordWrap/>
              <w:overflowPunct/>
              <w:topLinePunct w:val="0"/>
              <w:bidi w:val="0"/>
              <w:snapToGrid w:val="0"/>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1.严格按照《汽车加油加气站设计与施工规范》（GB 50156—2012）要求建设。在项目建设、运营期间必须认真落实《报告表》及批复提出的各项环境保护措施，严格执行环境保护</w:t>
            </w:r>
            <w:r>
              <w:rPr>
                <w:rFonts w:hint="eastAsia" w:ascii="宋体" w:hAnsi="宋体" w:eastAsia="宋体" w:cs="宋体"/>
                <w:sz w:val="24"/>
                <w:szCs w:val="24"/>
                <w:lang w:val="en-US" w:eastAsia="zh-CN"/>
              </w:rPr>
              <w:t>“三同时”</w:t>
            </w:r>
            <w:r>
              <w:rPr>
                <w:rFonts w:hint="default" w:ascii="Times New Roman" w:hAnsi="Times New Roman" w:cs="Times New Roman"/>
                <w:sz w:val="24"/>
                <w:szCs w:val="24"/>
                <w:lang w:val="en-US" w:eastAsia="zh-CN"/>
              </w:rPr>
              <w:t>制度，确保各项污染物稳定达标排放。</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2.重点加强运营期大气污染防治。该项目必须安装三次油气回收装置，落实双层罐建设，并加强维护管理和巡检，确保非甲烷总烃排放浓度均满足《加油站大气污染物排放标准》</w:t>
            </w:r>
            <w:r>
              <w:rPr>
                <w:rFonts w:hint="default" w:ascii="Times New Roman" w:hAnsi="Times New Roman" w:cs="Times New Roman"/>
                <w:sz w:val="24"/>
                <w:szCs w:val="24"/>
                <w:lang w:val="en-US" w:eastAsia="zh-CN"/>
              </w:rPr>
              <w:t>（GB 20952—2007）</w:t>
            </w:r>
            <w:r>
              <w:rPr>
                <w:rFonts w:hint="default" w:ascii="Times New Roman" w:hAnsi="Times New Roman" w:eastAsia="宋体" w:cs="Times New Roman"/>
                <w:sz w:val="24"/>
                <w:szCs w:val="24"/>
                <w:lang w:val="en-US" w:eastAsia="zh-CN" w:bidi="zh-CN"/>
              </w:rPr>
              <w:t>中有关规定要求。</w:t>
            </w:r>
          </w:p>
          <w:p>
            <w:pPr>
              <w:keepNext w:val="0"/>
              <w:keepLines w:val="0"/>
              <w:pageBreakBefore w:val="0"/>
              <w:kinsoku/>
              <w:wordWrap/>
              <w:overflowPunct/>
              <w:topLinePunct w:val="0"/>
              <w:bidi w:val="0"/>
              <w:snapToGrid w:val="0"/>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3.严格落实废水污染防治措施。按照</w:t>
            </w:r>
            <w:r>
              <w:rPr>
                <w:rFonts w:hint="eastAsia" w:ascii="宋体" w:hAnsi="宋体" w:eastAsia="宋体" w:cs="宋体"/>
                <w:sz w:val="24"/>
                <w:szCs w:val="24"/>
                <w:lang w:val="en-US" w:eastAsia="zh-CN"/>
              </w:rPr>
              <w:t>“清污分流、雨污分流”</w:t>
            </w:r>
            <w:r>
              <w:rPr>
                <w:rFonts w:hint="default" w:ascii="Times New Roman" w:hAnsi="Times New Roman" w:cs="Times New Roman"/>
                <w:sz w:val="24"/>
                <w:szCs w:val="24"/>
                <w:lang w:val="en-US" w:eastAsia="zh-CN"/>
              </w:rPr>
              <w:t>原则设置厂区排水系统。生活污水依托茂陵东服务区污水处理系统处理后回用，不外排。</w:t>
            </w:r>
          </w:p>
          <w:p>
            <w:pPr>
              <w:keepNext w:val="0"/>
              <w:keepLines w:val="0"/>
              <w:pageBreakBefore w:val="0"/>
              <w:kinsoku/>
              <w:wordWrap/>
              <w:overflowPunct/>
              <w:topLinePunct w:val="0"/>
              <w:bidi w:val="0"/>
              <w:snapToGrid w:val="0"/>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4.加强噪声污染防治工作。优化厂区平面布局，选用低噪声环保设备，对高噪声源，采取隔声、减振等降噪措施，确保噪声达到《工业企业厂界环境噪声排放标准》（GB 12348—2008）2类标准，临界城市主干道执行4类标准要求。</w:t>
            </w:r>
          </w:p>
          <w:p>
            <w:pPr>
              <w:keepNext w:val="0"/>
              <w:keepLines w:val="0"/>
              <w:pageBreakBefore w:val="0"/>
              <w:kinsoku/>
              <w:wordWrap/>
              <w:overflowPunct/>
              <w:topLinePunct w:val="0"/>
              <w:bidi w:val="0"/>
              <w:snapToGrid w:val="0"/>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5.加强运行期固废的环境管理。各类工业固体废物综合利用，生活垃圾统一收集送环卫部门进行集中处理。规范危险废物收集储存、防渗等措施，危险废物必须交有资质单位处置并落实转移联单制度。固废暂存满足《一般工业固体废物贮存、处置场污染控制标准》（GB18599—2001）和《危险废物贮存污染控制标准》（GB18597—2001）中有关要求。</w:t>
            </w:r>
          </w:p>
          <w:p>
            <w:pPr>
              <w:keepNext w:val="0"/>
              <w:keepLines w:val="0"/>
              <w:pageBreakBefore w:val="0"/>
              <w:kinsoku/>
              <w:wordWrap/>
              <w:overflowPunct/>
              <w:topLinePunct w:val="0"/>
              <w:bidi w:val="0"/>
              <w:snapToGrid w:val="0"/>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6.项目建成投产前，按相关规定办理排污许可证，落实监测计划，定期开展自行监测。建立健全各项环保规章制度，设立专人负责环保工作，规范建立各类运行台账，杜绝污染事故发生。</w:t>
            </w:r>
          </w:p>
          <w:p>
            <w:pPr>
              <w:keepNext w:val="0"/>
              <w:keepLines w:val="0"/>
              <w:pageBreakBefore w:val="0"/>
              <w:kinsoku/>
              <w:wordWrap/>
              <w:overflowPunct/>
              <w:topLinePunct w:val="0"/>
              <w:bidi w:val="0"/>
              <w:snapToGrid w:val="0"/>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7.落实项目环境风险防范落实，编制环境风险应急预案并定期开展演练，项目安全风险以安评结论为主。</w:t>
            </w:r>
          </w:p>
          <w:p>
            <w:pPr>
              <w:keepNext w:val="0"/>
              <w:keepLines w:val="0"/>
              <w:pageBreakBefore w:val="0"/>
              <w:kinsoku/>
              <w:wordWrap/>
              <w:overflowPunct/>
              <w:topLinePunct w:val="0"/>
              <w:bidi w:val="0"/>
              <w:snapToGrid w:val="0"/>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8.环境影响报告表内容及结论真实、可靠性，由环境影响评价单位和建设单位负责。</w:t>
            </w:r>
          </w:p>
          <w:p>
            <w:pPr>
              <w:pStyle w:val="4"/>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eastAsia="zh-CN"/>
              </w:rPr>
              <w:t>三、本批复自下达之日起</w:t>
            </w:r>
            <w:r>
              <w:rPr>
                <w:rFonts w:hint="default" w:ascii="Times New Roman" w:hAnsi="Times New Roman" w:cs="Times New Roman"/>
                <w:b w:val="0"/>
                <w:bCs/>
                <w:sz w:val="24"/>
                <w:szCs w:val="24"/>
                <w:lang w:val="en-US" w:eastAsia="zh-CN"/>
              </w:rPr>
              <w:t>5年内，项目的性质、规模、地点、采用的污染防治、防止生态破坏的措施发生重大变动的，应当重新报批项目的环境影响评价文件。项目建设和运营过程中如遇国家政策和环保政策调整，必须按照新的政策和标准执行。</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四、项目竣工后，按照《建设项目竣工环境保护验收暂行办法》进行企业自行验收，并依法向社会公开环境保护设施验收信息，经验收合格方可投入生产或者使用。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五、项目在建设和运营期的环境监管由兴平市环境监察大队负责，并自觉接受各级环保部门的监督检察。同时，按照“党政同责，一岗双责”的要求，相关镇办、行业主管部门负有环境保护监督管理职责。</w:t>
            </w:r>
          </w:p>
          <w:p>
            <w:pPr>
              <w:pStyle w:val="7"/>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pStyle w:val="7"/>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p>
          <w:p>
            <w:pPr>
              <w:pStyle w:val="7"/>
              <w:rPr>
                <w:rFonts w:hint="default" w:ascii="Times New Roman" w:hAnsi="Times New Roman" w:cs="Times New Roman"/>
                <w:sz w:val="24"/>
                <w:szCs w:val="24"/>
                <w:lang w:val="en-US" w:eastAsia="zh-CN"/>
              </w:rPr>
            </w:pPr>
          </w:p>
          <w:p>
            <w:pPr>
              <w:rPr>
                <w:rFonts w:hint="default" w:ascii="Times New Roman" w:hAnsi="Times New Roman" w:cs="Times New Roman"/>
                <w:lang w:val="en-US" w:eastAsia="zh-CN"/>
              </w:rPr>
            </w:pPr>
          </w:p>
          <w:p>
            <w:pPr>
              <w:pStyle w:val="7"/>
              <w:ind w:left="0"/>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pStyle w:val="2"/>
              <w:ind w:left="0" w:leftChars="0" w:firstLine="0" w:firstLineChars="0"/>
              <w:rPr>
                <w:rFonts w:hint="default"/>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tc>
      </w:tr>
    </w:tbl>
    <w:p>
      <w:pPr>
        <w:rPr>
          <w:rFonts w:hint="default" w:ascii="Times New Roman" w:hAnsi="Times New Roman" w:eastAsia="黑体" w:cs="Times New Roman"/>
          <w:color w:val="FF0000"/>
          <w:sz w:val="28"/>
          <w:szCs w:val="28"/>
          <w:highlight w:val="yellow"/>
        </w:rPr>
      </w:pPr>
      <w:r>
        <w:rPr>
          <w:rFonts w:hint="default" w:ascii="Times New Roman" w:hAnsi="Times New Roman" w:cs="Times New Roman"/>
          <w:lang w:val="en-US" w:eastAsia="zh-CN"/>
        </w:rPr>
        <w:br w:type="page"/>
      </w:r>
      <w:r>
        <w:rPr>
          <w:rFonts w:hint="default" w:ascii="Times New Roman" w:hAnsi="Times New Roman" w:eastAsia="黑体" w:cs="Times New Roman"/>
          <w:color w:val="auto"/>
          <w:sz w:val="28"/>
          <w:szCs w:val="28"/>
          <w:highlight w:val="none"/>
        </w:rPr>
        <w:t>表 5 验收监测质量保证及质量控制</w:t>
      </w:r>
    </w:p>
    <w:tbl>
      <w:tblPr>
        <w:tblStyle w:val="16"/>
        <w:tblW w:w="9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507" w:type="dxa"/>
            <w:vAlign w:val="top"/>
          </w:tcPr>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textAlignment w:val="auto"/>
              <w:rPr>
                <w:rFonts w:hint="default" w:ascii="Times New Roman" w:hAnsi="Times New Roman" w:cs="Times New Roman"/>
              </w:rPr>
            </w:pPr>
            <w:bookmarkStart w:id="36" w:name="_Toc19008_WPSOffice_Level2"/>
            <w:bookmarkStart w:id="37" w:name="_Toc25736"/>
            <w:r>
              <w:rPr>
                <w:rFonts w:hint="default" w:ascii="Times New Roman" w:hAnsi="Times New Roman" w:cs="Times New Roman"/>
                <w:lang w:eastAsia="zh-CN"/>
              </w:rPr>
              <w:t>一、</w:t>
            </w:r>
            <w:r>
              <w:rPr>
                <w:rFonts w:hint="default" w:ascii="Times New Roman" w:hAnsi="Times New Roman" w:cs="Times New Roman"/>
              </w:rPr>
              <w:t>监测分析方法</w:t>
            </w:r>
            <w:bookmarkEnd w:id="36"/>
            <w:bookmarkEnd w:id="37"/>
          </w:p>
          <w:p>
            <w:pPr>
              <w:keepLines w:val="0"/>
              <w:pageBreakBefore w:val="0"/>
              <w:numPr>
                <w:ilvl w:val="0"/>
                <w:numId w:val="0"/>
              </w:numPr>
              <w:kinsoku/>
              <w:overflowPunct/>
              <w:topLinePunct w:val="0"/>
              <w:bidi w:val="0"/>
              <w:spacing w:line="360" w:lineRule="auto"/>
              <w:ind w:firstLine="480" w:firstLineChars="200"/>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各监测项目具体分析方法见表</w:t>
            </w:r>
            <w:r>
              <w:rPr>
                <w:rFonts w:hint="default" w:ascii="Times New Roman" w:hAnsi="Times New Roman" w:cs="Times New Roman" w:eastAsiaTheme="minorEastAsia"/>
                <w:color w:val="auto"/>
                <w:sz w:val="24"/>
                <w:szCs w:val="24"/>
                <w:lang w:val="en-US" w:eastAsia="zh-CN"/>
              </w:rPr>
              <w:t>5-1</w:t>
            </w:r>
            <w:r>
              <w:rPr>
                <w:rFonts w:hint="default" w:ascii="Times New Roman" w:hAnsi="Times New Roman" w:cs="Times New Roman" w:eastAsiaTheme="minorEastAsia"/>
                <w:color w:val="auto"/>
                <w:sz w:val="24"/>
                <w:szCs w:val="24"/>
              </w:rPr>
              <w:t>。</w:t>
            </w:r>
          </w:p>
          <w:p>
            <w:pPr>
              <w:pStyle w:val="4"/>
              <w:keepLines w:val="0"/>
              <w:pageBreakBefore w:val="0"/>
              <w:kinsoku/>
              <w:overflowPunct/>
              <w:topLinePunct w:val="0"/>
              <w:bidi w:val="0"/>
              <w:outlineLvl w:val="9"/>
              <w:rPr>
                <w:rFonts w:hint="default" w:ascii="Times New Roman" w:hAnsi="Times New Roman" w:cs="Times New Roman" w:eastAsiaTheme="minorEastAsia"/>
                <w:color w:val="auto"/>
                <w:sz w:val="21"/>
                <w:szCs w:val="21"/>
              </w:rPr>
            </w:pPr>
            <w:bookmarkStart w:id="38" w:name="_Toc11275"/>
            <w:bookmarkStart w:id="39" w:name="_Toc8832_WPSOffice_Level2"/>
            <w:bookmarkStart w:id="40" w:name="_Toc26083"/>
            <w:bookmarkStart w:id="41" w:name="_Toc13527"/>
            <w:r>
              <w:rPr>
                <w:rFonts w:hint="default" w:ascii="Times New Roman" w:hAnsi="Times New Roman" w:cs="Times New Roman" w:eastAsiaTheme="minorEastAsia"/>
                <w:color w:val="auto"/>
                <w:sz w:val="21"/>
                <w:szCs w:val="21"/>
              </w:rPr>
              <w:t>表</w:t>
            </w:r>
            <w:r>
              <w:rPr>
                <w:rFonts w:hint="default" w:ascii="Times New Roman" w:hAnsi="Times New Roman" w:cs="Times New Roman" w:eastAsiaTheme="minorEastAsia"/>
                <w:color w:val="auto"/>
                <w:sz w:val="21"/>
                <w:szCs w:val="21"/>
                <w:lang w:val="en-US" w:eastAsia="zh-CN"/>
              </w:rPr>
              <w:t xml:space="preserve">5-1  </w:t>
            </w:r>
            <w:r>
              <w:rPr>
                <w:rFonts w:hint="default" w:ascii="Times New Roman" w:hAnsi="Times New Roman" w:cs="Times New Roman" w:eastAsiaTheme="minorEastAsia"/>
                <w:color w:val="auto"/>
                <w:sz w:val="21"/>
                <w:szCs w:val="21"/>
              </w:rPr>
              <w:t>各监测项目具体分析方法表</w:t>
            </w:r>
            <w:bookmarkEnd w:id="38"/>
            <w:bookmarkEnd w:id="39"/>
            <w:bookmarkEnd w:id="40"/>
            <w:bookmarkEnd w:id="41"/>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912"/>
              <w:gridCol w:w="2432"/>
              <w:gridCol w:w="1750"/>
              <w:gridCol w:w="1390"/>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3" w:type="dxa"/>
                  <w:gridSpan w:val="2"/>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检测项目</w:t>
                  </w:r>
                </w:p>
              </w:tc>
              <w:tc>
                <w:tcPr>
                  <w:tcW w:w="243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检测依据</w:t>
                  </w:r>
                </w:p>
              </w:tc>
              <w:tc>
                <w:tcPr>
                  <w:tcW w:w="175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方法来源</w:t>
                  </w:r>
                </w:p>
              </w:tc>
              <w:tc>
                <w:tcPr>
                  <w:tcW w:w="139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检出限</w:t>
                  </w:r>
                </w:p>
              </w:tc>
              <w:tc>
                <w:tcPr>
                  <w:tcW w:w="1219"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1"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废气</w:t>
                  </w:r>
                </w:p>
              </w:tc>
              <w:tc>
                <w:tcPr>
                  <w:tcW w:w="191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非甲烷总烃</w:t>
                  </w:r>
                </w:p>
              </w:tc>
              <w:tc>
                <w:tcPr>
                  <w:tcW w:w="243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环境空气 总烃、甲烷和非甲烷总烃的测定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气相色谱法</w:t>
                  </w:r>
                </w:p>
              </w:tc>
              <w:tc>
                <w:tcPr>
                  <w:tcW w:w="175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HJ 604-2017</w:t>
                  </w:r>
                </w:p>
              </w:tc>
              <w:tc>
                <w:tcPr>
                  <w:tcW w:w="139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0.07mg/m</w:t>
                  </w:r>
                  <w:r>
                    <w:rPr>
                      <w:rFonts w:hint="default" w:ascii="Times New Roman" w:hAnsi="Times New Roman" w:cs="Times New Roman" w:eastAsiaTheme="minorEastAsia"/>
                      <w:b w:val="0"/>
                      <w:bCs/>
                      <w:color w:val="auto"/>
                      <w:sz w:val="21"/>
                      <w:szCs w:val="21"/>
                      <w:vertAlign w:val="superscript"/>
                      <w:lang w:val="en-US" w:eastAsia="zh-CN"/>
                    </w:rPr>
                    <w:t>3</w:t>
                  </w:r>
                </w:p>
              </w:tc>
              <w:tc>
                <w:tcPr>
                  <w:tcW w:w="1219"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3</w:t>
                  </w:r>
                  <w:r>
                    <w:rPr>
                      <w:rFonts w:hint="default" w:ascii="Times New Roman" w:hAnsi="Times New Roman" w:cs="Times New Roman" w:eastAsiaTheme="minorEastAsia"/>
                      <w:b w:val="0"/>
                      <w:bCs/>
                      <w:color w:val="auto"/>
                      <w:sz w:val="21"/>
                      <w:szCs w:val="21"/>
                      <w:vertAlign w:val="baseline"/>
                      <w:lang w:val="en-US" w:eastAsia="zh-CN"/>
                    </w:rPr>
                    <w:t>次/天，监测2天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1" w:type="dxa"/>
                  <w:vMerge w:val="restar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废水</w:t>
                  </w:r>
                </w:p>
              </w:tc>
              <w:tc>
                <w:tcPr>
                  <w:tcW w:w="191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pH值（无量纲）</w:t>
                  </w:r>
                </w:p>
              </w:tc>
              <w:tc>
                <w:tcPr>
                  <w:tcW w:w="2432" w:type="dxa"/>
                  <w:tcBorders>
                    <w:tl2br w:val="nil"/>
                    <w:tr2bl w:val="nil"/>
                  </w:tcBorders>
                  <w:noWrap w:val="0"/>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spacing w:val="0"/>
                      <w:kern w:val="0"/>
                      <w:sz w:val="21"/>
                      <w:szCs w:val="21"/>
                    </w:rPr>
                  </w:pPr>
                  <w:r>
                    <w:rPr>
                      <w:rFonts w:hint="default" w:ascii="Times New Roman" w:hAnsi="Times New Roman" w:cs="Times New Roman"/>
                      <w:b w:val="0"/>
                      <w:bCs/>
                      <w:snapToGrid w:val="0"/>
                      <w:spacing w:val="0"/>
                      <w:kern w:val="0"/>
                      <w:sz w:val="21"/>
                      <w:szCs w:val="21"/>
                    </w:rPr>
                    <w:t>水质 pH值的测定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玻璃电极法</w:t>
                  </w:r>
                </w:p>
              </w:tc>
              <w:tc>
                <w:tcPr>
                  <w:tcW w:w="175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GB/T 6920-1986</w:t>
                  </w:r>
                </w:p>
              </w:tc>
              <w:tc>
                <w:tcPr>
                  <w:tcW w:w="139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b w:val="0"/>
                      <w:bCs w:val="0"/>
                      <w:snapToGrid w:val="0"/>
                      <w:spacing w:val="0"/>
                      <w:kern w:val="0"/>
                      <w:sz w:val="21"/>
                      <w:szCs w:val="21"/>
                      <w:lang w:val="en-US" w:eastAsia="zh-CN"/>
                    </w:rPr>
                    <w:t>/</w:t>
                  </w:r>
                </w:p>
              </w:tc>
              <w:tc>
                <w:tcPr>
                  <w:tcW w:w="1219" w:type="dxa"/>
                  <w:vMerge w:val="restart"/>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4次/天，监测2天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1"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91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化学需氧量</w:t>
                  </w:r>
                </w:p>
              </w:tc>
              <w:tc>
                <w:tcPr>
                  <w:tcW w:w="243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水质 化学需氧量的测定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重铬酸盐法</w:t>
                  </w:r>
                </w:p>
              </w:tc>
              <w:tc>
                <w:tcPr>
                  <w:tcW w:w="175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HJ828-2017</w:t>
                  </w:r>
                </w:p>
              </w:tc>
              <w:tc>
                <w:tcPr>
                  <w:tcW w:w="139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4mg/L</w:t>
                  </w:r>
                </w:p>
              </w:tc>
              <w:tc>
                <w:tcPr>
                  <w:tcW w:w="1219"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1"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91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氨氮</w:t>
                  </w:r>
                </w:p>
              </w:tc>
              <w:tc>
                <w:tcPr>
                  <w:tcW w:w="243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rPr>
                  </w:pPr>
                  <w:r>
                    <w:rPr>
                      <w:rFonts w:hint="default" w:ascii="Times New Roman" w:hAnsi="Times New Roman" w:cs="Times New Roman"/>
                      <w:b w:val="0"/>
                      <w:bCs/>
                      <w:snapToGrid w:val="0"/>
                      <w:color w:val="auto"/>
                      <w:kern w:val="0"/>
                      <w:sz w:val="21"/>
                      <w:szCs w:val="21"/>
                    </w:rPr>
                    <w:t>水质 氨氮的测定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纳氏试剂分光光度法</w:t>
                  </w:r>
                </w:p>
              </w:tc>
              <w:tc>
                <w:tcPr>
                  <w:tcW w:w="175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HJ535-2009</w:t>
                  </w:r>
                </w:p>
              </w:tc>
              <w:tc>
                <w:tcPr>
                  <w:tcW w:w="139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0.025mg/L</w:t>
                  </w:r>
                </w:p>
              </w:tc>
              <w:tc>
                <w:tcPr>
                  <w:tcW w:w="1219"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1"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91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五日生化需氧量</w:t>
                  </w:r>
                </w:p>
              </w:tc>
              <w:tc>
                <w:tcPr>
                  <w:tcW w:w="243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b w:val="0"/>
                      <w:bCs/>
                      <w:kern w:val="0"/>
                      <w:sz w:val="21"/>
                      <w:szCs w:val="21"/>
                      <w:shd w:val="clear" w:color="auto" w:fill="FFFFFF"/>
                    </w:rPr>
                    <w:t>水质 五日生化需氧量（BOD</w:t>
                  </w:r>
                  <w:r>
                    <w:rPr>
                      <w:rFonts w:hint="default" w:ascii="Times New Roman" w:hAnsi="Times New Roman" w:cs="Times New Roman"/>
                      <w:b w:val="0"/>
                      <w:bCs/>
                      <w:kern w:val="0"/>
                      <w:sz w:val="21"/>
                      <w:szCs w:val="21"/>
                      <w:shd w:val="clear" w:color="auto" w:fill="FFFFFF"/>
                      <w:vertAlign w:val="subscript"/>
                    </w:rPr>
                    <w:t>5</w:t>
                  </w:r>
                  <w:r>
                    <w:rPr>
                      <w:rFonts w:hint="default" w:ascii="Times New Roman" w:hAnsi="Times New Roman" w:cs="Times New Roman"/>
                      <w:b w:val="0"/>
                      <w:bCs/>
                      <w:kern w:val="0"/>
                      <w:sz w:val="21"/>
                      <w:szCs w:val="21"/>
                      <w:shd w:val="clear" w:color="auto" w:fill="FFFFFF"/>
                    </w:rPr>
                    <w:t>）的测定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稀释与接种法</w:t>
                  </w:r>
                </w:p>
              </w:tc>
              <w:tc>
                <w:tcPr>
                  <w:tcW w:w="175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HJ505-2009</w:t>
                  </w:r>
                </w:p>
              </w:tc>
              <w:tc>
                <w:tcPr>
                  <w:tcW w:w="139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0.5mg/L</w:t>
                  </w:r>
                </w:p>
              </w:tc>
              <w:tc>
                <w:tcPr>
                  <w:tcW w:w="1219"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1"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91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悬浮物</w:t>
                  </w:r>
                </w:p>
              </w:tc>
              <w:tc>
                <w:tcPr>
                  <w:tcW w:w="243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b w:val="0"/>
                      <w:bCs/>
                      <w:snapToGrid w:val="0"/>
                      <w:color w:val="auto"/>
                      <w:kern w:val="0"/>
                      <w:sz w:val="21"/>
                      <w:szCs w:val="21"/>
                    </w:rPr>
                    <w:t>水质 悬浮物的测定</w:t>
                  </w:r>
                  <w:r>
                    <w:rPr>
                      <w:rFonts w:hint="default" w:ascii="Times New Roman" w:hAnsi="Times New Roman" w:cs="Times New Roman"/>
                      <w:b w:val="0"/>
                      <w:bCs/>
                      <w:snapToGrid w:val="0"/>
                      <w:color w:val="auto"/>
                      <w:kern w:val="0"/>
                      <w:sz w:val="21"/>
                      <w:szCs w:val="21"/>
                      <w:lang w:val="en-US" w:eastAsia="zh-CN"/>
                    </w:rPr>
                    <w:t xml:space="preserve">   </w:t>
                  </w:r>
                  <w:r>
                    <w:rPr>
                      <w:rFonts w:hint="default" w:ascii="Times New Roman" w:hAnsi="Times New Roman" w:cs="Times New Roman" w:eastAsiaTheme="minorEastAsia"/>
                      <w:b w:val="0"/>
                      <w:bCs/>
                      <w:color w:val="auto"/>
                      <w:sz w:val="21"/>
                      <w:szCs w:val="21"/>
                      <w:vertAlign w:val="baseline"/>
                      <w:lang w:val="en-US" w:eastAsia="zh-CN"/>
                    </w:rPr>
                    <w:t>重量法</w:t>
                  </w:r>
                </w:p>
              </w:tc>
              <w:tc>
                <w:tcPr>
                  <w:tcW w:w="175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GB/T11901-1989</w:t>
                  </w:r>
                </w:p>
              </w:tc>
              <w:tc>
                <w:tcPr>
                  <w:tcW w:w="139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4mg/L</w:t>
                  </w:r>
                </w:p>
              </w:tc>
              <w:tc>
                <w:tcPr>
                  <w:tcW w:w="1219"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651"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91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石油类</w:t>
                  </w:r>
                </w:p>
              </w:tc>
              <w:tc>
                <w:tcPr>
                  <w:tcW w:w="2432" w:type="dxa"/>
                  <w:tcBorders>
                    <w:tl2br w:val="nil"/>
                    <w:tr2bl w:val="nil"/>
                  </w:tcBorders>
                  <w:noWrap w:val="0"/>
                  <w:vAlign w:val="center"/>
                </w:tcPr>
                <w:p>
                  <w:pPr>
                    <w:pStyle w:val="9"/>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b w:val="0"/>
                      <w:bCs/>
                      <w:snapToGrid w:val="0"/>
                      <w:color w:val="auto"/>
                      <w:kern w:val="0"/>
                      <w:sz w:val="21"/>
                      <w:szCs w:val="21"/>
                    </w:rPr>
                  </w:pPr>
                  <w:r>
                    <w:rPr>
                      <w:rFonts w:hint="default" w:ascii="Times New Roman" w:hAnsi="Times New Roman" w:cs="Times New Roman"/>
                      <w:b w:val="0"/>
                      <w:bCs/>
                      <w:snapToGrid w:val="0"/>
                      <w:color w:val="auto"/>
                      <w:kern w:val="0"/>
                      <w:sz w:val="21"/>
                      <w:szCs w:val="21"/>
                    </w:rPr>
                    <w:t>水质 石油类和动植物油类的测定</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b w:val="0"/>
                      <w:bCs/>
                      <w:snapToGrid w:val="0"/>
                      <w:color w:val="auto"/>
                      <w:kern w:val="0"/>
                      <w:sz w:val="21"/>
                      <w:szCs w:val="21"/>
                    </w:rPr>
                    <w:t>红外分光光度法</w:t>
                  </w:r>
                </w:p>
              </w:tc>
              <w:tc>
                <w:tcPr>
                  <w:tcW w:w="175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HJ 637-2018</w:t>
                  </w:r>
                </w:p>
              </w:tc>
              <w:tc>
                <w:tcPr>
                  <w:tcW w:w="139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b w:val="0"/>
                      <w:bCs w:val="0"/>
                      <w:sz w:val="21"/>
                      <w:szCs w:val="21"/>
                      <w:lang w:val="en-US" w:eastAsia="zh-CN"/>
                    </w:rPr>
                    <w:t>0.06</w:t>
                  </w:r>
                  <w:r>
                    <w:rPr>
                      <w:rFonts w:hint="default" w:ascii="Times New Roman" w:hAnsi="Times New Roman" w:cs="Times New Roman"/>
                      <w:b w:val="0"/>
                      <w:bCs w:val="0"/>
                      <w:snapToGrid w:val="0"/>
                      <w:spacing w:val="0"/>
                      <w:kern w:val="0"/>
                      <w:sz w:val="21"/>
                      <w:szCs w:val="21"/>
                      <w:lang w:val="en-US" w:eastAsia="zh-CN"/>
                    </w:rPr>
                    <w:t>mg/L</w:t>
                  </w:r>
                </w:p>
              </w:tc>
              <w:tc>
                <w:tcPr>
                  <w:tcW w:w="1219" w:type="dxa"/>
                  <w:vMerge w:val="continue"/>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1"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噪声</w:t>
                  </w:r>
                </w:p>
              </w:tc>
              <w:tc>
                <w:tcPr>
                  <w:tcW w:w="191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等效连续A声级</w:t>
                  </w:r>
                </w:p>
              </w:tc>
              <w:tc>
                <w:tcPr>
                  <w:tcW w:w="2432"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rPr>
                  </w:pPr>
                  <w:r>
                    <w:rPr>
                      <w:rFonts w:hint="default" w:ascii="Times New Roman" w:hAnsi="Times New Roman" w:cs="Times New Roman"/>
                      <w:b w:val="0"/>
                      <w:bCs/>
                      <w:snapToGrid w:val="0"/>
                      <w:color w:val="auto"/>
                      <w:kern w:val="0"/>
                      <w:sz w:val="21"/>
                      <w:szCs w:val="21"/>
                    </w:rPr>
                    <w:t>《工业企业厂界环境噪声排放标准》</w:t>
                  </w:r>
                </w:p>
              </w:tc>
              <w:tc>
                <w:tcPr>
                  <w:tcW w:w="175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GB12348-2008</w:t>
                  </w:r>
                </w:p>
              </w:tc>
              <w:tc>
                <w:tcPr>
                  <w:tcW w:w="139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w:t>
                  </w:r>
                </w:p>
              </w:tc>
              <w:tc>
                <w:tcPr>
                  <w:tcW w:w="1219"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昼、夜各1次，监测2天</w:t>
                  </w:r>
                </w:p>
              </w:tc>
            </w:tr>
          </w:tbl>
          <w:p>
            <w:pPr>
              <w:pStyle w:val="7"/>
              <w:bidi w:val="0"/>
              <w:spacing w:before="0" w:line="360" w:lineRule="auto"/>
              <w:ind w:left="0"/>
              <w:rPr>
                <w:rFonts w:hint="default" w:ascii="Times New Roman" w:hAnsi="Times New Roman" w:cs="Times New Roman"/>
              </w:rPr>
            </w:pPr>
            <w:bookmarkStart w:id="42" w:name="_Toc27879_WPSOffice_Level2"/>
            <w:bookmarkStart w:id="43" w:name="_Toc6919"/>
            <w:r>
              <w:rPr>
                <w:rFonts w:hint="default" w:ascii="Times New Roman" w:hAnsi="Times New Roman" w:cs="Times New Roman"/>
                <w:lang w:eastAsia="zh-CN"/>
              </w:rPr>
              <w:t>二、</w:t>
            </w:r>
            <w:r>
              <w:rPr>
                <w:rFonts w:hint="default" w:ascii="Times New Roman" w:hAnsi="Times New Roman" w:cs="Times New Roman"/>
              </w:rPr>
              <w:t>监测仪器</w:t>
            </w:r>
            <w:bookmarkEnd w:id="42"/>
            <w:bookmarkEnd w:id="43"/>
          </w:p>
          <w:p>
            <w:pPr>
              <w:pStyle w:val="4"/>
              <w:keepLines w:val="0"/>
              <w:pageBreakBefore w:val="0"/>
              <w:kinsoku/>
              <w:overflowPunct/>
              <w:topLinePunct w:val="0"/>
              <w:bidi w:val="0"/>
              <w:spacing w:line="360" w:lineRule="auto"/>
              <w:ind w:firstLine="480" w:firstLineChars="200"/>
              <w:jc w:val="both"/>
              <w:outlineLvl w:val="9"/>
              <w:rPr>
                <w:rFonts w:hint="default" w:ascii="Times New Roman" w:hAnsi="Times New Roman" w:cs="Times New Roman" w:eastAsiaTheme="minorEastAsia"/>
                <w:b w:val="0"/>
                <w:bCs/>
                <w:color w:val="auto"/>
                <w:sz w:val="24"/>
                <w:szCs w:val="24"/>
              </w:rPr>
            </w:pPr>
            <w:r>
              <w:rPr>
                <w:rFonts w:hint="default" w:ascii="Times New Roman" w:hAnsi="Times New Roman" w:cs="Times New Roman" w:eastAsiaTheme="minorEastAsia"/>
                <w:b w:val="0"/>
                <w:bCs/>
                <w:color w:val="auto"/>
                <w:sz w:val="24"/>
                <w:szCs w:val="24"/>
              </w:rPr>
              <w:t>各监测</w:t>
            </w:r>
            <w:r>
              <w:rPr>
                <w:rFonts w:hint="default" w:ascii="Times New Roman" w:hAnsi="Times New Roman" w:cs="Times New Roman" w:eastAsiaTheme="minorEastAsia"/>
                <w:b w:val="0"/>
                <w:bCs/>
                <w:color w:val="auto"/>
                <w:sz w:val="24"/>
                <w:szCs w:val="24"/>
                <w:lang w:val="en-US" w:eastAsia="zh-CN"/>
              </w:rPr>
              <w:t>仪器名称及编号</w:t>
            </w:r>
            <w:r>
              <w:rPr>
                <w:rFonts w:hint="default" w:ascii="Times New Roman" w:hAnsi="Times New Roman" w:cs="Times New Roman" w:eastAsiaTheme="minorEastAsia"/>
                <w:b w:val="0"/>
                <w:bCs/>
                <w:color w:val="auto"/>
                <w:sz w:val="24"/>
                <w:szCs w:val="24"/>
              </w:rPr>
              <w:t>见表</w:t>
            </w:r>
            <w:r>
              <w:rPr>
                <w:rFonts w:hint="default" w:ascii="Times New Roman" w:hAnsi="Times New Roman" w:cs="Times New Roman" w:eastAsiaTheme="minorEastAsia"/>
                <w:b w:val="0"/>
                <w:bCs/>
                <w:color w:val="auto"/>
                <w:sz w:val="24"/>
                <w:szCs w:val="24"/>
                <w:lang w:val="en-US" w:eastAsia="zh-CN"/>
              </w:rPr>
              <w:t>5-2</w:t>
            </w:r>
            <w:r>
              <w:rPr>
                <w:rFonts w:hint="default" w:ascii="Times New Roman" w:hAnsi="Times New Roman" w:cs="Times New Roman" w:eastAsiaTheme="minorEastAsia"/>
                <w:b w:val="0"/>
                <w:bCs/>
                <w:color w:val="auto"/>
                <w:sz w:val="24"/>
                <w:szCs w:val="24"/>
              </w:rPr>
              <w:t>。</w:t>
            </w:r>
          </w:p>
          <w:p>
            <w:pPr>
              <w:pStyle w:val="4"/>
              <w:keepLines w:val="0"/>
              <w:pageBreakBefore w:val="0"/>
              <w:kinsoku/>
              <w:overflowPunct/>
              <w:topLinePunct w:val="0"/>
              <w:bidi w:val="0"/>
              <w:outlineLvl w:val="9"/>
              <w:rPr>
                <w:rFonts w:hint="default" w:ascii="Times New Roman" w:hAnsi="Times New Roman" w:cs="Times New Roman" w:eastAsiaTheme="minorEastAsia"/>
                <w:color w:val="auto"/>
                <w:sz w:val="21"/>
                <w:szCs w:val="21"/>
              </w:rPr>
            </w:pPr>
            <w:bookmarkStart w:id="44" w:name="_Toc6639_WPSOffice_Level2"/>
            <w:r>
              <w:rPr>
                <w:rFonts w:hint="default" w:ascii="Times New Roman" w:hAnsi="Times New Roman" w:cs="Times New Roman" w:eastAsiaTheme="minorEastAsia"/>
                <w:color w:val="auto"/>
                <w:sz w:val="21"/>
                <w:szCs w:val="21"/>
              </w:rPr>
              <w:t>表</w:t>
            </w:r>
            <w:r>
              <w:rPr>
                <w:rFonts w:hint="default" w:ascii="Times New Roman" w:hAnsi="Times New Roman" w:cs="Times New Roman" w:eastAsiaTheme="minorEastAsia"/>
                <w:color w:val="auto"/>
                <w:sz w:val="21"/>
                <w:szCs w:val="21"/>
                <w:lang w:val="en-US" w:eastAsia="zh-CN"/>
              </w:rPr>
              <w:t>5-2  项目</w:t>
            </w:r>
            <w:r>
              <w:rPr>
                <w:rFonts w:hint="default" w:ascii="Times New Roman" w:hAnsi="Times New Roman" w:cs="Times New Roman" w:eastAsiaTheme="minorEastAsia"/>
                <w:color w:val="auto"/>
                <w:sz w:val="21"/>
                <w:szCs w:val="21"/>
                <w:lang w:eastAsia="zh-CN"/>
              </w:rPr>
              <w:t>检测</w:t>
            </w:r>
            <w:r>
              <w:rPr>
                <w:rFonts w:hint="default" w:ascii="Times New Roman" w:hAnsi="Times New Roman" w:cs="Times New Roman" w:eastAsiaTheme="minorEastAsia"/>
                <w:color w:val="auto"/>
                <w:sz w:val="21"/>
                <w:szCs w:val="21"/>
                <w:lang w:val="en-US" w:eastAsia="zh-CN"/>
              </w:rPr>
              <w:t>仪器名称及编号</w:t>
            </w:r>
            <w:r>
              <w:rPr>
                <w:rFonts w:hint="default" w:ascii="Times New Roman" w:hAnsi="Times New Roman" w:cs="Times New Roman" w:eastAsiaTheme="minorEastAsia"/>
                <w:color w:val="auto"/>
                <w:sz w:val="21"/>
                <w:szCs w:val="21"/>
              </w:rPr>
              <w:t>表</w:t>
            </w:r>
            <w:bookmarkEnd w:id="44"/>
          </w:p>
          <w:tbl>
            <w:tblPr>
              <w:tblStyle w:val="15"/>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22"/>
              <w:gridCol w:w="2537"/>
              <w:gridCol w:w="5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22" w:type="dxa"/>
                  <w:tcBorders>
                    <w:tl2br w:val="nil"/>
                    <w:tr2bl w:val="nil"/>
                  </w:tcBorders>
                  <w:vAlign w:val="center"/>
                </w:tcPr>
                <w:p>
                  <w:pPr>
                    <w:pStyle w:val="4"/>
                    <w:keepNext w:val="0"/>
                    <w:keepLines w:val="0"/>
                    <w:pageBreakBefore w:val="0"/>
                    <w:widowControl w:val="0"/>
                    <w:kinsoku/>
                    <w:wordWrap/>
                    <w:overflowPunct/>
                    <w:topLinePunct w:val="0"/>
                    <w:bidi w:val="0"/>
                    <w:adjustRightInd/>
                    <w:snapToGrid/>
                    <w:spacing w:before="0" w:after="0" w:line="360" w:lineRule="auto"/>
                    <w:ind w:left="0" w:right="0"/>
                    <w:jc w:val="center"/>
                    <w:textAlignment w:val="auto"/>
                    <w:outlineLvl w:val="9"/>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检测类别</w:t>
                  </w:r>
                </w:p>
              </w:tc>
              <w:tc>
                <w:tcPr>
                  <w:tcW w:w="2537" w:type="dxa"/>
                  <w:tcBorders>
                    <w:tl2br w:val="nil"/>
                    <w:tr2bl w:val="nil"/>
                  </w:tcBorders>
                  <w:vAlign w:val="center"/>
                </w:tcPr>
                <w:p>
                  <w:pPr>
                    <w:pStyle w:val="4"/>
                    <w:keepNext w:val="0"/>
                    <w:keepLines w:val="0"/>
                    <w:pageBreakBefore w:val="0"/>
                    <w:widowControl w:val="0"/>
                    <w:kinsoku/>
                    <w:wordWrap/>
                    <w:overflowPunct/>
                    <w:topLinePunct w:val="0"/>
                    <w:bidi w:val="0"/>
                    <w:adjustRightInd/>
                    <w:snapToGrid/>
                    <w:spacing w:before="0" w:after="0" w:line="360" w:lineRule="auto"/>
                    <w:ind w:left="0" w:right="0"/>
                    <w:jc w:val="center"/>
                    <w:textAlignment w:val="auto"/>
                    <w:outlineLvl w:val="9"/>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检测因子</w:t>
                  </w:r>
                </w:p>
              </w:tc>
              <w:tc>
                <w:tcPr>
                  <w:tcW w:w="5500" w:type="dxa"/>
                  <w:tcBorders>
                    <w:tl2br w:val="nil"/>
                    <w:tr2bl w:val="nil"/>
                  </w:tcBorders>
                  <w:vAlign w:val="center"/>
                </w:tcPr>
                <w:p>
                  <w:pPr>
                    <w:pStyle w:val="4"/>
                    <w:keepNext w:val="0"/>
                    <w:keepLines w:val="0"/>
                    <w:pageBreakBefore w:val="0"/>
                    <w:widowControl w:val="0"/>
                    <w:kinsoku/>
                    <w:wordWrap/>
                    <w:overflowPunct/>
                    <w:topLinePunct w:val="0"/>
                    <w:bidi w:val="0"/>
                    <w:adjustRightInd/>
                    <w:snapToGrid/>
                    <w:spacing w:before="0" w:after="0" w:line="360" w:lineRule="auto"/>
                    <w:ind w:left="0" w:right="0"/>
                    <w:jc w:val="center"/>
                    <w:textAlignment w:val="auto"/>
                    <w:outlineLvl w:val="9"/>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rPr>
                    <w:t>检测仪器</w:t>
                  </w:r>
                  <w:r>
                    <w:rPr>
                      <w:rFonts w:hint="default" w:ascii="Times New Roman" w:hAnsi="Times New Roman" w:cs="Times New Roman" w:eastAsiaTheme="minorEastAsia"/>
                      <w:b w:val="0"/>
                      <w:bCs/>
                      <w:color w:val="auto"/>
                      <w:sz w:val="21"/>
                      <w:szCs w:val="21"/>
                      <w:lang w:eastAsia="zh-CN"/>
                    </w:rPr>
                    <w:t>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22" w:type="dxa"/>
                  <w:tcBorders>
                    <w:tl2br w:val="nil"/>
                    <w:tr2bl w:val="nil"/>
                  </w:tcBorders>
                  <w:vAlign w:val="center"/>
                </w:tcPr>
                <w:p>
                  <w:pPr>
                    <w:pStyle w:val="4"/>
                    <w:keepNext w:val="0"/>
                    <w:keepLines w:val="0"/>
                    <w:pageBreakBefore w:val="0"/>
                    <w:widowControl w:val="0"/>
                    <w:kinsoku/>
                    <w:wordWrap/>
                    <w:overflowPunct/>
                    <w:topLinePunct w:val="0"/>
                    <w:bidi w:val="0"/>
                    <w:adjustRightInd/>
                    <w:snapToGrid/>
                    <w:spacing w:before="0" w:after="0" w:line="360" w:lineRule="auto"/>
                    <w:ind w:left="0" w:right="0"/>
                    <w:jc w:val="center"/>
                    <w:textAlignment w:val="auto"/>
                    <w:outlineLvl w:val="9"/>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废气</w:t>
                  </w:r>
                </w:p>
              </w:tc>
              <w:tc>
                <w:tcPr>
                  <w:tcW w:w="2537" w:type="dxa"/>
                  <w:tcBorders>
                    <w:tl2br w:val="nil"/>
                    <w:tr2bl w:val="nil"/>
                  </w:tcBorders>
                  <w:vAlign w:val="center"/>
                </w:tcPr>
                <w:p>
                  <w:pPr>
                    <w:pStyle w:val="4"/>
                    <w:keepNext w:val="0"/>
                    <w:keepLines w:val="0"/>
                    <w:pageBreakBefore w:val="0"/>
                    <w:widowControl w:val="0"/>
                    <w:kinsoku/>
                    <w:wordWrap/>
                    <w:overflowPunct/>
                    <w:topLinePunct w:val="0"/>
                    <w:bidi w:val="0"/>
                    <w:adjustRightInd/>
                    <w:snapToGrid/>
                    <w:spacing w:before="0" w:after="0" w:line="360" w:lineRule="auto"/>
                    <w:ind w:left="0" w:right="0"/>
                    <w:jc w:val="center"/>
                    <w:textAlignment w:val="auto"/>
                    <w:outlineLvl w:val="9"/>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lang w:val="en-US" w:eastAsia="zh-CN"/>
                    </w:rPr>
                    <w:t>非甲烷总烃</w:t>
                  </w:r>
                </w:p>
              </w:tc>
              <w:tc>
                <w:tcPr>
                  <w:tcW w:w="550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气相色谱仪/A91PLUS型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22" w:type="dxa"/>
                  <w:vMerge w:val="restart"/>
                  <w:tcBorders>
                    <w:tl2br w:val="nil"/>
                    <w:tr2bl w:val="nil"/>
                  </w:tcBorders>
                  <w:vAlign w:val="center"/>
                </w:tcPr>
                <w:p>
                  <w:pPr>
                    <w:pStyle w:val="4"/>
                    <w:keepNext w:val="0"/>
                    <w:keepLines w:val="0"/>
                    <w:pageBreakBefore w:val="0"/>
                    <w:widowControl w:val="0"/>
                    <w:kinsoku/>
                    <w:wordWrap/>
                    <w:overflowPunct/>
                    <w:topLinePunct w:val="0"/>
                    <w:bidi w:val="0"/>
                    <w:adjustRightInd/>
                    <w:snapToGrid/>
                    <w:spacing w:before="0" w:after="0" w:line="360" w:lineRule="auto"/>
                    <w:ind w:left="0"/>
                    <w:jc w:val="center"/>
                    <w:textAlignment w:val="auto"/>
                    <w:outlineLvl w:val="9"/>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废水</w:t>
                  </w:r>
                </w:p>
              </w:tc>
              <w:tc>
                <w:tcPr>
                  <w:tcW w:w="2537"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pH值（无量纲）</w:t>
                  </w:r>
                </w:p>
              </w:tc>
              <w:tc>
                <w:tcPr>
                  <w:tcW w:w="550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PHS-3C型酸度计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22" w:type="dxa"/>
                  <w:vMerge w:val="continue"/>
                  <w:tcBorders>
                    <w:tl2br w:val="nil"/>
                    <w:tr2bl w:val="nil"/>
                  </w:tcBorders>
                  <w:vAlign w:val="center"/>
                </w:tcPr>
                <w:p>
                  <w:pPr>
                    <w:pStyle w:val="4"/>
                    <w:keepNext w:val="0"/>
                    <w:keepLines w:val="0"/>
                    <w:pageBreakBefore w:val="0"/>
                    <w:widowControl w:val="0"/>
                    <w:kinsoku/>
                    <w:wordWrap/>
                    <w:overflowPunct/>
                    <w:topLinePunct w:val="0"/>
                    <w:bidi w:val="0"/>
                    <w:adjustRightInd/>
                    <w:snapToGrid/>
                    <w:spacing w:before="0" w:after="0" w:line="360" w:lineRule="auto"/>
                    <w:ind w:left="0"/>
                    <w:jc w:val="center"/>
                    <w:textAlignment w:val="auto"/>
                    <w:outlineLvl w:val="9"/>
                    <w:rPr>
                      <w:rFonts w:hint="default" w:ascii="Times New Roman" w:hAnsi="Times New Roman" w:cs="Times New Roman" w:eastAsiaTheme="minorEastAsia"/>
                      <w:b w:val="0"/>
                      <w:bCs/>
                      <w:color w:val="auto"/>
                      <w:sz w:val="21"/>
                      <w:szCs w:val="21"/>
                    </w:rPr>
                  </w:pPr>
                </w:p>
              </w:tc>
              <w:tc>
                <w:tcPr>
                  <w:tcW w:w="2537"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化学需氧量</w:t>
                  </w:r>
                </w:p>
              </w:tc>
              <w:tc>
                <w:tcPr>
                  <w:tcW w:w="550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50ml酸式滴定管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22" w:type="dxa"/>
                  <w:vMerge w:val="continue"/>
                  <w:tcBorders>
                    <w:tl2br w:val="nil"/>
                    <w:tr2bl w:val="nil"/>
                  </w:tcBorders>
                  <w:vAlign w:val="center"/>
                </w:tcPr>
                <w:p>
                  <w:pPr>
                    <w:pStyle w:val="4"/>
                    <w:keepNext w:val="0"/>
                    <w:keepLines w:val="0"/>
                    <w:pageBreakBefore w:val="0"/>
                    <w:widowControl w:val="0"/>
                    <w:kinsoku/>
                    <w:wordWrap/>
                    <w:overflowPunct/>
                    <w:topLinePunct w:val="0"/>
                    <w:bidi w:val="0"/>
                    <w:adjustRightInd/>
                    <w:snapToGrid/>
                    <w:spacing w:after="0" w:line="360" w:lineRule="auto"/>
                    <w:jc w:val="center"/>
                    <w:textAlignment w:val="auto"/>
                    <w:outlineLvl w:val="9"/>
                    <w:rPr>
                      <w:rFonts w:hint="default" w:ascii="Times New Roman" w:hAnsi="Times New Roman" w:cs="Times New Roman" w:eastAsiaTheme="minorEastAsia"/>
                      <w:b w:val="0"/>
                      <w:bCs/>
                      <w:color w:val="auto"/>
                      <w:sz w:val="21"/>
                      <w:szCs w:val="21"/>
                      <w:lang w:val="zh-CN" w:bidi="zh-CN"/>
                    </w:rPr>
                  </w:pPr>
                </w:p>
              </w:tc>
              <w:tc>
                <w:tcPr>
                  <w:tcW w:w="2537"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氨氮</w:t>
                  </w:r>
                </w:p>
              </w:tc>
              <w:tc>
                <w:tcPr>
                  <w:tcW w:w="550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UV-1780型紫外分光光度计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22" w:type="dxa"/>
                  <w:vMerge w:val="continue"/>
                  <w:tcBorders>
                    <w:tl2br w:val="nil"/>
                    <w:tr2bl w:val="nil"/>
                  </w:tcBorders>
                  <w:vAlign w:val="center"/>
                </w:tcPr>
                <w:p>
                  <w:pPr>
                    <w:pStyle w:val="4"/>
                    <w:keepNext w:val="0"/>
                    <w:keepLines w:val="0"/>
                    <w:pageBreakBefore w:val="0"/>
                    <w:widowControl w:val="0"/>
                    <w:kinsoku/>
                    <w:wordWrap/>
                    <w:overflowPunct/>
                    <w:topLinePunct w:val="0"/>
                    <w:bidi w:val="0"/>
                    <w:adjustRightInd/>
                    <w:snapToGrid/>
                    <w:spacing w:after="0" w:line="360" w:lineRule="auto"/>
                    <w:jc w:val="center"/>
                    <w:textAlignment w:val="auto"/>
                    <w:outlineLvl w:val="9"/>
                    <w:rPr>
                      <w:rFonts w:hint="default" w:ascii="Times New Roman" w:hAnsi="Times New Roman" w:cs="Times New Roman" w:eastAsiaTheme="minorEastAsia"/>
                      <w:b w:val="0"/>
                      <w:bCs/>
                      <w:color w:val="auto"/>
                      <w:sz w:val="21"/>
                      <w:szCs w:val="21"/>
                      <w:lang w:val="zh-CN" w:bidi="zh-CN"/>
                    </w:rPr>
                  </w:pPr>
                </w:p>
              </w:tc>
              <w:tc>
                <w:tcPr>
                  <w:tcW w:w="2537"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五日生化需氧量</w:t>
                  </w:r>
                </w:p>
              </w:tc>
              <w:tc>
                <w:tcPr>
                  <w:tcW w:w="550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LRH-150F型生化培养箱；JPSJ-605F型溶解氧仪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322" w:type="dxa"/>
                  <w:vMerge w:val="continue"/>
                  <w:tcBorders>
                    <w:tl2br w:val="nil"/>
                    <w:tr2bl w:val="nil"/>
                  </w:tcBorders>
                  <w:vAlign w:val="center"/>
                </w:tcPr>
                <w:p>
                  <w:pPr>
                    <w:pStyle w:val="4"/>
                    <w:keepNext w:val="0"/>
                    <w:keepLines w:val="0"/>
                    <w:pageBreakBefore w:val="0"/>
                    <w:widowControl w:val="0"/>
                    <w:kinsoku/>
                    <w:wordWrap/>
                    <w:overflowPunct/>
                    <w:topLinePunct w:val="0"/>
                    <w:bidi w:val="0"/>
                    <w:adjustRightInd/>
                    <w:snapToGrid/>
                    <w:spacing w:after="0" w:line="360" w:lineRule="auto"/>
                    <w:jc w:val="center"/>
                    <w:textAlignment w:val="auto"/>
                    <w:outlineLvl w:val="9"/>
                    <w:rPr>
                      <w:rFonts w:hint="default" w:ascii="Times New Roman" w:hAnsi="Times New Roman" w:cs="Times New Roman" w:eastAsiaTheme="minorEastAsia"/>
                      <w:b w:val="0"/>
                      <w:bCs/>
                      <w:color w:val="auto"/>
                      <w:sz w:val="21"/>
                      <w:szCs w:val="21"/>
                      <w:lang w:val="zh-CN" w:bidi="zh-CN"/>
                    </w:rPr>
                  </w:pPr>
                </w:p>
              </w:tc>
              <w:tc>
                <w:tcPr>
                  <w:tcW w:w="2537"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悬浮物</w:t>
                  </w:r>
                </w:p>
              </w:tc>
              <w:tc>
                <w:tcPr>
                  <w:tcW w:w="550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ATY224型万分之一天平</w:t>
                  </w:r>
                </w:p>
                <w:p>
                  <w:pPr>
                    <w:pStyle w:val="4"/>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DHG-9070A型干燥箱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6" w:hRule="atLeast"/>
                <w:jc w:val="center"/>
              </w:trPr>
              <w:tc>
                <w:tcPr>
                  <w:tcW w:w="1322" w:type="dxa"/>
                  <w:vMerge w:val="continue"/>
                  <w:tcBorders>
                    <w:tl2br w:val="nil"/>
                    <w:tr2bl w:val="nil"/>
                  </w:tcBorders>
                  <w:vAlign w:val="center"/>
                </w:tcPr>
                <w:p>
                  <w:pPr>
                    <w:pStyle w:val="4"/>
                    <w:keepNext w:val="0"/>
                    <w:keepLines w:val="0"/>
                    <w:pageBreakBefore w:val="0"/>
                    <w:widowControl w:val="0"/>
                    <w:kinsoku/>
                    <w:wordWrap/>
                    <w:overflowPunct/>
                    <w:topLinePunct w:val="0"/>
                    <w:bidi w:val="0"/>
                    <w:adjustRightInd/>
                    <w:snapToGrid/>
                    <w:spacing w:after="0" w:line="360" w:lineRule="auto"/>
                    <w:jc w:val="center"/>
                    <w:textAlignment w:val="auto"/>
                    <w:outlineLvl w:val="9"/>
                    <w:rPr>
                      <w:rFonts w:hint="default" w:ascii="Times New Roman" w:hAnsi="Times New Roman" w:cs="Times New Roman" w:eastAsiaTheme="minorEastAsia"/>
                      <w:b w:val="0"/>
                      <w:bCs/>
                      <w:color w:val="auto"/>
                      <w:sz w:val="21"/>
                      <w:szCs w:val="21"/>
                      <w:lang w:val="zh-CN" w:bidi="zh-CN"/>
                    </w:rPr>
                  </w:pPr>
                </w:p>
              </w:tc>
              <w:tc>
                <w:tcPr>
                  <w:tcW w:w="2537"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vertAlign w:val="baseline"/>
                      <w:lang w:val="en-US" w:eastAsia="zh-CN"/>
                    </w:rPr>
                    <w:t>石油类</w:t>
                  </w:r>
                </w:p>
              </w:tc>
              <w:tc>
                <w:tcPr>
                  <w:tcW w:w="550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OIL460型</w:t>
                  </w:r>
                </w:p>
                <w:p>
                  <w:pPr>
                    <w:pStyle w:val="4"/>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红外分光测油仪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22" w:type="dxa"/>
                  <w:tcBorders>
                    <w:tl2br w:val="nil"/>
                    <w:tr2bl w:val="nil"/>
                  </w:tcBorders>
                  <w:vAlign w:val="center"/>
                </w:tcPr>
                <w:p>
                  <w:pPr>
                    <w:pStyle w:val="4"/>
                    <w:keepNext w:val="0"/>
                    <w:keepLines w:val="0"/>
                    <w:pageBreakBefore w:val="0"/>
                    <w:widowControl w:val="0"/>
                    <w:kinsoku/>
                    <w:wordWrap/>
                    <w:overflowPunct/>
                    <w:topLinePunct w:val="0"/>
                    <w:bidi w:val="0"/>
                    <w:adjustRightInd/>
                    <w:snapToGrid/>
                    <w:spacing w:after="0" w:line="360" w:lineRule="auto"/>
                    <w:ind w:firstLine="0" w:firstLineChars="0"/>
                    <w:jc w:val="center"/>
                    <w:textAlignment w:val="auto"/>
                    <w:outlineLvl w:val="9"/>
                    <w:rPr>
                      <w:rFonts w:hint="default" w:ascii="Times New Roman" w:hAnsi="Times New Roman" w:cs="Times New Roman" w:eastAsiaTheme="minorEastAsia"/>
                      <w:b w:val="0"/>
                      <w:bCs/>
                      <w:color w:val="auto"/>
                      <w:sz w:val="21"/>
                      <w:szCs w:val="21"/>
                      <w:lang w:val="zh-CN" w:eastAsia="zh-CN" w:bidi="zh-CN"/>
                    </w:rPr>
                  </w:pPr>
                  <w:r>
                    <w:rPr>
                      <w:rFonts w:hint="default" w:ascii="Times New Roman" w:hAnsi="Times New Roman" w:cs="Times New Roman" w:eastAsiaTheme="minorEastAsia"/>
                      <w:b w:val="0"/>
                      <w:bCs/>
                      <w:color w:val="auto"/>
                      <w:sz w:val="21"/>
                      <w:szCs w:val="21"/>
                      <w:lang w:val="zh-CN" w:eastAsia="zh-CN" w:bidi="zh-CN"/>
                    </w:rPr>
                    <w:t>噪声</w:t>
                  </w:r>
                </w:p>
              </w:tc>
              <w:tc>
                <w:tcPr>
                  <w:tcW w:w="2537" w:type="dxa"/>
                  <w:tcBorders>
                    <w:tl2br w:val="nil"/>
                    <w:tr2bl w:val="nil"/>
                  </w:tcBorders>
                  <w:vAlign w:val="center"/>
                </w:tcPr>
                <w:p>
                  <w:pPr>
                    <w:pStyle w:val="4"/>
                    <w:keepNext w:val="0"/>
                    <w:keepLines w:val="0"/>
                    <w:pageBreakBefore w:val="0"/>
                    <w:widowControl w:val="0"/>
                    <w:kinsoku/>
                    <w:wordWrap/>
                    <w:overflowPunct/>
                    <w:topLinePunct w:val="0"/>
                    <w:bidi w:val="0"/>
                    <w:adjustRightInd/>
                    <w:snapToGrid/>
                    <w:spacing w:before="0" w:line="360" w:lineRule="auto"/>
                    <w:ind w:left="0" w:right="0"/>
                    <w:jc w:val="center"/>
                    <w:textAlignment w:val="auto"/>
                    <w:rPr>
                      <w:rFonts w:hint="default" w:ascii="Times New Roman" w:hAnsi="Times New Roman" w:cs="Times New Roman" w:eastAsiaTheme="minorEastAsia"/>
                      <w:b w:val="0"/>
                      <w:bCs/>
                      <w:color w:val="auto"/>
                      <w:sz w:val="21"/>
                      <w:szCs w:val="21"/>
                      <w:vertAlign w:val="baseline"/>
                      <w:lang w:val="en-US" w:eastAsia="zh-CN" w:bidi="ar-SA"/>
                    </w:rPr>
                  </w:pPr>
                  <w:r>
                    <w:rPr>
                      <w:rFonts w:hint="default" w:ascii="Times New Roman" w:hAnsi="Times New Roman" w:cs="Times New Roman" w:eastAsiaTheme="minorEastAsia"/>
                      <w:b w:val="0"/>
                      <w:bCs/>
                      <w:color w:val="auto"/>
                      <w:sz w:val="21"/>
                      <w:szCs w:val="21"/>
                      <w:lang w:val="en-US" w:bidi="ar-SA"/>
                    </w:rPr>
                    <w:t>等效声级</w:t>
                  </w:r>
                </w:p>
              </w:tc>
              <w:tc>
                <w:tcPr>
                  <w:tcW w:w="5500" w:type="dxa"/>
                  <w:tcBorders>
                    <w:tl2br w:val="nil"/>
                    <w:tr2bl w:val="nil"/>
                  </w:tcBorders>
                  <w:vAlign w:val="center"/>
                </w:tcPr>
                <w:p>
                  <w:pPr>
                    <w:pStyle w:val="11"/>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eastAsia="宋体" w:cs="Times New Roman"/>
                      <w:szCs w:val="21"/>
                      <w:lang w:val="en-US" w:eastAsia="zh-CN"/>
                    </w:rPr>
                    <w:t>AWA6228</w:t>
                  </w:r>
                  <w:r>
                    <w:rPr>
                      <w:rFonts w:hint="default" w:ascii="Times New Roman" w:hAnsi="Times New Roman" w:cs="Times New Roman"/>
                      <w:szCs w:val="21"/>
                      <w:lang w:val="en-US" w:eastAsia="zh-CN"/>
                    </w:rPr>
                    <w:t>+型</w:t>
                  </w:r>
                  <w:r>
                    <w:rPr>
                      <w:rFonts w:hint="default" w:ascii="Times New Roman" w:hAnsi="Times New Roman" w:eastAsia="宋体" w:cs="Times New Roman"/>
                      <w:sz w:val="21"/>
                      <w:szCs w:val="21"/>
                      <w:vertAlign w:val="baseline"/>
                      <w:lang w:val="en-US" w:eastAsia="zh-CN"/>
                    </w:rPr>
                    <w:t>多功能声级计</w:t>
                  </w:r>
                </w:p>
              </w:tc>
            </w:tr>
          </w:tbl>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三、人员资质简述</w:t>
            </w:r>
          </w:p>
          <w:p>
            <w:pPr>
              <w:pStyle w:val="5"/>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80" w:firstLineChars="200"/>
              <w:textAlignment w:val="auto"/>
              <w:rPr>
                <w:rFonts w:hint="default" w:ascii="Times New Roman" w:hAnsi="Times New Roman" w:cs="Times New Roman"/>
                <w:color w:val="auto"/>
              </w:rPr>
            </w:pPr>
            <w:r>
              <w:rPr>
                <w:rFonts w:hint="default" w:ascii="Times New Roman" w:hAnsi="Times New Roman" w:cs="Times New Roman" w:eastAsiaTheme="minorEastAsia"/>
                <w:sz w:val="24"/>
                <w:szCs w:val="24"/>
              </w:rPr>
              <w:t>参加本次验收监测人员均经过培训，监测人员经考核并持有</w:t>
            </w:r>
            <w:r>
              <w:rPr>
                <w:rFonts w:hint="default" w:ascii="Times New Roman" w:hAnsi="Times New Roman" w:cs="Times New Roman" w:eastAsiaTheme="minorEastAsia"/>
                <w:color w:val="auto"/>
                <w:sz w:val="24"/>
                <w:szCs w:val="24"/>
                <w:highlight w:val="none"/>
                <w:lang w:eastAsia="zh-CN"/>
              </w:rPr>
              <w:t>上岗</w:t>
            </w:r>
            <w:r>
              <w:rPr>
                <w:rFonts w:hint="default" w:ascii="Times New Roman" w:hAnsi="Times New Roman" w:cs="Times New Roman" w:eastAsiaTheme="minorEastAsia"/>
                <w:color w:val="auto"/>
                <w:sz w:val="24"/>
                <w:szCs w:val="24"/>
              </w:rPr>
              <w:t>证书。</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textAlignment w:val="auto"/>
              <w:rPr>
                <w:rFonts w:hint="default" w:ascii="Times New Roman" w:hAnsi="Times New Roman" w:cs="Times New Roman"/>
                <w:lang w:val="en-US" w:eastAsia="zh-CN"/>
              </w:rPr>
            </w:pPr>
            <w:bookmarkStart w:id="45" w:name="_Toc28459_WPSOffice_Level2"/>
            <w:bookmarkStart w:id="46" w:name="_Toc19689"/>
            <w:r>
              <w:rPr>
                <w:rFonts w:hint="default" w:ascii="Times New Roman" w:hAnsi="Times New Roman" w:cs="Times New Roman"/>
                <w:lang w:val="en-US" w:eastAsia="zh-CN"/>
              </w:rPr>
              <w:t>四、水质监测分析过程中的质量保证和质量控制</w:t>
            </w:r>
            <w:bookmarkEnd w:id="45"/>
            <w:bookmarkEnd w:id="46"/>
          </w:p>
          <w:p>
            <w:pPr>
              <w:pStyle w:val="5"/>
              <w:spacing w:before="0" w:after="0" w:line="360" w:lineRule="auto"/>
              <w:ind w:firstLine="480" w:firstLineChars="200"/>
              <w:rPr>
                <w:rFonts w:hint="default" w:ascii="Times New Roman" w:hAnsi="Times New Roman" w:cs="Times New Roman" w:eastAsiaTheme="minorEastAsia"/>
                <w:b w:val="0"/>
                <w:bCs/>
                <w:sz w:val="24"/>
                <w:szCs w:val="24"/>
              </w:rPr>
            </w:pPr>
            <w:r>
              <w:rPr>
                <w:rFonts w:hint="default" w:ascii="Times New Roman" w:hAnsi="Times New Roman" w:cs="Times New Roman" w:eastAsiaTheme="minorEastAsia"/>
                <w:sz w:val="24"/>
                <w:szCs w:val="24"/>
              </w:rPr>
              <w:t>废水监测仪器符合国家有关标准或技术要求。水样的采集、运输、保存、实验室</w:t>
            </w:r>
            <w:r>
              <w:rPr>
                <w:rFonts w:hint="default" w:ascii="Times New Roman" w:hAnsi="Times New Roman" w:cs="Times New Roman" w:eastAsiaTheme="minorEastAsia"/>
                <w:spacing w:val="-2"/>
                <w:sz w:val="24"/>
                <w:szCs w:val="24"/>
              </w:rPr>
              <w:t>分析和数据计算的全过程均按《环境水质监测质量保证手册》</w:t>
            </w:r>
            <w:r>
              <w:rPr>
                <w:rFonts w:hint="default" w:ascii="Times New Roman" w:hAnsi="Times New Roman" w:cs="Times New Roman" w:eastAsiaTheme="minorEastAsia"/>
                <w:sz w:val="24"/>
                <w:szCs w:val="24"/>
              </w:rPr>
              <w:t>（第四版</w:t>
            </w:r>
            <w:r>
              <w:rPr>
                <w:rFonts w:hint="default" w:ascii="Times New Roman" w:hAnsi="Times New Roman" w:cs="Times New Roman" w:eastAsiaTheme="minorEastAsia"/>
                <w:spacing w:val="-10"/>
                <w:sz w:val="24"/>
                <w:szCs w:val="24"/>
              </w:rPr>
              <w:t>）</w:t>
            </w:r>
            <w:r>
              <w:rPr>
                <w:rFonts w:hint="default" w:ascii="Times New Roman" w:hAnsi="Times New Roman" w:cs="Times New Roman" w:eastAsiaTheme="minorEastAsia"/>
                <w:spacing w:val="-3"/>
                <w:sz w:val="24"/>
                <w:szCs w:val="24"/>
              </w:rPr>
              <w:t>的要求进行。</w:t>
            </w:r>
            <w:r>
              <w:rPr>
                <w:rFonts w:hint="default" w:ascii="Times New Roman" w:hAnsi="Times New Roman" w:cs="Times New Roman" w:eastAsiaTheme="minorEastAsia"/>
                <w:b w:val="0"/>
                <w:bCs/>
                <w:sz w:val="24"/>
                <w:szCs w:val="24"/>
              </w:rPr>
              <w:t>监测前校准pH计。五日生化需氧量、悬浮物单独（定量）采样，各加采10%的样品，实施自控；化学需氧量、氨氮各采集10%的密码平行样；化学需氧量分析密码标样。</w:t>
            </w:r>
            <w:bookmarkStart w:id="47" w:name="_Toc10406"/>
            <w:bookmarkStart w:id="48" w:name="_Toc5336_WPSOffice_Level2"/>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textAlignment w:val="auto"/>
              <w:rPr>
                <w:rFonts w:hint="default" w:ascii="Times New Roman" w:hAnsi="Times New Roman" w:cs="Times New Roman"/>
              </w:rPr>
            </w:pPr>
            <w:r>
              <w:rPr>
                <w:rFonts w:hint="default" w:ascii="Times New Roman" w:hAnsi="Times New Roman" w:cs="Times New Roman"/>
                <w:lang w:val="en-US" w:eastAsia="zh-CN"/>
              </w:rPr>
              <w:t>五、气体</w:t>
            </w:r>
            <w:r>
              <w:rPr>
                <w:rFonts w:hint="default" w:ascii="Times New Roman" w:hAnsi="Times New Roman" w:cs="Times New Roman"/>
              </w:rPr>
              <w:t>监测分析过程中的质量保证和质量控制</w:t>
            </w:r>
            <w:bookmarkEnd w:id="47"/>
            <w:bookmarkEnd w:id="48"/>
          </w:p>
          <w:p>
            <w:pPr>
              <w:pStyle w:val="5"/>
              <w:spacing w:before="0" w:after="0" w:line="360" w:lineRule="auto"/>
              <w:ind w:right="0" w:firstLine="480" w:firstLineChars="200"/>
              <w:rPr>
                <w:rFonts w:hint="default" w:ascii="Times New Roman" w:hAnsi="Times New Roman" w:cs="Times New Roman"/>
              </w:rPr>
            </w:pPr>
            <w:r>
              <w:rPr>
                <w:rFonts w:hint="default" w:ascii="Times New Roman" w:hAnsi="Times New Roman" w:cs="Times New Roman" w:eastAsiaTheme="minorEastAsia"/>
                <w:sz w:val="24"/>
                <w:szCs w:val="24"/>
              </w:rPr>
              <w:t>尽量避免被测排放物中共存污染物对分析的交叉干扰。被测排放物的浓度在仪器</w:t>
            </w:r>
            <w:r>
              <w:rPr>
                <w:rFonts w:hint="default" w:ascii="Times New Roman" w:hAnsi="Times New Roman" w:cs="Times New Roman" w:eastAsiaTheme="minorEastAsia"/>
                <w:spacing w:val="0"/>
                <w:sz w:val="24"/>
                <w:szCs w:val="24"/>
              </w:rPr>
              <w:t>量程的有效范围</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pacing w:val="0"/>
                <w:sz w:val="24"/>
                <w:szCs w:val="24"/>
              </w:rPr>
              <w:t>即</w:t>
            </w:r>
            <w:r>
              <w:rPr>
                <w:rFonts w:hint="default" w:ascii="Times New Roman" w:hAnsi="Times New Roman" w:cs="Times New Roman" w:eastAsiaTheme="minorEastAsia"/>
                <w:sz w:val="24"/>
                <w:szCs w:val="24"/>
              </w:rPr>
              <w:t>30%～70%之间</w:t>
            </w:r>
            <w:r>
              <w:rPr>
                <w:rFonts w:hint="default" w:ascii="Times New Roman" w:hAnsi="Times New Roman" w:cs="Times New Roman" w:eastAsiaTheme="minorEastAsia"/>
                <w:spacing w:val="0"/>
                <w:sz w:val="24"/>
                <w:szCs w:val="24"/>
              </w:rPr>
              <w:t>）。烟尘采样器在进入现场前应对采样器流量计、</w:t>
            </w:r>
            <w:r>
              <w:rPr>
                <w:rFonts w:hint="default" w:ascii="Times New Roman" w:hAnsi="Times New Roman" w:cs="Times New Roman" w:eastAsiaTheme="minorEastAsia"/>
                <w:sz w:val="24"/>
                <w:szCs w:val="24"/>
              </w:rPr>
              <w:t>流速计等进行校核。烟气监测（分析）仪器在测试前按监测因子分别用标准气体和流量计对其进行校核（标定），在测试时应保证其采样流量的准确。</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textAlignment w:val="auto"/>
              <w:rPr>
                <w:rFonts w:hint="default" w:ascii="Times New Roman" w:hAnsi="Times New Roman" w:cs="Times New Roman"/>
                <w:lang w:val="en-US"/>
              </w:rPr>
            </w:pPr>
            <w:bookmarkStart w:id="49" w:name="_bookmark34"/>
            <w:bookmarkEnd w:id="49"/>
            <w:bookmarkStart w:id="50" w:name="_bookmark34"/>
            <w:bookmarkEnd w:id="50"/>
            <w:bookmarkStart w:id="51" w:name="8.6噪声监测分析过程中的质量保证和质量控制"/>
            <w:bookmarkEnd w:id="51"/>
            <w:r>
              <w:rPr>
                <w:rFonts w:hint="default" w:ascii="Times New Roman" w:hAnsi="Times New Roman" w:cs="Times New Roman"/>
                <w:lang w:val="en-US" w:eastAsia="zh-CN"/>
              </w:rPr>
              <w:t>六、</w:t>
            </w:r>
            <w:r>
              <w:rPr>
                <w:rFonts w:hint="default" w:ascii="Times New Roman" w:hAnsi="Times New Roman" w:cs="Times New Roman"/>
                <w:lang w:val="en-US"/>
              </w:rPr>
              <w:t>噪声监测分析过程中的质量保证和质量控制</w:t>
            </w:r>
          </w:p>
          <w:p>
            <w:pPr>
              <w:pStyle w:val="5"/>
              <w:keepLines w:val="0"/>
              <w:pageBreakBefore w:val="0"/>
              <w:kinsoku/>
              <w:overflowPunct/>
              <w:topLinePunct w:val="0"/>
              <w:bidi w:val="0"/>
              <w:spacing w:before="0" w:after="0" w:line="360" w:lineRule="auto"/>
              <w:ind w:right="0" w:firstLine="480" w:firstLineChars="200"/>
              <w:jc w:val="both"/>
              <w:outlineLvl w:val="9"/>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声级计在测试前后用标准发生源进行校准，测量前后仪器的灵敏度相差不大于0.5dB，若大于0.5dB测试数据无效。</w:t>
            </w:r>
          </w:p>
          <w:p>
            <w:pPr>
              <w:pStyle w:val="7"/>
              <w:keepNext w:val="0"/>
              <w:keepLines w:val="0"/>
              <w:pageBreakBefore w:val="0"/>
              <w:widowControl w:val="0"/>
              <w:kinsoku/>
              <w:wordWrap/>
              <w:overflowPunct/>
              <w:topLinePunct w:val="0"/>
              <w:autoSpaceDE w:val="0"/>
              <w:autoSpaceDN w:val="0"/>
              <w:bidi w:val="0"/>
              <w:adjustRightInd/>
              <w:snapToGrid/>
              <w:spacing w:before="0"/>
              <w:ind w:left="0"/>
              <w:jc w:val="center"/>
              <w:textAlignment w:val="auto"/>
              <w:rPr>
                <w:rFonts w:hint="default" w:ascii="Times New Roman" w:hAnsi="Times New Roman" w:cs="Times New Roman"/>
                <w:lang w:val="en-US" w:eastAsia="zh-CN"/>
              </w:rPr>
            </w:pPr>
            <w:r>
              <w:rPr>
                <w:rFonts w:hint="default" w:ascii="Times New Roman" w:hAnsi="Times New Roman" w:cs="Times New Roman" w:eastAsiaTheme="minorEastAsia"/>
                <w:b/>
                <w:bCs w:val="0"/>
                <w:color w:val="auto"/>
                <w:sz w:val="21"/>
                <w:szCs w:val="21"/>
                <w:lang w:val="en-US" w:eastAsia="zh-CN" w:bidi="zh-CN"/>
              </w:rPr>
              <w:t>表5-3 噪声仪校准表</w:t>
            </w:r>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964"/>
              <w:gridCol w:w="3369"/>
              <w:gridCol w:w="3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exact"/>
                <w:jc w:val="center"/>
              </w:trPr>
              <w:tc>
                <w:tcPr>
                  <w:tcW w:w="1397" w:type="pct"/>
                  <w:gridSpan w:val="2"/>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测量日期</w:t>
                  </w:r>
                </w:p>
              </w:tc>
              <w:tc>
                <w:tcPr>
                  <w:tcW w:w="3602" w:type="pct"/>
                  <w:gridSpan w:val="2"/>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校准声级dB（A）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1397" w:type="pct"/>
                  <w:gridSpan w:val="2"/>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800"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测量前</w:t>
                  </w:r>
                </w:p>
              </w:tc>
              <w:tc>
                <w:tcPr>
                  <w:tcW w:w="1802"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测量后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397" w:type="pct"/>
                  <w:gridSpan w:val="2"/>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800"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测量值</w:t>
                  </w:r>
                </w:p>
              </w:tc>
              <w:tc>
                <w:tcPr>
                  <w:tcW w:w="1802"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exact"/>
                <w:jc w:val="center"/>
              </w:trPr>
              <w:tc>
                <w:tcPr>
                  <w:tcW w:w="882" w:type="pct"/>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2020.</w:t>
                  </w:r>
                  <w:r>
                    <w:rPr>
                      <w:rFonts w:hint="eastAsia" w:ascii="Times New Roman" w:hAnsi="Times New Roman" w:cs="Times New Roman" w:eastAsiaTheme="minorEastAsia"/>
                      <w:b w:val="0"/>
                      <w:bCs/>
                      <w:color w:val="auto"/>
                      <w:sz w:val="21"/>
                      <w:szCs w:val="21"/>
                      <w:vertAlign w:val="baseline"/>
                      <w:lang w:val="en-US" w:eastAsia="zh-CN"/>
                    </w:rPr>
                    <w:t>12</w:t>
                  </w:r>
                  <w:r>
                    <w:rPr>
                      <w:rFonts w:hint="default" w:ascii="Times New Roman" w:hAnsi="Times New Roman" w:cs="Times New Roman" w:eastAsiaTheme="minorEastAsia"/>
                      <w:b w:val="0"/>
                      <w:bCs/>
                      <w:color w:val="auto"/>
                      <w:sz w:val="21"/>
                      <w:szCs w:val="21"/>
                      <w:vertAlign w:val="baseline"/>
                      <w:lang w:val="en-US" w:eastAsia="zh-CN"/>
                    </w:rPr>
                    <w:t>.</w:t>
                  </w:r>
                  <w:r>
                    <w:rPr>
                      <w:rFonts w:hint="eastAsia" w:ascii="Times New Roman" w:hAnsi="Times New Roman" w:cs="Times New Roman" w:eastAsiaTheme="minorEastAsia"/>
                      <w:b w:val="0"/>
                      <w:bCs/>
                      <w:color w:val="auto"/>
                      <w:sz w:val="21"/>
                      <w:szCs w:val="21"/>
                      <w:vertAlign w:val="baseline"/>
                      <w:lang w:val="en-US" w:eastAsia="zh-CN"/>
                    </w:rPr>
                    <w:t>04</w:t>
                  </w:r>
                </w:p>
              </w:tc>
              <w:tc>
                <w:tcPr>
                  <w:tcW w:w="515"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昼间</w:t>
                  </w:r>
                </w:p>
              </w:tc>
              <w:tc>
                <w:tcPr>
                  <w:tcW w:w="1800"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93.</w:t>
                  </w:r>
                  <w:r>
                    <w:rPr>
                      <w:rFonts w:hint="eastAsia" w:ascii="Times New Roman" w:hAnsi="Times New Roman" w:cs="Times New Roman" w:eastAsiaTheme="minorEastAsia"/>
                      <w:b w:val="0"/>
                      <w:bCs/>
                      <w:color w:val="auto"/>
                      <w:sz w:val="21"/>
                      <w:szCs w:val="21"/>
                      <w:vertAlign w:val="baseline"/>
                      <w:lang w:val="en-US" w:eastAsia="zh-CN"/>
                    </w:rPr>
                    <w:t>7</w:t>
                  </w:r>
                </w:p>
              </w:tc>
              <w:tc>
                <w:tcPr>
                  <w:tcW w:w="1802"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exact"/>
                <w:jc w:val="center"/>
              </w:trPr>
              <w:tc>
                <w:tcPr>
                  <w:tcW w:w="882"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515"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夜间</w:t>
                  </w:r>
                </w:p>
              </w:tc>
              <w:tc>
                <w:tcPr>
                  <w:tcW w:w="1800"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93.7</w:t>
                  </w:r>
                </w:p>
              </w:tc>
              <w:tc>
                <w:tcPr>
                  <w:tcW w:w="1802"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exact"/>
                <w:jc w:val="center"/>
              </w:trPr>
              <w:tc>
                <w:tcPr>
                  <w:tcW w:w="882" w:type="pct"/>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2020.</w:t>
                  </w:r>
                  <w:r>
                    <w:rPr>
                      <w:rFonts w:hint="eastAsia" w:ascii="Times New Roman" w:hAnsi="Times New Roman" w:cs="Times New Roman" w:eastAsiaTheme="minorEastAsia"/>
                      <w:b w:val="0"/>
                      <w:bCs/>
                      <w:color w:val="auto"/>
                      <w:sz w:val="21"/>
                      <w:szCs w:val="21"/>
                      <w:vertAlign w:val="baseline"/>
                      <w:lang w:val="en-US" w:eastAsia="zh-CN"/>
                    </w:rPr>
                    <w:t>12</w:t>
                  </w:r>
                  <w:r>
                    <w:rPr>
                      <w:rFonts w:hint="default" w:ascii="Times New Roman" w:hAnsi="Times New Roman" w:cs="Times New Roman" w:eastAsiaTheme="minorEastAsia"/>
                      <w:b w:val="0"/>
                      <w:bCs/>
                      <w:color w:val="auto"/>
                      <w:sz w:val="21"/>
                      <w:szCs w:val="21"/>
                      <w:vertAlign w:val="baseline"/>
                      <w:lang w:val="en-US" w:eastAsia="zh-CN"/>
                    </w:rPr>
                    <w:t>.</w:t>
                  </w:r>
                  <w:r>
                    <w:rPr>
                      <w:rFonts w:hint="eastAsia" w:ascii="Times New Roman" w:hAnsi="Times New Roman" w:cs="Times New Roman" w:eastAsiaTheme="minorEastAsia"/>
                      <w:b w:val="0"/>
                      <w:bCs/>
                      <w:color w:val="auto"/>
                      <w:sz w:val="21"/>
                      <w:szCs w:val="21"/>
                      <w:vertAlign w:val="baseline"/>
                      <w:lang w:val="en-US" w:eastAsia="zh-CN"/>
                    </w:rPr>
                    <w:t>05</w:t>
                  </w:r>
                </w:p>
              </w:tc>
              <w:tc>
                <w:tcPr>
                  <w:tcW w:w="515"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昼间</w:t>
                  </w:r>
                </w:p>
              </w:tc>
              <w:tc>
                <w:tcPr>
                  <w:tcW w:w="1800"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93.8</w:t>
                  </w:r>
                </w:p>
              </w:tc>
              <w:tc>
                <w:tcPr>
                  <w:tcW w:w="1802"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93.</w:t>
                  </w:r>
                  <w:r>
                    <w:rPr>
                      <w:rFonts w:hint="eastAsia" w:ascii="Times New Roman" w:hAnsi="Times New Roman" w:cs="Times New Roman" w:eastAsiaTheme="minorEastAsia"/>
                      <w:b w:val="0"/>
                      <w:bCs/>
                      <w:color w:val="auto"/>
                      <w:sz w:val="21"/>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exact"/>
                <w:jc w:val="center"/>
              </w:trPr>
              <w:tc>
                <w:tcPr>
                  <w:tcW w:w="882"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515"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夜间</w:t>
                  </w:r>
                </w:p>
              </w:tc>
              <w:tc>
                <w:tcPr>
                  <w:tcW w:w="1800"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93.</w:t>
                  </w:r>
                  <w:r>
                    <w:rPr>
                      <w:rFonts w:hint="eastAsia" w:ascii="Times New Roman" w:hAnsi="Times New Roman" w:cs="Times New Roman" w:eastAsiaTheme="minorEastAsia"/>
                      <w:b w:val="0"/>
                      <w:bCs/>
                      <w:color w:val="auto"/>
                      <w:sz w:val="21"/>
                      <w:szCs w:val="21"/>
                      <w:vertAlign w:val="baseline"/>
                      <w:lang w:val="en-US" w:eastAsia="zh-CN"/>
                    </w:rPr>
                    <w:t>8</w:t>
                  </w:r>
                </w:p>
              </w:tc>
              <w:tc>
                <w:tcPr>
                  <w:tcW w:w="1802"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93.8</w:t>
                  </w:r>
                </w:p>
              </w:tc>
            </w:tr>
          </w:tbl>
          <w:p>
            <w:pPr>
              <w:pStyle w:val="7"/>
              <w:bidi w:val="0"/>
              <w:spacing w:line="360" w:lineRule="auto"/>
              <w:ind w:left="0"/>
              <w:rPr>
                <w:rFonts w:hint="default" w:ascii="Times New Roman" w:hAnsi="Times New Roman" w:cs="Times New Roman"/>
                <w:lang w:val="en-US"/>
              </w:rPr>
            </w:pPr>
            <w:r>
              <w:rPr>
                <w:rFonts w:hint="default" w:ascii="Times New Roman" w:hAnsi="Times New Roman" w:cs="Times New Roman"/>
                <w:lang w:val="en-US" w:eastAsia="zh-CN"/>
              </w:rPr>
              <w:t>七、固体废物</w:t>
            </w:r>
            <w:r>
              <w:rPr>
                <w:rFonts w:hint="default" w:ascii="Times New Roman" w:hAnsi="Times New Roman" w:cs="Times New Roman"/>
                <w:lang w:val="en-US"/>
              </w:rPr>
              <w:t>监测分析过程中的质量保证和质量控制</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lang w:val="zh-CN" w:eastAsia="zh-CN" w:bidi="zh-CN"/>
              </w:rPr>
            </w:pPr>
            <w:r>
              <w:rPr>
                <w:rFonts w:hint="default" w:ascii="Times New Roman" w:hAnsi="Times New Roman" w:cs="Times New Roman" w:eastAsiaTheme="minorEastAsia"/>
                <w:sz w:val="24"/>
                <w:szCs w:val="24"/>
                <w:lang w:val="en-US" w:eastAsia="zh-CN" w:bidi="zh-CN"/>
              </w:rPr>
              <w:t>固体废物部分采取现场调查结合收集资料的方法进行。依据《环境监测质量管理技术导则》(HJ 630-2011)，验收监测期间从现场调查、收集资料的有效性、可靠性分析以及调查人员等方面进行了质量控制。</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lang w:val="zh-CN" w:eastAsia="zh-CN" w:bidi="zh-CN"/>
              </w:rPr>
            </w:pPr>
            <w:r>
              <w:rPr>
                <w:rFonts w:hint="default" w:ascii="Times New Roman" w:hAnsi="Times New Roman" w:cs="Times New Roman" w:eastAsiaTheme="minorEastAsia"/>
                <w:sz w:val="24"/>
                <w:szCs w:val="24"/>
                <w:lang w:val="en-US" w:eastAsia="zh-CN" w:bidi="zh-CN"/>
              </w:rPr>
              <w:t xml:space="preserve">（1）现场工况依据《建设项目环境保护设施竣工验收监测技术指南 污染影响类》的相关规定，在主体工程工况稳定、环境保护设施运行正常的情况下进行。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lang w:val="zh-CN" w:eastAsia="zh-CN" w:bidi="zh-CN"/>
              </w:rPr>
            </w:pPr>
            <w:r>
              <w:rPr>
                <w:rFonts w:hint="default" w:ascii="Times New Roman" w:hAnsi="Times New Roman" w:cs="Times New Roman" w:eastAsiaTheme="minorEastAsia"/>
                <w:sz w:val="24"/>
                <w:szCs w:val="24"/>
                <w:lang w:val="en-US" w:eastAsia="zh-CN" w:bidi="zh-CN"/>
              </w:rPr>
              <w:t>（2）对收集的资料进行现场确认，并现场检查固体废物的收集、贮存、处理处置情况。</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lang w:val="zh-CN" w:eastAsia="zh-CN" w:bidi="zh-CN"/>
              </w:rPr>
            </w:pPr>
            <w:r>
              <w:rPr>
                <w:rFonts w:hint="default" w:ascii="Times New Roman" w:hAnsi="Times New Roman" w:cs="Times New Roman" w:eastAsiaTheme="minorEastAsia"/>
                <w:sz w:val="24"/>
                <w:szCs w:val="24"/>
                <w:lang w:val="en-US" w:eastAsia="zh-CN" w:bidi="zh-CN"/>
              </w:rPr>
              <w:t>（3）现场调查人员不少于2人，且均为专业技术人员，严格按照本公司质量管理体系文件中的规定开展工作。</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lang w:val="zh-CN" w:eastAsia="zh-CN" w:bidi="zh-CN"/>
              </w:rPr>
            </w:pPr>
            <w:r>
              <w:rPr>
                <w:rFonts w:hint="default" w:ascii="Times New Roman" w:hAnsi="Times New Roman" w:cs="Times New Roman" w:eastAsiaTheme="minorEastAsia"/>
                <w:sz w:val="24"/>
                <w:szCs w:val="24"/>
                <w:lang w:val="en-US" w:eastAsia="zh-CN" w:bidi="zh-CN"/>
              </w:rPr>
              <w:t>（4）各类记录及分析结果，按本公司项目质量管理体系要求进行数据处理，并严格执行三级审核制度</w:t>
            </w:r>
            <w:r>
              <w:rPr>
                <w:rFonts w:hint="eastAsia" w:ascii="Times New Roman" w:hAnsi="Times New Roman" w:cs="Times New Roman" w:eastAsiaTheme="minorEastAsia"/>
                <w:sz w:val="24"/>
                <w:szCs w:val="24"/>
                <w:lang w:val="en-US" w:eastAsia="zh-CN" w:bidi="zh-CN"/>
              </w:rPr>
              <w:t>。</w:t>
            </w: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pStyle w:val="5"/>
              <w:keepLines w:val="0"/>
              <w:pageBreakBefore w:val="0"/>
              <w:kinsoku/>
              <w:overflowPunct/>
              <w:topLinePunct w:val="0"/>
              <w:bidi w:val="0"/>
              <w:spacing w:before="0" w:after="0" w:line="360" w:lineRule="auto"/>
              <w:ind w:right="0"/>
              <w:jc w:val="both"/>
              <w:outlineLvl w:val="9"/>
              <w:rPr>
                <w:rFonts w:hint="default" w:ascii="Times New Roman" w:hAnsi="Times New Roman" w:cs="Times New Roman" w:eastAsiaTheme="minorEastAsia"/>
                <w:sz w:val="24"/>
                <w:szCs w:val="24"/>
              </w:rPr>
            </w:pPr>
          </w:p>
          <w:p>
            <w:pPr>
              <w:spacing w:line="360" w:lineRule="auto"/>
              <w:ind w:firstLine="0" w:firstLineChars="0"/>
              <w:rPr>
                <w:rFonts w:hint="default" w:ascii="Times New Roman" w:hAnsi="Times New Roman" w:cs="Times New Roman"/>
                <w:vertAlign w:val="baseline"/>
                <w:lang w:val="en-US" w:eastAsia="zh-CN"/>
              </w:rPr>
            </w:pPr>
          </w:p>
        </w:tc>
      </w:tr>
    </w:tbl>
    <w:p>
      <w:pPr>
        <w:rPr>
          <w:rFonts w:hint="default" w:ascii="Times New Roman" w:hAnsi="Times New Roman" w:eastAsia="黑体" w:cs="Times New Roman"/>
          <w:b w:val="0"/>
          <w:bCs w:val="0"/>
          <w:sz w:val="28"/>
          <w:szCs w:val="28"/>
          <w:highlight w:val="none"/>
        </w:rPr>
      </w:pPr>
      <w:r>
        <w:rPr>
          <w:rFonts w:hint="default" w:ascii="Times New Roman" w:hAnsi="Times New Roman" w:cs="Times New Roman"/>
          <w:lang w:val="en-US" w:eastAsia="zh-CN"/>
        </w:rPr>
        <w:br w:type="page"/>
      </w:r>
      <w:r>
        <w:rPr>
          <w:rFonts w:hint="default" w:ascii="Times New Roman" w:hAnsi="Times New Roman" w:eastAsia="黑体" w:cs="Times New Roman"/>
          <w:b w:val="0"/>
          <w:bCs w:val="0"/>
          <w:sz w:val="28"/>
          <w:szCs w:val="28"/>
          <w:highlight w:val="none"/>
        </w:rPr>
        <w:t>表 6 验收监测内容</w:t>
      </w:r>
    </w:p>
    <w:tbl>
      <w:tblPr>
        <w:tblStyle w:val="16"/>
        <w:tblW w:w="9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07" w:type="dxa"/>
            <w:vAlign w:val="top"/>
          </w:tcPr>
          <w:p>
            <w:pPr>
              <w:keepLines w:val="0"/>
              <w:pageBreakBefore w:val="0"/>
              <w:numPr>
                <w:ilvl w:val="0"/>
                <w:numId w:val="0"/>
              </w:numPr>
              <w:kinsoku/>
              <w:overflowPunct/>
              <w:topLinePunct w:val="0"/>
              <w:bidi w:val="0"/>
              <w:spacing w:after="0" w:line="360" w:lineRule="auto"/>
              <w:ind w:firstLine="480" w:firstLineChars="200"/>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val="en-US" w:eastAsia="zh-CN"/>
              </w:rPr>
              <w:t>陕西省石油化工工业贸易有限公司</w:t>
            </w:r>
            <w:r>
              <w:rPr>
                <w:rFonts w:hint="eastAsia" w:ascii="Times New Roman" w:hAnsi="Times New Roman" w:cs="Times New Roman" w:eastAsiaTheme="minorEastAsia"/>
                <w:color w:val="auto"/>
                <w:sz w:val="24"/>
                <w:szCs w:val="24"/>
                <w:lang w:val="en-US" w:eastAsia="zh-CN"/>
              </w:rPr>
              <w:t>茂陵</w:t>
            </w:r>
            <w:r>
              <w:rPr>
                <w:rFonts w:hint="default" w:ascii="Times New Roman" w:hAnsi="Times New Roman" w:cs="Times New Roman" w:eastAsiaTheme="minorEastAsia"/>
                <w:color w:val="auto"/>
                <w:sz w:val="24"/>
                <w:szCs w:val="24"/>
                <w:lang w:val="en-US" w:eastAsia="zh-CN"/>
              </w:rPr>
              <w:t>服务区</w:t>
            </w:r>
            <w:r>
              <w:rPr>
                <w:rFonts w:hint="eastAsia" w:ascii="Times New Roman" w:hAnsi="Times New Roman" w:cs="Times New Roman" w:eastAsiaTheme="minorEastAsia"/>
                <w:color w:val="auto"/>
                <w:sz w:val="24"/>
                <w:szCs w:val="24"/>
                <w:lang w:val="en-US" w:eastAsia="zh-CN"/>
              </w:rPr>
              <w:t>东</w:t>
            </w:r>
            <w:r>
              <w:rPr>
                <w:rFonts w:hint="default" w:ascii="Times New Roman" w:hAnsi="Times New Roman" w:cs="Times New Roman" w:eastAsiaTheme="minorEastAsia"/>
                <w:color w:val="auto"/>
                <w:sz w:val="24"/>
                <w:szCs w:val="24"/>
                <w:lang w:val="en-US" w:eastAsia="zh-CN"/>
              </w:rPr>
              <w:t>加油站</w:t>
            </w:r>
            <w:r>
              <w:rPr>
                <w:rFonts w:hint="default" w:ascii="Times New Roman" w:hAnsi="Times New Roman" w:cs="Times New Roman" w:eastAsiaTheme="minorEastAsia"/>
                <w:color w:val="auto"/>
                <w:sz w:val="24"/>
                <w:szCs w:val="24"/>
              </w:rPr>
              <w:t>委托</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陕西</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安讯环境</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检测有限公司于20</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年</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月</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04</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日至</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月</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05</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日</w:t>
            </w:r>
            <w:r>
              <w:rPr>
                <w:rFonts w:hint="default" w:ascii="Times New Roman" w:hAnsi="Times New Roman" w:cs="Times New Roman" w:eastAsiaTheme="minorEastAsia"/>
                <w:color w:val="000000" w:themeColor="text1"/>
                <w:sz w:val="24"/>
                <w:szCs w:val="24"/>
                <w14:textFill>
                  <w14:solidFill>
                    <w14:schemeClr w14:val="tx1"/>
                  </w14:solidFill>
                </w14:textFill>
              </w:rPr>
              <w:t>进行了现场监测</w:t>
            </w:r>
            <w:r>
              <w:rPr>
                <w:rFonts w:hint="default" w:ascii="Times New Roman" w:hAnsi="Times New Roman" w:cs="Times New Roman" w:eastAsiaTheme="minorEastAsia"/>
                <w:color w:val="auto"/>
                <w:sz w:val="24"/>
                <w:szCs w:val="24"/>
              </w:rPr>
              <w:t>，通过对废气、废水、噪声等污染物达标排放的监测，来说明环境保护设施调试效果，具体监测内容</w:t>
            </w:r>
            <w:r>
              <w:rPr>
                <w:rFonts w:hint="default" w:ascii="Times New Roman" w:hAnsi="Times New Roman" w:cs="Times New Roman" w:eastAsiaTheme="minorEastAsia"/>
                <w:color w:val="auto"/>
                <w:sz w:val="24"/>
                <w:szCs w:val="24"/>
                <w:lang w:eastAsia="zh-CN"/>
              </w:rPr>
              <w:t>如下：</w:t>
            </w:r>
          </w:p>
          <w:p>
            <w:pPr>
              <w:numPr>
                <w:ilvl w:val="0"/>
                <w:numId w:val="3"/>
              </w:numPr>
              <w:spacing w:line="360" w:lineRule="auto"/>
              <w:ind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废水</w:t>
            </w:r>
          </w:p>
          <w:p>
            <w:pPr>
              <w:keepLines w:val="0"/>
              <w:pageBreakBefore w:val="0"/>
              <w:numPr>
                <w:ilvl w:val="0"/>
                <w:numId w:val="0"/>
              </w:numPr>
              <w:kinsoku/>
              <w:overflowPunct/>
              <w:topLinePunct w:val="0"/>
              <w:bidi w:val="0"/>
              <w:spacing w:after="0" w:line="360" w:lineRule="auto"/>
              <w:ind w:firstLine="480" w:firstLineChars="200"/>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项目废水监测内容见表6-1所示。</w:t>
            </w:r>
          </w:p>
          <w:p>
            <w:pPr>
              <w:keepLines w:val="0"/>
              <w:pageBreakBefore w:val="0"/>
              <w:numPr>
                <w:ilvl w:val="0"/>
                <w:numId w:val="0"/>
              </w:numPr>
              <w:kinsoku/>
              <w:overflowPunct/>
              <w:topLinePunct w:val="0"/>
              <w:bidi w:val="0"/>
              <w:spacing w:after="0" w:line="240" w:lineRule="auto"/>
              <w:ind w:firstLine="0" w:firstLineChars="0"/>
              <w:jc w:val="center"/>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b/>
                <w:bCs/>
                <w:color w:val="auto"/>
                <w:sz w:val="21"/>
                <w:szCs w:val="21"/>
                <w:lang w:val="en-US" w:eastAsia="zh-CN"/>
              </w:rPr>
              <w:t>表6-1  项目废水监测内容</w:t>
            </w:r>
          </w:p>
          <w:tbl>
            <w:tblPr>
              <w:tblStyle w:val="16"/>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2249"/>
              <w:gridCol w:w="2790"/>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7"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监测内容</w:t>
                  </w:r>
                </w:p>
              </w:tc>
              <w:tc>
                <w:tcPr>
                  <w:tcW w:w="2249"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监测点位</w:t>
                  </w:r>
                </w:p>
              </w:tc>
              <w:tc>
                <w:tcPr>
                  <w:tcW w:w="2790"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监测项目</w:t>
                  </w:r>
                </w:p>
              </w:tc>
              <w:tc>
                <w:tcPr>
                  <w:tcW w:w="2338"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7"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生活污水</w:t>
                  </w:r>
                </w:p>
              </w:tc>
              <w:tc>
                <w:tcPr>
                  <w:tcW w:w="2249"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项目废水总排口布设1个监测点位</w:t>
                  </w:r>
                </w:p>
              </w:tc>
              <w:tc>
                <w:tcPr>
                  <w:tcW w:w="2790"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pH值、化学需氧量、五日生化需氧量、悬浮物、氨氮、石油类</w:t>
                  </w:r>
                </w:p>
              </w:tc>
              <w:tc>
                <w:tcPr>
                  <w:tcW w:w="2338"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采样2天，每天4次</w:t>
                  </w:r>
                </w:p>
              </w:tc>
            </w:tr>
          </w:tbl>
          <w:p>
            <w:pPr>
              <w:numPr>
                <w:ilvl w:val="0"/>
                <w:numId w:val="3"/>
              </w:numPr>
              <w:spacing w:line="360" w:lineRule="auto"/>
              <w:ind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废气</w:t>
            </w:r>
          </w:p>
          <w:p>
            <w:pPr>
              <w:keepLines w:val="0"/>
              <w:pageBreakBefore w:val="0"/>
              <w:numPr>
                <w:ilvl w:val="0"/>
                <w:numId w:val="0"/>
              </w:numPr>
              <w:kinsoku/>
              <w:overflowPunct/>
              <w:topLinePunct w:val="0"/>
              <w:bidi w:val="0"/>
              <w:spacing w:after="0" w:line="360" w:lineRule="auto"/>
              <w:ind w:firstLine="480" w:firstLineChars="200"/>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auto"/>
                <w:sz w:val="24"/>
                <w:szCs w:val="24"/>
              </w:rPr>
              <w:t>本项目为新建加油站项目，现项目卸油油气回收系统，加油油气回收系统，油气排放处理装置等环保设施已完成，</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陕西省石油化工贸易有限公司</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茂陵</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服务区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东</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加油站委托</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陕西</w:t>
            </w:r>
            <w:r>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t>安讯环境</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检测有限公司</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对油气回收装置系统进行了验收监测，项目废气监测内容见表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6-2。</w:t>
            </w:r>
          </w:p>
          <w:p>
            <w:pPr>
              <w:keepLines w:val="0"/>
              <w:pageBreakBefore w:val="0"/>
              <w:numPr>
                <w:ilvl w:val="0"/>
                <w:numId w:val="0"/>
              </w:numPr>
              <w:kinsoku/>
              <w:overflowPunct/>
              <w:topLinePunct w:val="0"/>
              <w:bidi w:val="0"/>
              <w:spacing w:after="0" w:line="360" w:lineRule="auto"/>
              <w:ind w:firstLine="0" w:firstLineChars="0"/>
              <w:jc w:val="center"/>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b/>
                <w:bCs/>
                <w:color w:val="auto"/>
                <w:sz w:val="21"/>
                <w:szCs w:val="21"/>
                <w:lang w:val="en-US" w:eastAsia="zh-CN"/>
              </w:rPr>
              <w:t>表6-2  项目废气监测内容</w:t>
            </w:r>
          </w:p>
          <w:tbl>
            <w:tblPr>
              <w:tblStyle w:val="1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3"/>
              <w:gridCol w:w="3754"/>
              <w:gridCol w:w="1759"/>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43"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监测内容</w:t>
                  </w:r>
                </w:p>
              </w:tc>
              <w:tc>
                <w:tcPr>
                  <w:tcW w:w="3754"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监测点位</w:t>
                  </w:r>
                </w:p>
              </w:tc>
              <w:tc>
                <w:tcPr>
                  <w:tcW w:w="1759"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监测项目</w:t>
                  </w:r>
                </w:p>
              </w:tc>
              <w:tc>
                <w:tcPr>
                  <w:tcW w:w="1898"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43"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无组织废气</w:t>
                  </w:r>
                </w:p>
              </w:tc>
              <w:tc>
                <w:tcPr>
                  <w:tcW w:w="3754"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三次油气回收装置排放口</w:t>
                  </w:r>
                </w:p>
              </w:tc>
              <w:tc>
                <w:tcPr>
                  <w:tcW w:w="1759"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非甲烷总烃</w:t>
                  </w:r>
                </w:p>
              </w:tc>
              <w:tc>
                <w:tcPr>
                  <w:tcW w:w="1898"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采样2天</w:t>
                  </w:r>
                </w:p>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一天3次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43"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3754" w:type="dxa"/>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项目厂界上风向布设1个监测点位（1#），下风向布设3个监测点位（2#）、（3#）、（4#）</w:t>
                  </w:r>
                </w:p>
              </w:tc>
              <w:tc>
                <w:tcPr>
                  <w:tcW w:w="1759"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c>
                <w:tcPr>
                  <w:tcW w:w="1898"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p>
              </w:tc>
            </w:tr>
          </w:tbl>
          <w:p>
            <w:pPr>
              <w:numPr>
                <w:ilvl w:val="0"/>
                <w:numId w:val="3"/>
              </w:numPr>
              <w:spacing w:line="360" w:lineRule="auto"/>
              <w:ind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噪声</w:t>
            </w:r>
          </w:p>
          <w:p>
            <w:pPr>
              <w:keepLines w:val="0"/>
              <w:pageBreakBefore w:val="0"/>
              <w:numPr>
                <w:ilvl w:val="0"/>
                <w:numId w:val="0"/>
              </w:numPr>
              <w:kinsoku/>
              <w:overflowPunct/>
              <w:topLinePunct w:val="0"/>
              <w:bidi w:val="0"/>
              <w:spacing w:after="0" w:line="360" w:lineRule="auto"/>
              <w:ind w:firstLine="480" w:firstLineChars="200"/>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项目厂界噪声监测内容见表6-3所示。</w:t>
            </w:r>
          </w:p>
          <w:p>
            <w:pPr>
              <w:keepLines w:val="0"/>
              <w:pageBreakBefore w:val="0"/>
              <w:numPr>
                <w:ilvl w:val="0"/>
                <w:numId w:val="0"/>
              </w:numPr>
              <w:kinsoku/>
              <w:overflowPunct/>
              <w:topLinePunct w:val="0"/>
              <w:bidi w:val="0"/>
              <w:spacing w:after="0" w:line="360" w:lineRule="auto"/>
              <w:ind w:firstLine="0" w:firstLineChars="0"/>
              <w:jc w:val="center"/>
              <w:outlineLvl w:val="9"/>
              <w:rPr>
                <w:rFonts w:hint="default" w:ascii="Times New Roman" w:hAnsi="Times New Roman" w:cs="Times New Roman" w:eastAsiaTheme="minorEastAsia"/>
                <w:b/>
                <w:bCs/>
                <w:color w:val="auto"/>
                <w:sz w:val="21"/>
                <w:szCs w:val="21"/>
                <w:lang w:val="en-US" w:eastAsia="zh-CN"/>
              </w:rPr>
            </w:pPr>
            <w:bookmarkStart w:id="52" w:name="_Toc19056"/>
            <w:bookmarkStart w:id="53" w:name="_Toc18021_WPSOffice_Level2"/>
            <w:bookmarkStart w:id="54" w:name="_Toc24444"/>
            <w:bookmarkStart w:id="55" w:name="_Toc23150"/>
            <w:bookmarkStart w:id="56" w:name="_Toc9689_WPSOffice_Level2"/>
            <w:r>
              <w:rPr>
                <w:rFonts w:hint="default" w:ascii="Times New Roman" w:hAnsi="Times New Roman" w:cs="Times New Roman" w:eastAsiaTheme="minorEastAsia"/>
                <w:b/>
                <w:bCs/>
                <w:color w:val="auto"/>
                <w:sz w:val="21"/>
                <w:szCs w:val="21"/>
                <w:lang w:val="en-US" w:eastAsia="zh-CN"/>
              </w:rPr>
              <w:t xml:space="preserve">表6-3  </w:t>
            </w:r>
            <w:bookmarkEnd w:id="52"/>
            <w:bookmarkEnd w:id="53"/>
            <w:bookmarkEnd w:id="54"/>
            <w:bookmarkEnd w:id="55"/>
            <w:bookmarkEnd w:id="56"/>
            <w:r>
              <w:rPr>
                <w:rFonts w:hint="default" w:ascii="Times New Roman" w:hAnsi="Times New Roman" w:cs="Times New Roman" w:eastAsiaTheme="minorEastAsia"/>
                <w:b/>
                <w:bCs/>
                <w:color w:val="auto"/>
                <w:sz w:val="21"/>
                <w:szCs w:val="21"/>
                <w:lang w:val="en-US" w:eastAsia="zh-CN"/>
              </w:rPr>
              <w:t>项目厂界噪声监测内容</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3748"/>
              <w:gridCol w:w="1926"/>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监测内容</w:t>
                  </w:r>
                </w:p>
              </w:tc>
              <w:tc>
                <w:tcPr>
                  <w:tcW w:w="3748"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监测点位</w:t>
                  </w:r>
                </w:p>
              </w:tc>
              <w:tc>
                <w:tcPr>
                  <w:tcW w:w="1926"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监测项目</w:t>
                  </w:r>
                </w:p>
              </w:tc>
              <w:tc>
                <w:tcPr>
                  <w:tcW w:w="234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厂界噪声</w:t>
                  </w:r>
                </w:p>
              </w:tc>
              <w:tc>
                <w:tcPr>
                  <w:tcW w:w="3748"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项目厂界四周各布设1个监测点位</w:t>
                  </w:r>
                </w:p>
              </w:tc>
              <w:tc>
                <w:tcPr>
                  <w:tcW w:w="1926"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等效连续A声级</w:t>
                  </w:r>
                </w:p>
              </w:tc>
              <w:tc>
                <w:tcPr>
                  <w:tcW w:w="2340" w:type="dxa"/>
                  <w:tcBorders>
                    <w:tl2br w:val="nil"/>
                    <w:tr2bl w:val="nil"/>
                  </w:tcBorders>
                  <w:noWrap w:val="0"/>
                  <w:vAlign w:val="center"/>
                </w:tcPr>
                <w:p>
                  <w:pPr>
                    <w:pStyle w:val="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采样2天，每天昼、夜各一次</w:t>
                  </w:r>
                </w:p>
              </w:tc>
            </w:tr>
          </w:tbl>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default" w:ascii="Times New Roman" w:hAnsi="Times New Roman" w:eastAsia="宋体" w:cs="Times New Roman"/>
                <w:b w:val="0"/>
                <w:bCs w:val="0"/>
                <w:color w:val="auto"/>
                <w:sz w:val="24"/>
                <w:szCs w:val="24"/>
                <w:lang w:val="en-US" w:eastAsia="zh-CN" w:bidi="zh-CN"/>
              </w:rPr>
            </w:pPr>
            <w:r>
              <w:rPr>
                <w:rFonts w:hint="default" w:ascii="Times New Roman" w:hAnsi="Times New Roman" w:cs="Times New Roman"/>
                <w:b w:val="0"/>
                <w:bCs w:val="0"/>
                <w:color w:val="auto"/>
                <w:sz w:val="24"/>
                <w:szCs w:val="24"/>
                <w:lang w:val="en-US" w:eastAsia="zh-CN" w:bidi="zh-CN"/>
              </w:rPr>
              <w:t>4、</w:t>
            </w:r>
            <w:r>
              <w:rPr>
                <w:rFonts w:hint="default" w:ascii="Times New Roman" w:hAnsi="Times New Roman" w:eastAsia="宋体" w:cs="Times New Roman"/>
                <w:b w:val="0"/>
                <w:bCs w:val="0"/>
                <w:color w:val="auto"/>
                <w:sz w:val="24"/>
                <w:szCs w:val="24"/>
                <w:lang w:val="en-US" w:eastAsia="zh-CN" w:bidi="zh-CN"/>
              </w:rPr>
              <w:t>固废</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480" w:firstLineChars="200"/>
              <w:textAlignment w:val="auto"/>
              <w:rPr>
                <w:rFonts w:hint="default" w:ascii="Times New Roman" w:hAnsi="Times New Roman" w:eastAsia="宋体" w:cs="Times New Roman"/>
                <w:b w:val="0"/>
                <w:bCs w:val="0"/>
                <w:color w:val="auto"/>
                <w:sz w:val="24"/>
                <w:szCs w:val="24"/>
                <w:lang w:val="en-US" w:eastAsia="zh-CN" w:bidi="zh-CN"/>
              </w:rPr>
            </w:pPr>
            <w:r>
              <w:rPr>
                <w:rFonts w:hint="default" w:ascii="Times New Roman" w:hAnsi="Times New Roman" w:eastAsia="宋体" w:cs="Times New Roman"/>
                <w:b w:val="0"/>
                <w:bCs w:val="0"/>
                <w:color w:val="auto"/>
                <w:sz w:val="24"/>
                <w:szCs w:val="24"/>
                <w:lang w:val="en-US" w:eastAsia="zh-CN" w:bidi="zh-CN"/>
              </w:rPr>
              <w:t>主要调查本项目各类固体废物（尤其是危险废物）的种类、产生量及处置情况是否按照环评要求的处置方式进行处置等。</w:t>
            </w:r>
          </w:p>
          <w:p>
            <w:pPr>
              <w:keepNext w:val="0"/>
              <w:keepLines w:val="0"/>
              <w:pageBreakBefore w:val="0"/>
              <w:widowControl w:val="0"/>
              <w:kinsoku/>
              <w:wordWrap/>
              <w:overflowPunct/>
              <w:topLinePunct w:val="0"/>
              <w:autoSpaceDE w:val="0"/>
              <w:autoSpaceDN w:val="0"/>
              <w:bidi w:val="0"/>
              <w:adjustRightInd/>
              <w:snapToGrid/>
              <w:spacing w:before="0"/>
              <w:textAlignment w:val="auto"/>
              <w:rPr>
                <w:rFonts w:hint="default" w:ascii="Times New Roman" w:hAnsi="Times New Roman" w:eastAsia="宋体" w:cs="Times New Roman"/>
                <w:b w:val="0"/>
                <w:bCs w:val="0"/>
                <w:color w:val="auto"/>
                <w:sz w:val="24"/>
                <w:szCs w:val="24"/>
                <w:lang w:val="en-US" w:eastAsia="zh-CN" w:bidi="zh-CN"/>
              </w:rPr>
            </w:pPr>
          </w:p>
          <w:p>
            <w:pPr>
              <w:pStyle w:val="2"/>
              <w:rPr>
                <w:rFonts w:hint="default" w:ascii="Times New Roman" w:hAnsi="Times New Roman" w:cs="Times New Roman"/>
                <w:lang w:val="en-US" w:eastAsia="zh-CN"/>
              </w:rPr>
            </w:pPr>
          </w:p>
          <w:p>
            <w:pPr>
              <w:pStyle w:val="7"/>
              <w:ind w:left="0" w:leftChars="0" w:firstLine="0" w:firstLineChars="0"/>
              <w:rPr>
                <w:rFonts w:hint="default" w:ascii="Times New Roman" w:hAnsi="Times New Roman" w:cs="Times New Roman"/>
                <w:sz w:val="24"/>
                <w:szCs w:val="24"/>
                <w:lang w:val="en-US" w:eastAsia="zh-CN"/>
              </w:rPr>
            </w:pPr>
          </w:p>
        </w:tc>
      </w:tr>
    </w:tbl>
    <w:p>
      <w:pPr>
        <w:rPr>
          <w:rFonts w:hint="default" w:ascii="Times New Roman" w:hAnsi="Times New Roman" w:eastAsia="黑体" w:cs="Times New Roman"/>
        </w:rPr>
      </w:pPr>
      <w:r>
        <w:rPr>
          <w:rFonts w:hint="default" w:ascii="Times New Roman" w:hAnsi="Times New Roman" w:cs="Times New Roman"/>
          <w:lang w:val="en-US" w:eastAsia="zh-CN"/>
        </w:rPr>
        <w:br w:type="page"/>
      </w:r>
      <w:r>
        <w:rPr>
          <w:rFonts w:hint="default" w:ascii="Times New Roman" w:hAnsi="Times New Roman" w:eastAsia="黑体" w:cs="Times New Roman"/>
          <w:b w:val="0"/>
          <w:bCs w:val="0"/>
          <w:sz w:val="28"/>
          <w:szCs w:val="28"/>
          <w:highlight w:val="none"/>
        </w:rPr>
        <w:t>表 7 验收监测期间工况调查及验收监测结果</w:t>
      </w:r>
    </w:p>
    <w:tbl>
      <w:tblPr>
        <w:tblStyle w:val="16"/>
        <w:tblW w:w="9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07" w:type="dxa"/>
            <w:vAlign w:val="top"/>
          </w:tcPr>
          <w:p>
            <w:pPr>
              <w:tabs>
                <w:tab w:val="left" w:pos="437"/>
              </w:tabs>
              <w:spacing w:line="360" w:lineRule="auto"/>
              <w:ind w:firstLine="0" w:firstLineChars="0"/>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一、验收监测期间生产工况记录</w:t>
            </w:r>
          </w:p>
          <w:p>
            <w:pPr>
              <w:spacing w:line="360" w:lineRule="auto"/>
              <w:ind w:firstLine="480" w:firstLineChars="200"/>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在验收监测期间，项目处于运营阶段，项目主体工程工况稳定、各项环保设施正常运行。若出现异常情况立即通知监测人员停止监测，以确保监测数据的有效性和准确性。现场调试期间工况统计见表</w:t>
            </w:r>
            <w:r>
              <w:rPr>
                <w:rFonts w:hint="eastAsia" w:ascii="Times New Roman" w:hAnsi="Times New Roman" w:cs="Times New Roman"/>
                <w:sz w:val="24"/>
                <w:szCs w:val="24"/>
                <w:vertAlign w:val="baseline"/>
                <w:lang w:val="en-US" w:eastAsia="zh-CN"/>
              </w:rPr>
              <w:t>7-1</w:t>
            </w:r>
            <w:r>
              <w:rPr>
                <w:rFonts w:hint="default" w:ascii="Times New Roman" w:hAnsi="Times New Roman" w:cs="Times New Roman"/>
                <w:sz w:val="24"/>
                <w:szCs w:val="24"/>
                <w:vertAlign w:val="baseline"/>
                <w:lang w:val="en-US"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表7-1 </w:t>
            </w:r>
            <w:r>
              <w:rPr>
                <w:rFonts w:hint="eastAsia" w:ascii="Times New Roman" w:hAnsi="Times New Roman" w:cs="Times New Roman"/>
                <w:color w:val="auto"/>
                <w:sz w:val="21"/>
                <w:szCs w:val="21"/>
                <w:lang w:val="en-US" w:eastAsia="zh-CN"/>
              </w:rPr>
              <w:t>茂陵</w:t>
            </w:r>
            <w:r>
              <w:rPr>
                <w:rFonts w:hint="default" w:ascii="Times New Roman" w:hAnsi="Times New Roman" w:cs="Times New Roman"/>
                <w:color w:val="auto"/>
                <w:sz w:val="21"/>
                <w:szCs w:val="21"/>
                <w:lang w:val="en-US" w:eastAsia="zh-CN"/>
              </w:rPr>
              <w:t>服务区</w:t>
            </w:r>
            <w:r>
              <w:rPr>
                <w:rFonts w:hint="eastAsia" w:ascii="Times New Roman" w:hAnsi="Times New Roman" w:cs="Times New Roman"/>
                <w:color w:val="auto"/>
                <w:sz w:val="21"/>
                <w:szCs w:val="21"/>
                <w:lang w:val="en-US" w:eastAsia="zh-CN"/>
              </w:rPr>
              <w:t>东</w:t>
            </w:r>
            <w:r>
              <w:rPr>
                <w:rFonts w:hint="default" w:ascii="Times New Roman" w:hAnsi="Times New Roman" w:cs="Times New Roman"/>
                <w:color w:val="auto"/>
                <w:sz w:val="21"/>
                <w:szCs w:val="21"/>
                <w:lang w:val="en-US" w:eastAsia="zh-CN"/>
              </w:rPr>
              <w:t>加油站日报表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1"/>
              <w:gridCol w:w="1560"/>
              <w:gridCol w:w="1871"/>
              <w:gridCol w:w="1870"/>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日期</w:t>
                  </w:r>
                </w:p>
              </w:tc>
              <w:tc>
                <w:tcPr>
                  <w:tcW w:w="15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油品名称</w:t>
                  </w:r>
                </w:p>
              </w:tc>
              <w:tc>
                <w:tcPr>
                  <w:tcW w:w="187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设计加油量</w:t>
                  </w:r>
                </w:p>
              </w:tc>
              <w:tc>
                <w:tcPr>
                  <w:tcW w:w="18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实际加油量</w:t>
                  </w:r>
                </w:p>
              </w:tc>
              <w:tc>
                <w:tcPr>
                  <w:tcW w:w="1872"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负荷比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18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2020年</w:t>
                  </w:r>
                  <w:r>
                    <w:rPr>
                      <w:rFonts w:hint="eastAsia" w:ascii="Times New Roman" w:hAnsi="Times New Roman" w:cs="Times New Roman"/>
                      <w:sz w:val="21"/>
                      <w:szCs w:val="21"/>
                      <w:vertAlign w:val="baseline"/>
                      <w:lang w:val="en-US" w:eastAsia="zh-CN"/>
                    </w:rPr>
                    <w:t>12</w:t>
                  </w:r>
                  <w:r>
                    <w:rPr>
                      <w:rFonts w:hint="default" w:ascii="Times New Roman" w:hAnsi="Times New Roman" w:cs="Times New Roman"/>
                      <w:sz w:val="21"/>
                      <w:szCs w:val="21"/>
                      <w:vertAlign w:val="baseline"/>
                      <w:lang w:val="en-US" w:eastAsia="zh-CN"/>
                    </w:rPr>
                    <w:t>月</w:t>
                  </w:r>
                  <w:r>
                    <w:rPr>
                      <w:rFonts w:hint="eastAsia" w:ascii="Times New Roman" w:hAnsi="Times New Roman" w:cs="Times New Roman"/>
                      <w:sz w:val="21"/>
                      <w:szCs w:val="21"/>
                      <w:vertAlign w:val="baseline"/>
                      <w:lang w:val="en-US" w:eastAsia="zh-CN"/>
                    </w:rPr>
                    <w:t>04</w:t>
                  </w:r>
                  <w:r>
                    <w:rPr>
                      <w:rFonts w:hint="default" w:ascii="Times New Roman" w:hAnsi="Times New Roman" w:cs="Times New Roman"/>
                      <w:sz w:val="21"/>
                      <w:szCs w:val="21"/>
                      <w:vertAlign w:val="baseline"/>
                      <w:lang w:val="en-US" w:eastAsia="zh-CN"/>
                    </w:rPr>
                    <w:t>日</w:t>
                  </w:r>
                </w:p>
              </w:tc>
              <w:tc>
                <w:tcPr>
                  <w:tcW w:w="15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汽油</w:t>
                  </w:r>
                  <w:r>
                    <w:rPr>
                      <w:rFonts w:hint="eastAsia" w:ascii="Times New Roman" w:hAnsi="Times New Roman" w:cs="Times New Roman"/>
                      <w:sz w:val="21"/>
                      <w:szCs w:val="21"/>
                      <w:vertAlign w:val="baseline"/>
                      <w:lang w:val="en-US" w:eastAsia="zh-CN"/>
                    </w:rPr>
                    <w:t>、</w:t>
                  </w:r>
                  <w:r>
                    <w:rPr>
                      <w:rFonts w:hint="default" w:ascii="Times New Roman" w:hAnsi="Times New Roman" w:cs="Times New Roman"/>
                      <w:sz w:val="21"/>
                      <w:szCs w:val="21"/>
                      <w:vertAlign w:val="baseline"/>
                      <w:lang w:val="en-US" w:eastAsia="zh-CN"/>
                    </w:rPr>
                    <w:t>柴油</w:t>
                  </w:r>
                </w:p>
              </w:tc>
              <w:tc>
                <w:tcPr>
                  <w:tcW w:w="187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8.22吨</w:t>
                  </w:r>
                </w:p>
              </w:tc>
              <w:tc>
                <w:tcPr>
                  <w:tcW w:w="18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6.55</w:t>
                  </w:r>
                  <w:r>
                    <w:rPr>
                      <w:rFonts w:hint="default" w:ascii="Times New Roman" w:hAnsi="Times New Roman" w:cs="Times New Roman"/>
                      <w:sz w:val="21"/>
                      <w:szCs w:val="21"/>
                      <w:highlight w:val="none"/>
                      <w:vertAlign w:val="baseline"/>
                      <w:lang w:val="en-US" w:eastAsia="zh-CN"/>
                    </w:rPr>
                    <w:t>吨</w:t>
                  </w:r>
                </w:p>
              </w:tc>
              <w:tc>
                <w:tcPr>
                  <w:tcW w:w="18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79.68</w:t>
                  </w:r>
                  <w:r>
                    <w:rPr>
                      <w:rFonts w:hint="default" w:ascii="Times New Roman" w:hAnsi="Times New Roman" w:cs="Times New Roman"/>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18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2020年</w:t>
                  </w:r>
                  <w:r>
                    <w:rPr>
                      <w:rFonts w:hint="eastAsia" w:ascii="Times New Roman" w:hAnsi="Times New Roman" w:cs="Times New Roman"/>
                      <w:sz w:val="21"/>
                      <w:szCs w:val="21"/>
                      <w:vertAlign w:val="baseline"/>
                      <w:lang w:val="en-US" w:eastAsia="zh-CN"/>
                    </w:rPr>
                    <w:t>12</w:t>
                  </w:r>
                  <w:r>
                    <w:rPr>
                      <w:rFonts w:hint="default" w:ascii="Times New Roman" w:hAnsi="Times New Roman" w:cs="Times New Roman"/>
                      <w:sz w:val="21"/>
                      <w:szCs w:val="21"/>
                      <w:vertAlign w:val="baseline"/>
                      <w:lang w:val="en-US" w:eastAsia="zh-CN"/>
                    </w:rPr>
                    <w:t>月</w:t>
                  </w:r>
                  <w:r>
                    <w:rPr>
                      <w:rFonts w:hint="eastAsia" w:ascii="Times New Roman" w:hAnsi="Times New Roman" w:cs="Times New Roman"/>
                      <w:sz w:val="21"/>
                      <w:szCs w:val="21"/>
                      <w:vertAlign w:val="baseline"/>
                      <w:lang w:val="en-US" w:eastAsia="zh-CN"/>
                    </w:rPr>
                    <w:t>05</w:t>
                  </w:r>
                  <w:r>
                    <w:rPr>
                      <w:rFonts w:hint="default" w:ascii="Times New Roman" w:hAnsi="Times New Roman" w:cs="Times New Roman"/>
                      <w:sz w:val="21"/>
                      <w:szCs w:val="21"/>
                      <w:vertAlign w:val="baseline"/>
                      <w:lang w:val="en-US" w:eastAsia="zh-CN"/>
                    </w:rPr>
                    <w:t>日</w:t>
                  </w:r>
                </w:p>
              </w:tc>
              <w:tc>
                <w:tcPr>
                  <w:tcW w:w="15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汽油</w:t>
                  </w:r>
                  <w:r>
                    <w:rPr>
                      <w:rFonts w:hint="eastAsia" w:ascii="Times New Roman" w:hAnsi="Times New Roman" w:cs="Times New Roman"/>
                      <w:sz w:val="21"/>
                      <w:szCs w:val="21"/>
                      <w:vertAlign w:val="baseline"/>
                      <w:lang w:val="en-US" w:eastAsia="zh-CN"/>
                    </w:rPr>
                    <w:t>、</w:t>
                  </w:r>
                  <w:r>
                    <w:rPr>
                      <w:rFonts w:hint="default" w:ascii="Times New Roman" w:hAnsi="Times New Roman" w:cs="Times New Roman"/>
                      <w:sz w:val="21"/>
                      <w:szCs w:val="21"/>
                      <w:vertAlign w:val="baseline"/>
                      <w:lang w:val="en-US" w:eastAsia="zh-CN"/>
                    </w:rPr>
                    <w:t>柴油</w:t>
                  </w:r>
                </w:p>
              </w:tc>
              <w:tc>
                <w:tcPr>
                  <w:tcW w:w="187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8.22</w:t>
                  </w:r>
                  <w:r>
                    <w:rPr>
                      <w:rFonts w:hint="default" w:ascii="Times New Roman" w:hAnsi="Times New Roman" w:cs="Times New Roman"/>
                      <w:sz w:val="21"/>
                      <w:szCs w:val="21"/>
                      <w:highlight w:val="none"/>
                      <w:vertAlign w:val="baseline"/>
                      <w:lang w:val="en-US" w:eastAsia="zh-CN"/>
                    </w:rPr>
                    <w:t>吨</w:t>
                  </w:r>
                </w:p>
              </w:tc>
              <w:tc>
                <w:tcPr>
                  <w:tcW w:w="187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6.42吨</w:t>
                  </w:r>
                </w:p>
              </w:tc>
              <w:tc>
                <w:tcPr>
                  <w:tcW w:w="187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78.10</w:t>
                  </w:r>
                  <w:r>
                    <w:rPr>
                      <w:rFonts w:hint="default" w:ascii="Times New Roman" w:hAnsi="Times New Roman" w:cs="Times New Roman"/>
                      <w:sz w:val="21"/>
                      <w:szCs w:val="21"/>
                      <w:highlight w:val="none"/>
                      <w:vertAlign w:val="baseline"/>
                      <w:lang w:val="en-US" w:eastAsia="zh-CN"/>
                    </w:rPr>
                    <w:t>%</w:t>
                  </w:r>
                </w:p>
              </w:tc>
            </w:tr>
          </w:tbl>
          <w:p>
            <w:pPr>
              <w:spacing w:line="360" w:lineRule="auto"/>
              <w:ind w:firstLine="480" w:firstLineChars="200"/>
              <w:rPr>
                <w:rFonts w:hint="default" w:ascii="Times New Roman" w:hAnsi="Times New Roman" w:cs="Times New Roman"/>
                <w:sz w:val="24"/>
                <w:szCs w:val="24"/>
                <w:vertAlign w:val="baseline"/>
              </w:rPr>
            </w:pPr>
            <w:r>
              <w:rPr>
                <w:rFonts w:ascii="Times New Roman" w:hAnsi="Times New Roman" w:cs="Times New Roman"/>
                <w:kern w:val="2"/>
                <w:sz w:val="24"/>
                <w:szCs w:val="24"/>
                <w:lang w:val="en-US"/>
              </w:rPr>
              <w:t>由表7</w:t>
            </w:r>
            <w:r>
              <w:rPr>
                <w:rFonts w:hint="eastAsia" w:ascii="Times New Roman" w:hAnsi="Times New Roman" w:cs="Times New Roman"/>
                <w:kern w:val="2"/>
                <w:sz w:val="24"/>
                <w:szCs w:val="24"/>
                <w:lang w:val="en-US" w:eastAsia="zh-CN"/>
              </w:rPr>
              <w:t>-</w:t>
            </w:r>
            <w:r>
              <w:rPr>
                <w:rFonts w:ascii="Times New Roman" w:hAnsi="Times New Roman" w:cs="Times New Roman"/>
                <w:kern w:val="2"/>
                <w:sz w:val="24"/>
                <w:szCs w:val="24"/>
                <w:lang w:val="en-US"/>
              </w:rPr>
              <w:t>1可知，2020年12月4日和2020年12月5日</w:t>
            </w:r>
            <w:r>
              <w:rPr>
                <w:rFonts w:ascii="Times New Roman" w:hAnsi="Times New Roman" w:cs="Times New Roman"/>
                <w:kern w:val="2"/>
                <w:sz w:val="24"/>
                <w:szCs w:val="24"/>
                <w:highlight w:val="none"/>
                <w:lang w:val="en-US"/>
              </w:rPr>
              <w:t>，监测期间生产</w:t>
            </w:r>
            <w:r>
              <w:rPr>
                <w:rFonts w:hint="eastAsia" w:ascii="Times New Roman" w:hAnsi="Times New Roman" w:cs="Times New Roman"/>
                <w:kern w:val="2"/>
                <w:sz w:val="24"/>
                <w:szCs w:val="24"/>
                <w:highlight w:val="none"/>
                <w:lang w:val="en-US" w:eastAsia="zh-CN"/>
              </w:rPr>
              <w:t>负荷</w:t>
            </w:r>
            <w:r>
              <w:rPr>
                <w:rFonts w:hint="default" w:ascii="Times New Roman" w:hAnsi="Times New Roman" w:cs="Times New Roman" w:eastAsiaTheme="minorEastAsia"/>
                <w:color w:val="auto"/>
                <w:sz w:val="24"/>
                <w:highlight w:val="none"/>
              </w:rPr>
              <w:t>符合竣工环境保护验收期间生产负荷大于</w:t>
            </w:r>
            <w:r>
              <w:rPr>
                <w:rFonts w:hint="default" w:ascii="Times New Roman" w:hAnsi="Times New Roman" w:cs="Times New Roman" w:eastAsiaTheme="minorEastAsia"/>
                <w:color w:val="auto"/>
                <w:sz w:val="24"/>
                <w:highlight w:val="none"/>
                <w:lang w:val="en-US" w:eastAsia="zh-CN"/>
              </w:rPr>
              <w:t>75%</w:t>
            </w:r>
            <w:r>
              <w:rPr>
                <w:rFonts w:hint="default" w:ascii="Times New Roman" w:hAnsi="Times New Roman" w:cs="Times New Roman" w:eastAsiaTheme="minorEastAsia"/>
                <w:color w:val="auto"/>
                <w:sz w:val="24"/>
                <w:highlight w:val="none"/>
              </w:rPr>
              <w:t>的要求</w:t>
            </w:r>
            <w:r>
              <w:rPr>
                <w:rFonts w:ascii="Times New Roman" w:hAnsi="Times New Roman" w:cs="Times New Roman"/>
                <w:kern w:val="2"/>
                <w:sz w:val="24"/>
                <w:szCs w:val="24"/>
                <w:highlight w:val="none"/>
                <w:lang w:val="en-US"/>
              </w:rPr>
              <w:t>，具备</w:t>
            </w:r>
            <w:r>
              <w:rPr>
                <w:rFonts w:hint="eastAsia" w:ascii="宋体" w:hAnsi="宋体" w:eastAsia="宋体" w:cs="宋体"/>
                <w:kern w:val="2"/>
                <w:sz w:val="24"/>
                <w:szCs w:val="24"/>
                <w:highlight w:val="none"/>
                <w:lang w:val="en-US"/>
              </w:rPr>
              <w:t>“三同时”</w:t>
            </w:r>
            <w:r>
              <w:rPr>
                <w:rFonts w:ascii="Times New Roman" w:hAnsi="Times New Roman" w:cs="Times New Roman"/>
                <w:kern w:val="2"/>
                <w:sz w:val="24"/>
                <w:szCs w:val="24"/>
                <w:highlight w:val="none"/>
                <w:lang w:val="en-US"/>
              </w:rPr>
              <w:t>验收监测条件，</w:t>
            </w:r>
            <w:r>
              <w:rPr>
                <w:rFonts w:ascii="Times New Roman" w:hAnsi="Times New Roman" w:cs="Times New Roman"/>
                <w:kern w:val="2"/>
                <w:sz w:val="24"/>
                <w:szCs w:val="24"/>
                <w:lang w:val="en-US"/>
              </w:rPr>
              <w:t>可以满足建设项目竣工环境保护验收监测要求。</w:t>
            </w:r>
          </w:p>
          <w:p>
            <w:pPr>
              <w:spacing w:line="360" w:lineRule="auto"/>
              <w:ind w:firstLine="0" w:firstLineChars="0"/>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rPr>
              <w:t>二、验收</w:t>
            </w:r>
            <w:r>
              <w:rPr>
                <w:rFonts w:hint="default" w:ascii="Times New Roman" w:hAnsi="Times New Roman" w:cs="Times New Roman"/>
                <w:sz w:val="24"/>
                <w:szCs w:val="24"/>
                <w:vertAlign w:val="baseline"/>
                <w:lang w:eastAsia="zh-CN"/>
              </w:rPr>
              <w:t>监测</w:t>
            </w:r>
            <w:r>
              <w:rPr>
                <w:rFonts w:hint="default" w:ascii="Times New Roman" w:hAnsi="Times New Roman" w:cs="Times New Roman"/>
                <w:sz w:val="24"/>
                <w:szCs w:val="24"/>
                <w:vertAlign w:val="baseline"/>
              </w:rPr>
              <w:t>结果</w:t>
            </w:r>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9"/>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highlight w:val="none"/>
              </w:rPr>
              <w:t>项目委托</w:t>
            </w:r>
            <w:r>
              <w:rPr>
                <w:rFonts w:hint="default" w:ascii="Times New Roman" w:hAnsi="Times New Roman" w:cs="Times New Roman" w:eastAsiaTheme="minorEastAsia"/>
                <w:color w:val="auto"/>
                <w:sz w:val="24"/>
                <w:szCs w:val="24"/>
              </w:rPr>
              <w:t>陕西</w:t>
            </w:r>
            <w:r>
              <w:rPr>
                <w:rFonts w:hint="default" w:ascii="Times New Roman" w:hAnsi="Times New Roman" w:cs="Times New Roman" w:eastAsiaTheme="minorEastAsia"/>
                <w:color w:val="auto"/>
                <w:sz w:val="24"/>
                <w:szCs w:val="24"/>
                <w:lang w:eastAsia="zh-CN"/>
              </w:rPr>
              <w:t>安讯环境</w:t>
            </w:r>
            <w:r>
              <w:rPr>
                <w:rFonts w:hint="default" w:ascii="Times New Roman" w:hAnsi="Times New Roman" w:cs="Times New Roman" w:eastAsiaTheme="minorEastAsia"/>
                <w:color w:val="auto"/>
                <w:sz w:val="24"/>
                <w:szCs w:val="24"/>
              </w:rPr>
              <w:t>检测有限公司</w:t>
            </w:r>
            <w:r>
              <w:rPr>
                <w:rFonts w:hint="default" w:ascii="Times New Roman" w:hAnsi="Times New Roman" w:cs="Times New Roman" w:eastAsiaTheme="minorEastAsia"/>
                <w:color w:val="auto"/>
                <w:highlight w:val="none"/>
              </w:rPr>
              <w:t>于20</w:t>
            </w:r>
            <w:r>
              <w:rPr>
                <w:rFonts w:hint="default" w:ascii="Times New Roman" w:hAnsi="Times New Roman" w:cs="Times New Roman" w:eastAsiaTheme="minorEastAsia"/>
                <w:color w:val="auto"/>
                <w:highlight w:val="none"/>
                <w:lang w:val="en-US" w:eastAsia="zh-CN"/>
              </w:rPr>
              <w:t>20</w:t>
            </w:r>
            <w:r>
              <w:rPr>
                <w:rFonts w:hint="default" w:ascii="Times New Roman" w:hAnsi="Times New Roman" w:cs="Times New Roman" w:eastAsiaTheme="minorEastAsia"/>
                <w:color w:val="auto"/>
                <w:highlight w:val="none"/>
              </w:rPr>
              <w:t>年</w:t>
            </w:r>
            <w:r>
              <w:rPr>
                <w:rFonts w:hint="eastAsia" w:ascii="Times New Roman" w:hAnsi="Times New Roman" w:cs="Times New Roman" w:eastAsiaTheme="minorEastAsia"/>
                <w:color w:val="auto"/>
                <w:highlight w:val="none"/>
                <w:lang w:val="en-US" w:eastAsia="zh-CN"/>
              </w:rPr>
              <w:t>12</w:t>
            </w:r>
            <w:r>
              <w:rPr>
                <w:rFonts w:hint="default" w:ascii="Times New Roman" w:hAnsi="Times New Roman" w:cs="Times New Roman" w:eastAsiaTheme="minorEastAsia"/>
                <w:color w:val="auto"/>
                <w:highlight w:val="none"/>
              </w:rPr>
              <w:t>月</w:t>
            </w:r>
            <w:r>
              <w:rPr>
                <w:rFonts w:hint="eastAsia" w:ascii="Times New Roman" w:hAnsi="Times New Roman" w:cs="Times New Roman" w:eastAsiaTheme="minorEastAsia"/>
                <w:color w:val="auto"/>
                <w:highlight w:val="none"/>
                <w:lang w:val="en-US" w:eastAsia="zh-CN"/>
              </w:rPr>
              <w:t>04</w:t>
            </w:r>
            <w:r>
              <w:rPr>
                <w:rFonts w:hint="default" w:ascii="Times New Roman" w:hAnsi="Times New Roman" w:cs="Times New Roman" w:eastAsiaTheme="minorEastAsia"/>
                <w:color w:val="auto"/>
                <w:highlight w:val="none"/>
              </w:rPr>
              <w:t>日～</w:t>
            </w:r>
            <w:r>
              <w:rPr>
                <w:rFonts w:hint="eastAsia" w:ascii="Times New Roman" w:hAnsi="Times New Roman" w:cs="Times New Roman" w:eastAsiaTheme="minorEastAsia"/>
                <w:color w:val="auto"/>
                <w:highlight w:val="none"/>
                <w:lang w:val="en-US" w:eastAsia="zh-CN"/>
              </w:rPr>
              <w:t>12</w:t>
            </w:r>
            <w:r>
              <w:rPr>
                <w:rFonts w:hint="default" w:ascii="Times New Roman" w:hAnsi="Times New Roman" w:cs="Times New Roman" w:eastAsiaTheme="minorEastAsia"/>
                <w:color w:val="auto"/>
                <w:highlight w:val="none"/>
                <w:lang w:val="en-US" w:eastAsia="zh-CN"/>
              </w:rPr>
              <w:t>月</w:t>
            </w:r>
            <w:r>
              <w:rPr>
                <w:rFonts w:hint="eastAsia" w:ascii="Times New Roman" w:hAnsi="Times New Roman" w:cs="Times New Roman" w:eastAsiaTheme="minorEastAsia"/>
                <w:color w:val="auto"/>
                <w:highlight w:val="none"/>
                <w:lang w:val="en-US" w:eastAsia="zh-CN"/>
              </w:rPr>
              <w:t>05</w:t>
            </w:r>
            <w:r>
              <w:rPr>
                <w:rFonts w:hint="default" w:ascii="Times New Roman" w:hAnsi="Times New Roman" w:cs="Times New Roman" w:eastAsiaTheme="minorEastAsia"/>
                <w:color w:val="auto"/>
                <w:highlight w:val="none"/>
              </w:rPr>
              <w:t>日对项目进行验收监测，并出具《</w:t>
            </w:r>
            <w:r>
              <w:rPr>
                <w:rFonts w:hint="default" w:ascii="Times New Roman" w:hAnsi="Times New Roman" w:cs="Times New Roman" w:eastAsiaTheme="minorEastAsia"/>
                <w:color w:val="auto"/>
                <w:highlight w:val="none"/>
                <w:lang w:eastAsia="zh-CN"/>
              </w:rPr>
              <w:t>陕西省石油化工工业贸易公司</w:t>
            </w:r>
            <w:r>
              <w:rPr>
                <w:rFonts w:hint="eastAsia" w:ascii="Times New Roman" w:hAnsi="Times New Roman" w:cs="Times New Roman" w:eastAsiaTheme="minorEastAsia"/>
                <w:color w:val="auto"/>
                <w:highlight w:val="none"/>
                <w:lang w:eastAsia="zh-CN"/>
              </w:rPr>
              <w:t>茂陵</w:t>
            </w:r>
            <w:r>
              <w:rPr>
                <w:rFonts w:hint="default" w:ascii="Times New Roman" w:hAnsi="Times New Roman" w:cs="Times New Roman" w:eastAsiaTheme="minorEastAsia"/>
                <w:color w:val="auto"/>
                <w:highlight w:val="none"/>
                <w:lang w:eastAsia="zh-CN"/>
              </w:rPr>
              <w:t>服务区</w:t>
            </w:r>
            <w:r>
              <w:rPr>
                <w:rFonts w:hint="eastAsia" w:ascii="Times New Roman" w:hAnsi="Times New Roman" w:cs="Times New Roman" w:eastAsiaTheme="minorEastAsia"/>
                <w:color w:val="auto"/>
                <w:highlight w:val="none"/>
                <w:lang w:eastAsia="zh-CN"/>
              </w:rPr>
              <w:t>东</w:t>
            </w:r>
            <w:r>
              <w:rPr>
                <w:rFonts w:hint="default" w:ascii="Times New Roman" w:hAnsi="Times New Roman" w:cs="Times New Roman" w:eastAsiaTheme="minorEastAsia"/>
                <w:color w:val="auto"/>
                <w:highlight w:val="none"/>
                <w:lang w:eastAsia="zh-CN"/>
              </w:rPr>
              <w:t>加油站建设项目</w:t>
            </w:r>
            <w:r>
              <w:rPr>
                <w:rFonts w:hint="default" w:ascii="Times New Roman" w:hAnsi="Times New Roman" w:cs="Times New Roman" w:eastAsiaTheme="minorEastAsia"/>
                <w:color w:val="auto"/>
                <w:highlight w:val="none"/>
              </w:rPr>
              <w:t>》监测报告（</w:t>
            </w:r>
            <w:r>
              <w:rPr>
                <w:rFonts w:hint="default" w:ascii="Times New Roman" w:hAnsi="Times New Roman" w:cs="Times New Roman" w:eastAsiaTheme="minorEastAsia"/>
                <w:color w:val="auto"/>
                <w:highlight w:val="none"/>
                <w:lang w:eastAsia="zh-CN"/>
              </w:rPr>
              <w:t>安讯</w:t>
            </w:r>
            <w:r>
              <w:rPr>
                <w:rFonts w:hint="default" w:ascii="Times New Roman" w:hAnsi="Times New Roman" w:cs="Times New Roman" w:eastAsiaTheme="minorEastAsia"/>
                <w:color w:val="auto"/>
                <w:highlight w:val="none"/>
              </w:rPr>
              <w:t>检测（综）</w:t>
            </w:r>
            <w:r>
              <w:rPr>
                <w:rFonts w:hint="default" w:ascii="Times New Roman" w:hAnsi="Times New Roman" w:cs="Times New Roman" w:eastAsiaTheme="minorEastAsia"/>
                <w:color w:val="auto"/>
                <w:highlight w:val="none"/>
                <w:lang w:eastAsia="zh-CN"/>
              </w:rPr>
              <w:t>第</w:t>
            </w:r>
            <w:r>
              <w:rPr>
                <w:rFonts w:hint="default" w:ascii="Times New Roman" w:hAnsi="Times New Roman" w:cs="Times New Roman" w:eastAsiaTheme="minorEastAsia"/>
                <w:color w:val="auto"/>
                <w:highlight w:val="none"/>
              </w:rPr>
              <w:t>2020</w:t>
            </w:r>
            <w:r>
              <w:rPr>
                <w:rFonts w:hint="eastAsia" w:ascii="Times New Roman" w:hAnsi="Times New Roman" w:cs="Times New Roman" w:eastAsiaTheme="minorEastAsia"/>
                <w:color w:val="auto"/>
                <w:highlight w:val="none"/>
                <w:lang w:val="en-US" w:eastAsia="zh-CN"/>
              </w:rPr>
              <w:t>12002</w:t>
            </w:r>
            <w:r>
              <w:rPr>
                <w:rFonts w:hint="default" w:ascii="Times New Roman" w:hAnsi="Times New Roman" w:cs="Times New Roman" w:eastAsiaTheme="minorEastAsia"/>
                <w:color w:val="auto"/>
                <w:highlight w:val="none"/>
              </w:rPr>
              <w:t>号）</w:t>
            </w:r>
            <w:r>
              <w:rPr>
                <w:rFonts w:hint="eastAsia" w:ascii="Times New Roman" w:hAnsi="Times New Roman" w:cs="Times New Roman" w:eastAsiaTheme="minorEastAsia"/>
                <w:color w:val="auto"/>
                <w:highlight w:val="none"/>
                <w:lang w:eastAsia="zh-CN"/>
              </w:rPr>
              <w:t>（见附件</w:t>
            </w:r>
            <w:r>
              <w:rPr>
                <w:rFonts w:hint="eastAsia" w:ascii="Times New Roman" w:hAnsi="Times New Roman" w:cs="Times New Roman" w:eastAsiaTheme="minorEastAsia"/>
                <w:color w:val="auto"/>
                <w:highlight w:val="none"/>
                <w:lang w:val="en-US" w:eastAsia="zh-CN"/>
              </w:rPr>
              <w:t>6</w:t>
            </w:r>
            <w:r>
              <w:rPr>
                <w:rFonts w:hint="eastAsia"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rPr>
              <w:t>。</w:t>
            </w:r>
          </w:p>
          <w:p>
            <w:pPr>
              <w:pStyle w:val="8"/>
              <w:bidi w:val="0"/>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废水</w:t>
            </w:r>
          </w:p>
          <w:p>
            <w:pPr>
              <w:keepNext w:val="0"/>
              <w:keepLines w:val="0"/>
              <w:pageBreakBefore w:val="0"/>
              <w:widowControl w:val="0"/>
              <w:numPr>
                <w:ilvl w:val="0"/>
                <w:numId w:val="0"/>
              </w:numPr>
              <w:kinsoku/>
              <w:wordWrap/>
              <w:overflowPunct/>
              <w:topLinePunct w:val="0"/>
              <w:autoSpaceDE/>
              <w:autoSpaceDN/>
              <w:bidi w:val="0"/>
              <w:spacing w:before="0"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color w:val="auto"/>
                <w:kern w:val="24"/>
                <w:sz w:val="24"/>
                <w:szCs w:val="24"/>
                <w:lang w:val="en-US" w:eastAsia="zh-CN" w:bidi="ar-SA"/>
              </w:rPr>
            </w:pPr>
            <w:r>
              <w:rPr>
                <w:rFonts w:hint="default" w:ascii="Times New Roman" w:hAnsi="Times New Roman" w:cs="Times New Roman" w:eastAsiaTheme="minorEastAsia"/>
                <w:color w:val="auto"/>
                <w:kern w:val="24"/>
                <w:sz w:val="24"/>
                <w:szCs w:val="24"/>
                <w:lang w:val="en-US" w:eastAsia="zh-CN" w:bidi="ar-SA"/>
              </w:rPr>
              <w:t>2020年</w:t>
            </w:r>
            <w:r>
              <w:rPr>
                <w:rFonts w:hint="eastAsia" w:ascii="Times New Roman" w:hAnsi="Times New Roman" w:cs="Times New Roman" w:eastAsiaTheme="minorEastAsia"/>
                <w:color w:val="auto"/>
                <w:kern w:val="24"/>
                <w:sz w:val="24"/>
                <w:szCs w:val="24"/>
                <w:lang w:val="en-US" w:eastAsia="zh-CN" w:bidi="ar-SA"/>
              </w:rPr>
              <w:t>12</w:t>
            </w:r>
            <w:r>
              <w:rPr>
                <w:rFonts w:hint="default" w:ascii="Times New Roman" w:hAnsi="Times New Roman" w:cs="Times New Roman" w:eastAsiaTheme="minorEastAsia"/>
                <w:color w:val="auto"/>
                <w:kern w:val="24"/>
                <w:sz w:val="24"/>
                <w:szCs w:val="24"/>
                <w:lang w:val="en-US" w:eastAsia="zh-CN" w:bidi="ar-SA"/>
              </w:rPr>
              <w:t>月</w:t>
            </w:r>
            <w:r>
              <w:rPr>
                <w:rFonts w:hint="eastAsia" w:ascii="Times New Roman" w:hAnsi="Times New Roman" w:cs="Times New Roman" w:eastAsiaTheme="minorEastAsia"/>
                <w:color w:val="auto"/>
                <w:kern w:val="24"/>
                <w:sz w:val="24"/>
                <w:szCs w:val="24"/>
                <w:lang w:val="en-US" w:eastAsia="zh-CN" w:bidi="ar-SA"/>
              </w:rPr>
              <w:t>04</w:t>
            </w:r>
            <w:r>
              <w:rPr>
                <w:rFonts w:hint="default" w:ascii="Times New Roman" w:hAnsi="Times New Roman" w:cs="Times New Roman" w:eastAsiaTheme="minorEastAsia"/>
                <w:color w:val="auto"/>
                <w:kern w:val="24"/>
                <w:sz w:val="24"/>
                <w:szCs w:val="24"/>
                <w:lang w:val="en-US" w:eastAsia="zh-CN" w:bidi="ar-SA"/>
              </w:rPr>
              <w:t>日～</w:t>
            </w:r>
            <w:r>
              <w:rPr>
                <w:rFonts w:hint="eastAsia" w:ascii="Times New Roman" w:hAnsi="Times New Roman" w:cs="Times New Roman" w:eastAsiaTheme="minorEastAsia"/>
                <w:color w:val="auto"/>
                <w:kern w:val="24"/>
                <w:sz w:val="24"/>
                <w:szCs w:val="24"/>
                <w:lang w:val="en-US" w:eastAsia="zh-CN" w:bidi="ar-SA"/>
              </w:rPr>
              <w:t>12</w:t>
            </w:r>
            <w:r>
              <w:rPr>
                <w:rFonts w:hint="default" w:ascii="Times New Roman" w:hAnsi="Times New Roman" w:cs="Times New Roman" w:eastAsiaTheme="minorEastAsia"/>
                <w:color w:val="auto"/>
                <w:kern w:val="24"/>
                <w:sz w:val="24"/>
                <w:szCs w:val="24"/>
                <w:lang w:val="en-US" w:eastAsia="zh-CN" w:bidi="ar-SA"/>
              </w:rPr>
              <w:t>月</w:t>
            </w:r>
            <w:r>
              <w:rPr>
                <w:rFonts w:hint="eastAsia" w:ascii="Times New Roman" w:hAnsi="Times New Roman" w:cs="Times New Roman" w:eastAsiaTheme="minorEastAsia"/>
                <w:color w:val="auto"/>
                <w:kern w:val="24"/>
                <w:sz w:val="24"/>
                <w:szCs w:val="24"/>
                <w:lang w:val="en-US" w:eastAsia="zh-CN" w:bidi="ar-SA"/>
              </w:rPr>
              <w:t>05</w:t>
            </w:r>
            <w:r>
              <w:rPr>
                <w:rFonts w:hint="default" w:ascii="Times New Roman" w:hAnsi="Times New Roman" w:cs="Times New Roman" w:eastAsiaTheme="minorEastAsia"/>
                <w:color w:val="auto"/>
                <w:kern w:val="24"/>
                <w:sz w:val="24"/>
                <w:szCs w:val="24"/>
                <w:lang w:val="en-US" w:eastAsia="zh-CN" w:bidi="ar-SA"/>
              </w:rPr>
              <w:t>日验收监测期间，项目废水总排口各污染因子测定值均符合《污水综合排放标准》（GB8978-1996）中的一级标准及</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eastAsia="zh-CN"/>
              </w:rPr>
              <w:t>城市污水再生利用城市杂用水水质标准</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val="en-US" w:eastAsia="zh-CN"/>
              </w:rPr>
              <w:t>GB T 18920-2002</w:t>
            </w:r>
            <w:r>
              <w:rPr>
                <w:rFonts w:hint="default" w:ascii="Times New Roman" w:hAnsi="Times New Roman" w:cs="Times New Roman" w:eastAsiaTheme="minorEastAsia"/>
                <w:color w:val="auto"/>
                <w:sz w:val="24"/>
              </w:rPr>
              <w:t>）中</w:t>
            </w:r>
            <w:r>
              <w:rPr>
                <w:rFonts w:hint="default" w:ascii="Times New Roman" w:hAnsi="Times New Roman" w:cs="Times New Roman" w:eastAsiaTheme="minorEastAsia"/>
                <w:color w:val="auto"/>
                <w:sz w:val="24"/>
                <w:lang w:eastAsia="zh-CN"/>
              </w:rPr>
              <w:t>绿化</w:t>
            </w:r>
            <w:r>
              <w:rPr>
                <w:rFonts w:hint="eastAsia" w:ascii="Times New Roman" w:hAnsi="Times New Roman" w:cs="Times New Roman" w:eastAsiaTheme="minorEastAsia"/>
                <w:color w:val="auto"/>
                <w:sz w:val="24"/>
                <w:lang w:eastAsia="zh-CN"/>
              </w:rPr>
              <w:t>及冲厕</w:t>
            </w:r>
            <w:r>
              <w:rPr>
                <w:rFonts w:hint="default" w:ascii="Times New Roman" w:hAnsi="Times New Roman" w:cs="Times New Roman" w:eastAsiaTheme="minorEastAsia"/>
                <w:color w:val="auto"/>
                <w:sz w:val="24"/>
                <w:lang w:eastAsia="zh-CN"/>
              </w:rPr>
              <w:t>水质标准</w:t>
            </w:r>
            <w:r>
              <w:rPr>
                <w:rFonts w:hint="default" w:ascii="Times New Roman" w:hAnsi="Times New Roman" w:cs="Times New Roman" w:eastAsiaTheme="minorEastAsia"/>
                <w:color w:val="auto"/>
                <w:kern w:val="24"/>
                <w:sz w:val="24"/>
                <w:szCs w:val="24"/>
                <w:lang w:val="en-US" w:eastAsia="zh-CN" w:bidi="ar-SA"/>
              </w:rPr>
              <w:t>，监测结果见表7-2。</w:t>
            </w:r>
          </w:p>
          <w:p>
            <w:pPr>
              <w:pStyle w:val="4"/>
              <w:keepNext w:val="0"/>
              <w:keepLines w:val="0"/>
              <w:pageBreakBefore w:val="0"/>
              <w:widowControl/>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cs="Times New Roman" w:eastAsiaTheme="minorEastAsia"/>
                <w:color w:val="auto"/>
                <w:highlight w:val="none"/>
                <w:lang w:eastAsia="zh-CN"/>
              </w:rPr>
            </w:pPr>
            <w:bookmarkStart w:id="57" w:name="_Toc134"/>
            <w:bookmarkStart w:id="58" w:name="_Toc3674"/>
            <w:bookmarkStart w:id="59" w:name="_Toc4858"/>
            <w:bookmarkStart w:id="60" w:name="_Toc31017_WPSOffice_Level2"/>
            <w:bookmarkStart w:id="61" w:name="_Toc23365_WPSOffice_Level2"/>
            <w:r>
              <w:rPr>
                <w:rFonts w:hint="default" w:ascii="Times New Roman" w:hAnsi="Times New Roman" w:cs="Times New Roman" w:eastAsiaTheme="minorEastAsia"/>
                <w:color w:val="auto"/>
                <w:highlight w:val="none"/>
              </w:rPr>
              <w:t>表</w:t>
            </w:r>
            <w:r>
              <w:rPr>
                <w:rFonts w:hint="default" w:ascii="Times New Roman" w:hAnsi="Times New Roman" w:cs="Times New Roman" w:eastAsiaTheme="minorEastAsia"/>
                <w:color w:val="auto"/>
                <w:highlight w:val="none"/>
                <w:lang w:val="en-US" w:eastAsia="zh-CN"/>
              </w:rPr>
              <w:t>7-2</w:t>
            </w:r>
            <w:r>
              <w:rPr>
                <w:rFonts w:hint="default" w:ascii="Times New Roman" w:hAnsi="Times New Roman" w:cs="Times New Roman" w:eastAsiaTheme="minorEastAsia"/>
                <w:color w:val="auto"/>
                <w:highlight w:val="none"/>
              </w:rPr>
              <w:t xml:space="preserve"> </w:t>
            </w:r>
            <w:r>
              <w:rPr>
                <w:rFonts w:hint="default" w:ascii="Times New Roman" w:hAnsi="Times New Roman" w:cs="Times New Roman" w:eastAsiaTheme="minorEastAsia"/>
                <w:color w:val="auto"/>
                <w:highlight w:val="none"/>
                <w:lang w:val="en-US" w:eastAsia="zh-CN"/>
              </w:rPr>
              <w:t xml:space="preserve"> 项目废水</w:t>
            </w:r>
            <w:r>
              <w:rPr>
                <w:rFonts w:hint="default" w:ascii="Times New Roman" w:hAnsi="Times New Roman" w:cs="Times New Roman" w:eastAsiaTheme="minorEastAsia"/>
                <w:color w:val="auto"/>
                <w:highlight w:val="none"/>
              </w:rPr>
              <w:t>监测结</w:t>
            </w:r>
            <w:r>
              <w:rPr>
                <w:rFonts w:hint="default" w:ascii="Times New Roman" w:hAnsi="Times New Roman" w:cs="Times New Roman" w:eastAsiaTheme="minorEastAsia"/>
                <w:color w:val="auto"/>
                <w:highlight w:val="none"/>
                <w:lang w:eastAsia="zh-CN"/>
              </w:rPr>
              <w:t>果</w:t>
            </w:r>
            <w:bookmarkEnd w:id="57"/>
            <w:bookmarkEnd w:id="58"/>
            <w:bookmarkEnd w:id="59"/>
            <w:bookmarkEnd w:id="60"/>
            <w:bookmarkEnd w:id="61"/>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1278"/>
              <w:gridCol w:w="1169"/>
              <w:gridCol w:w="1169"/>
              <w:gridCol w:w="1170"/>
              <w:gridCol w:w="1170"/>
              <w:gridCol w:w="1169"/>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9"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bookmarkStart w:id="62" w:name="_Toc7307_WPSOffice_Level1"/>
                  <w:bookmarkStart w:id="63" w:name="_Toc13846_WPSOffice_Level1"/>
                  <w:r>
                    <w:rPr>
                      <w:rFonts w:hint="default" w:ascii="Times New Roman" w:hAnsi="Times New Roman" w:cs="Times New Roman" w:eastAsiaTheme="minorEastAsia"/>
                      <w:color w:val="auto"/>
                      <w:sz w:val="21"/>
                      <w:szCs w:val="21"/>
                      <w:vertAlign w:val="baseline"/>
                      <w:lang w:val="en-US" w:eastAsia="zh-CN"/>
                    </w:rPr>
                    <w:t>采样日期</w:t>
                  </w:r>
                </w:p>
              </w:tc>
              <w:tc>
                <w:tcPr>
                  <w:tcW w:w="1278"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监测项目</w:t>
                  </w:r>
                </w:p>
              </w:tc>
              <w:tc>
                <w:tcPr>
                  <w:tcW w:w="5847" w:type="dxa"/>
                  <w:gridSpan w:val="5"/>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监测结果</w:t>
                  </w:r>
                </w:p>
              </w:tc>
              <w:tc>
                <w:tcPr>
                  <w:tcW w:w="1170"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1278"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第1次</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第2次</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第3次</w:t>
                  </w:r>
                </w:p>
              </w:tc>
              <w:tc>
                <w:tcPr>
                  <w:tcW w:w="1170" w:type="dxa"/>
                  <w:vAlign w:val="center"/>
                </w:tcPr>
                <w:p>
                  <w:pPr>
                    <w:keepLines w:val="0"/>
                    <w:pageBreakBefore w:val="0"/>
                    <w:numPr>
                      <w:ilvl w:val="0"/>
                      <w:numId w:val="0"/>
                    </w:numPr>
                    <w:kinsoku/>
                    <w:overflowPunct/>
                    <w:topLinePunct w:val="0"/>
                    <w:bidi w:val="0"/>
                    <w:spacing w:after="0" w:line="240" w:lineRule="auto"/>
                    <w:ind w:left="0" w:lef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第4次</w:t>
                  </w:r>
                </w:p>
              </w:tc>
              <w:tc>
                <w:tcPr>
                  <w:tcW w:w="116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平均值</w:t>
                  </w:r>
                </w:p>
              </w:tc>
              <w:tc>
                <w:tcPr>
                  <w:tcW w:w="1170"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9"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12</w:t>
                  </w:r>
                  <w:r>
                    <w:rPr>
                      <w:rFonts w:hint="default" w:ascii="Times New Roman" w:hAnsi="Times New Roman" w:cs="Times New Roman" w:eastAsiaTheme="minorEastAsia"/>
                      <w:color w:val="auto"/>
                      <w:sz w:val="21"/>
                      <w:szCs w:val="21"/>
                      <w:vertAlign w:val="baseline"/>
                      <w:lang w:val="en-US" w:eastAsia="zh-CN"/>
                    </w:rPr>
                    <w:t>月</w:t>
                  </w:r>
                  <w:r>
                    <w:rPr>
                      <w:rFonts w:hint="eastAsia" w:ascii="Times New Roman" w:hAnsi="Times New Roman" w:cs="Times New Roman" w:eastAsiaTheme="minorEastAsia"/>
                      <w:color w:val="auto"/>
                      <w:sz w:val="21"/>
                      <w:szCs w:val="21"/>
                      <w:vertAlign w:val="baseline"/>
                      <w:lang w:val="en-US" w:eastAsia="zh-CN"/>
                    </w:rPr>
                    <w:t>04</w:t>
                  </w:r>
                  <w:r>
                    <w:rPr>
                      <w:rFonts w:hint="default" w:ascii="Times New Roman" w:hAnsi="Times New Roman" w:cs="Times New Roman" w:eastAsiaTheme="minorEastAsia"/>
                      <w:color w:val="auto"/>
                      <w:sz w:val="21"/>
                      <w:szCs w:val="21"/>
                      <w:vertAlign w:val="baseline"/>
                      <w:lang w:val="en-US" w:eastAsia="zh-CN"/>
                    </w:rPr>
                    <w:t>日</w:t>
                  </w: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pH值</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i w:val="0"/>
                      <w:color w:val="000000"/>
                      <w:kern w:val="0"/>
                      <w:sz w:val="22"/>
                      <w:szCs w:val="22"/>
                      <w:u w:val="none"/>
                      <w:lang w:val="en-US" w:eastAsia="zh-CN"/>
                    </w:rPr>
                    <w:t>8.</w:t>
                  </w:r>
                  <w:r>
                    <w:rPr>
                      <w:rFonts w:hint="eastAsia" w:ascii="Times New Roman" w:hAnsi="Times New Roman" w:cs="Times New Roman"/>
                      <w:i w:val="0"/>
                      <w:color w:val="000000"/>
                      <w:kern w:val="0"/>
                      <w:sz w:val="22"/>
                      <w:szCs w:val="22"/>
                      <w:u w:val="none"/>
                      <w:lang w:val="en-US" w:eastAsia="zh-CN"/>
                    </w:rPr>
                    <w:t>03</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7.97</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8.01</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8.05</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悬浮物</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28</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27</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27</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31</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28</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COD</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77.8</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73.1</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77.8</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79.3</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77</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BOD</w:t>
                  </w:r>
                  <w:r>
                    <w:rPr>
                      <w:rFonts w:hint="default" w:ascii="Times New Roman" w:hAnsi="Times New Roman" w:cs="Times New Roman" w:eastAsiaTheme="minorEastAsia"/>
                      <w:color w:val="auto"/>
                      <w:sz w:val="21"/>
                      <w:szCs w:val="21"/>
                      <w:vertAlign w:val="subscript"/>
                      <w:lang w:val="en-US" w:eastAsia="zh-CN"/>
                    </w:rPr>
                    <w:t>5</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8.4</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7.2</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8.7</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7.6</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8.0</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氨氮</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7.50</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7.25</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7.27</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7.57</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7.40</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石油类</w:t>
                  </w:r>
                </w:p>
              </w:tc>
              <w:tc>
                <w:tcPr>
                  <w:tcW w:w="1169"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ND</w:t>
                  </w:r>
                </w:p>
              </w:tc>
              <w:tc>
                <w:tcPr>
                  <w:tcW w:w="1169"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ND</w:t>
                  </w:r>
                </w:p>
              </w:tc>
              <w:tc>
                <w:tcPr>
                  <w:tcW w:w="1170"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ND</w:t>
                  </w:r>
                </w:p>
              </w:tc>
              <w:tc>
                <w:tcPr>
                  <w:tcW w:w="1170"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ND</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9"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12</w:t>
                  </w:r>
                  <w:r>
                    <w:rPr>
                      <w:rFonts w:hint="default" w:ascii="Times New Roman" w:hAnsi="Times New Roman" w:cs="Times New Roman" w:eastAsiaTheme="minorEastAsia"/>
                      <w:color w:val="auto"/>
                      <w:sz w:val="21"/>
                      <w:szCs w:val="21"/>
                      <w:vertAlign w:val="baseline"/>
                      <w:lang w:val="en-US" w:eastAsia="zh-CN"/>
                    </w:rPr>
                    <w:t>月</w:t>
                  </w:r>
                  <w:r>
                    <w:rPr>
                      <w:rFonts w:hint="eastAsia" w:ascii="Times New Roman" w:hAnsi="Times New Roman" w:cs="Times New Roman" w:eastAsiaTheme="minorEastAsia"/>
                      <w:color w:val="auto"/>
                      <w:sz w:val="21"/>
                      <w:szCs w:val="21"/>
                      <w:vertAlign w:val="baseline"/>
                      <w:lang w:val="en-US" w:eastAsia="zh-CN"/>
                    </w:rPr>
                    <w:t>05</w:t>
                  </w:r>
                  <w:r>
                    <w:rPr>
                      <w:rFonts w:hint="default" w:ascii="Times New Roman" w:hAnsi="Times New Roman" w:cs="Times New Roman" w:eastAsiaTheme="minorEastAsia"/>
                      <w:color w:val="auto"/>
                      <w:sz w:val="21"/>
                      <w:szCs w:val="21"/>
                      <w:vertAlign w:val="baseline"/>
                      <w:lang w:val="en-US" w:eastAsia="zh-CN"/>
                    </w:rPr>
                    <w:t>日</w:t>
                  </w: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pH值</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7.99</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8.06</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8.04</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8.07</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悬浮物</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29</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32</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26</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27</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29</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COD</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79.3</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77.8</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74.6</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71.5</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75.8</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BOD</w:t>
                  </w:r>
                  <w:r>
                    <w:rPr>
                      <w:rFonts w:hint="default" w:ascii="Times New Roman" w:hAnsi="Times New Roman" w:cs="Times New Roman" w:eastAsiaTheme="minorEastAsia"/>
                      <w:color w:val="auto"/>
                      <w:sz w:val="21"/>
                      <w:szCs w:val="21"/>
                      <w:vertAlign w:val="subscript"/>
                      <w:lang w:val="en-US" w:eastAsia="zh-CN"/>
                    </w:rPr>
                    <w:t>5</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7.9</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8.7</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7.7</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7.4</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7.9</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氨氮</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7.27</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7.49</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7.47</w:t>
                  </w:r>
                </w:p>
              </w:tc>
              <w:tc>
                <w:tcPr>
                  <w:tcW w:w="1170"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7.45</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7.42</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9"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1278"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石油类</w:t>
                  </w:r>
                </w:p>
              </w:tc>
              <w:tc>
                <w:tcPr>
                  <w:tcW w:w="1169"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ND</w:t>
                  </w:r>
                </w:p>
              </w:tc>
              <w:tc>
                <w:tcPr>
                  <w:tcW w:w="1169"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ND</w:t>
                  </w:r>
                </w:p>
              </w:tc>
              <w:tc>
                <w:tcPr>
                  <w:tcW w:w="1170"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ND</w:t>
                  </w:r>
                </w:p>
              </w:tc>
              <w:tc>
                <w:tcPr>
                  <w:tcW w:w="1170" w:type="dxa"/>
                  <w:vAlign w:val="center"/>
                </w:tcPr>
                <w:p>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ND</w:t>
                  </w:r>
                </w:p>
              </w:tc>
              <w:tc>
                <w:tcPr>
                  <w:tcW w:w="1169" w:type="dxa"/>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17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mg/L</w:t>
                  </w:r>
                </w:p>
              </w:tc>
            </w:tr>
          </w:tbl>
          <w:p>
            <w:pPr>
              <w:pStyle w:val="8"/>
              <w:bidi w:val="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废气</w:t>
            </w:r>
            <w:bookmarkEnd w:id="62"/>
            <w:bookmarkEnd w:id="63"/>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9"/>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highlight w:val="none"/>
              </w:rPr>
              <w:t>20</w:t>
            </w:r>
            <w:r>
              <w:rPr>
                <w:rFonts w:hint="default" w:ascii="Times New Roman" w:hAnsi="Times New Roman" w:cs="Times New Roman" w:eastAsiaTheme="minorEastAsia"/>
                <w:color w:val="auto"/>
                <w:highlight w:val="none"/>
                <w:lang w:val="en-US" w:eastAsia="zh-CN"/>
              </w:rPr>
              <w:t>20</w:t>
            </w:r>
            <w:r>
              <w:rPr>
                <w:rFonts w:hint="default" w:ascii="Times New Roman" w:hAnsi="Times New Roman" w:cs="Times New Roman" w:eastAsiaTheme="minorEastAsia"/>
                <w:color w:val="auto"/>
                <w:highlight w:val="none"/>
              </w:rPr>
              <w:t>年</w:t>
            </w:r>
            <w:r>
              <w:rPr>
                <w:rFonts w:hint="eastAsia" w:ascii="Times New Roman" w:hAnsi="Times New Roman" w:cs="Times New Roman" w:eastAsiaTheme="minorEastAsia"/>
                <w:color w:val="auto"/>
                <w:highlight w:val="none"/>
                <w:lang w:val="en-US" w:eastAsia="zh-CN"/>
              </w:rPr>
              <w:t>12</w:t>
            </w:r>
            <w:r>
              <w:rPr>
                <w:rFonts w:hint="default" w:ascii="Times New Roman" w:hAnsi="Times New Roman" w:cs="Times New Roman" w:eastAsiaTheme="minorEastAsia"/>
                <w:color w:val="auto"/>
                <w:highlight w:val="none"/>
              </w:rPr>
              <w:t>月</w:t>
            </w:r>
            <w:r>
              <w:rPr>
                <w:rFonts w:hint="eastAsia" w:ascii="Times New Roman" w:hAnsi="Times New Roman" w:cs="Times New Roman" w:eastAsiaTheme="minorEastAsia"/>
                <w:color w:val="auto"/>
                <w:highlight w:val="none"/>
                <w:lang w:val="en-US" w:eastAsia="zh-CN"/>
              </w:rPr>
              <w:t>04</w:t>
            </w:r>
            <w:r>
              <w:rPr>
                <w:rFonts w:hint="default" w:ascii="Times New Roman" w:hAnsi="Times New Roman" w:cs="Times New Roman" w:eastAsiaTheme="minorEastAsia"/>
                <w:color w:val="auto"/>
                <w:highlight w:val="none"/>
              </w:rPr>
              <w:t>日～</w:t>
            </w:r>
            <w:r>
              <w:rPr>
                <w:rFonts w:hint="eastAsia" w:ascii="Times New Roman" w:hAnsi="Times New Roman" w:cs="Times New Roman" w:eastAsiaTheme="minorEastAsia"/>
                <w:color w:val="auto"/>
                <w:highlight w:val="none"/>
                <w:lang w:val="en-US" w:eastAsia="zh-CN"/>
              </w:rPr>
              <w:t>12</w:t>
            </w:r>
            <w:r>
              <w:rPr>
                <w:rFonts w:hint="default" w:ascii="Times New Roman" w:hAnsi="Times New Roman" w:cs="Times New Roman" w:eastAsiaTheme="minorEastAsia"/>
                <w:color w:val="auto"/>
                <w:highlight w:val="none"/>
                <w:lang w:val="en-US" w:eastAsia="zh-CN"/>
              </w:rPr>
              <w:t>月</w:t>
            </w:r>
            <w:r>
              <w:rPr>
                <w:rFonts w:hint="eastAsia" w:ascii="Times New Roman" w:hAnsi="Times New Roman" w:cs="Times New Roman" w:eastAsiaTheme="minorEastAsia"/>
                <w:color w:val="auto"/>
                <w:highlight w:val="none"/>
                <w:lang w:val="en-US" w:eastAsia="zh-CN"/>
              </w:rPr>
              <w:t>05</w:t>
            </w:r>
            <w:r>
              <w:rPr>
                <w:rFonts w:hint="default" w:ascii="Times New Roman" w:hAnsi="Times New Roman" w:cs="Times New Roman" w:eastAsiaTheme="minorEastAsia"/>
                <w:color w:val="auto"/>
                <w:highlight w:val="none"/>
              </w:rPr>
              <w:t>日</w:t>
            </w:r>
            <w:r>
              <w:rPr>
                <w:rFonts w:hint="default" w:ascii="Times New Roman" w:hAnsi="Times New Roman" w:cs="Times New Roman" w:eastAsiaTheme="minorEastAsia"/>
                <w:color w:val="auto"/>
                <w:lang w:eastAsia="zh-CN"/>
              </w:rPr>
              <w:t>验收期间，</w:t>
            </w:r>
            <w:r>
              <w:rPr>
                <w:rFonts w:hint="default" w:ascii="Times New Roman" w:hAnsi="Times New Roman" w:cs="Times New Roman" w:eastAsiaTheme="minorEastAsia"/>
                <w:color w:val="auto"/>
              </w:rPr>
              <w:t>油气回收装置</w:t>
            </w:r>
            <w:r>
              <w:rPr>
                <w:rFonts w:hint="default" w:ascii="Times New Roman" w:hAnsi="Times New Roman" w:cs="Times New Roman" w:eastAsiaTheme="minorEastAsia"/>
                <w:color w:val="auto"/>
                <w:lang w:eastAsia="zh-CN"/>
              </w:rPr>
              <w:t>排放口</w:t>
            </w:r>
            <w:r>
              <w:rPr>
                <w:rFonts w:hint="default" w:ascii="Times New Roman" w:hAnsi="Times New Roman" w:cs="Times New Roman" w:eastAsiaTheme="minorEastAsia"/>
                <w:color w:val="auto"/>
              </w:rPr>
              <w:t>监控点非甲烷总烃浓度符合《加油站大气污染物排放标准》（GB20952-2007）限值</w:t>
            </w:r>
            <w:r>
              <w:rPr>
                <w:rFonts w:hint="default" w:ascii="Times New Roman" w:hAnsi="Times New Roman" w:cs="Times New Roman" w:eastAsiaTheme="minorEastAsia"/>
                <w:color w:val="auto"/>
                <w:lang w:eastAsia="zh-CN"/>
              </w:rPr>
              <w:t>标准；项目</w:t>
            </w:r>
            <w:r>
              <w:rPr>
                <w:rFonts w:hint="default" w:ascii="Times New Roman" w:hAnsi="Times New Roman" w:cs="Times New Roman" w:eastAsiaTheme="minorEastAsia"/>
                <w:color w:val="auto"/>
              </w:rPr>
              <w:t>无组织废气监控点非甲烷总烃浓度均符合《大气污染物综合排放标准》（GB16297-1996）表2中无组织排放监控浓度限值标准。验收期间，项目非甲烷总烃监测结果见下表</w:t>
            </w:r>
            <w:r>
              <w:rPr>
                <w:rFonts w:hint="default" w:ascii="Times New Roman" w:hAnsi="Times New Roman" w:cs="Times New Roman" w:eastAsiaTheme="minorEastAsia"/>
                <w:color w:val="auto"/>
                <w:lang w:val="en-US" w:eastAsia="zh-CN"/>
              </w:rPr>
              <w:t>7-3、表7-4</w:t>
            </w:r>
            <w:r>
              <w:rPr>
                <w:rFonts w:hint="default" w:ascii="Times New Roman" w:hAnsi="Times New Roman" w:cs="Times New Roman" w:eastAsiaTheme="minorEastAsia"/>
                <w:color w:val="auto"/>
              </w:rPr>
              <w:t>。</w:t>
            </w:r>
          </w:p>
          <w:p>
            <w:pPr>
              <w:pStyle w:val="4"/>
              <w:keepLines w:val="0"/>
              <w:pageBreakBefore w:val="0"/>
              <w:kinsoku/>
              <w:overflowPunct/>
              <w:topLinePunct w:val="0"/>
              <w:bidi w:val="0"/>
              <w:ind w:firstLine="211"/>
              <w:outlineLvl w:val="9"/>
              <w:rPr>
                <w:rFonts w:hint="default" w:ascii="Times New Roman" w:hAnsi="Times New Roman" w:cs="Times New Roman" w:eastAsiaTheme="minorEastAsia"/>
                <w:color w:val="auto"/>
                <w:highlight w:val="none"/>
              </w:rPr>
            </w:pPr>
            <w:bookmarkStart w:id="64" w:name="_Toc22709_WPSOffice_Level2"/>
            <w:bookmarkStart w:id="65" w:name="_Toc1803_WPSOffice_Level2"/>
            <w:r>
              <w:rPr>
                <w:rFonts w:hint="default" w:ascii="Times New Roman" w:hAnsi="Times New Roman" w:cs="Times New Roman" w:eastAsiaTheme="minorEastAsia"/>
                <w:color w:val="auto"/>
                <w:highlight w:val="none"/>
              </w:rPr>
              <w:t>表</w:t>
            </w:r>
            <w:r>
              <w:rPr>
                <w:rFonts w:hint="default" w:ascii="Times New Roman" w:hAnsi="Times New Roman" w:cs="Times New Roman" w:eastAsiaTheme="minorEastAsia"/>
                <w:color w:val="auto"/>
                <w:highlight w:val="none"/>
                <w:lang w:val="en-US" w:eastAsia="zh-CN"/>
              </w:rPr>
              <w:t>7-3</w:t>
            </w:r>
            <w:r>
              <w:rPr>
                <w:rFonts w:hint="default" w:ascii="Times New Roman" w:hAnsi="Times New Roman" w:cs="Times New Roman" w:eastAsiaTheme="minorEastAsia"/>
                <w:color w:val="auto"/>
                <w:highlight w:val="none"/>
              </w:rPr>
              <w:t xml:space="preserve">  </w:t>
            </w:r>
            <w:r>
              <w:rPr>
                <w:rFonts w:hint="eastAsia" w:ascii="Times New Roman" w:hAnsi="Times New Roman" w:cs="Times New Roman" w:eastAsiaTheme="minorEastAsia"/>
                <w:color w:val="auto"/>
                <w:highlight w:val="none"/>
                <w:lang w:eastAsia="zh-CN"/>
              </w:rPr>
              <w:t>三次油气回收装置排放口</w:t>
            </w:r>
            <w:r>
              <w:rPr>
                <w:rFonts w:hint="default" w:ascii="Times New Roman" w:hAnsi="Times New Roman" w:cs="Times New Roman" w:eastAsiaTheme="minorEastAsia"/>
                <w:color w:val="auto"/>
                <w:highlight w:val="none"/>
              </w:rPr>
              <w:t>非甲烷总烃监测结果</w:t>
            </w:r>
            <w:bookmarkEnd w:id="64"/>
            <w:bookmarkEnd w:id="65"/>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1454"/>
              <w:gridCol w:w="1559"/>
              <w:gridCol w:w="1558"/>
              <w:gridCol w:w="156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3"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bookmarkStart w:id="66" w:name="_Toc12728_WPSOffice_Level1"/>
                  <w:bookmarkStart w:id="67" w:name="_Toc22443_WPSOffice_Level1"/>
                  <w:r>
                    <w:rPr>
                      <w:rFonts w:hint="default" w:ascii="Times New Roman" w:hAnsi="Times New Roman" w:cs="Times New Roman" w:eastAsiaTheme="minorEastAsia"/>
                      <w:color w:val="auto"/>
                      <w:sz w:val="21"/>
                      <w:szCs w:val="21"/>
                      <w:vertAlign w:val="baseline"/>
                      <w:lang w:val="en-US" w:eastAsia="zh-CN"/>
                    </w:rPr>
                    <w:t>监测点位</w:t>
                  </w:r>
                </w:p>
              </w:tc>
              <w:tc>
                <w:tcPr>
                  <w:tcW w:w="1454"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监测项目</w:t>
                  </w:r>
                </w:p>
              </w:tc>
              <w:tc>
                <w:tcPr>
                  <w:tcW w:w="155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监测日期</w:t>
                  </w:r>
                </w:p>
              </w:tc>
              <w:tc>
                <w:tcPr>
                  <w:tcW w:w="1558"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第1次</w:t>
                  </w:r>
                </w:p>
              </w:tc>
              <w:tc>
                <w:tcPr>
                  <w:tcW w:w="156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第2次</w:t>
                  </w:r>
                </w:p>
              </w:tc>
              <w:tc>
                <w:tcPr>
                  <w:tcW w:w="156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3"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三次油气回收装置排放口</w:t>
                  </w:r>
                </w:p>
              </w:tc>
              <w:tc>
                <w:tcPr>
                  <w:tcW w:w="1454" w:type="dxa"/>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非甲烷总烃（mg/m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vertAlign w:val="baseline"/>
                      <w:lang w:val="en-US" w:eastAsia="zh-CN"/>
                    </w:rPr>
                    <w:t>）</w:t>
                  </w:r>
                </w:p>
              </w:tc>
              <w:tc>
                <w:tcPr>
                  <w:tcW w:w="155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12</w:t>
                  </w:r>
                  <w:r>
                    <w:rPr>
                      <w:rFonts w:hint="default" w:ascii="Times New Roman" w:hAnsi="Times New Roman" w:cs="Times New Roman" w:eastAsiaTheme="minorEastAsia"/>
                      <w:color w:val="auto"/>
                      <w:sz w:val="21"/>
                      <w:szCs w:val="21"/>
                      <w:vertAlign w:val="baseline"/>
                      <w:lang w:val="en-US" w:eastAsia="zh-CN"/>
                    </w:rPr>
                    <w:t>月</w:t>
                  </w:r>
                  <w:r>
                    <w:rPr>
                      <w:rFonts w:hint="eastAsia" w:ascii="Times New Roman" w:hAnsi="Times New Roman" w:cs="Times New Roman" w:eastAsiaTheme="minorEastAsia"/>
                      <w:color w:val="auto"/>
                      <w:sz w:val="21"/>
                      <w:szCs w:val="21"/>
                      <w:vertAlign w:val="baseline"/>
                      <w:lang w:val="en-US" w:eastAsia="zh-CN"/>
                    </w:rPr>
                    <w:t>04</w:t>
                  </w:r>
                  <w:r>
                    <w:rPr>
                      <w:rFonts w:hint="default" w:ascii="Times New Roman" w:hAnsi="Times New Roman" w:cs="Times New Roman" w:eastAsiaTheme="minorEastAsia"/>
                      <w:color w:val="auto"/>
                      <w:sz w:val="21"/>
                      <w:szCs w:val="21"/>
                      <w:vertAlign w:val="baseline"/>
                      <w:lang w:val="en-US" w:eastAsia="zh-CN"/>
                    </w:rPr>
                    <w:t>日</w:t>
                  </w:r>
                </w:p>
              </w:tc>
              <w:tc>
                <w:tcPr>
                  <w:tcW w:w="1558"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4.</w:t>
                  </w:r>
                  <w:r>
                    <w:rPr>
                      <w:rFonts w:hint="eastAsia" w:ascii="Times New Roman" w:hAnsi="Times New Roman" w:cs="Times New Roman" w:eastAsiaTheme="minorEastAsia"/>
                      <w:color w:val="auto"/>
                      <w:sz w:val="21"/>
                      <w:szCs w:val="21"/>
                      <w:vertAlign w:val="baseline"/>
                      <w:lang w:val="en-US" w:eastAsia="zh-CN"/>
                    </w:rPr>
                    <w:t>16</w:t>
                  </w:r>
                </w:p>
              </w:tc>
              <w:tc>
                <w:tcPr>
                  <w:tcW w:w="156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4.</w:t>
                  </w:r>
                  <w:r>
                    <w:rPr>
                      <w:rFonts w:hint="eastAsia" w:ascii="Times New Roman" w:hAnsi="Times New Roman" w:cs="Times New Roman" w:eastAsiaTheme="minorEastAsia"/>
                      <w:color w:val="auto"/>
                      <w:sz w:val="21"/>
                      <w:szCs w:val="21"/>
                      <w:vertAlign w:val="baseline"/>
                      <w:lang w:val="en-US" w:eastAsia="zh-CN"/>
                    </w:rPr>
                    <w:t>01</w:t>
                  </w:r>
                </w:p>
              </w:tc>
              <w:tc>
                <w:tcPr>
                  <w:tcW w:w="156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4.</w:t>
                  </w:r>
                  <w:r>
                    <w:rPr>
                      <w:rFonts w:hint="eastAsia" w:ascii="Times New Roman" w:hAnsi="Times New Roman" w:cs="Times New Roman" w:eastAsiaTheme="minorEastAsia"/>
                      <w:color w:val="auto"/>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3"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1454" w:type="dxa"/>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1559"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12</w:t>
                  </w:r>
                  <w:r>
                    <w:rPr>
                      <w:rFonts w:hint="default" w:ascii="Times New Roman" w:hAnsi="Times New Roman" w:cs="Times New Roman" w:eastAsiaTheme="minorEastAsia"/>
                      <w:color w:val="auto"/>
                      <w:sz w:val="21"/>
                      <w:szCs w:val="21"/>
                      <w:vertAlign w:val="baseline"/>
                      <w:lang w:val="en-US" w:eastAsia="zh-CN"/>
                    </w:rPr>
                    <w:t>月</w:t>
                  </w:r>
                  <w:r>
                    <w:rPr>
                      <w:rFonts w:hint="eastAsia" w:ascii="Times New Roman" w:hAnsi="Times New Roman" w:cs="Times New Roman" w:eastAsiaTheme="minorEastAsia"/>
                      <w:color w:val="auto"/>
                      <w:sz w:val="21"/>
                      <w:szCs w:val="21"/>
                      <w:vertAlign w:val="baseline"/>
                      <w:lang w:val="en-US" w:eastAsia="zh-CN"/>
                    </w:rPr>
                    <w:t>05</w:t>
                  </w:r>
                  <w:r>
                    <w:rPr>
                      <w:rFonts w:hint="default" w:ascii="Times New Roman" w:hAnsi="Times New Roman" w:cs="Times New Roman" w:eastAsiaTheme="minorEastAsia"/>
                      <w:color w:val="auto"/>
                      <w:sz w:val="21"/>
                      <w:szCs w:val="21"/>
                      <w:vertAlign w:val="baseline"/>
                      <w:lang w:val="en-US" w:eastAsia="zh-CN"/>
                    </w:rPr>
                    <w:t>日</w:t>
                  </w:r>
                </w:p>
              </w:tc>
              <w:tc>
                <w:tcPr>
                  <w:tcW w:w="1558"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4.</w:t>
                  </w:r>
                  <w:r>
                    <w:rPr>
                      <w:rFonts w:hint="eastAsia" w:ascii="Times New Roman" w:hAnsi="Times New Roman" w:cs="Times New Roman" w:eastAsiaTheme="minorEastAsia"/>
                      <w:color w:val="auto"/>
                      <w:sz w:val="21"/>
                      <w:szCs w:val="21"/>
                      <w:vertAlign w:val="baseline"/>
                      <w:lang w:val="en-US" w:eastAsia="zh-CN"/>
                    </w:rPr>
                    <w:t>12</w:t>
                  </w:r>
                </w:p>
              </w:tc>
              <w:tc>
                <w:tcPr>
                  <w:tcW w:w="156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4.08</w:t>
                  </w:r>
                </w:p>
              </w:tc>
              <w:tc>
                <w:tcPr>
                  <w:tcW w:w="1560" w:type="dxa"/>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4.36</w:t>
                  </w:r>
                </w:p>
              </w:tc>
            </w:tr>
          </w:tbl>
          <w:p>
            <w:pPr>
              <w:pStyle w:val="8"/>
              <w:keepNext/>
              <w:keepLines/>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eastAsiaTheme="minorEastAsia"/>
                <w:b/>
                <w:bCs w:val="0"/>
                <w:iCs w:val="0"/>
                <w:color w:val="auto"/>
                <w:sz w:val="21"/>
                <w:szCs w:val="24"/>
                <w:highlight w:val="none"/>
                <w:lang w:val="en-US" w:eastAsia="zh-CN" w:bidi="zh-CN"/>
              </w:rPr>
              <w:t>表7-4  无组织废气非甲烷总烃监测结果</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3"/>
              <w:gridCol w:w="1581"/>
              <w:gridCol w:w="1486"/>
              <w:gridCol w:w="1768"/>
              <w:gridCol w:w="1340"/>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采样</w:t>
                  </w:r>
                </w:p>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日期</w:t>
                  </w:r>
                </w:p>
              </w:tc>
              <w:tc>
                <w:tcPr>
                  <w:tcW w:w="8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监测</w:t>
                  </w:r>
                </w:p>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点位</w:t>
                  </w: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监测</w:t>
                  </w:r>
                </w:p>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频次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非甲烷总烃(mg/m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vertAlign w:val="baseline"/>
                      <w:lang w:val="en-US" w:eastAsia="zh-CN"/>
                    </w:rPr>
                    <w:t>)</w:t>
                  </w:r>
                </w:p>
              </w:tc>
              <w:tc>
                <w:tcPr>
                  <w:tcW w:w="716"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风速（m/s）</w:t>
                  </w:r>
                </w:p>
              </w:tc>
              <w:tc>
                <w:tcPr>
                  <w:tcW w:w="696"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12</w:t>
                  </w:r>
                  <w:r>
                    <w:rPr>
                      <w:rFonts w:hint="default" w:ascii="Times New Roman" w:hAnsi="Times New Roman" w:cs="Times New Roman" w:eastAsiaTheme="minorEastAsia"/>
                      <w:color w:val="auto"/>
                      <w:sz w:val="21"/>
                      <w:szCs w:val="21"/>
                      <w:vertAlign w:val="baseline"/>
                      <w:lang w:val="en-US" w:eastAsia="zh-CN"/>
                    </w:rPr>
                    <w:t>月</w:t>
                  </w:r>
                  <w:r>
                    <w:rPr>
                      <w:rFonts w:hint="eastAsia" w:ascii="Times New Roman" w:hAnsi="Times New Roman" w:cs="Times New Roman" w:eastAsiaTheme="minorEastAsia"/>
                      <w:color w:val="auto"/>
                      <w:sz w:val="21"/>
                      <w:szCs w:val="21"/>
                      <w:vertAlign w:val="baseline"/>
                      <w:lang w:val="en-US" w:eastAsia="zh-CN"/>
                    </w:rPr>
                    <w:t>04</w:t>
                  </w:r>
                  <w:r>
                    <w:rPr>
                      <w:rFonts w:hint="default" w:ascii="Times New Roman" w:hAnsi="Times New Roman" w:cs="Times New Roman" w:eastAsiaTheme="minorEastAsia"/>
                      <w:color w:val="auto"/>
                      <w:sz w:val="21"/>
                      <w:szCs w:val="21"/>
                      <w:vertAlign w:val="baseline"/>
                      <w:lang w:val="en-US" w:eastAsia="zh-CN"/>
                    </w:rPr>
                    <w:t>日</w:t>
                  </w:r>
                </w:p>
              </w:tc>
              <w:tc>
                <w:tcPr>
                  <w:tcW w:w="845" w:type="pct"/>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上风向1#</w:t>
                  </w: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第一次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0.4</w:t>
                  </w:r>
                  <w:r>
                    <w:rPr>
                      <w:rFonts w:hint="eastAsia" w:ascii="Times New Roman" w:hAnsi="Times New Roman" w:cs="Times New Roman" w:eastAsiaTheme="minorEastAsia"/>
                      <w:color w:val="auto"/>
                      <w:sz w:val="21"/>
                      <w:szCs w:val="21"/>
                      <w:vertAlign w:val="baseline"/>
                      <w:lang w:val="en-US" w:eastAsia="zh-CN"/>
                    </w:rPr>
                    <w:t>2</w:t>
                  </w:r>
                </w:p>
              </w:tc>
              <w:tc>
                <w:tcPr>
                  <w:tcW w:w="716" w:type="pct"/>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1.4</w:t>
                  </w:r>
                </w:p>
              </w:tc>
              <w:tc>
                <w:tcPr>
                  <w:tcW w:w="696" w:type="pct"/>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西</w:t>
                  </w:r>
                  <w:r>
                    <w:rPr>
                      <w:rFonts w:hint="default" w:ascii="Times New Roman" w:hAnsi="Times New Roman" w:cs="Times New Roman" w:eastAsiaTheme="minorEastAsia"/>
                      <w:color w:val="auto"/>
                      <w:sz w:val="21"/>
                      <w:szCs w:val="21"/>
                      <w:vertAlign w:val="baseline"/>
                      <w:lang w:val="en-US" w:eastAsia="zh-CN"/>
                    </w:rPr>
                    <w:t>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845"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第二次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0.4</w:t>
                  </w:r>
                  <w:r>
                    <w:rPr>
                      <w:rFonts w:hint="eastAsia" w:ascii="Times New Roman" w:hAnsi="Times New Roman" w:cs="Times New Roman" w:eastAsiaTheme="minorEastAsia"/>
                      <w:color w:val="auto"/>
                      <w:sz w:val="21"/>
                      <w:szCs w:val="21"/>
                      <w:vertAlign w:val="baseline"/>
                      <w:lang w:val="en-US" w:eastAsia="zh-CN"/>
                    </w:rPr>
                    <w:t>0</w:t>
                  </w:r>
                </w:p>
              </w:tc>
              <w:tc>
                <w:tcPr>
                  <w:tcW w:w="71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69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845"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第三次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0.4</w:t>
                  </w:r>
                  <w:r>
                    <w:rPr>
                      <w:rFonts w:hint="eastAsia" w:ascii="Times New Roman" w:hAnsi="Times New Roman" w:cs="Times New Roman" w:eastAsiaTheme="minorEastAsia"/>
                      <w:color w:val="auto"/>
                      <w:sz w:val="21"/>
                      <w:szCs w:val="21"/>
                      <w:vertAlign w:val="baseline"/>
                      <w:lang w:val="en-US" w:eastAsia="zh-CN"/>
                    </w:rPr>
                    <w:t>2</w:t>
                  </w:r>
                </w:p>
              </w:tc>
              <w:tc>
                <w:tcPr>
                  <w:tcW w:w="71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69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845" w:type="pct"/>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下风向2#</w:t>
                  </w: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第一次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0.</w:t>
                  </w:r>
                  <w:r>
                    <w:rPr>
                      <w:rFonts w:hint="eastAsia" w:ascii="Times New Roman" w:hAnsi="Times New Roman" w:cs="Times New Roman" w:eastAsiaTheme="minorEastAsia"/>
                      <w:color w:val="auto"/>
                      <w:sz w:val="21"/>
                      <w:szCs w:val="21"/>
                      <w:vertAlign w:val="baseline"/>
                      <w:lang w:val="en-US" w:eastAsia="zh-CN"/>
                    </w:rPr>
                    <w:t>73</w:t>
                  </w:r>
                </w:p>
              </w:tc>
              <w:tc>
                <w:tcPr>
                  <w:tcW w:w="71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69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845"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第二次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0.7</w:t>
                  </w:r>
                  <w:r>
                    <w:rPr>
                      <w:rFonts w:hint="eastAsia" w:ascii="Times New Roman" w:hAnsi="Times New Roman" w:cs="Times New Roman" w:eastAsiaTheme="minorEastAsia"/>
                      <w:color w:val="auto"/>
                      <w:sz w:val="21"/>
                      <w:szCs w:val="21"/>
                      <w:vertAlign w:val="baseline"/>
                      <w:lang w:val="en-US" w:eastAsia="zh-CN"/>
                    </w:rPr>
                    <w:t>5</w:t>
                  </w:r>
                </w:p>
              </w:tc>
              <w:tc>
                <w:tcPr>
                  <w:tcW w:w="71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69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845"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第三次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0.7</w:t>
                  </w:r>
                  <w:r>
                    <w:rPr>
                      <w:rFonts w:hint="eastAsia" w:ascii="Times New Roman" w:hAnsi="Times New Roman" w:cs="Times New Roman" w:eastAsiaTheme="minorEastAsia"/>
                      <w:color w:val="auto"/>
                      <w:sz w:val="21"/>
                      <w:szCs w:val="21"/>
                      <w:vertAlign w:val="baseline"/>
                      <w:lang w:val="en-US" w:eastAsia="zh-CN"/>
                    </w:rPr>
                    <w:t>4</w:t>
                  </w:r>
                </w:p>
              </w:tc>
              <w:tc>
                <w:tcPr>
                  <w:tcW w:w="71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69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845" w:type="pct"/>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下风向3#</w:t>
                  </w: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第一次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0.74</w:t>
                  </w:r>
                </w:p>
              </w:tc>
              <w:tc>
                <w:tcPr>
                  <w:tcW w:w="71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69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845"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第二次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0.76</w:t>
                  </w:r>
                </w:p>
              </w:tc>
              <w:tc>
                <w:tcPr>
                  <w:tcW w:w="71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69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845"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第三次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0.74</w:t>
                  </w:r>
                </w:p>
              </w:tc>
              <w:tc>
                <w:tcPr>
                  <w:tcW w:w="71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69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845" w:type="pct"/>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下风向4#</w:t>
                  </w: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第一次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0.74</w:t>
                  </w:r>
                </w:p>
              </w:tc>
              <w:tc>
                <w:tcPr>
                  <w:tcW w:w="71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69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845"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第二次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0.76</w:t>
                  </w:r>
                </w:p>
              </w:tc>
              <w:tc>
                <w:tcPr>
                  <w:tcW w:w="71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69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845"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第三次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0.74</w:t>
                  </w:r>
                </w:p>
              </w:tc>
              <w:tc>
                <w:tcPr>
                  <w:tcW w:w="71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69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12</w:t>
                  </w:r>
                  <w:r>
                    <w:rPr>
                      <w:rFonts w:hint="default" w:ascii="Times New Roman" w:hAnsi="Times New Roman" w:cs="Times New Roman" w:eastAsiaTheme="minorEastAsia"/>
                      <w:color w:val="auto"/>
                      <w:sz w:val="21"/>
                      <w:szCs w:val="21"/>
                      <w:vertAlign w:val="baseline"/>
                      <w:lang w:val="en-US" w:eastAsia="zh-CN"/>
                    </w:rPr>
                    <w:t>月</w:t>
                  </w:r>
                  <w:r>
                    <w:rPr>
                      <w:rFonts w:hint="eastAsia" w:ascii="Times New Roman" w:hAnsi="Times New Roman" w:cs="Times New Roman" w:eastAsiaTheme="minorEastAsia"/>
                      <w:color w:val="auto"/>
                      <w:sz w:val="21"/>
                      <w:szCs w:val="21"/>
                      <w:vertAlign w:val="baseline"/>
                      <w:lang w:val="en-US" w:eastAsia="zh-CN"/>
                    </w:rPr>
                    <w:t>05</w:t>
                  </w:r>
                  <w:r>
                    <w:rPr>
                      <w:rFonts w:hint="default" w:ascii="Times New Roman" w:hAnsi="Times New Roman" w:cs="Times New Roman" w:eastAsiaTheme="minorEastAsia"/>
                      <w:color w:val="auto"/>
                      <w:sz w:val="21"/>
                      <w:szCs w:val="21"/>
                      <w:vertAlign w:val="baseline"/>
                      <w:lang w:val="en-US" w:eastAsia="zh-CN"/>
                    </w:rPr>
                    <w:t>日</w:t>
                  </w:r>
                </w:p>
              </w:tc>
              <w:tc>
                <w:tcPr>
                  <w:tcW w:w="845" w:type="pct"/>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上风向1#</w:t>
                  </w: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第一次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0.38</w:t>
                  </w:r>
                </w:p>
              </w:tc>
              <w:tc>
                <w:tcPr>
                  <w:tcW w:w="716" w:type="pct"/>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r>
                    <w:rPr>
                      <w:rFonts w:hint="eastAsia" w:ascii="Times New Roman" w:hAnsi="Times New Roman" w:cs="Times New Roman" w:eastAsiaTheme="minorEastAsia"/>
                      <w:color w:val="auto"/>
                      <w:sz w:val="21"/>
                      <w:szCs w:val="21"/>
                      <w:vertAlign w:val="baseline"/>
                      <w:lang w:val="en-US" w:eastAsia="zh-CN"/>
                    </w:rPr>
                    <w:t>6</w:t>
                  </w:r>
                </w:p>
              </w:tc>
              <w:tc>
                <w:tcPr>
                  <w:tcW w:w="696" w:type="pct"/>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845"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第二次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0.38</w:t>
                  </w:r>
                </w:p>
              </w:tc>
              <w:tc>
                <w:tcPr>
                  <w:tcW w:w="71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69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845"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第三次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0.41</w:t>
                  </w:r>
                </w:p>
              </w:tc>
              <w:tc>
                <w:tcPr>
                  <w:tcW w:w="71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69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845" w:type="pct"/>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下风向2#</w:t>
                  </w: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第一次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0.79</w:t>
                  </w:r>
                </w:p>
              </w:tc>
              <w:tc>
                <w:tcPr>
                  <w:tcW w:w="71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69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845"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第二次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0.76</w:t>
                  </w:r>
                </w:p>
              </w:tc>
              <w:tc>
                <w:tcPr>
                  <w:tcW w:w="71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69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845"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第三次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0.75</w:t>
                  </w:r>
                </w:p>
              </w:tc>
              <w:tc>
                <w:tcPr>
                  <w:tcW w:w="71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69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845" w:type="pct"/>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下风向3#</w:t>
                  </w: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第一次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0.79</w:t>
                  </w:r>
                </w:p>
              </w:tc>
              <w:tc>
                <w:tcPr>
                  <w:tcW w:w="71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69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845"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第二次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0.77</w:t>
                  </w:r>
                </w:p>
              </w:tc>
              <w:tc>
                <w:tcPr>
                  <w:tcW w:w="71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69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845"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第三次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0.77</w:t>
                  </w:r>
                </w:p>
              </w:tc>
              <w:tc>
                <w:tcPr>
                  <w:tcW w:w="71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69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845" w:type="pct"/>
                  <w:vMerge w:val="restar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下风向4#</w:t>
                  </w: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第一次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0.78</w:t>
                  </w:r>
                </w:p>
              </w:tc>
              <w:tc>
                <w:tcPr>
                  <w:tcW w:w="71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69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845"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第二次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0.71</w:t>
                  </w:r>
                </w:p>
              </w:tc>
              <w:tc>
                <w:tcPr>
                  <w:tcW w:w="71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69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1"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845"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794"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第三次</w:t>
                  </w:r>
                </w:p>
              </w:tc>
              <w:tc>
                <w:tcPr>
                  <w:tcW w:w="945" w:type="pct"/>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0.72</w:t>
                  </w:r>
                </w:p>
              </w:tc>
              <w:tc>
                <w:tcPr>
                  <w:tcW w:w="71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c>
                <w:tcPr>
                  <w:tcW w:w="696" w:type="pct"/>
                  <w:vMerge w:val="continue"/>
                  <w:vAlign w:val="center"/>
                </w:tcPr>
                <w:p>
                  <w:pPr>
                    <w:keepLines w:val="0"/>
                    <w:pageBreakBefore w:val="0"/>
                    <w:numPr>
                      <w:ilvl w:val="0"/>
                      <w:numId w:val="0"/>
                    </w:numPr>
                    <w:kinsoku/>
                    <w:overflowPunct/>
                    <w:topLinePunct w:val="0"/>
                    <w:bidi w:val="0"/>
                    <w:spacing w:after="0" w:line="240" w:lineRule="auto"/>
                    <w:jc w:val="center"/>
                    <w:outlineLvl w:val="9"/>
                    <w:rPr>
                      <w:rFonts w:hint="default" w:ascii="Times New Roman" w:hAnsi="Times New Roman" w:cs="Times New Roman" w:eastAsiaTheme="minorEastAsia"/>
                      <w:color w:val="auto"/>
                      <w:sz w:val="21"/>
                      <w:szCs w:val="21"/>
                      <w:vertAlign w:val="baseline"/>
                      <w:lang w:val="en-US" w:eastAsia="zh-CN"/>
                    </w:rPr>
                  </w:pPr>
                </w:p>
              </w:tc>
            </w:tr>
          </w:tbl>
          <w:p>
            <w:pPr>
              <w:pStyle w:val="8"/>
              <w:bidi w:val="0"/>
              <w:rPr>
                <w:rFonts w:hint="default" w:ascii="Times New Roman" w:hAnsi="Times New Roman" w:cs="Times New Roman"/>
                <w:highlight w:val="none"/>
              </w:rPr>
            </w:pPr>
            <w:r>
              <w:rPr>
                <w:rFonts w:hint="default" w:ascii="Times New Roman" w:hAnsi="Times New Roman" w:cs="Times New Roman"/>
                <w:highlight w:val="none"/>
                <w:lang w:val="en-US" w:eastAsia="zh-CN"/>
              </w:rPr>
              <w:t>3、</w:t>
            </w:r>
            <w:r>
              <w:rPr>
                <w:rFonts w:hint="default" w:ascii="Times New Roman" w:hAnsi="Times New Roman" w:cs="Times New Roman"/>
                <w:highlight w:val="none"/>
              </w:rPr>
              <w:t>厂界噪声</w:t>
            </w:r>
            <w:bookmarkEnd w:id="66"/>
            <w:bookmarkEnd w:id="67"/>
          </w:p>
          <w:p>
            <w:pPr>
              <w:keepLines w:val="0"/>
              <w:pageBreakBefore w:val="0"/>
              <w:numPr>
                <w:ilvl w:val="0"/>
                <w:numId w:val="0"/>
              </w:numPr>
              <w:kinsoku/>
              <w:overflowPunct/>
              <w:topLinePunct w:val="0"/>
              <w:bidi w:val="0"/>
              <w:spacing w:line="360" w:lineRule="auto"/>
              <w:ind w:firstLine="480" w:firstLineChars="200"/>
              <w:outlineLvl w:val="9"/>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highlight w:val="none"/>
                <w:lang w:val="en-US" w:eastAsia="zh-CN" w:bidi="ar-SA"/>
              </w:rPr>
              <w:t>2020年</w:t>
            </w:r>
            <w:r>
              <w:rPr>
                <w:rFonts w:hint="eastAsia" w:ascii="Times New Roman" w:hAnsi="Times New Roman" w:cs="Times New Roman" w:eastAsiaTheme="minorEastAsia"/>
                <w:color w:val="auto"/>
                <w:sz w:val="24"/>
                <w:szCs w:val="24"/>
                <w:highlight w:val="none"/>
                <w:lang w:val="en-US" w:eastAsia="zh-CN" w:bidi="ar-SA"/>
              </w:rPr>
              <w:t>12</w:t>
            </w:r>
            <w:r>
              <w:rPr>
                <w:rFonts w:hint="default" w:ascii="Times New Roman" w:hAnsi="Times New Roman" w:cs="Times New Roman" w:eastAsiaTheme="minorEastAsia"/>
                <w:color w:val="auto"/>
                <w:sz w:val="24"/>
                <w:szCs w:val="24"/>
                <w:highlight w:val="none"/>
                <w:lang w:val="en-US" w:eastAsia="zh-CN" w:bidi="ar-SA"/>
              </w:rPr>
              <w:t>月</w:t>
            </w:r>
            <w:r>
              <w:rPr>
                <w:rFonts w:hint="eastAsia" w:ascii="Times New Roman" w:hAnsi="Times New Roman" w:cs="Times New Roman" w:eastAsiaTheme="minorEastAsia"/>
                <w:color w:val="auto"/>
                <w:sz w:val="24"/>
                <w:szCs w:val="24"/>
                <w:highlight w:val="none"/>
                <w:lang w:val="en-US" w:eastAsia="zh-CN" w:bidi="ar-SA"/>
              </w:rPr>
              <w:t>04</w:t>
            </w:r>
            <w:r>
              <w:rPr>
                <w:rFonts w:hint="default" w:ascii="Times New Roman" w:hAnsi="Times New Roman" w:cs="Times New Roman" w:eastAsiaTheme="minorEastAsia"/>
                <w:color w:val="auto"/>
                <w:sz w:val="24"/>
                <w:szCs w:val="24"/>
                <w:highlight w:val="none"/>
                <w:lang w:val="en-US" w:eastAsia="zh-CN" w:bidi="ar-SA"/>
              </w:rPr>
              <w:t>日～</w:t>
            </w:r>
            <w:r>
              <w:rPr>
                <w:rFonts w:hint="eastAsia" w:ascii="Times New Roman" w:hAnsi="Times New Roman" w:cs="Times New Roman" w:eastAsiaTheme="minorEastAsia"/>
                <w:color w:val="auto"/>
                <w:sz w:val="24"/>
                <w:szCs w:val="24"/>
                <w:highlight w:val="none"/>
                <w:lang w:val="en-US" w:eastAsia="zh-CN" w:bidi="ar-SA"/>
              </w:rPr>
              <w:t>12</w:t>
            </w:r>
            <w:r>
              <w:rPr>
                <w:rFonts w:hint="default" w:ascii="Times New Roman" w:hAnsi="Times New Roman" w:cs="Times New Roman" w:eastAsiaTheme="minorEastAsia"/>
                <w:color w:val="auto"/>
                <w:sz w:val="24"/>
                <w:szCs w:val="24"/>
                <w:highlight w:val="none"/>
                <w:lang w:val="en-US" w:eastAsia="zh-CN" w:bidi="ar-SA"/>
              </w:rPr>
              <w:t>月</w:t>
            </w:r>
            <w:r>
              <w:rPr>
                <w:rFonts w:hint="eastAsia" w:ascii="Times New Roman" w:hAnsi="Times New Roman" w:cs="Times New Roman" w:eastAsiaTheme="minorEastAsia"/>
                <w:color w:val="auto"/>
                <w:sz w:val="24"/>
                <w:szCs w:val="24"/>
                <w:highlight w:val="none"/>
                <w:lang w:val="en-US" w:eastAsia="zh-CN" w:bidi="ar-SA"/>
              </w:rPr>
              <w:t>05</w:t>
            </w:r>
            <w:r>
              <w:rPr>
                <w:rFonts w:hint="default" w:ascii="Times New Roman" w:hAnsi="Times New Roman" w:cs="Times New Roman" w:eastAsiaTheme="minorEastAsia"/>
                <w:color w:val="auto"/>
                <w:sz w:val="24"/>
                <w:szCs w:val="24"/>
                <w:highlight w:val="none"/>
                <w:lang w:val="en-US" w:eastAsia="zh-CN" w:bidi="ar-SA"/>
              </w:rPr>
              <w:t>日</w:t>
            </w:r>
            <w:r>
              <w:rPr>
                <w:rFonts w:hint="default" w:ascii="Times New Roman" w:hAnsi="Times New Roman" w:cs="Times New Roman" w:eastAsiaTheme="minorEastAsia"/>
                <w:color w:val="auto"/>
                <w:sz w:val="24"/>
                <w:szCs w:val="24"/>
                <w:lang w:val="en-US" w:eastAsia="zh-CN" w:bidi="ar-SA"/>
              </w:rPr>
              <w:t>验收监测期间，</w:t>
            </w:r>
            <w:r>
              <w:rPr>
                <w:rFonts w:hint="default" w:ascii="Times New Roman" w:hAnsi="Times New Roman" w:cs="Times New Roman" w:eastAsiaTheme="minorEastAsia"/>
                <w:color w:val="auto"/>
                <w:sz w:val="24"/>
                <w:szCs w:val="24"/>
                <w:highlight w:val="none"/>
                <w:lang w:val="en-US" w:eastAsia="zh-CN" w:bidi="ar-SA"/>
              </w:rPr>
              <w:t>项目厂界1#、2#、3#监测点昼</w:t>
            </w:r>
            <w:r>
              <w:rPr>
                <w:rFonts w:hint="default" w:ascii="Times New Roman" w:hAnsi="Times New Roman" w:cs="Times New Roman" w:eastAsiaTheme="minorEastAsia"/>
                <w:color w:val="auto"/>
                <w:sz w:val="24"/>
                <w:szCs w:val="24"/>
                <w:lang w:val="en-US" w:eastAsia="zh-CN" w:bidi="ar-SA"/>
              </w:rPr>
              <w:t>夜间噪声测定值均符合《工业企业厂界环境噪声排放标准》（GB 12348-2008）中的</w:t>
            </w:r>
            <w:r>
              <w:rPr>
                <w:rFonts w:hint="eastAsia" w:ascii="Times New Roman" w:hAnsi="Times New Roman" w:cs="Times New Roman" w:eastAsiaTheme="minorEastAsia"/>
                <w:color w:val="auto"/>
                <w:sz w:val="24"/>
                <w:szCs w:val="24"/>
                <w:lang w:val="en-US" w:eastAsia="zh-CN" w:bidi="ar-SA"/>
              </w:rPr>
              <w:t>2</w:t>
            </w:r>
            <w:r>
              <w:rPr>
                <w:rFonts w:hint="default" w:ascii="Times New Roman" w:hAnsi="Times New Roman" w:cs="Times New Roman" w:eastAsiaTheme="minorEastAsia"/>
                <w:color w:val="auto"/>
                <w:sz w:val="24"/>
                <w:szCs w:val="24"/>
                <w:lang w:val="en-US" w:eastAsia="zh-CN" w:bidi="ar-SA"/>
              </w:rPr>
              <w:t>类标准，</w:t>
            </w:r>
            <w:r>
              <w:rPr>
                <w:rFonts w:hint="default" w:ascii="Times New Roman" w:hAnsi="Times New Roman" w:cs="Times New Roman" w:eastAsiaTheme="minorEastAsia"/>
                <w:color w:val="auto"/>
                <w:sz w:val="24"/>
                <w:szCs w:val="24"/>
                <w:highlight w:val="none"/>
                <w:lang w:val="en-US" w:eastAsia="zh-CN" w:bidi="ar-SA"/>
              </w:rPr>
              <w:t>4#监测点昼夜间噪声测定值均符合</w:t>
            </w:r>
            <w:r>
              <w:rPr>
                <w:rFonts w:hint="eastAsia" w:ascii="Times New Roman" w:hAnsi="Times New Roman" w:cs="Times New Roman" w:eastAsiaTheme="minorEastAsia"/>
                <w:color w:val="auto"/>
                <w:sz w:val="24"/>
                <w:szCs w:val="24"/>
                <w:highlight w:val="none"/>
                <w:lang w:val="en-US" w:eastAsia="zh-CN" w:bidi="ar-SA"/>
              </w:rPr>
              <w:t>4</w:t>
            </w:r>
            <w:r>
              <w:rPr>
                <w:rFonts w:hint="default" w:ascii="Times New Roman" w:hAnsi="Times New Roman" w:cs="Times New Roman" w:eastAsiaTheme="minorEastAsia"/>
                <w:color w:val="auto"/>
                <w:sz w:val="24"/>
                <w:szCs w:val="24"/>
                <w:highlight w:val="none"/>
                <w:lang w:val="en-US" w:eastAsia="zh-CN" w:bidi="ar-SA"/>
              </w:rPr>
              <w:t>类标准</w:t>
            </w:r>
            <w:r>
              <w:rPr>
                <w:rFonts w:hint="eastAsia" w:ascii="Times New Roman" w:hAnsi="Times New Roman" w:cs="Times New Roman" w:eastAsiaTheme="minorEastAsia"/>
                <w:color w:val="auto"/>
                <w:sz w:val="24"/>
                <w:szCs w:val="24"/>
                <w:highlight w:val="none"/>
                <w:lang w:val="en-US" w:eastAsia="zh-CN" w:bidi="ar-SA"/>
              </w:rPr>
              <w:t>。</w:t>
            </w:r>
            <w:r>
              <w:rPr>
                <w:rFonts w:hint="default" w:ascii="Times New Roman" w:hAnsi="Times New Roman" w:cs="Times New Roman" w:eastAsiaTheme="minorEastAsia"/>
                <w:color w:val="auto"/>
                <w:sz w:val="24"/>
                <w:szCs w:val="24"/>
                <w:lang w:val="en-US" w:eastAsia="zh-CN" w:bidi="ar-SA"/>
              </w:rPr>
              <w:t>监测结果见表7-5。</w:t>
            </w:r>
            <w:bookmarkStart w:id="68" w:name="_Toc32286"/>
            <w:bookmarkStart w:id="69" w:name="_Toc4215"/>
            <w:bookmarkStart w:id="70" w:name="_Toc15771"/>
          </w:p>
          <w:p>
            <w:pPr>
              <w:pStyle w:val="4"/>
              <w:keepLines w:val="0"/>
              <w:pageBreakBefore w:val="0"/>
              <w:kinsoku/>
              <w:overflowPunct/>
              <w:topLinePunct w:val="0"/>
              <w:bidi w:val="0"/>
              <w:outlineLvl w:val="9"/>
              <w:rPr>
                <w:rFonts w:hint="default" w:ascii="Times New Roman" w:hAnsi="Times New Roman" w:cs="Times New Roman" w:eastAsiaTheme="minorEastAsia"/>
                <w:color w:val="auto"/>
                <w:lang w:val="en-US" w:eastAsia="zh-CN"/>
              </w:rPr>
            </w:pPr>
            <w:bookmarkStart w:id="71" w:name="_Toc17494_WPSOffice_Level2"/>
            <w:bookmarkStart w:id="72" w:name="_Toc21824_WPSOffice_Level2"/>
            <w:r>
              <w:rPr>
                <w:rFonts w:hint="default" w:ascii="Times New Roman" w:hAnsi="Times New Roman" w:cs="Times New Roman" w:eastAsiaTheme="minorEastAsia"/>
                <w:color w:val="auto"/>
              </w:rPr>
              <w:t>表</w:t>
            </w:r>
            <w:r>
              <w:rPr>
                <w:rFonts w:hint="default" w:ascii="Times New Roman" w:hAnsi="Times New Roman" w:cs="Times New Roman" w:eastAsiaTheme="minorEastAsia"/>
                <w:color w:val="auto"/>
                <w:lang w:val="en-US" w:eastAsia="zh-CN"/>
              </w:rPr>
              <w:t xml:space="preserve">7-5 </w:t>
            </w:r>
            <w:r>
              <w:rPr>
                <w:rFonts w:hint="default" w:ascii="Times New Roman" w:hAnsi="Times New Roman" w:cs="Times New Roman" w:eastAsiaTheme="minorEastAsia"/>
                <w:color w:val="auto"/>
              </w:rPr>
              <w:t>厂界噪声监测结</w:t>
            </w:r>
            <w:r>
              <w:rPr>
                <w:rFonts w:hint="default" w:ascii="Times New Roman" w:hAnsi="Times New Roman" w:cs="Times New Roman" w:eastAsiaTheme="minorEastAsia"/>
                <w:color w:val="auto"/>
                <w:lang w:eastAsia="zh-CN"/>
              </w:rPr>
              <w:t>果</w:t>
            </w:r>
            <w:bookmarkEnd w:id="68"/>
            <w:bookmarkEnd w:id="69"/>
            <w:bookmarkEnd w:id="70"/>
            <w:bookmarkEnd w:id="71"/>
            <w:bookmarkEnd w:id="72"/>
          </w:p>
          <w:tbl>
            <w:tblPr>
              <w:tblStyle w:val="1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9"/>
              <w:gridCol w:w="1759"/>
              <w:gridCol w:w="585"/>
              <w:gridCol w:w="1173"/>
              <w:gridCol w:w="1172"/>
              <w:gridCol w:w="586"/>
              <w:gridCol w:w="1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2319"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气象条件</w:t>
                  </w:r>
                </w:p>
              </w:tc>
              <w:tc>
                <w:tcPr>
                  <w:tcW w:w="2344"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监测日期</w:t>
                  </w:r>
                </w:p>
              </w:tc>
              <w:tc>
                <w:tcPr>
                  <w:tcW w:w="2345"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昼间</w:t>
                  </w:r>
                </w:p>
              </w:tc>
              <w:tc>
                <w:tcPr>
                  <w:tcW w:w="2346"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2319"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2344"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2020.</w:t>
                  </w:r>
                  <w:r>
                    <w:rPr>
                      <w:rFonts w:hint="eastAsia" w:ascii="Times New Roman" w:hAnsi="Times New Roman" w:cs="Times New Roman" w:eastAsiaTheme="minorEastAsia"/>
                      <w:color w:val="auto"/>
                      <w:sz w:val="21"/>
                      <w:szCs w:val="21"/>
                      <w:vertAlign w:val="baseline"/>
                      <w:lang w:val="en-US" w:eastAsia="zh-CN"/>
                    </w:rPr>
                    <w:t>12</w:t>
                  </w:r>
                  <w:r>
                    <w:rPr>
                      <w:rFonts w:hint="default" w:ascii="Times New Roman" w:hAnsi="Times New Roman" w:cs="Times New Roman" w:eastAsiaTheme="minorEastAsia"/>
                      <w:color w:val="auto"/>
                      <w:sz w:val="21"/>
                      <w:szCs w:val="21"/>
                      <w:vertAlign w:val="baseline"/>
                      <w:lang w:val="en-US" w:eastAsia="zh-CN"/>
                    </w:rPr>
                    <w:t>.</w:t>
                  </w:r>
                  <w:r>
                    <w:rPr>
                      <w:rFonts w:hint="eastAsia" w:ascii="Times New Roman" w:hAnsi="Times New Roman" w:cs="Times New Roman" w:eastAsiaTheme="minorEastAsia"/>
                      <w:color w:val="auto"/>
                      <w:sz w:val="21"/>
                      <w:szCs w:val="21"/>
                      <w:vertAlign w:val="baseline"/>
                      <w:lang w:val="en-US" w:eastAsia="zh-CN"/>
                    </w:rPr>
                    <w:t>04</w:t>
                  </w:r>
                </w:p>
              </w:tc>
              <w:tc>
                <w:tcPr>
                  <w:tcW w:w="2345"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多云</w:t>
                  </w:r>
                  <w:r>
                    <w:rPr>
                      <w:rFonts w:hint="default" w:ascii="Times New Roman" w:hAnsi="Times New Roman" w:cs="Times New Roman" w:eastAsiaTheme="minorEastAsia"/>
                      <w:color w:val="auto"/>
                      <w:sz w:val="21"/>
                      <w:szCs w:val="21"/>
                      <w:vertAlign w:val="baseline"/>
                      <w:lang w:val="en-US" w:eastAsia="zh-CN"/>
                    </w:rPr>
                    <w:t>、</w:t>
                  </w:r>
                  <w:r>
                    <w:rPr>
                      <w:rFonts w:hint="eastAsia" w:ascii="Times New Roman" w:hAnsi="Times New Roman" w:cs="Times New Roman" w:eastAsiaTheme="minorEastAsia"/>
                      <w:color w:val="auto"/>
                      <w:sz w:val="21"/>
                      <w:szCs w:val="21"/>
                      <w:vertAlign w:val="baseline"/>
                      <w:lang w:val="en-US" w:eastAsia="zh-CN"/>
                    </w:rPr>
                    <w:t>西</w:t>
                  </w:r>
                  <w:r>
                    <w:rPr>
                      <w:rFonts w:hint="default" w:ascii="Times New Roman" w:hAnsi="Times New Roman" w:cs="Times New Roman" w:eastAsiaTheme="minorEastAsia"/>
                      <w:color w:val="auto"/>
                      <w:sz w:val="21"/>
                      <w:szCs w:val="21"/>
                      <w:vertAlign w:val="baseline"/>
                      <w:lang w:val="en-US" w:eastAsia="zh-CN"/>
                    </w:rPr>
                    <w:t>北风、1.4m/s</w:t>
                  </w:r>
                </w:p>
              </w:tc>
              <w:tc>
                <w:tcPr>
                  <w:tcW w:w="2346"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多云</w:t>
                  </w:r>
                  <w:r>
                    <w:rPr>
                      <w:rFonts w:hint="default" w:ascii="Times New Roman" w:hAnsi="Times New Roman" w:cs="Times New Roman" w:eastAsiaTheme="minorEastAsia"/>
                      <w:color w:val="auto"/>
                      <w:sz w:val="21"/>
                      <w:szCs w:val="21"/>
                      <w:vertAlign w:val="baseline"/>
                      <w:lang w:val="en-US" w:eastAsia="zh-CN"/>
                    </w:rPr>
                    <w:t>、</w:t>
                  </w:r>
                  <w:r>
                    <w:rPr>
                      <w:rFonts w:hint="eastAsia" w:ascii="Times New Roman" w:hAnsi="Times New Roman" w:cs="Times New Roman" w:eastAsiaTheme="minorEastAsia"/>
                      <w:color w:val="auto"/>
                      <w:sz w:val="21"/>
                      <w:szCs w:val="21"/>
                      <w:vertAlign w:val="baseline"/>
                      <w:lang w:val="en-US" w:eastAsia="zh-CN"/>
                    </w:rPr>
                    <w:t>西</w:t>
                  </w:r>
                  <w:r>
                    <w:rPr>
                      <w:rFonts w:hint="default" w:ascii="Times New Roman" w:hAnsi="Times New Roman" w:cs="Times New Roman" w:eastAsiaTheme="minorEastAsia"/>
                      <w:color w:val="auto"/>
                      <w:sz w:val="21"/>
                      <w:szCs w:val="21"/>
                      <w:vertAlign w:val="baseline"/>
                      <w:lang w:val="en-US" w:eastAsia="zh-CN"/>
                    </w:rPr>
                    <w:t>北风、1.</w:t>
                  </w:r>
                  <w:r>
                    <w:rPr>
                      <w:rFonts w:hint="eastAsia" w:ascii="Times New Roman" w:hAnsi="Times New Roman" w:cs="Times New Roman" w:eastAsiaTheme="minorEastAsia"/>
                      <w:color w:val="auto"/>
                      <w:sz w:val="21"/>
                      <w:szCs w:val="21"/>
                      <w:vertAlign w:val="baseline"/>
                      <w:lang w:val="en-US" w:eastAsia="zh-CN"/>
                    </w:rPr>
                    <w:t>6</w:t>
                  </w:r>
                  <w:r>
                    <w:rPr>
                      <w:rFonts w:hint="default" w:ascii="Times New Roman" w:hAnsi="Times New Roman" w:cs="Times New Roman" w:eastAsiaTheme="minorEastAsia"/>
                      <w:color w:val="auto"/>
                      <w:sz w:val="21"/>
                      <w:szCs w:val="21"/>
                      <w:vertAlign w:val="baseline"/>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tblHeader/>
                <w:jc w:val="center"/>
              </w:trPr>
              <w:tc>
                <w:tcPr>
                  <w:tcW w:w="2319"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2344"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2020.</w:t>
                  </w:r>
                  <w:r>
                    <w:rPr>
                      <w:rFonts w:hint="eastAsia" w:ascii="Times New Roman" w:hAnsi="Times New Roman" w:cs="Times New Roman" w:eastAsiaTheme="minorEastAsia"/>
                      <w:color w:val="auto"/>
                      <w:sz w:val="21"/>
                      <w:szCs w:val="21"/>
                      <w:vertAlign w:val="baseline"/>
                      <w:lang w:val="en-US" w:eastAsia="zh-CN"/>
                    </w:rPr>
                    <w:t>12</w:t>
                  </w:r>
                  <w:r>
                    <w:rPr>
                      <w:rFonts w:hint="default" w:ascii="Times New Roman" w:hAnsi="Times New Roman" w:cs="Times New Roman" w:eastAsiaTheme="minorEastAsia"/>
                      <w:color w:val="auto"/>
                      <w:sz w:val="21"/>
                      <w:szCs w:val="21"/>
                      <w:vertAlign w:val="baseline"/>
                      <w:lang w:val="en-US" w:eastAsia="zh-CN"/>
                    </w:rPr>
                    <w:t>.</w:t>
                  </w:r>
                  <w:r>
                    <w:rPr>
                      <w:rFonts w:hint="eastAsia" w:ascii="Times New Roman" w:hAnsi="Times New Roman" w:cs="Times New Roman" w:eastAsiaTheme="minorEastAsia"/>
                      <w:color w:val="auto"/>
                      <w:sz w:val="21"/>
                      <w:szCs w:val="21"/>
                      <w:vertAlign w:val="baseline"/>
                      <w:lang w:val="en-US" w:eastAsia="zh-CN"/>
                    </w:rPr>
                    <w:t>05</w:t>
                  </w:r>
                </w:p>
              </w:tc>
              <w:tc>
                <w:tcPr>
                  <w:tcW w:w="2345"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多云</w:t>
                  </w:r>
                  <w:r>
                    <w:rPr>
                      <w:rFonts w:hint="default" w:ascii="Times New Roman" w:hAnsi="Times New Roman" w:cs="Times New Roman" w:eastAsiaTheme="minorEastAsia"/>
                      <w:color w:val="auto"/>
                      <w:sz w:val="21"/>
                      <w:szCs w:val="21"/>
                      <w:vertAlign w:val="baseline"/>
                      <w:lang w:val="en-US" w:eastAsia="zh-CN"/>
                    </w:rPr>
                    <w:t>、北风、1.</w:t>
                  </w:r>
                  <w:r>
                    <w:rPr>
                      <w:rFonts w:hint="eastAsia" w:ascii="Times New Roman" w:hAnsi="Times New Roman" w:cs="Times New Roman" w:eastAsiaTheme="minorEastAsia"/>
                      <w:color w:val="auto"/>
                      <w:sz w:val="21"/>
                      <w:szCs w:val="21"/>
                      <w:vertAlign w:val="baseline"/>
                      <w:lang w:val="en-US" w:eastAsia="zh-CN"/>
                    </w:rPr>
                    <w:t>6</w:t>
                  </w:r>
                  <w:r>
                    <w:rPr>
                      <w:rFonts w:hint="default" w:ascii="Times New Roman" w:hAnsi="Times New Roman" w:cs="Times New Roman" w:eastAsiaTheme="minorEastAsia"/>
                      <w:color w:val="auto"/>
                      <w:sz w:val="21"/>
                      <w:szCs w:val="21"/>
                      <w:vertAlign w:val="baseline"/>
                      <w:lang w:val="en-US" w:eastAsia="zh-CN"/>
                    </w:rPr>
                    <w:t>m/s</w:t>
                  </w:r>
                </w:p>
              </w:tc>
              <w:tc>
                <w:tcPr>
                  <w:tcW w:w="2346"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多云</w:t>
                  </w:r>
                  <w:r>
                    <w:rPr>
                      <w:rFonts w:hint="default" w:ascii="Times New Roman" w:hAnsi="Times New Roman" w:cs="Times New Roman" w:eastAsiaTheme="minorEastAsia"/>
                      <w:color w:val="auto"/>
                      <w:sz w:val="21"/>
                      <w:szCs w:val="21"/>
                      <w:vertAlign w:val="baseline"/>
                      <w:lang w:val="en-US" w:eastAsia="zh-CN"/>
                    </w:rPr>
                    <w:t>、北风、1.</w:t>
                  </w:r>
                  <w:r>
                    <w:rPr>
                      <w:rFonts w:hint="eastAsia" w:ascii="Times New Roman" w:hAnsi="Times New Roman" w:cs="Times New Roman" w:eastAsiaTheme="minorEastAsia"/>
                      <w:color w:val="auto"/>
                      <w:sz w:val="21"/>
                      <w:szCs w:val="21"/>
                      <w:vertAlign w:val="baseline"/>
                      <w:lang w:val="en-US" w:eastAsia="zh-CN"/>
                    </w:rPr>
                    <w:t>7</w:t>
                  </w:r>
                  <w:r>
                    <w:rPr>
                      <w:rFonts w:hint="default" w:ascii="Times New Roman" w:hAnsi="Times New Roman" w:cs="Times New Roman" w:eastAsiaTheme="minorEastAsia"/>
                      <w:color w:val="auto"/>
                      <w:sz w:val="21"/>
                      <w:szCs w:val="21"/>
                      <w:vertAlign w:val="baseline"/>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2319"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bookmarkStart w:id="73" w:name="_Toc4570"/>
                  <w:bookmarkStart w:id="74" w:name="_Toc27581_WPSOffice_Level2"/>
                  <w:r>
                    <w:rPr>
                      <w:rFonts w:hint="default" w:ascii="Times New Roman" w:hAnsi="Times New Roman" w:cs="Times New Roman" w:eastAsiaTheme="minorEastAsia"/>
                      <w:color w:val="auto"/>
                      <w:sz w:val="21"/>
                      <w:szCs w:val="21"/>
                      <w:vertAlign w:val="baseline"/>
                      <w:lang w:val="en-US" w:eastAsia="zh-CN"/>
                    </w:rPr>
                    <w:t>监测点位</w:t>
                  </w:r>
                </w:p>
              </w:tc>
              <w:tc>
                <w:tcPr>
                  <w:tcW w:w="7035" w:type="dxa"/>
                  <w:gridSpan w:val="6"/>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blHeader/>
                <w:jc w:val="center"/>
              </w:trPr>
              <w:tc>
                <w:tcPr>
                  <w:tcW w:w="2319"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3517" w:type="dxa"/>
                  <w:gridSpan w:val="3"/>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2020.</w:t>
                  </w:r>
                  <w:r>
                    <w:rPr>
                      <w:rFonts w:hint="eastAsia" w:ascii="Times New Roman" w:hAnsi="Times New Roman" w:cs="Times New Roman" w:eastAsiaTheme="minorEastAsia"/>
                      <w:color w:val="auto"/>
                      <w:sz w:val="21"/>
                      <w:szCs w:val="21"/>
                      <w:vertAlign w:val="baseline"/>
                      <w:lang w:val="en-US" w:eastAsia="zh-CN"/>
                    </w:rPr>
                    <w:t>12.04</w:t>
                  </w:r>
                </w:p>
              </w:tc>
              <w:tc>
                <w:tcPr>
                  <w:tcW w:w="3518" w:type="dxa"/>
                  <w:gridSpan w:val="3"/>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2020.</w:t>
                  </w:r>
                  <w:r>
                    <w:rPr>
                      <w:rFonts w:hint="eastAsia" w:ascii="Times New Roman" w:hAnsi="Times New Roman" w:cs="Times New Roman" w:eastAsiaTheme="minorEastAsia"/>
                      <w:color w:val="auto"/>
                      <w:sz w:val="21"/>
                      <w:szCs w:val="21"/>
                      <w:vertAlign w:val="baseline"/>
                      <w:lang w:val="en-US" w:eastAsia="zh-CN"/>
                    </w:rPr>
                    <w:t>12.05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2319"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1759"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昼间dB（A）</w:t>
                  </w:r>
                </w:p>
              </w:tc>
              <w:tc>
                <w:tcPr>
                  <w:tcW w:w="1758"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夜间dB（A）</w:t>
                  </w:r>
                </w:p>
              </w:tc>
              <w:tc>
                <w:tcPr>
                  <w:tcW w:w="1758"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昼间dB（A）</w:t>
                  </w:r>
                </w:p>
              </w:tc>
              <w:tc>
                <w:tcPr>
                  <w:tcW w:w="17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19"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1#北厂界</w:t>
                  </w:r>
                </w:p>
              </w:tc>
              <w:tc>
                <w:tcPr>
                  <w:tcW w:w="1759"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52</w:t>
                  </w:r>
                </w:p>
              </w:tc>
              <w:tc>
                <w:tcPr>
                  <w:tcW w:w="1758"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42</w:t>
                  </w:r>
                </w:p>
              </w:tc>
              <w:tc>
                <w:tcPr>
                  <w:tcW w:w="1758"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53</w:t>
                  </w:r>
                </w:p>
              </w:tc>
              <w:tc>
                <w:tcPr>
                  <w:tcW w:w="17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19"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2#东厂界</w:t>
                  </w:r>
                </w:p>
              </w:tc>
              <w:tc>
                <w:tcPr>
                  <w:tcW w:w="1759"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51</w:t>
                  </w:r>
                </w:p>
              </w:tc>
              <w:tc>
                <w:tcPr>
                  <w:tcW w:w="1758"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43</w:t>
                  </w:r>
                </w:p>
              </w:tc>
              <w:tc>
                <w:tcPr>
                  <w:tcW w:w="1758"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52</w:t>
                  </w:r>
                </w:p>
              </w:tc>
              <w:tc>
                <w:tcPr>
                  <w:tcW w:w="17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19"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3#南厂界</w:t>
                  </w:r>
                </w:p>
              </w:tc>
              <w:tc>
                <w:tcPr>
                  <w:tcW w:w="1759"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50</w:t>
                  </w:r>
                </w:p>
              </w:tc>
              <w:tc>
                <w:tcPr>
                  <w:tcW w:w="1758"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42</w:t>
                  </w:r>
                </w:p>
              </w:tc>
              <w:tc>
                <w:tcPr>
                  <w:tcW w:w="1758"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53</w:t>
                  </w:r>
                </w:p>
              </w:tc>
              <w:tc>
                <w:tcPr>
                  <w:tcW w:w="17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19"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4#西厂界</w:t>
                  </w:r>
                </w:p>
              </w:tc>
              <w:tc>
                <w:tcPr>
                  <w:tcW w:w="1759"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55</w:t>
                  </w:r>
                </w:p>
              </w:tc>
              <w:tc>
                <w:tcPr>
                  <w:tcW w:w="1758"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44</w:t>
                  </w:r>
                </w:p>
              </w:tc>
              <w:tc>
                <w:tcPr>
                  <w:tcW w:w="1758"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55</w:t>
                  </w:r>
                </w:p>
              </w:tc>
              <w:tc>
                <w:tcPr>
                  <w:tcW w:w="17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45</w:t>
                  </w:r>
                </w:p>
              </w:tc>
            </w:tr>
          </w:tbl>
          <w:p>
            <w:pPr>
              <w:pStyle w:val="8"/>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firstLine="480" w:firstLineChars="200"/>
              <w:textAlignment w:val="auto"/>
              <w:rPr>
                <w:rFonts w:hint="default" w:ascii="Times New Roman" w:hAnsi="Times New Roman" w:eastAsia="宋体" w:cs="Times New Roman"/>
                <w:b w:val="0"/>
                <w:bCs/>
                <w:sz w:val="24"/>
                <w:szCs w:val="32"/>
                <w:lang w:val="en-US" w:eastAsia="zh-CN"/>
              </w:rPr>
            </w:pPr>
            <w:r>
              <w:rPr>
                <w:rFonts w:hint="default" w:ascii="Times New Roman" w:hAnsi="Times New Roman" w:eastAsia="宋体" w:cs="Times New Roman"/>
                <w:b w:val="0"/>
                <w:bCs/>
                <w:sz w:val="24"/>
                <w:szCs w:val="32"/>
                <w:lang w:val="en-US" w:eastAsia="zh-CN"/>
              </w:rPr>
              <w:t>4、固体废弃物</w:t>
            </w:r>
          </w:p>
          <w:bookmarkEnd w:id="73"/>
          <w:bookmarkEnd w:id="74"/>
          <w:p>
            <w:pPr>
              <w:pStyle w:val="20"/>
              <w:keepNext w:val="0"/>
              <w:keepLines w:val="0"/>
              <w:pageBreakBefore w:val="0"/>
              <w:widowControl w:val="0"/>
              <w:numPr>
                <w:ilvl w:val="-1"/>
                <w:numId w:val="0"/>
              </w:numPr>
              <w:suppressLineNumbers w:val="0"/>
              <w:tabs>
                <w:tab w:val="left" w:pos="954"/>
              </w:tabs>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 w:val="0"/>
                <w:bCs w:val="0"/>
                <w:sz w:val="24"/>
                <w:szCs w:val="24"/>
                <w:lang w:eastAsia="zh-CN"/>
              </w:rPr>
            </w:pPr>
            <w:r>
              <w:rPr>
                <w:rFonts w:hint="default" w:ascii="Times New Roman" w:hAnsi="Times New Roman" w:cs="Times New Roman"/>
                <w:b w:val="0"/>
                <w:bCs w:val="0"/>
                <w:sz w:val="24"/>
                <w:szCs w:val="24"/>
                <w:lang w:eastAsia="zh-CN"/>
              </w:rPr>
              <w:t>根据现场调查及企业自述，本项目产生的固体废物包括生活垃圾和危险废物。生活垃圾主要是员工日常活动及流动人员产生的固体废物，目前产生量为0.2t，分类收集后，交由茂陵服务区统一送环卫部门进行集中处理。危险废物主要是废润滑油（环评阶段预测产生量0.05t/a）、油罐底部油泥（环评阶段预测产生量0.15t/a）和废含油棉纱、废手套（环评阶段预测产生量0.004t/a），验收阶段未产生。项目产生的</w:t>
            </w:r>
            <w:r>
              <w:rPr>
                <w:rFonts w:hint="eastAsia" w:ascii="Times New Roman" w:hAnsi="Times New Roman" w:cs="Times New Roman"/>
                <w:b w:val="0"/>
                <w:bCs w:val="0"/>
                <w:sz w:val="24"/>
                <w:szCs w:val="24"/>
                <w:lang w:eastAsia="zh-CN"/>
              </w:rPr>
              <w:t>清罐油泥</w:t>
            </w:r>
            <w:r>
              <w:rPr>
                <w:rFonts w:hint="default" w:ascii="Times New Roman" w:hAnsi="Times New Roman" w:cs="Times New Roman"/>
                <w:b w:val="0"/>
                <w:bCs w:val="0"/>
                <w:sz w:val="24"/>
                <w:szCs w:val="24"/>
                <w:lang w:eastAsia="zh-CN"/>
              </w:rPr>
              <w:t>由清罐单位直接拉走处置，不在站内贮存。废润滑油、</w:t>
            </w:r>
            <w:r>
              <w:rPr>
                <w:rFonts w:hint="eastAsia" w:ascii="Times New Roman" w:hAnsi="Times New Roman" w:cs="Times New Roman"/>
                <w:b w:val="0"/>
                <w:bCs w:val="0"/>
                <w:sz w:val="24"/>
                <w:szCs w:val="24"/>
                <w:lang w:eastAsia="zh-CN"/>
              </w:rPr>
              <w:t>含油棉纱和手套</w:t>
            </w:r>
            <w:r>
              <w:rPr>
                <w:rFonts w:hint="default" w:ascii="Times New Roman" w:hAnsi="Times New Roman" w:cs="Times New Roman"/>
                <w:b w:val="0"/>
                <w:bCs w:val="0"/>
                <w:sz w:val="24"/>
                <w:szCs w:val="24"/>
                <w:lang w:eastAsia="zh-CN"/>
              </w:rPr>
              <w:t>暂存于危废暂存箱，统一交由陕西明瑞资源再生有限公司处置。</w:t>
            </w:r>
          </w:p>
          <w:p>
            <w:pPr>
              <w:pStyle w:val="20"/>
              <w:keepNext w:val="0"/>
              <w:keepLines w:val="0"/>
              <w:pageBreakBefore w:val="0"/>
              <w:widowControl w:val="0"/>
              <w:numPr>
                <w:ilvl w:val="-1"/>
                <w:numId w:val="0"/>
              </w:numPr>
              <w:suppressLineNumbers w:val="0"/>
              <w:tabs>
                <w:tab w:val="left" w:pos="954"/>
              </w:tabs>
              <w:kinsoku/>
              <w:wordWrap/>
              <w:overflowPunct/>
              <w:topLinePunct w:val="0"/>
              <w:autoSpaceDE w:val="0"/>
              <w:autoSpaceDN w:val="0"/>
              <w:bidi w:val="0"/>
              <w:adjustRightInd/>
              <w:snapToGrid/>
              <w:spacing w:before="0" w:beforeAutospacing="0" w:after="0" w:afterAutospacing="0" w:line="360" w:lineRule="auto"/>
              <w:ind w:left="0" w:right="0" w:firstLine="0"/>
              <w:jc w:val="left"/>
              <w:textAlignment w:val="auto"/>
              <w:rPr>
                <w:rFonts w:hint="default" w:ascii="Times New Roman" w:hAnsi="Times New Roman" w:cs="Times New Roman" w:eastAsiaTheme="minorEastAsia"/>
                <w:b/>
                <w:color w:val="000000"/>
                <w:kern w:val="2"/>
                <w:sz w:val="28"/>
                <w:szCs w:val="28"/>
                <w:lang w:val="en-US" w:bidi="ar-SA"/>
              </w:rPr>
            </w:pPr>
            <w:r>
              <w:rPr>
                <w:rStyle w:val="23"/>
                <w:rFonts w:hint="default" w:ascii="Times New Roman" w:hAnsi="Times New Roman" w:cs="Times New Roman"/>
                <w:kern w:val="2"/>
                <w:lang w:val="en-US" w:eastAsia="zh-CN"/>
              </w:rPr>
              <w:t>三、</w:t>
            </w:r>
            <w:r>
              <w:rPr>
                <w:rStyle w:val="23"/>
                <w:rFonts w:hint="default" w:ascii="Times New Roman" w:hAnsi="Times New Roman" w:cs="Times New Roman"/>
                <w:kern w:val="2"/>
                <w:lang w:val="en-US"/>
              </w:rPr>
              <w:t>污染物排放总量核算</w:t>
            </w:r>
          </w:p>
          <w:p>
            <w:pPr>
              <w:keepNext w:val="0"/>
              <w:keepLines w:val="0"/>
              <w:pageBreakBefore w:val="0"/>
              <w:widowControl w:val="0"/>
              <w:kinsoku/>
              <w:wordWrap/>
              <w:overflowPunct/>
              <w:topLinePunct w:val="0"/>
              <w:autoSpaceDE w:val="0"/>
              <w:autoSpaceDN w:val="0"/>
              <w:bidi w:val="0"/>
              <w:adjustRightInd/>
              <w:snapToGrid/>
              <w:spacing w:line="360" w:lineRule="auto"/>
              <w:ind w:firstLine="482"/>
              <w:jc w:val="both"/>
              <w:textAlignment w:val="auto"/>
              <w:rPr>
                <w:rFonts w:hint="default" w:ascii="Times New Roman" w:hAnsi="Times New Roman" w:eastAsia="宋体" w:cs="Times New Roman"/>
                <w:b w:val="0"/>
                <w:bCs w:val="0"/>
                <w:sz w:val="24"/>
                <w:szCs w:val="24"/>
                <w:lang w:val="zh-CN" w:eastAsia="zh-CN" w:bidi="zh-CN"/>
              </w:rPr>
            </w:pPr>
            <w:r>
              <w:rPr>
                <w:rFonts w:hint="default" w:ascii="Times New Roman" w:hAnsi="Times New Roman" w:cs="Times New Roman" w:eastAsiaTheme="minorEastAsia"/>
                <w:kern w:val="2"/>
                <w:sz w:val="24"/>
                <w:szCs w:val="24"/>
              </w:rPr>
              <w:t>本项目营运期废水主要</w:t>
            </w:r>
            <w:r>
              <w:rPr>
                <w:rFonts w:hint="default" w:ascii="Times New Roman" w:hAnsi="Times New Roman" w:cs="Times New Roman" w:eastAsiaTheme="minorEastAsia"/>
                <w:kern w:val="2"/>
                <w:sz w:val="24"/>
                <w:szCs w:val="24"/>
                <w:lang w:eastAsia="zh-CN"/>
              </w:rPr>
              <w:t>为生活污水</w:t>
            </w:r>
            <w:r>
              <w:rPr>
                <w:rFonts w:hint="default" w:ascii="Times New Roman" w:hAnsi="Times New Roman" w:cs="Times New Roman" w:eastAsiaTheme="minorEastAsia"/>
                <w:kern w:val="2"/>
                <w:sz w:val="24"/>
                <w:szCs w:val="24"/>
              </w:rPr>
              <w:t>，</w:t>
            </w:r>
            <w:r>
              <w:rPr>
                <w:rFonts w:hint="default" w:ascii="Times New Roman" w:hAnsi="Times New Roman" w:cs="Times New Roman" w:eastAsiaTheme="minorEastAsia"/>
                <w:kern w:val="2"/>
                <w:sz w:val="24"/>
                <w:szCs w:val="24"/>
                <w:lang w:eastAsia="zh-CN"/>
              </w:rPr>
              <w:t>生活污水进入茂陵服务区</w:t>
            </w:r>
            <w:r>
              <w:rPr>
                <w:rFonts w:hint="default" w:ascii="Times New Roman" w:hAnsi="Times New Roman" w:cs="Times New Roman" w:eastAsiaTheme="minorEastAsia"/>
                <w:kern w:val="2"/>
                <w:sz w:val="24"/>
                <w:szCs w:val="24"/>
              </w:rPr>
              <w:t>一体化生活污水处理设备处理后，</w:t>
            </w:r>
            <w:r>
              <w:rPr>
                <w:rFonts w:hint="default" w:ascii="Times New Roman" w:hAnsi="Times New Roman" w:cs="Times New Roman"/>
                <w:snapToGrid w:val="0"/>
                <w:color w:val="auto"/>
                <w:kern w:val="0"/>
                <w:sz w:val="24"/>
                <w:szCs w:val="24"/>
              </w:rPr>
              <w:t>出水回用于服务区场区绿化</w:t>
            </w:r>
            <w:r>
              <w:rPr>
                <w:rFonts w:hint="eastAsia" w:ascii="Times New Roman" w:hAnsi="Times New Roman" w:cs="Times New Roman"/>
                <w:snapToGrid w:val="0"/>
                <w:color w:val="auto"/>
                <w:kern w:val="0"/>
                <w:sz w:val="24"/>
                <w:szCs w:val="24"/>
                <w:lang w:eastAsia="zh-CN"/>
              </w:rPr>
              <w:t>及冲厕</w:t>
            </w:r>
            <w:r>
              <w:rPr>
                <w:rFonts w:hint="default" w:ascii="Times New Roman" w:hAnsi="Times New Roman" w:cs="Times New Roman"/>
                <w:snapToGrid w:val="0"/>
                <w:color w:val="auto"/>
                <w:kern w:val="0"/>
                <w:sz w:val="24"/>
                <w:szCs w:val="24"/>
              </w:rPr>
              <w:t>，不外排</w:t>
            </w:r>
            <w:r>
              <w:rPr>
                <w:rFonts w:hint="default" w:ascii="Times New Roman" w:hAnsi="Times New Roman" w:cs="Times New Roman"/>
                <w:snapToGrid w:val="0"/>
                <w:color w:val="auto"/>
                <w:kern w:val="0"/>
                <w:sz w:val="24"/>
                <w:lang w:eastAsia="zh-CN"/>
              </w:rPr>
              <w:t>。</w:t>
            </w:r>
            <w:r>
              <w:rPr>
                <w:rFonts w:hint="default" w:ascii="Times New Roman" w:hAnsi="Times New Roman" w:cs="Times New Roman" w:eastAsiaTheme="minorEastAsia"/>
                <w:kern w:val="2"/>
                <w:sz w:val="24"/>
                <w:szCs w:val="24"/>
              </w:rPr>
              <w:t>项目废水经处理后综合利用，产生的其它污染物不涉及总量控制指标，因此本项目污染物总量控制指标为零。</w:t>
            </w:r>
          </w:p>
          <w:p>
            <w:pPr>
              <w:pStyle w:val="5"/>
              <w:spacing w:after="0" w:line="360" w:lineRule="auto"/>
              <w:ind w:right="0"/>
              <w:jc w:val="both"/>
              <w:rPr>
                <w:rFonts w:hint="default" w:ascii="Times New Roman" w:hAnsi="Times New Roman" w:eastAsia="宋体" w:cs="Times New Roman"/>
                <w:bCs/>
                <w:color w:val="000000"/>
                <w:sz w:val="24"/>
                <w:szCs w:val="24"/>
                <w:highlight w:val="none"/>
                <w:lang w:eastAsia="zh-CN"/>
              </w:rPr>
            </w:pPr>
          </w:p>
          <w:p>
            <w:pPr>
              <w:pStyle w:val="5"/>
              <w:spacing w:after="0" w:line="360" w:lineRule="auto"/>
              <w:ind w:right="0"/>
              <w:jc w:val="both"/>
              <w:rPr>
                <w:rFonts w:hint="default" w:ascii="Times New Roman" w:hAnsi="Times New Roman" w:eastAsia="宋体" w:cs="Times New Roman"/>
                <w:bCs/>
                <w:color w:val="000000"/>
                <w:sz w:val="24"/>
                <w:szCs w:val="24"/>
                <w:highlight w:val="none"/>
                <w:lang w:eastAsia="zh-CN"/>
              </w:rPr>
            </w:pPr>
          </w:p>
          <w:p>
            <w:pPr>
              <w:pStyle w:val="5"/>
              <w:spacing w:after="0" w:line="360" w:lineRule="auto"/>
              <w:ind w:right="0"/>
              <w:jc w:val="both"/>
              <w:rPr>
                <w:rFonts w:hint="default" w:ascii="Times New Roman" w:hAnsi="Times New Roman" w:eastAsia="宋体" w:cs="Times New Roman"/>
                <w:bCs/>
                <w:color w:val="000000"/>
                <w:sz w:val="24"/>
                <w:szCs w:val="24"/>
                <w:highlight w:val="none"/>
                <w:lang w:eastAsia="zh-CN"/>
              </w:rPr>
            </w:pPr>
          </w:p>
          <w:p>
            <w:pPr>
              <w:pStyle w:val="5"/>
              <w:spacing w:after="0" w:line="360" w:lineRule="auto"/>
              <w:ind w:right="0"/>
              <w:jc w:val="both"/>
              <w:rPr>
                <w:rFonts w:hint="default" w:ascii="Times New Roman" w:hAnsi="Times New Roman" w:eastAsia="宋体" w:cs="Times New Roman"/>
                <w:bCs/>
                <w:color w:val="000000"/>
                <w:sz w:val="24"/>
                <w:szCs w:val="24"/>
                <w:highlight w:val="none"/>
                <w:lang w:eastAsia="zh-CN"/>
              </w:rPr>
            </w:pPr>
          </w:p>
        </w:tc>
      </w:tr>
    </w:tbl>
    <w:p>
      <w:pPr>
        <w:rPr>
          <w:rFonts w:hint="default" w:ascii="Times New Roman" w:hAnsi="Times New Roman" w:cs="Times New Roman"/>
        </w:rPr>
      </w:pPr>
      <w:r>
        <w:rPr>
          <w:rFonts w:hint="default" w:ascii="Times New Roman" w:hAnsi="Times New Roman" w:cs="Times New Roman"/>
        </w:rPr>
        <w:br w:type="page"/>
      </w:r>
    </w:p>
    <w:p>
      <w:pPr>
        <w:pStyle w:val="6"/>
        <w:ind w:left="0" w:leftChars="0" w:firstLine="0" w:firstLineChars="0"/>
        <w:rPr>
          <w:rFonts w:hint="default" w:ascii="Times New Roman" w:hAnsi="Times New Roman" w:eastAsia="黑体" w:cs="Times New Roman"/>
        </w:rPr>
      </w:pPr>
      <w:r>
        <w:rPr>
          <w:rFonts w:hint="default" w:ascii="Times New Roman" w:hAnsi="Times New Roman" w:eastAsia="黑体" w:cs="Times New Roman"/>
        </w:rPr>
        <w:t xml:space="preserve">表 </w:t>
      </w:r>
      <w:r>
        <w:rPr>
          <w:rFonts w:hint="default" w:ascii="Times New Roman" w:hAnsi="Times New Roman" w:eastAsia="黑体" w:cs="Times New Roman"/>
          <w:lang w:val="en-US" w:eastAsia="zh-CN"/>
        </w:rPr>
        <w:t>8</w:t>
      </w:r>
      <w:r>
        <w:rPr>
          <w:rFonts w:hint="default" w:ascii="Times New Roman" w:hAnsi="Times New Roman" w:eastAsia="黑体" w:cs="Times New Roman"/>
        </w:rPr>
        <w:t xml:space="preserve"> 验收监测结论</w:t>
      </w:r>
    </w:p>
    <w:tbl>
      <w:tblPr>
        <w:tblStyle w:val="16"/>
        <w:tblW w:w="9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07" w:type="dxa"/>
            <w:vAlign w:val="top"/>
          </w:tcPr>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一、环境保护设施调试运行结果</w:t>
            </w:r>
          </w:p>
          <w:p>
            <w:pPr>
              <w:pStyle w:val="5"/>
              <w:spacing w:before="0" w:after="0" w:line="360" w:lineRule="auto"/>
              <w:ind w:right="0" w:firstLine="480" w:firstLineChars="200"/>
              <w:rPr>
                <w:rFonts w:hint="default" w:ascii="Times New Roman" w:hAnsi="Times New Roman" w:eastAsia="宋体" w:cs="Times New Roman"/>
                <w:highlight w:val="none"/>
              </w:rPr>
            </w:pPr>
            <w:bookmarkStart w:id="75" w:name="_Toc280"/>
            <w:r>
              <w:rPr>
                <w:rFonts w:hint="eastAsia" w:ascii="宋体" w:hAnsi="宋体" w:eastAsia="宋体" w:cs="宋体"/>
                <w:sz w:val="24"/>
                <w:szCs w:val="24"/>
                <w:lang w:val="en-US" w:eastAsia="zh-CN" w:bidi="zh-CN"/>
              </w:rPr>
              <w:t>根据</w:t>
            </w:r>
            <w:r>
              <w:rPr>
                <w:rFonts w:hint="eastAsia" w:ascii="宋体" w:hAnsi="宋体" w:eastAsia="宋体" w:cs="宋体"/>
                <w:sz w:val="24"/>
                <w:szCs w:val="24"/>
                <w:highlight w:val="none"/>
                <w:lang w:val="en-US" w:eastAsia="zh-CN" w:bidi="zh-CN"/>
              </w:rPr>
              <w:t>陕西安讯环境检测有限公司</w:t>
            </w:r>
            <w:r>
              <w:rPr>
                <w:rFonts w:hint="eastAsia" w:ascii="宋体" w:hAnsi="宋体" w:eastAsia="宋体" w:cs="宋体"/>
                <w:sz w:val="24"/>
                <w:szCs w:val="24"/>
                <w:lang w:val="en-US" w:eastAsia="zh-CN" w:bidi="zh-CN"/>
              </w:rPr>
              <w:t>于</w:t>
            </w:r>
            <w:r>
              <w:rPr>
                <w:rFonts w:hint="default" w:ascii="Times New Roman" w:hAnsi="Times New Roman" w:eastAsia="宋体" w:cs="Times New Roman"/>
                <w:sz w:val="24"/>
                <w:szCs w:val="24"/>
                <w:lang w:val="en-US" w:eastAsia="zh-CN" w:bidi="zh-CN"/>
              </w:rPr>
              <w:t>2020年12月04日-12月05日</w:t>
            </w:r>
            <w:r>
              <w:rPr>
                <w:rFonts w:hint="eastAsia" w:ascii="宋体" w:hAnsi="宋体" w:eastAsia="宋体" w:cs="宋体"/>
                <w:sz w:val="24"/>
                <w:szCs w:val="24"/>
                <w:lang w:val="en-US" w:eastAsia="zh-CN" w:bidi="zh-CN"/>
              </w:rPr>
              <w:t>对项目废水、废气、噪声现场监测结果分析项目环保设施调试效果。</w:t>
            </w:r>
          </w:p>
          <w:p>
            <w:pPr>
              <w:pStyle w:val="22"/>
              <w:keepNext w:val="0"/>
              <w:keepLines w:val="0"/>
              <w:pageBreakBefore w:val="0"/>
              <w:widowControl/>
              <w:numPr>
                <w:ilvl w:val="-1"/>
                <w:numId w:val="0"/>
              </w:numPr>
              <w:kinsoku/>
              <w:wordWrap/>
              <w:overflowPunct/>
              <w:topLinePunct w:val="0"/>
              <w:autoSpaceDE/>
              <w:autoSpaceDN/>
              <w:bidi w:val="0"/>
              <w:adjustRightInd/>
              <w:snapToGrid/>
              <w:spacing w:before="0" w:beforeLines="0" w:beforeAutospacing="0" w:after="0" w:afterLines="0" w:afterAutospacing="0" w:line="360" w:lineRule="auto"/>
              <w:ind w:leftChars="0" w:firstLine="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1、废水治理措施</w:t>
            </w:r>
          </w:p>
          <w:p>
            <w:pPr>
              <w:pStyle w:val="18"/>
              <w:keepNext w:val="0"/>
              <w:keepLines w:val="0"/>
              <w:pageBreakBefore w:val="0"/>
              <w:widowControl/>
              <w:numPr>
                <w:ilvl w:val="-1"/>
                <w:numId w:val="0"/>
              </w:numPr>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9"/>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项目场地废水主要为生活污水，生活污水</w:t>
            </w:r>
            <w:r>
              <w:rPr>
                <w:rFonts w:hint="default" w:ascii="Times New Roman" w:hAnsi="Times New Roman" w:cs="Times New Roman"/>
                <w:snapToGrid w:val="0"/>
                <w:color w:val="auto"/>
                <w:kern w:val="0"/>
                <w:sz w:val="24"/>
                <w:szCs w:val="24"/>
              </w:rPr>
              <w:t>依托服务区内一体化埋地式中水回用膜处理设备处理后，出水回用于服务区场区绿化</w:t>
            </w:r>
            <w:r>
              <w:rPr>
                <w:rFonts w:hint="eastAsia" w:ascii="Times New Roman" w:hAnsi="Times New Roman" w:cs="Times New Roman"/>
                <w:snapToGrid w:val="0"/>
                <w:color w:val="auto"/>
                <w:kern w:val="0"/>
                <w:sz w:val="24"/>
                <w:szCs w:val="24"/>
                <w:lang w:eastAsia="zh-CN"/>
              </w:rPr>
              <w:t>及冲厕</w:t>
            </w:r>
            <w:r>
              <w:rPr>
                <w:rFonts w:hint="default" w:ascii="Times New Roman" w:hAnsi="Times New Roman" w:cs="Times New Roman"/>
                <w:snapToGrid w:val="0"/>
                <w:color w:val="auto"/>
                <w:kern w:val="0"/>
                <w:sz w:val="24"/>
                <w:szCs w:val="24"/>
              </w:rPr>
              <w:t>，不外排</w:t>
            </w:r>
            <w:r>
              <w:rPr>
                <w:rFonts w:hint="default" w:ascii="Times New Roman" w:hAnsi="Times New Roman" w:cs="Times New Roman"/>
                <w:snapToGrid w:val="0"/>
                <w:color w:val="auto"/>
                <w:kern w:val="0"/>
                <w:sz w:val="24"/>
                <w:lang w:eastAsia="zh-CN"/>
              </w:rPr>
              <w:t>。</w:t>
            </w:r>
            <w:r>
              <w:rPr>
                <w:rFonts w:hint="default" w:ascii="Times New Roman" w:hAnsi="Times New Roman" w:eastAsia="宋体" w:cs="Times New Roman"/>
                <w:sz w:val="24"/>
                <w:szCs w:val="24"/>
                <w:lang w:val="en-US" w:eastAsia="zh-CN" w:bidi="zh-CN"/>
              </w:rPr>
              <w:t>废水水质符合《污水综合排放标准》（GB8978-1996）中的一级标准及《城市污水再生利用城市杂用水水质标准》（GB T 18920-2002）中绿化</w:t>
            </w:r>
            <w:r>
              <w:rPr>
                <w:rFonts w:hint="eastAsia" w:ascii="Times New Roman" w:hAnsi="Times New Roman" w:eastAsia="宋体" w:cs="Times New Roman"/>
                <w:sz w:val="24"/>
                <w:szCs w:val="24"/>
                <w:lang w:val="en-US" w:eastAsia="zh-CN" w:bidi="zh-CN"/>
              </w:rPr>
              <w:t>及冲厕</w:t>
            </w:r>
            <w:r>
              <w:rPr>
                <w:rFonts w:hint="default" w:ascii="Times New Roman" w:hAnsi="Times New Roman" w:eastAsia="宋体" w:cs="Times New Roman"/>
                <w:sz w:val="24"/>
                <w:szCs w:val="24"/>
                <w:lang w:val="en-US" w:eastAsia="zh-CN" w:bidi="zh-CN"/>
              </w:rPr>
              <w:t>水质标准。</w:t>
            </w:r>
            <w:bookmarkEnd w:id="75"/>
          </w:p>
          <w:p>
            <w:pPr>
              <w:pStyle w:val="22"/>
              <w:keepNext w:val="0"/>
              <w:keepLines w:val="0"/>
              <w:pageBreakBefore w:val="0"/>
              <w:widowControl/>
              <w:numPr>
                <w:ilvl w:val="-1"/>
                <w:numId w:val="0"/>
              </w:numPr>
              <w:kinsoku/>
              <w:wordWrap/>
              <w:overflowPunct/>
              <w:topLinePunct w:val="0"/>
              <w:autoSpaceDE/>
              <w:autoSpaceDN/>
              <w:bidi w:val="0"/>
              <w:adjustRightInd/>
              <w:snapToGrid/>
              <w:spacing w:before="0" w:beforeLines="0" w:beforeAutospacing="0" w:after="0" w:afterLines="0" w:afterAutospacing="0" w:line="360" w:lineRule="auto"/>
              <w:ind w:leftChars="0" w:firstLine="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2、废气治理措施</w:t>
            </w:r>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项目地油气经三级回收装置处理，油气回收装置排放口监控点非甲烷总烃浓度符合《加油站大气污染物排放标准》（GB20952-2007）</w:t>
            </w:r>
            <w:r>
              <w:rPr>
                <w:rFonts w:hint="eastAsia" w:ascii="Times New Roman" w:hAnsi="Times New Roman" w:cs="Times New Roman"/>
                <w:lang w:val="en-US" w:eastAsia="zh-CN"/>
              </w:rPr>
              <w:t>中</w:t>
            </w:r>
            <w:r>
              <w:rPr>
                <w:rFonts w:hint="default" w:ascii="Times New Roman" w:hAnsi="Times New Roman" w:cs="Times New Roman"/>
                <w:lang w:val="en-US" w:eastAsia="zh-CN"/>
              </w:rPr>
              <w:t>排放标准，</w:t>
            </w:r>
            <w:r>
              <w:rPr>
                <w:rFonts w:hint="default" w:ascii="Times New Roman" w:hAnsi="Times New Roman" w:eastAsia="宋体" w:cs="Times New Roman"/>
                <w:lang w:val="en-US" w:eastAsia="zh-CN"/>
              </w:rPr>
              <w:t>无组织废气各监测点</w:t>
            </w:r>
            <w:r>
              <w:rPr>
                <w:rFonts w:hint="default" w:ascii="Times New Roman" w:hAnsi="Times New Roman" w:cs="Times New Roman" w:eastAsiaTheme="minorEastAsia"/>
                <w:color w:val="auto"/>
                <w:kern w:val="0"/>
                <w:sz w:val="24"/>
              </w:rPr>
              <w:t>非甲烷总烃</w:t>
            </w:r>
            <w:r>
              <w:rPr>
                <w:rFonts w:hint="default" w:ascii="Times New Roman" w:hAnsi="Times New Roman" w:cs="Times New Roman" w:eastAsiaTheme="minorEastAsia"/>
                <w:color w:val="auto"/>
                <w:kern w:val="0"/>
                <w:sz w:val="24"/>
                <w:lang w:eastAsia="zh-CN"/>
              </w:rPr>
              <w:t>浓度满足</w:t>
            </w:r>
            <w:r>
              <w:rPr>
                <w:rFonts w:hint="default" w:ascii="Times New Roman" w:hAnsi="Times New Roman" w:cs="Times New Roman" w:eastAsiaTheme="minorEastAsia"/>
                <w:color w:val="auto"/>
                <w:kern w:val="0"/>
                <w:sz w:val="24"/>
              </w:rPr>
              <w:t>《大气污染物综合排放标准》（GB16297-1996）中无组织排放标准</w:t>
            </w:r>
            <w:r>
              <w:rPr>
                <w:rFonts w:hint="default" w:ascii="Times New Roman" w:hAnsi="Times New Roman" w:cs="Times New Roman" w:eastAsiaTheme="minorEastAsia"/>
                <w:color w:val="auto"/>
                <w:kern w:val="0"/>
                <w:sz w:val="24"/>
                <w:lang w:eastAsia="zh-CN"/>
              </w:rPr>
              <w:t>。</w:t>
            </w:r>
          </w:p>
          <w:p>
            <w:pPr>
              <w:pStyle w:val="22"/>
              <w:keepNext w:val="0"/>
              <w:keepLines w:val="0"/>
              <w:pageBreakBefore w:val="0"/>
              <w:widowControl/>
              <w:numPr>
                <w:ilvl w:val="-1"/>
                <w:numId w:val="0"/>
              </w:numPr>
              <w:kinsoku/>
              <w:wordWrap/>
              <w:overflowPunct/>
              <w:topLinePunct w:val="0"/>
              <w:autoSpaceDE/>
              <w:autoSpaceDN/>
              <w:bidi w:val="0"/>
              <w:adjustRightInd/>
              <w:snapToGrid/>
              <w:spacing w:before="0" w:beforeLines="0" w:beforeAutospacing="0" w:after="0" w:afterLines="0" w:afterAutospacing="0" w:line="360" w:lineRule="auto"/>
              <w:ind w:leftChars="0" w:firstLine="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3、噪声治理措施</w:t>
            </w:r>
          </w:p>
          <w:p>
            <w:pPr>
              <w:pStyle w:val="2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9"/>
              <w:rPr>
                <w:rFonts w:hint="default" w:ascii="Times New Roman" w:hAnsi="Times New Roman" w:eastAsia="宋体" w:cs="Times New Roman"/>
                <w:lang w:val="en-US" w:eastAsia="zh-CN"/>
              </w:rPr>
            </w:pPr>
            <w:r>
              <w:rPr>
                <w:rFonts w:hint="default" w:ascii="Times New Roman" w:hAnsi="Times New Roman" w:cs="Times New Roman" w:eastAsiaTheme="minorEastAsia"/>
                <w:lang w:val="en-US" w:eastAsia="zh-CN"/>
              </w:rPr>
              <w:t>根据验收监测结果，项目验收监测期间，各高噪声设备经减振、隔声和距离衰减等措施后，4#西厂界监测点昼夜间噪声测定值均符合</w:t>
            </w:r>
            <w:r>
              <w:rPr>
                <w:rFonts w:hint="eastAsia" w:ascii="Times New Roman" w:hAnsi="Times New Roman" w:cs="Times New Roman" w:eastAsiaTheme="minorEastAsia"/>
                <w:lang w:val="en-US" w:eastAsia="zh-CN"/>
              </w:rPr>
              <w:t>《</w:t>
            </w:r>
            <w:r>
              <w:rPr>
                <w:rFonts w:hint="default" w:ascii="Times New Roman" w:hAnsi="Times New Roman" w:cs="Times New Roman" w:eastAsiaTheme="minorEastAsia"/>
                <w:lang w:val="en-US" w:eastAsia="zh-CN"/>
              </w:rPr>
              <w:t>工业企业厂界环境噪声排放标准》（G12348-2008）中的</w:t>
            </w:r>
            <w:r>
              <w:rPr>
                <w:rFonts w:hint="eastAsia" w:ascii="Times New Roman" w:hAnsi="Times New Roman" w:cs="Times New Roman" w:eastAsiaTheme="minorEastAsia"/>
                <w:lang w:val="en-US" w:eastAsia="zh-CN"/>
              </w:rPr>
              <w:t>4</w:t>
            </w:r>
            <w:r>
              <w:rPr>
                <w:rFonts w:hint="default" w:ascii="Times New Roman" w:hAnsi="Times New Roman" w:cs="Times New Roman" w:eastAsiaTheme="minorEastAsia"/>
                <w:lang w:val="en-US" w:eastAsia="zh-CN"/>
              </w:rPr>
              <w:t>类标准，项目厂界1#北厂界、2#东厂界、3#南厂界监测点昼夜间噪声测定值均符合《工业企业厂界环境</w:t>
            </w:r>
            <w:r>
              <w:rPr>
                <w:rFonts w:hint="default" w:ascii="Times New Roman" w:hAnsi="Times New Roman" w:eastAsia="宋体" w:cs="Times New Roman"/>
                <w:lang w:val="en-US" w:eastAsia="zh-CN"/>
              </w:rPr>
              <w:t>噪声排放标准》（G12348-2008）中的</w:t>
            </w:r>
            <w:r>
              <w:rPr>
                <w:rFonts w:hint="eastAsia" w:ascii="Times New Roman" w:hAnsi="Times New Roman" w:cs="Times New Roman"/>
                <w:lang w:val="en-US" w:eastAsia="zh-CN"/>
              </w:rPr>
              <w:t>2</w:t>
            </w:r>
            <w:r>
              <w:rPr>
                <w:rFonts w:hint="default" w:ascii="Times New Roman" w:hAnsi="Times New Roman" w:eastAsia="宋体" w:cs="Times New Roman"/>
                <w:lang w:val="en-US" w:eastAsia="zh-CN"/>
              </w:rPr>
              <w:t>类标准。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eastAsiaTheme="minorEastAsia"/>
                <w:b w:val="0"/>
                <w:bCs w:val="0"/>
                <w:color w:val="auto"/>
                <w:sz w:val="24"/>
                <w:szCs w:val="24"/>
                <w:lang w:val="zh-CN" w:eastAsia="zh-CN"/>
              </w:rPr>
            </w:pPr>
            <w:r>
              <w:rPr>
                <w:rFonts w:hint="default" w:ascii="Times New Roman" w:hAnsi="Times New Roman" w:cs="Times New Roman" w:eastAsiaTheme="minorEastAsia"/>
                <w:color w:val="auto"/>
                <w:sz w:val="24"/>
                <w:szCs w:val="24"/>
                <w:lang w:val="zh-CN" w:eastAsia="zh-CN"/>
              </w:rPr>
              <w:t>4、</w:t>
            </w:r>
            <w:r>
              <w:rPr>
                <w:rFonts w:hint="default" w:ascii="Times New Roman" w:hAnsi="Times New Roman" w:cs="Times New Roman" w:eastAsiaTheme="minorEastAsia"/>
                <w:b w:val="0"/>
                <w:bCs w:val="0"/>
                <w:color w:val="auto"/>
                <w:sz w:val="24"/>
                <w:szCs w:val="24"/>
                <w:lang w:val="zh-CN" w:eastAsia="zh-CN"/>
              </w:rPr>
              <w:t>固体废弃物</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本项目产生的固体废物主要是员工日常活动及流动人员产生的生活垃圾</w:t>
            </w:r>
            <w:r>
              <w:rPr>
                <w:rFonts w:hint="default" w:ascii="Times New Roman" w:hAnsi="Times New Roman" w:cs="Times New Roman"/>
                <w:snapToGrid w:val="0"/>
                <w:color w:val="000000"/>
                <w:kern w:val="0"/>
                <w:sz w:val="24"/>
                <w:szCs w:val="24"/>
                <w:lang w:eastAsia="zh-CN"/>
              </w:rPr>
              <w:t>，设备维修产生的废润滑油、废含油棉纱、废手套</w:t>
            </w:r>
            <w:r>
              <w:rPr>
                <w:rFonts w:hint="eastAsia" w:ascii="Times New Roman" w:hAnsi="Times New Roman" w:cs="Times New Roman"/>
                <w:snapToGrid w:val="0"/>
                <w:color w:val="000000"/>
                <w:kern w:val="0"/>
                <w:sz w:val="24"/>
                <w:szCs w:val="24"/>
                <w:lang w:eastAsia="zh-CN"/>
              </w:rPr>
              <w:t>，清罐产生的油泥</w:t>
            </w:r>
            <w:r>
              <w:rPr>
                <w:rFonts w:hint="default" w:ascii="Times New Roman" w:hAnsi="Times New Roman" w:cs="Times New Roman"/>
                <w:snapToGrid w:val="0"/>
                <w:color w:val="000000"/>
                <w:kern w:val="0"/>
                <w:sz w:val="24"/>
                <w:szCs w:val="24"/>
              </w:rPr>
              <w:t>。</w:t>
            </w:r>
            <w:r>
              <w:rPr>
                <w:rFonts w:hint="default" w:ascii="Times New Roman" w:hAnsi="Times New Roman" w:cs="Times New Roman"/>
                <w:snapToGrid w:val="0"/>
                <w:color w:val="000000"/>
                <w:kern w:val="0"/>
                <w:sz w:val="24"/>
                <w:szCs w:val="24"/>
                <w:lang w:val="en-US" w:eastAsia="zh-CN"/>
              </w:rPr>
              <w:t>为了确保固体废物环保措施的正常运行，污染物处理及排放满足相关要求，本项目明确了固体废物环保设施的责任人，日常管理基本到位。</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（1）生活垃圾</w:t>
            </w:r>
          </w:p>
          <w:p>
            <w:p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color w:val="000000"/>
                <w:kern w:val="0"/>
                <w:sz w:val="24"/>
                <w:szCs w:val="24"/>
              </w:rPr>
              <w:t>项目产生的一般固废主要是员工日常活动产生的生活垃圾</w:t>
            </w:r>
            <w:r>
              <w:rPr>
                <w:rFonts w:hint="eastAsia" w:ascii="Times New Roman" w:hAnsi="Times New Roman" w:cs="Times New Roman"/>
                <w:snapToGrid w:val="0"/>
                <w:color w:val="000000"/>
                <w:kern w:val="0"/>
                <w:sz w:val="24"/>
                <w:szCs w:val="24"/>
                <w:lang w:eastAsia="zh-CN"/>
              </w:rPr>
              <w:t>及</w:t>
            </w:r>
            <w:r>
              <w:rPr>
                <w:rFonts w:hint="default" w:ascii="Times New Roman" w:hAnsi="Times New Roman" w:cs="Times New Roman"/>
                <w:snapToGrid w:val="0"/>
                <w:color w:val="000000"/>
                <w:kern w:val="0"/>
                <w:sz w:val="24"/>
                <w:szCs w:val="24"/>
              </w:rPr>
              <w:t>流动人员产生的垃圾</w:t>
            </w:r>
            <w:r>
              <w:rPr>
                <w:rFonts w:hint="eastAsia" w:ascii="Times New Roman" w:hAnsi="Times New Roman" w:cs="Times New Roman"/>
                <w:snapToGrid w:val="0"/>
                <w:color w:val="000000"/>
                <w:kern w:val="0"/>
                <w:sz w:val="24"/>
                <w:szCs w:val="24"/>
                <w:lang w:eastAsia="zh-CN"/>
              </w:rPr>
              <w:t>，经</w:t>
            </w:r>
            <w:r>
              <w:rPr>
                <w:rFonts w:hint="default" w:ascii="Times New Roman" w:hAnsi="Times New Roman" w:cs="Times New Roman"/>
                <w:snapToGrid w:val="0"/>
                <w:color w:val="000000"/>
                <w:kern w:val="0"/>
                <w:sz w:val="24"/>
                <w:szCs w:val="24"/>
                <w:lang w:eastAsia="zh-CN"/>
              </w:rPr>
              <w:t>分类收集</w:t>
            </w:r>
            <w:r>
              <w:rPr>
                <w:rFonts w:hint="eastAsia" w:ascii="Times New Roman" w:hAnsi="Times New Roman" w:cs="Times New Roman"/>
                <w:snapToGrid w:val="0"/>
                <w:color w:val="000000"/>
                <w:kern w:val="0"/>
                <w:sz w:val="24"/>
                <w:szCs w:val="24"/>
                <w:lang w:eastAsia="zh-CN"/>
              </w:rPr>
              <w:t>后</w:t>
            </w:r>
            <w:r>
              <w:rPr>
                <w:rFonts w:hint="default" w:ascii="Times New Roman" w:hAnsi="Times New Roman" w:cs="Times New Roman"/>
                <w:snapToGrid w:val="0"/>
                <w:color w:val="000000"/>
                <w:kern w:val="0"/>
                <w:sz w:val="24"/>
                <w:szCs w:val="24"/>
                <w:lang w:eastAsia="zh-CN"/>
              </w:rPr>
              <w:t>统一</w:t>
            </w:r>
            <w:r>
              <w:rPr>
                <w:rFonts w:hint="default" w:ascii="Times New Roman" w:hAnsi="Times New Roman" w:cs="Times New Roman"/>
                <w:snapToGrid w:val="0"/>
                <w:color w:val="000000"/>
                <w:kern w:val="0"/>
                <w:sz w:val="24"/>
                <w:szCs w:val="24"/>
              </w:rPr>
              <w:t>交由</w:t>
            </w:r>
            <w:r>
              <w:rPr>
                <w:rFonts w:hint="eastAsia" w:ascii="Times New Roman" w:hAnsi="Times New Roman" w:cs="Times New Roman"/>
                <w:snapToGrid w:val="0"/>
                <w:color w:val="000000"/>
                <w:kern w:val="0"/>
                <w:sz w:val="24"/>
                <w:szCs w:val="24"/>
                <w:lang w:eastAsia="zh-CN"/>
              </w:rPr>
              <w:t>茂陵服务区送往</w:t>
            </w:r>
            <w:r>
              <w:rPr>
                <w:rFonts w:hint="default" w:ascii="Times New Roman" w:hAnsi="Times New Roman" w:cs="Times New Roman"/>
                <w:snapToGrid w:val="0"/>
                <w:color w:val="000000"/>
                <w:kern w:val="0"/>
                <w:sz w:val="24"/>
                <w:szCs w:val="24"/>
              </w:rPr>
              <w:t>环卫部门处理。</w:t>
            </w:r>
          </w:p>
          <w:p>
            <w:pPr>
              <w:numPr>
                <w:ilvl w:val="0"/>
                <w:numId w:val="4"/>
              </w:numPr>
              <w:adjustRightInd w:val="0"/>
              <w:snapToGrid w:val="0"/>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危险废物</w:t>
            </w:r>
          </w:p>
          <w:p>
            <w:pPr>
              <w:adjustRightInd w:val="0"/>
              <w:snapToGrid w:val="0"/>
              <w:spacing w:line="360" w:lineRule="auto"/>
              <w:ind w:firstLine="480" w:firstLineChars="200"/>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项目产生的危险废物主要是废润滑油、废含油棉纱和废手套</w:t>
            </w:r>
            <w:r>
              <w:rPr>
                <w:rFonts w:hint="eastAsia" w:ascii="Times New Roman" w:hAnsi="Times New Roman" w:cs="Times New Roman"/>
                <w:snapToGrid w:val="0"/>
                <w:color w:val="000000"/>
                <w:kern w:val="0"/>
                <w:sz w:val="24"/>
                <w:szCs w:val="24"/>
                <w:lang w:eastAsia="zh-CN"/>
              </w:rPr>
              <w:t>、清罐油泥</w:t>
            </w:r>
            <w:r>
              <w:rPr>
                <w:rFonts w:hint="default" w:ascii="Times New Roman" w:hAnsi="Times New Roman" w:cs="Times New Roman"/>
                <w:snapToGrid w:val="0"/>
                <w:color w:val="000000"/>
                <w:kern w:val="0"/>
                <w:sz w:val="24"/>
                <w:szCs w:val="24"/>
              </w:rPr>
              <w:t>（验收阶段未产生）。</w:t>
            </w:r>
            <w:r>
              <w:rPr>
                <w:rFonts w:hint="eastAsia" w:ascii="Times New Roman" w:hAnsi="Times New Roman" w:cs="Times New Roman"/>
                <w:snapToGrid w:val="0"/>
                <w:color w:val="000000"/>
                <w:kern w:val="0"/>
                <w:sz w:val="24"/>
                <w:szCs w:val="24"/>
                <w:lang w:eastAsia="zh-CN"/>
              </w:rPr>
              <w:t>清罐油泥</w:t>
            </w:r>
            <w:r>
              <w:rPr>
                <w:rFonts w:hint="default" w:ascii="Times New Roman" w:hAnsi="Times New Roman" w:cs="Times New Roman"/>
                <w:snapToGrid w:val="0"/>
                <w:color w:val="000000"/>
                <w:kern w:val="0"/>
                <w:sz w:val="24"/>
                <w:szCs w:val="24"/>
              </w:rPr>
              <w:t>由清罐单位直接拉走处置，不在站内贮存。废润滑油、废含油棉纱和废手套暂存于危废暂存箱，统一交由陕西明瑞资源再生有限公司处置。</w:t>
            </w:r>
          </w:p>
          <w:p>
            <w:pPr>
              <w:numPr>
                <w:ilvl w:val="-1"/>
                <w:numId w:val="0"/>
              </w:numPr>
              <w:spacing w:line="360" w:lineRule="auto"/>
              <w:rPr>
                <w:rFonts w:hint="default" w:ascii="Times New Roman" w:hAnsi="Times New Roman" w:cs="Times New Roman"/>
                <w:snapToGrid w:val="0"/>
                <w:kern w:val="0"/>
                <w:sz w:val="24"/>
                <w:szCs w:val="24"/>
              </w:rPr>
            </w:pPr>
            <w:r>
              <w:rPr>
                <w:rFonts w:hint="default" w:ascii="Times New Roman" w:hAnsi="Times New Roman" w:eastAsia="宋体" w:cs="Times New Roman"/>
                <w:b/>
                <w:bCs/>
                <w:sz w:val="24"/>
                <w:szCs w:val="24"/>
                <w:lang w:val="en-US" w:eastAsia="zh-CN" w:bidi="zh-CN"/>
              </w:rPr>
              <w:t>二、项目审批及三同时执行情况</w:t>
            </w:r>
            <w:r>
              <w:rPr>
                <w:rFonts w:hint="default" w:ascii="Times New Roman" w:hAnsi="Times New Roman" w:cs="Times New Roman"/>
                <w:snapToGrid w:val="0"/>
                <w:kern w:val="0"/>
                <w:sz w:val="24"/>
                <w:szCs w:val="24"/>
                <w:lang w:val="en-US" w:eastAsia="zh-CN"/>
              </w:rPr>
              <w:t xml:space="preserve"> </w:t>
            </w:r>
          </w:p>
          <w:p>
            <w:pPr>
              <w:numPr>
                <w:ilvl w:val="-1"/>
                <w:numId w:val="0"/>
              </w:numPr>
              <w:spacing w:line="360" w:lineRule="auto"/>
              <w:ind w:firstLine="480" w:firstLineChars="200"/>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lang w:val="en-US" w:eastAsia="zh-CN"/>
              </w:rPr>
              <w:t>陕西省石油化工工业贸易有限公司</w:t>
            </w:r>
            <w:r>
              <w:rPr>
                <w:rFonts w:hint="eastAsia" w:ascii="Times New Roman" w:hAnsi="Times New Roman" w:cs="Times New Roman"/>
                <w:snapToGrid w:val="0"/>
                <w:kern w:val="0"/>
                <w:sz w:val="24"/>
                <w:szCs w:val="24"/>
                <w:lang w:val="en-US" w:eastAsia="zh-CN"/>
              </w:rPr>
              <w:t>茂陵</w:t>
            </w:r>
            <w:r>
              <w:rPr>
                <w:rFonts w:hint="default" w:ascii="Times New Roman" w:hAnsi="Times New Roman" w:cs="Times New Roman"/>
                <w:snapToGrid w:val="0"/>
                <w:kern w:val="0"/>
                <w:sz w:val="24"/>
                <w:szCs w:val="24"/>
                <w:lang w:val="en-US" w:eastAsia="zh-CN"/>
              </w:rPr>
              <w:t>服务区</w:t>
            </w:r>
            <w:r>
              <w:rPr>
                <w:rFonts w:hint="eastAsia" w:ascii="Times New Roman" w:hAnsi="Times New Roman" w:cs="Times New Roman"/>
                <w:snapToGrid w:val="0"/>
                <w:kern w:val="0"/>
                <w:sz w:val="24"/>
                <w:szCs w:val="24"/>
                <w:lang w:val="en-US" w:eastAsia="zh-CN"/>
              </w:rPr>
              <w:t>东</w:t>
            </w:r>
            <w:r>
              <w:rPr>
                <w:rFonts w:hint="default" w:ascii="Times New Roman" w:hAnsi="Times New Roman" w:cs="Times New Roman"/>
                <w:snapToGrid w:val="0"/>
                <w:kern w:val="0"/>
                <w:sz w:val="24"/>
                <w:szCs w:val="24"/>
                <w:lang w:val="en-US" w:eastAsia="zh-CN"/>
              </w:rPr>
              <w:t>加油站于2019年6月委托西安海浪环保科技有限公司编制完成了《陕西省石油化工工业贸易公司</w:t>
            </w:r>
            <w:r>
              <w:rPr>
                <w:rFonts w:hint="eastAsia" w:ascii="Times New Roman" w:hAnsi="Times New Roman" w:cs="Times New Roman"/>
                <w:snapToGrid w:val="0"/>
                <w:kern w:val="0"/>
                <w:sz w:val="24"/>
                <w:szCs w:val="24"/>
                <w:lang w:val="en-US" w:eastAsia="zh-CN"/>
              </w:rPr>
              <w:t>茂陵</w:t>
            </w:r>
            <w:r>
              <w:rPr>
                <w:rFonts w:hint="default" w:ascii="Times New Roman" w:hAnsi="Times New Roman" w:cs="Times New Roman"/>
                <w:snapToGrid w:val="0"/>
                <w:kern w:val="0"/>
                <w:sz w:val="24"/>
                <w:szCs w:val="24"/>
                <w:lang w:val="en-US" w:eastAsia="zh-CN"/>
              </w:rPr>
              <w:t>服务区</w:t>
            </w:r>
            <w:r>
              <w:rPr>
                <w:rFonts w:hint="eastAsia" w:ascii="Times New Roman" w:hAnsi="Times New Roman" w:cs="Times New Roman"/>
                <w:snapToGrid w:val="0"/>
                <w:kern w:val="0"/>
                <w:sz w:val="24"/>
                <w:szCs w:val="24"/>
                <w:lang w:val="en-US" w:eastAsia="zh-CN"/>
              </w:rPr>
              <w:t>东</w:t>
            </w:r>
            <w:r>
              <w:rPr>
                <w:rFonts w:hint="default" w:ascii="Times New Roman" w:hAnsi="Times New Roman" w:cs="Times New Roman"/>
                <w:snapToGrid w:val="0"/>
                <w:kern w:val="0"/>
                <w:sz w:val="24"/>
                <w:szCs w:val="24"/>
                <w:lang w:val="en-US" w:eastAsia="zh-CN"/>
              </w:rPr>
              <w:t>加油站建设项目环境影响报告表》，咸阳市生态环境局</w:t>
            </w:r>
            <w:r>
              <w:rPr>
                <w:rFonts w:hint="eastAsia" w:ascii="Times New Roman" w:hAnsi="Times New Roman" w:cs="Times New Roman"/>
                <w:snapToGrid w:val="0"/>
                <w:kern w:val="0"/>
                <w:sz w:val="24"/>
                <w:szCs w:val="24"/>
                <w:lang w:val="en-US" w:eastAsia="zh-CN"/>
              </w:rPr>
              <w:t>兴平</w:t>
            </w:r>
            <w:r>
              <w:rPr>
                <w:rFonts w:hint="default" w:ascii="Times New Roman" w:hAnsi="Times New Roman" w:cs="Times New Roman"/>
                <w:snapToGrid w:val="0"/>
                <w:kern w:val="0"/>
                <w:sz w:val="24"/>
                <w:szCs w:val="24"/>
                <w:lang w:val="en-US" w:eastAsia="zh-CN"/>
              </w:rPr>
              <w:t>分局于2020年</w:t>
            </w:r>
            <w:r>
              <w:rPr>
                <w:rFonts w:hint="eastAsia" w:ascii="Times New Roman" w:hAnsi="Times New Roman" w:cs="Times New Roman"/>
                <w:snapToGrid w:val="0"/>
                <w:kern w:val="0"/>
                <w:sz w:val="24"/>
                <w:szCs w:val="24"/>
                <w:lang w:val="en-US" w:eastAsia="zh-CN"/>
              </w:rPr>
              <w:t>3</w:t>
            </w:r>
            <w:r>
              <w:rPr>
                <w:rFonts w:hint="default" w:ascii="Times New Roman" w:hAnsi="Times New Roman" w:cs="Times New Roman"/>
                <w:snapToGrid w:val="0"/>
                <w:kern w:val="0"/>
                <w:sz w:val="24"/>
                <w:szCs w:val="24"/>
                <w:lang w:val="en-US" w:eastAsia="zh-CN"/>
              </w:rPr>
              <w:t>月</w:t>
            </w:r>
            <w:r>
              <w:rPr>
                <w:rFonts w:hint="eastAsia" w:ascii="Times New Roman" w:hAnsi="Times New Roman" w:cs="Times New Roman"/>
                <w:snapToGrid w:val="0"/>
                <w:kern w:val="0"/>
                <w:sz w:val="24"/>
                <w:szCs w:val="24"/>
                <w:lang w:val="en-US" w:eastAsia="zh-CN"/>
              </w:rPr>
              <w:t>24</w:t>
            </w:r>
            <w:r>
              <w:rPr>
                <w:rFonts w:hint="default" w:ascii="Times New Roman" w:hAnsi="Times New Roman" w:cs="Times New Roman"/>
                <w:snapToGrid w:val="0"/>
                <w:kern w:val="0"/>
                <w:sz w:val="24"/>
                <w:szCs w:val="24"/>
                <w:lang w:val="en-US" w:eastAsia="zh-CN"/>
              </w:rPr>
              <w:t>日予以批复（咸环</w:t>
            </w:r>
            <w:r>
              <w:rPr>
                <w:rFonts w:hint="eastAsia" w:ascii="Times New Roman" w:hAnsi="Times New Roman" w:cs="Times New Roman"/>
                <w:snapToGrid w:val="0"/>
                <w:kern w:val="0"/>
                <w:sz w:val="24"/>
                <w:szCs w:val="24"/>
                <w:lang w:val="en-US" w:eastAsia="zh-CN"/>
              </w:rPr>
              <w:t>兴批复</w:t>
            </w:r>
            <w:r>
              <w:rPr>
                <w:rFonts w:hint="eastAsia" w:ascii="宋体" w:hAnsi="宋体" w:eastAsia="宋体" w:cs="宋体"/>
                <w:snapToGrid w:val="0"/>
                <w:kern w:val="0"/>
                <w:sz w:val="24"/>
                <w:szCs w:val="24"/>
                <w:lang w:val="en-US" w:eastAsia="zh-CN"/>
              </w:rPr>
              <w:t>[</w:t>
            </w:r>
            <w:r>
              <w:rPr>
                <w:rFonts w:hint="default" w:ascii="Times New Roman" w:hAnsi="Times New Roman" w:cs="Times New Roman"/>
                <w:snapToGrid w:val="0"/>
                <w:kern w:val="0"/>
                <w:sz w:val="24"/>
                <w:szCs w:val="24"/>
                <w:lang w:val="en-US" w:eastAsia="zh-CN"/>
              </w:rPr>
              <w:t>2020</w:t>
            </w:r>
            <w:r>
              <w:rPr>
                <w:rFonts w:hint="eastAsia" w:ascii="宋体" w:hAnsi="宋体" w:eastAsia="宋体" w:cs="宋体"/>
                <w:snapToGrid w:val="0"/>
                <w:kern w:val="0"/>
                <w:sz w:val="24"/>
                <w:szCs w:val="24"/>
                <w:lang w:val="en-US" w:eastAsia="zh-CN"/>
              </w:rPr>
              <w:t>]</w:t>
            </w:r>
            <w:r>
              <w:rPr>
                <w:rFonts w:hint="eastAsia" w:ascii="Times New Roman" w:hAnsi="Times New Roman" w:cs="Times New Roman"/>
                <w:snapToGrid w:val="0"/>
                <w:kern w:val="0"/>
                <w:sz w:val="24"/>
                <w:szCs w:val="24"/>
                <w:lang w:val="en-US" w:eastAsia="zh-CN"/>
              </w:rPr>
              <w:t>56</w:t>
            </w:r>
            <w:r>
              <w:rPr>
                <w:rFonts w:hint="default" w:ascii="Times New Roman" w:hAnsi="Times New Roman" w:cs="Times New Roman"/>
                <w:snapToGrid w:val="0"/>
                <w:kern w:val="0"/>
                <w:sz w:val="24"/>
                <w:szCs w:val="24"/>
                <w:lang w:val="en-US" w:eastAsia="zh-CN"/>
              </w:rPr>
              <w:t>号）。项目按照环评及环评批复要求建设了各项环保设施，环保设施与主体工程同时设计、同时施工、同时投产使用。履行了各项环保手续及</w:t>
            </w:r>
            <w:r>
              <w:rPr>
                <w:rFonts w:hint="eastAsia" w:ascii="宋体" w:hAnsi="宋体" w:eastAsia="宋体" w:cs="宋体"/>
                <w:snapToGrid w:val="0"/>
                <w:kern w:val="0"/>
                <w:sz w:val="24"/>
                <w:szCs w:val="24"/>
                <w:lang w:val="en-US" w:eastAsia="zh-CN"/>
              </w:rPr>
              <w:t>“三同时”</w:t>
            </w:r>
            <w:r>
              <w:rPr>
                <w:rFonts w:hint="default" w:ascii="Times New Roman" w:hAnsi="Times New Roman" w:cs="Times New Roman"/>
                <w:snapToGrid w:val="0"/>
                <w:kern w:val="0"/>
                <w:sz w:val="24"/>
                <w:szCs w:val="24"/>
                <w:lang w:val="en-US" w:eastAsia="zh-CN"/>
              </w:rPr>
              <w:t>制度。</w:t>
            </w:r>
          </w:p>
          <w:p>
            <w:pPr>
              <w:numPr>
                <w:ilvl w:val="-1"/>
                <w:numId w:val="0"/>
              </w:numPr>
              <w:spacing w:line="360" w:lineRule="auto"/>
              <w:rPr>
                <w:rFonts w:hint="default" w:ascii="Times New Roman" w:hAnsi="Times New Roman" w:eastAsia="宋体" w:cs="Times New Roman"/>
                <w:b/>
                <w:bCs/>
                <w:sz w:val="24"/>
                <w:szCs w:val="24"/>
                <w:lang w:val="en-US" w:eastAsia="zh-CN" w:bidi="zh-CN"/>
              </w:rPr>
            </w:pPr>
            <w:r>
              <w:rPr>
                <w:rFonts w:hint="default" w:ascii="Times New Roman" w:hAnsi="Times New Roman" w:eastAsia="宋体" w:cs="Times New Roman"/>
                <w:b/>
                <w:bCs/>
                <w:sz w:val="24"/>
                <w:szCs w:val="24"/>
                <w:lang w:val="en-US" w:eastAsia="zh-CN" w:bidi="zh-CN"/>
              </w:rPr>
              <w:t>三、环境管理规章制度的建立与执行情况</w:t>
            </w:r>
          </w:p>
          <w:p>
            <w:pPr>
              <w:numPr>
                <w:ilvl w:val="-1"/>
                <w:numId w:val="0"/>
              </w:numPr>
              <w:spacing w:line="360" w:lineRule="auto"/>
              <w:ind w:firstLine="480" w:firstLineChars="200"/>
              <w:rPr>
                <w:rFonts w:hint="default" w:ascii="Times New Roman" w:hAnsi="Times New Roman" w:cs="Times New Roman"/>
                <w:snapToGrid w:val="0"/>
                <w:kern w:val="0"/>
                <w:sz w:val="24"/>
                <w:szCs w:val="24"/>
                <w:lang w:val="zh-CN" w:eastAsia="zh-CN"/>
              </w:rPr>
            </w:pPr>
            <w:r>
              <w:rPr>
                <w:rFonts w:hint="default" w:ascii="Times New Roman" w:hAnsi="Times New Roman" w:cs="Times New Roman"/>
                <w:snapToGrid w:val="0"/>
                <w:kern w:val="0"/>
                <w:sz w:val="24"/>
                <w:szCs w:val="24"/>
                <w:lang w:val="zh-CN" w:eastAsia="zh-CN"/>
              </w:rPr>
              <w:t>公司建立了《环境保护管理制度》等环境管理制度，由环保专职管理员负责企业环境保护的管理工作。</w:t>
            </w:r>
          </w:p>
          <w:p>
            <w:pPr>
              <w:numPr>
                <w:ilvl w:val="-1"/>
                <w:numId w:val="0"/>
              </w:numPr>
              <w:spacing w:line="360" w:lineRule="auto"/>
              <w:ind w:firstLine="480" w:firstLineChars="200"/>
              <w:rPr>
                <w:rFonts w:hint="default" w:ascii="Times New Roman" w:hAnsi="Times New Roman" w:cs="Times New Roman"/>
                <w:b w:val="0"/>
                <w:bCs w:val="0"/>
              </w:rPr>
            </w:pPr>
            <w:r>
              <w:rPr>
                <w:rFonts w:hint="default" w:ascii="Times New Roman" w:hAnsi="Times New Roman" w:cs="Times New Roman"/>
                <w:snapToGrid w:val="0"/>
                <w:kern w:val="0"/>
                <w:sz w:val="24"/>
                <w:szCs w:val="24"/>
                <w:lang w:val="zh-CN" w:eastAsia="zh-CN"/>
              </w:rPr>
              <w:t>为便于环保部门的日常监管，派专人做好设施运行记录的工作。</w:t>
            </w:r>
          </w:p>
          <w:p>
            <w:pPr>
              <w:numPr>
                <w:ilvl w:val="-1"/>
                <w:numId w:val="0"/>
              </w:numPr>
              <w:spacing w:line="360" w:lineRule="auto"/>
              <w:rPr>
                <w:rFonts w:hint="default" w:ascii="Times New Roman" w:hAnsi="Times New Roman" w:eastAsia="宋体" w:cs="Times New Roman"/>
                <w:b/>
                <w:bCs/>
                <w:sz w:val="24"/>
                <w:szCs w:val="24"/>
                <w:lang w:val="en-US" w:eastAsia="zh-CN" w:bidi="zh-CN"/>
              </w:rPr>
            </w:pPr>
            <w:r>
              <w:rPr>
                <w:rFonts w:hint="default" w:ascii="Times New Roman" w:hAnsi="Times New Roman" w:cs="Times New Roman"/>
                <w:b/>
                <w:bCs/>
                <w:sz w:val="24"/>
                <w:szCs w:val="24"/>
                <w:lang w:val="en-US" w:eastAsia="zh-CN" w:bidi="zh-CN"/>
              </w:rPr>
              <w:t>四</w:t>
            </w:r>
            <w:r>
              <w:rPr>
                <w:rFonts w:hint="default" w:ascii="Times New Roman" w:hAnsi="Times New Roman" w:eastAsia="宋体" w:cs="Times New Roman"/>
                <w:b/>
                <w:bCs/>
                <w:sz w:val="24"/>
                <w:szCs w:val="24"/>
                <w:lang w:val="en-US" w:eastAsia="zh-CN" w:bidi="zh-CN"/>
              </w:rPr>
              <w:t xml:space="preserve">、结论 </w:t>
            </w:r>
          </w:p>
          <w:p>
            <w:pPr>
              <w:pStyle w:val="24"/>
              <w:keepNext w:val="0"/>
              <w:keepLines w:val="0"/>
              <w:pageBreakBefore w:val="0"/>
              <w:kinsoku/>
              <w:wordWrap/>
              <w:overflowPunct/>
              <w:topLinePunct w:val="0"/>
              <w:autoSpaceDE w:val="0"/>
              <w:autoSpaceDN w:val="0"/>
              <w:bidi w:val="0"/>
              <w:snapToGrid/>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根据对本项目竣工环境保护验收调查结果，陕西省石油化工工业贸易有限公司</w:t>
            </w:r>
            <w:r>
              <w:rPr>
                <w:rFonts w:hint="eastAsia" w:ascii="Times New Roman" w:hAnsi="Times New Roman" w:cs="Times New Roman"/>
                <w:lang w:val="en-US" w:eastAsia="zh-CN"/>
              </w:rPr>
              <w:t>茂陵</w:t>
            </w:r>
            <w:r>
              <w:rPr>
                <w:rFonts w:hint="default" w:ascii="Times New Roman" w:hAnsi="Times New Roman" w:cs="Times New Roman"/>
                <w:lang w:val="en-US" w:eastAsia="zh-CN"/>
              </w:rPr>
              <w:t>服务区</w:t>
            </w:r>
            <w:r>
              <w:rPr>
                <w:rFonts w:hint="eastAsia" w:ascii="Times New Roman" w:hAnsi="Times New Roman" w:cs="Times New Roman"/>
                <w:lang w:val="en-US" w:eastAsia="zh-CN"/>
              </w:rPr>
              <w:t>东</w:t>
            </w:r>
            <w:r>
              <w:rPr>
                <w:rFonts w:hint="default" w:ascii="Times New Roman" w:hAnsi="Times New Roman" w:cs="Times New Roman"/>
                <w:lang w:val="en-US" w:eastAsia="zh-CN"/>
              </w:rPr>
              <w:t>加油站建设项目执行了建设项目环境管理制度，进行了环境影响评价，应急预案备案，批复文件齐全，环评文件及批复提出的各项环境环保措施要求得到了较好的落实，基本执行了环境保</w:t>
            </w:r>
            <w:r>
              <w:rPr>
                <w:rFonts w:hint="eastAsia" w:ascii="宋体" w:hAnsi="宋体" w:eastAsia="宋体" w:cs="宋体"/>
                <w:lang w:val="en-US" w:eastAsia="zh-CN"/>
              </w:rPr>
              <w:t>护“三同时”</w:t>
            </w:r>
            <w:r>
              <w:rPr>
                <w:rFonts w:hint="default" w:ascii="Times New Roman" w:hAnsi="Times New Roman" w:cs="Times New Roman"/>
                <w:lang w:val="en-US" w:eastAsia="zh-CN"/>
              </w:rPr>
              <w:t xml:space="preserve">制度。因此，本项目符合建设项目竣工环境保护验收的要求。 </w:t>
            </w:r>
          </w:p>
          <w:p>
            <w:pPr>
              <w:numPr>
                <w:ilvl w:val="-1"/>
                <w:numId w:val="0"/>
              </w:numPr>
              <w:spacing w:line="360" w:lineRule="auto"/>
              <w:rPr>
                <w:rFonts w:hint="default" w:ascii="Times New Roman" w:hAnsi="Times New Roman" w:eastAsia="宋体" w:cs="Times New Roman"/>
                <w:b/>
                <w:bCs/>
                <w:sz w:val="24"/>
                <w:szCs w:val="24"/>
                <w:lang w:val="en-US" w:eastAsia="zh-CN" w:bidi="zh-CN"/>
              </w:rPr>
            </w:pPr>
            <w:r>
              <w:rPr>
                <w:rFonts w:hint="default" w:ascii="Times New Roman" w:hAnsi="Times New Roman" w:cs="Times New Roman"/>
                <w:b/>
                <w:bCs/>
                <w:sz w:val="24"/>
                <w:szCs w:val="24"/>
                <w:lang w:val="en-US" w:eastAsia="zh-CN" w:bidi="zh-CN"/>
              </w:rPr>
              <w:t>五</w:t>
            </w:r>
            <w:r>
              <w:rPr>
                <w:rFonts w:hint="default" w:ascii="Times New Roman" w:hAnsi="Times New Roman" w:eastAsia="宋体" w:cs="Times New Roman"/>
                <w:b/>
                <w:bCs/>
                <w:sz w:val="24"/>
                <w:szCs w:val="24"/>
                <w:lang w:val="en-US" w:eastAsia="zh-CN" w:bidi="zh-CN"/>
              </w:rPr>
              <w:t xml:space="preserve">、建议 </w:t>
            </w:r>
          </w:p>
          <w:p>
            <w:pPr>
              <w:pStyle w:val="24"/>
              <w:keepNext w:val="0"/>
              <w:keepLines w:val="0"/>
              <w:pageBreakBefore w:val="0"/>
              <w:kinsoku/>
              <w:wordWrap/>
              <w:overflowPunct/>
              <w:topLinePunct w:val="0"/>
              <w:autoSpaceDE w:val="0"/>
              <w:autoSpaceDN w:val="0"/>
              <w:bidi w:val="0"/>
              <w:snapToGrid/>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1、做好未来环境管理计划，注意维护环保处理设施，确保环保验收后日常产生的污染物满足排放要求。</w:t>
            </w:r>
          </w:p>
          <w:p>
            <w:pPr>
              <w:pStyle w:val="24"/>
              <w:keepNext w:val="0"/>
              <w:keepLines w:val="0"/>
              <w:pageBreakBefore w:val="0"/>
              <w:kinsoku/>
              <w:wordWrap/>
              <w:overflowPunct/>
              <w:topLinePunct w:val="0"/>
              <w:autoSpaceDE w:val="0"/>
              <w:autoSpaceDN w:val="0"/>
              <w:bidi w:val="0"/>
              <w:snapToGrid/>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2、做好固体废弃物的管理工作，提高环保管理水平，健全环保资料档案。</w:t>
            </w:r>
          </w:p>
          <w:p>
            <w:pPr>
              <w:pStyle w:val="7"/>
              <w:rPr>
                <w:rFonts w:hint="default" w:ascii="Times New Roman" w:hAnsi="Times New Roman" w:cs="Times New Roman"/>
                <w:b w:val="0"/>
                <w:bCs w:val="0"/>
              </w:rPr>
            </w:pPr>
          </w:p>
          <w:p>
            <w:pPr>
              <w:rPr>
                <w:rFonts w:hint="default" w:ascii="Times New Roman" w:hAnsi="Times New Roman" w:cs="Times New Roman"/>
                <w:b w:val="0"/>
                <w:bCs w:val="0"/>
              </w:rPr>
            </w:pPr>
          </w:p>
          <w:p>
            <w:pPr>
              <w:pStyle w:val="7"/>
              <w:rPr>
                <w:rFonts w:hint="default" w:ascii="Times New Roman" w:hAnsi="Times New Roman" w:cs="Times New Roman"/>
                <w:b w:val="0"/>
                <w:bCs w:val="0"/>
              </w:rPr>
            </w:pPr>
          </w:p>
          <w:p>
            <w:pPr>
              <w:rPr>
                <w:rFonts w:hint="default" w:ascii="Times New Roman" w:hAnsi="Times New Roman" w:cs="Times New Roman"/>
                <w:b w:val="0"/>
                <w:bCs w:val="0"/>
              </w:rPr>
            </w:pPr>
          </w:p>
          <w:p>
            <w:pPr>
              <w:pStyle w:val="7"/>
              <w:ind w:left="0" w:leftChars="0" w:firstLine="0" w:firstLineChars="0"/>
              <w:rPr>
                <w:rFonts w:hint="default" w:ascii="Times New Roman" w:hAnsi="Times New Roman" w:cs="Times New Roman"/>
                <w:b w:val="0"/>
                <w:bCs w:val="0"/>
              </w:rPr>
            </w:pPr>
          </w:p>
          <w:p>
            <w:pPr>
              <w:rPr>
                <w:rFonts w:hint="default" w:ascii="Times New Roman" w:hAnsi="Times New Roman" w:cs="Times New Roman"/>
                <w:b w:val="0"/>
                <w:bCs w:val="0"/>
              </w:rPr>
            </w:pPr>
          </w:p>
          <w:p>
            <w:pPr>
              <w:pStyle w:val="2"/>
              <w:rPr>
                <w:rFonts w:hint="default"/>
              </w:rPr>
            </w:pPr>
          </w:p>
          <w:p>
            <w:pPr>
              <w:rPr>
                <w:rFonts w:hint="default"/>
              </w:rPr>
            </w:pPr>
          </w:p>
          <w:p>
            <w:pPr>
              <w:rPr>
                <w:rFonts w:hint="default" w:ascii="Times New Roman" w:hAnsi="Times New Roman" w:cs="Times New Roman"/>
              </w:rPr>
            </w:pPr>
          </w:p>
        </w:tc>
      </w:tr>
    </w:tbl>
    <w:p>
      <w:pPr>
        <w:rPr>
          <w:rFonts w:hint="default" w:ascii="Times New Roman" w:hAnsi="Times New Roman" w:cs="Times New Roman"/>
          <w:lang w:val="en-US"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keepNext/>
        <w:keepLines/>
        <w:pageBreakBefore w:val="0"/>
        <w:widowControl w:val="0"/>
        <w:kinsoku/>
        <w:wordWrap/>
        <w:overflowPunct/>
        <w:topLinePunct w:val="0"/>
        <w:autoSpaceDE/>
        <w:autoSpaceDN/>
        <w:bidi w:val="0"/>
        <w:adjustRightInd/>
        <w:snapToGrid/>
        <w:spacing w:beforeLines="0" w:after="164" w:afterLines="50" w:line="240" w:lineRule="exact"/>
        <w:jc w:val="center"/>
        <w:textAlignment w:val="auto"/>
        <w:rPr>
          <w:rStyle w:val="29"/>
          <w:rFonts w:hint="default" w:ascii="Times New Roman" w:hAnsi="Times New Roman" w:eastAsia="微软雅黑" w:cs="Times New Roman"/>
          <w:b/>
          <w:bCs w:val="0"/>
          <w:color w:val="auto"/>
          <w:kern w:val="2"/>
          <w:sz w:val="24"/>
          <w:lang w:val="en-US" w:eastAsia="zh-CN" w:bidi="ar-SA"/>
        </w:rPr>
      </w:pPr>
      <w:r>
        <w:rPr>
          <w:rStyle w:val="29"/>
          <w:rFonts w:hint="default" w:ascii="Times New Roman" w:hAnsi="Times New Roman" w:eastAsia="微软雅黑" w:cs="Times New Roman"/>
          <w:b/>
          <w:bCs w:val="0"/>
          <w:color w:val="auto"/>
          <w:kern w:val="2"/>
          <w:sz w:val="24"/>
          <w:lang w:val="en-US" w:eastAsia="zh-CN" w:bidi="ar-SA"/>
        </w:rPr>
        <w:t>建设项目竣工环境保护“三同时”验收登记表</w:t>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填表单位（盖章）：</w:t>
      </w:r>
      <w:r>
        <w:rPr>
          <w:rFonts w:hint="default" w:ascii="Times New Roman" w:hAnsi="Times New Roman" w:cs="Times New Roman"/>
          <w:b/>
          <w:color w:val="auto"/>
          <w:sz w:val="15"/>
          <w:szCs w:val="15"/>
          <w:lang w:eastAsia="zh-CN"/>
        </w:rPr>
        <w:t>陕西省石油化工工业贸易</w:t>
      </w:r>
      <w:r>
        <w:rPr>
          <w:rFonts w:hint="eastAsia" w:ascii="Times New Roman" w:hAnsi="Times New Roman" w:cs="Times New Roman"/>
          <w:b/>
          <w:color w:val="auto"/>
          <w:sz w:val="15"/>
          <w:szCs w:val="15"/>
          <w:lang w:eastAsia="zh-CN"/>
        </w:rPr>
        <w:t>有限</w:t>
      </w:r>
      <w:r>
        <w:rPr>
          <w:rFonts w:hint="default" w:ascii="Times New Roman" w:hAnsi="Times New Roman" w:cs="Times New Roman"/>
          <w:b/>
          <w:color w:val="auto"/>
          <w:sz w:val="15"/>
          <w:szCs w:val="15"/>
          <w:lang w:eastAsia="zh-CN"/>
        </w:rPr>
        <w:t>公司</w:t>
      </w:r>
      <w:r>
        <w:rPr>
          <w:rFonts w:hint="eastAsia" w:ascii="Times New Roman" w:hAnsi="Times New Roman" w:cs="Times New Roman"/>
          <w:b/>
          <w:color w:val="auto"/>
          <w:sz w:val="15"/>
          <w:szCs w:val="15"/>
          <w:lang w:eastAsia="zh-CN"/>
        </w:rPr>
        <w:t>茂陵</w:t>
      </w:r>
      <w:r>
        <w:rPr>
          <w:rFonts w:hint="default" w:ascii="Times New Roman" w:hAnsi="Times New Roman" w:cs="Times New Roman"/>
          <w:b/>
          <w:color w:val="auto"/>
          <w:sz w:val="15"/>
          <w:szCs w:val="15"/>
          <w:lang w:eastAsia="zh-CN"/>
        </w:rPr>
        <w:t>服务区</w:t>
      </w:r>
      <w:r>
        <w:rPr>
          <w:rFonts w:hint="eastAsia" w:ascii="Times New Roman" w:hAnsi="Times New Roman" w:cs="Times New Roman"/>
          <w:b/>
          <w:color w:val="auto"/>
          <w:sz w:val="15"/>
          <w:szCs w:val="15"/>
          <w:lang w:eastAsia="zh-CN"/>
        </w:rPr>
        <w:t>东</w:t>
      </w:r>
      <w:r>
        <w:rPr>
          <w:rFonts w:hint="default" w:ascii="Times New Roman" w:hAnsi="Times New Roman" w:cs="Times New Roman"/>
          <w:b/>
          <w:color w:val="auto"/>
          <w:sz w:val="15"/>
          <w:szCs w:val="15"/>
          <w:lang w:eastAsia="zh-CN"/>
        </w:rPr>
        <w:t>加油站</w:t>
      </w:r>
      <w:r>
        <w:rPr>
          <w:rFonts w:hint="default" w:ascii="Times New Roman" w:hAnsi="Times New Roman" w:cs="Times New Roman"/>
          <w:b/>
          <w:color w:val="auto"/>
          <w:sz w:val="15"/>
          <w:szCs w:val="15"/>
          <w:lang w:val="en-US" w:eastAsia="zh-CN"/>
        </w:rPr>
        <w:t xml:space="preserve">   </w:t>
      </w:r>
      <w:r>
        <w:rPr>
          <w:rFonts w:hint="default" w:ascii="Times New Roman" w:hAnsi="Times New Roman" w:cs="Times New Roman"/>
          <w:b/>
          <w:color w:val="auto"/>
          <w:sz w:val="15"/>
          <w:szCs w:val="15"/>
        </w:rPr>
        <w:t xml:space="preserve">                  填表人（签字）：                              项目经办人（签字）：</w:t>
      </w:r>
    </w:p>
    <w:tbl>
      <w:tblPr>
        <w:tblStyle w:val="15"/>
        <w:tblW w:w="1495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55"/>
        <w:gridCol w:w="939"/>
        <w:gridCol w:w="727"/>
        <w:gridCol w:w="768"/>
        <w:gridCol w:w="120"/>
        <w:gridCol w:w="1160"/>
        <w:gridCol w:w="289"/>
        <w:gridCol w:w="350"/>
        <w:gridCol w:w="378"/>
        <w:gridCol w:w="80"/>
        <w:gridCol w:w="720"/>
        <w:gridCol w:w="505"/>
        <w:gridCol w:w="294"/>
        <w:gridCol w:w="453"/>
        <w:gridCol w:w="299"/>
        <w:gridCol w:w="613"/>
        <w:gridCol w:w="1056"/>
        <w:gridCol w:w="136"/>
        <w:gridCol w:w="885"/>
        <w:gridCol w:w="325"/>
        <w:gridCol w:w="312"/>
        <w:gridCol w:w="263"/>
        <w:gridCol w:w="683"/>
        <w:gridCol w:w="20"/>
        <w:gridCol w:w="260"/>
        <w:gridCol w:w="170"/>
        <w:gridCol w:w="493"/>
        <w:gridCol w:w="1140"/>
        <w:gridCol w:w="6"/>
        <w:gridCol w:w="9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9" w:type="dxa"/>
            <w:vMerge w:val="restart"/>
            <w:noWrap w:val="0"/>
            <w:tcMar>
              <w:left w:w="57" w:type="dxa"/>
              <w:right w:w="57" w:type="dxa"/>
            </w:tcMar>
            <w:textDirection w:val="tbRlV"/>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建设项目</w:t>
            </w:r>
          </w:p>
        </w:tc>
        <w:tc>
          <w:tcPr>
            <w:tcW w:w="1821"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项目名称</w:t>
            </w:r>
          </w:p>
        </w:tc>
        <w:tc>
          <w:tcPr>
            <w:tcW w:w="4370" w:type="dxa"/>
            <w:gridSpan w:val="9"/>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lang w:eastAsia="zh-CN"/>
              </w:rPr>
              <w:t>陕西省石油化工工业贸易公司</w:t>
            </w:r>
            <w:r>
              <w:rPr>
                <w:rFonts w:hint="eastAsia" w:ascii="Times New Roman" w:hAnsi="Times New Roman" w:cs="Times New Roman"/>
                <w:b/>
                <w:color w:val="auto"/>
                <w:sz w:val="15"/>
                <w:szCs w:val="15"/>
                <w:lang w:eastAsia="zh-CN"/>
              </w:rPr>
              <w:t>茂陵</w:t>
            </w:r>
            <w:r>
              <w:rPr>
                <w:rFonts w:hint="default" w:ascii="Times New Roman" w:hAnsi="Times New Roman" w:cs="Times New Roman"/>
                <w:b/>
                <w:color w:val="auto"/>
                <w:sz w:val="15"/>
                <w:szCs w:val="15"/>
                <w:lang w:eastAsia="zh-CN"/>
              </w:rPr>
              <w:t>服务区</w:t>
            </w:r>
            <w:r>
              <w:rPr>
                <w:rFonts w:hint="eastAsia" w:ascii="Times New Roman" w:hAnsi="Times New Roman" w:cs="Times New Roman"/>
                <w:b/>
                <w:color w:val="auto"/>
                <w:sz w:val="15"/>
                <w:szCs w:val="15"/>
                <w:lang w:eastAsia="zh-CN"/>
              </w:rPr>
              <w:t>东</w:t>
            </w:r>
            <w:r>
              <w:rPr>
                <w:rFonts w:hint="default" w:ascii="Times New Roman" w:hAnsi="Times New Roman" w:cs="Times New Roman"/>
                <w:b/>
                <w:color w:val="auto"/>
                <w:sz w:val="15"/>
                <w:szCs w:val="15"/>
                <w:lang w:eastAsia="zh-CN"/>
              </w:rPr>
              <w:t>加油站建设项目</w:t>
            </w:r>
            <w:r>
              <w:rPr>
                <w:rFonts w:hint="default" w:ascii="Times New Roman" w:hAnsi="Times New Roman" w:cs="Times New Roman"/>
                <w:b/>
                <w:color w:val="auto"/>
                <w:sz w:val="15"/>
                <w:szCs w:val="15"/>
              </w:rPr>
              <w:t xml:space="preserve"> </w:t>
            </w:r>
          </w:p>
        </w:tc>
        <w:tc>
          <w:tcPr>
            <w:tcW w:w="1659"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eastAsia="zh-CN"/>
              </w:rPr>
            </w:pPr>
            <w:r>
              <w:rPr>
                <w:rFonts w:hint="default" w:ascii="Times New Roman" w:hAnsi="Times New Roman" w:cs="Times New Roman"/>
                <w:b/>
                <w:bCs w:val="0"/>
                <w:color w:val="auto"/>
                <w:sz w:val="15"/>
                <w:szCs w:val="15"/>
                <w:lang w:eastAsia="zh-CN"/>
              </w:rPr>
              <w:t>项目代码</w:t>
            </w:r>
          </w:p>
        </w:tc>
        <w:tc>
          <w:tcPr>
            <w:tcW w:w="1192"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val="en-US" w:eastAsia="zh-CN"/>
              </w:rPr>
            </w:pPr>
            <w:r>
              <w:rPr>
                <w:rFonts w:hint="default" w:ascii="Times New Roman" w:hAnsi="Times New Roman" w:cs="Times New Roman"/>
                <w:b/>
                <w:bCs w:val="0"/>
                <w:color w:val="auto"/>
                <w:sz w:val="15"/>
                <w:szCs w:val="15"/>
                <w:lang w:val="en-US" w:eastAsia="zh-CN"/>
              </w:rPr>
              <w:t>/</w:t>
            </w:r>
          </w:p>
        </w:tc>
        <w:tc>
          <w:tcPr>
            <w:tcW w:w="1785"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eastAsia="zh-CN"/>
              </w:rPr>
            </w:pPr>
            <w:r>
              <w:rPr>
                <w:rFonts w:hint="default" w:ascii="Times New Roman" w:hAnsi="Times New Roman" w:cs="Times New Roman"/>
                <w:b/>
                <w:bCs w:val="0"/>
                <w:color w:val="auto"/>
                <w:sz w:val="15"/>
                <w:szCs w:val="15"/>
                <w:lang w:eastAsia="zh-CN"/>
              </w:rPr>
              <w:t>建设地点</w:t>
            </w:r>
          </w:p>
        </w:tc>
        <w:tc>
          <w:tcPr>
            <w:tcW w:w="3730" w:type="dxa"/>
            <w:gridSpan w:val="8"/>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lang w:eastAsia="zh-CN"/>
              </w:rPr>
            </w:pPr>
            <w:r>
              <w:rPr>
                <w:rFonts w:hint="eastAsia" w:ascii="Times New Roman" w:hAnsi="Times New Roman" w:cs="Times New Roman"/>
                <w:b/>
                <w:color w:val="auto"/>
                <w:sz w:val="15"/>
                <w:szCs w:val="15"/>
                <w:lang w:eastAsia="zh-CN"/>
              </w:rPr>
              <w:t>陕西省咸阳市兴平市西咸北环</w:t>
            </w:r>
            <w:r>
              <w:rPr>
                <w:rFonts w:hint="default" w:ascii="Times New Roman" w:hAnsi="Times New Roman" w:cs="Times New Roman"/>
                <w:b/>
                <w:color w:val="auto"/>
                <w:sz w:val="15"/>
                <w:szCs w:val="15"/>
                <w:lang w:eastAsia="zh-CN"/>
              </w:rPr>
              <w:t>高速</w:t>
            </w:r>
            <w:r>
              <w:rPr>
                <w:rFonts w:hint="eastAsia" w:ascii="Times New Roman" w:hAnsi="Times New Roman" w:cs="Times New Roman"/>
                <w:b/>
                <w:color w:val="auto"/>
                <w:sz w:val="15"/>
                <w:szCs w:val="15"/>
                <w:lang w:eastAsia="zh-CN"/>
              </w:rPr>
              <w:t>公路</w:t>
            </w:r>
            <w:r>
              <w:rPr>
                <w:rFonts w:hint="default" w:ascii="Times New Roman" w:hAnsi="Times New Roman" w:cs="Times New Roman"/>
                <w:b/>
                <w:color w:val="auto"/>
                <w:sz w:val="15"/>
                <w:szCs w:val="15"/>
                <w:lang w:eastAsia="zh-CN"/>
              </w:rPr>
              <w:t>茂陵服务区东区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9" w:type="dxa"/>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1"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行业类别（分类管理名录）</w:t>
            </w:r>
          </w:p>
        </w:tc>
        <w:tc>
          <w:tcPr>
            <w:tcW w:w="2687" w:type="dxa"/>
            <w:gridSpan w:val="5"/>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eastAsia" w:ascii="Times New Roman" w:hAnsi="Times New Roman" w:cs="Times New Roman"/>
                <w:b/>
                <w:color w:val="auto"/>
                <w:sz w:val="15"/>
                <w:szCs w:val="15"/>
                <w:highlight w:val="none"/>
                <w:lang w:val="en-US" w:eastAsia="zh-CN"/>
              </w:rPr>
              <w:t>四十、社会事业与服务业</w:t>
            </w:r>
          </w:p>
        </w:tc>
        <w:tc>
          <w:tcPr>
            <w:tcW w:w="1683" w:type="dxa"/>
            <w:gridSpan w:val="4"/>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default" w:ascii="Times New Roman" w:hAnsi="Times New Roman" w:cs="Times New Roman"/>
                <w:b/>
                <w:color w:val="auto"/>
                <w:sz w:val="15"/>
                <w:szCs w:val="15"/>
                <w:highlight w:val="none"/>
                <w:lang w:eastAsia="zh-CN"/>
              </w:rPr>
              <w:t>建设性质</w:t>
            </w:r>
          </w:p>
        </w:tc>
        <w:tc>
          <w:tcPr>
            <w:tcW w:w="2851" w:type="dxa"/>
            <w:gridSpan w:val="6"/>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eastAsia="zh-CN"/>
              </w:rPr>
            </w:pPr>
            <w:r>
              <w:rPr>
                <w:rFonts w:hint="default" w:ascii="Times New Roman" w:hAnsi="Times New Roman" w:cs="Times New Roman"/>
                <w:b/>
                <w:bCs w:val="0"/>
                <w:color w:val="auto"/>
                <w:sz w:val="15"/>
                <w:szCs w:val="15"/>
                <w:lang w:eastAsia="zh-CN"/>
              </w:rPr>
              <w:t>√ 新建  □ 改扩建  □ 技术改造</w:t>
            </w:r>
          </w:p>
        </w:tc>
        <w:tc>
          <w:tcPr>
            <w:tcW w:w="1785"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val="en-US" w:eastAsia="zh-CN"/>
              </w:rPr>
            </w:pPr>
            <w:r>
              <w:rPr>
                <w:rFonts w:hint="default" w:ascii="Times New Roman" w:hAnsi="Times New Roman" w:cs="Times New Roman"/>
                <w:b/>
                <w:bCs w:val="0"/>
                <w:color w:val="auto"/>
                <w:sz w:val="15"/>
                <w:szCs w:val="15"/>
                <w:lang w:val="en-US" w:eastAsia="zh-CN"/>
              </w:rPr>
              <w:t>项目厂区中心经度/纬度</w:t>
            </w:r>
          </w:p>
        </w:tc>
        <w:tc>
          <w:tcPr>
            <w:tcW w:w="3730" w:type="dxa"/>
            <w:gridSpan w:val="8"/>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lang w:val="en-US" w:eastAsia="zh-CN"/>
              </w:rPr>
            </w:pPr>
            <w:r>
              <w:rPr>
                <w:rFonts w:hint="default" w:ascii="Times New Roman" w:hAnsi="Times New Roman" w:cs="Times New Roman"/>
                <w:b/>
                <w:color w:val="auto"/>
                <w:sz w:val="15"/>
                <w:szCs w:val="15"/>
                <w:lang w:val="en-US" w:eastAsia="zh-CN"/>
              </w:rPr>
              <w:t>N</w:t>
            </w:r>
            <w:r>
              <w:rPr>
                <w:rFonts w:hint="default" w:ascii="Times New Roman" w:hAnsi="Times New Roman" w:cs="Times New Roman"/>
                <w:b/>
                <w:color w:val="auto"/>
                <w:sz w:val="15"/>
                <w:szCs w:val="15"/>
                <w:lang w:eastAsia="zh-CN"/>
              </w:rPr>
              <w:t>34°23'25.34"</w:t>
            </w:r>
            <w:r>
              <w:rPr>
                <w:rFonts w:hint="eastAsia" w:ascii="Times New Roman" w:hAnsi="Times New Roman" w:cs="Times New Roman"/>
                <w:b/>
                <w:color w:val="auto"/>
                <w:sz w:val="15"/>
                <w:szCs w:val="15"/>
                <w:lang w:eastAsia="zh-CN"/>
              </w:rPr>
              <w:t>、</w:t>
            </w:r>
            <w:r>
              <w:rPr>
                <w:rFonts w:hint="default" w:ascii="Times New Roman" w:hAnsi="Times New Roman" w:cs="Times New Roman"/>
                <w:b/>
                <w:color w:val="auto"/>
                <w:sz w:val="15"/>
                <w:szCs w:val="15"/>
                <w:lang w:val="en-US" w:eastAsia="zh-CN"/>
              </w:rPr>
              <w:t>E</w:t>
            </w:r>
            <w:r>
              <w:rPr>
                <w:rFonts w:hint="default" w:ascii="Times New Roman" w:hAnsi="Times New Roman" w:cs="Times New Roman"/>
                <w:b/>
                <w:color w:val="auto"/>
                <w:sz w:val="15"/>
                <w:szCs w:val="15"/>
                <w:lang w:eastAsia="zh-CN"/>
              </w:rPr>
              <w:t>108°32'38.42"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9" w:type="dxa"/>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1"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lang w:val="en-US" w:eastAsia="zh-CN"/>
              </w:rPr>
            </w:pPr>
            <w:r>
              <w:rPr>
                <w:rFonts w:hint="default" w:ascii="Times New Roman" w:hAnsi="Times New Roman" w:cs="Times New Roman"/>
                <w:b/>
                <w:color w:val="auto"/>
                <w:sz w:val="15"/>
                <w:szCs w:val="15"/>
                <w:lang w:val="en-US" w:eastAsia="zh-CN"/>
              </w:rPr>
              <w:t>设计生产能力</w:t>
            </w:r>
          </w:p>
        </w:tc>
        <w:tc>
          <w:tcPr>
            <w:tcW w:w="4370" w:type="dxa"/>
            <w:gridSpan w:val="9"/>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bCs w:val="0"/>
                <w:color w:val="auto"/>
                <w:kern w:val="2"/>
                <w:sz w:val="15"/>
                <w:szCs w:val="15"/>
                <w:highlight w:val="none"/>
                <w:lang w:val="en-US" w:eastAsia="zh-CN" w:bidi="ar-SA"/>
              </w:rPr>
            </w:pPr>
            <w:r>
              <w:rPr>
                <w:rFonts w:hint="default" w:ascii="Times New Roman" w:hAnsi="Times New Roman" w:cs="Times New Roman"/>
                <w:b/>
                <w:bCs w:val="0"/>
                <w:color w:val="auto"/>
                <w:sz w:val="15"/>
                <w:szCs w:val="15"/>
                <w:highlight w:val="none"/>
                <w:lang w:eastAsia="zh-CN"/>
              </w:rPr>
              <w:t>年销售油品</w:t>
            </w:r>
            <w:r>
              <w:rPr>
                <w:rFonts w:hint="default" w:ascii="Times New Roman" w:hAnsi="Times New Roman" w:cs="Times New Roman"/>
                <w:b/>
                <w:bCs w:val="0"/>
                <w:color w:val="auto"/>
                <w:sz w:val="15"/>
                <w:szCs w:val="15"/>
                <w:highlight w:val="none"/>
                <w:lang w:val="en-US" w:eastAsia="zh-CN"/>
              </w:rPr>
              <w:t>3000t</w:t>
            </w:r>
          </w:p>
        </w:tc>
        <w:tc>
          <w:tcPr>
            <w:tcW w:w="1659"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val="en-US" w:eastAsia="zh-CN"/>
              </w:rPr>
            </w:pPr>
            <w:r>
              <w:rPr>
                <w:rFonts w:hint="default" w:ascii="Times New Roman" w:hAnsi="Times New Roman" w:cs="Times New Roman"/>
                <w:b/>
                <w:bCs w:val="0"/>
                <w:color w:val="auto"/>
                <w:sz w:val="15"/>
                <w:szCs w:val="15"/>
                <w:lang w:val="en-US" w:eastAsia="zh-CN"/>
              </w:rPr>
              <w:t>实际生产能力</w:t>
            </w:r>
          </w:p>
        </w:tc>
        <w:tc>
          <w:tcPr>
            <w:tcW w:w="2977" w:type="dxa"/>
            <w:gridSpan w:val="6"/>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lang w:val="en-US" w:eastAsia="zh-CN"/>
              </w:rPr>
            </w:pPr>
            <w:r>
              <w:rPr>
                <w:rFonts w:hint="default" w:ascii="Times New Roman" w:hAnsi="Times New Roman" w:cs="Times New Roman"/>
                <w:b/>
                <w:bCs w:val="0"/>
                <w:color w:val="auto"/>
                <w:sz w:val="15"/>
                <w:szCs w:val="15"/>
                <w:lang w:val="en-US" w:eastAsia="zh-CN"/>
              </w:rPr>
              <w:t>年销售油品3000t</w:t>
            </w:r>
          </w:p>
        </w:tc>
        <w:tc>
          <w:tcPr>
            <w:tcW w:w="1133" w:type="dxa"/>
            <w:gridSpan w:val="4"/>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lang w:eastAsia="zh-CN"/>
              </w:rPr>
            </w:pPr>
            <w:r>
              <w:rPr>
                <w:rFonts w:hint="default" w:ascii="Times New Roman" w:hAnsi="Times New Roman" w:cs="Times New Roman"/>
                <w:b/>
                <w:bCs w:val="0"/>
                <w:color w:val="auto"/>
                <w:sz w:val="15"/>
                <w:szCs w:val="15"/>
                <w:highlight w:val="none"/>
                <w:lang w:eastAsia="zh-CN"/>
              </w:rPr>
              <w:t>环评单位</w:t>
            </w:r>
          </w:p>
        </w:tc>
        <w:tc>
          <w:tcPr>
            <w:tcW w:w="2597" w:type="dxa"/>
            <w:gridSpan w:val="4"/>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lang w:eastAsia="zh-CN"/>
              </w:rPr>
            </w:pPr>
            <w:r>
              <w:rPr>
                <w:rFonts w:hint="default" w:ascii="Times New Roman" w:hAnsi="Times New Roman" w:cs="Times New Roman"/>
                <w:b/>
                <w:bCs w:val="0"/>
                <w:color w:val="auto"/>
                <w:sz w:val="15"/>
                <w:szCs w:val="15"/>
                <w:lang w:eastAsia="zh-CN"/>
              </w:rPr>
              <w:t>西安海浪环保科技有限公司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1" w:hRule="atLeast"/>
          <w:jc w:val="center"/>
        </w:trPr>
        <w:tc>
          <w:tcPr>
            <w:tcW w:w="399" w:type="dxa"/>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1"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环评文件审批机关</w:t>
            </w:r>
          </w:p>
        </w:tc>
        <w:tc>
          <w:tcPr>
            <w:tcW w:w="4370" w:type="dxa"/>
            <w:gridSpan w:val="9"/>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bCs w:val="0"/>
                <w:color w:val="auto"/>
                <w:kern w:val="2"/>
                <w:sz w:val="15"/>
                <w:szCs w:val="15"/>
                <w:highlight w:val="none"/>
                <w:lang w:val="en-US" w:eastAsia="zh-CN" w:bidi="ar-SA"/>
              </w:rPr>
            </w:pPr>
            <w:r>
              <w:rPr>
                <w:rFonts w:hint="default" w:ascii="Times New Roman" w:hAnsi="Times New Roman" w:cs="Times New Roman"/>
                <w:b/>
                <w:bCs w:val="0"/>
                <w:color w:val="auto"/>
                <w:sz w:val="15"/>
                <w:szCs w:val="15"/>
                <w:lang w:eastAsia="zh-CN"/>
              </w:rPr>
              <w:t>咸阳市生态环境局</w:t>
            </w:r>
            <w:r>
              <w:rPr>
                <w:rFonts w:hint="eastAsia" w:ascii="Times New Roman" w:hAnsi="Times New Roman" w:cs="Times New Roman"/>
                <w:b/>
                <w:bCs w:val="0"/>
                <w:color w:val="auto"/>
                <w:sz w:val="15"/>
                <w:szCs w:val="15"/>
                <w:lang w:eastAsia="zh-CN"/>
              </w:rPr>
              <w:t>兴平</w:t>
            </w:r>
            <w:r>
              <w:rPr>
                <w:rFonts w:hint="default" w:ascii="Times New Roman" w:hAnsi="Times New Roman" w:cs="Times New Roman"/>
                <w:b/>
                <w:bCs w:val="0"/>
                <w:color w:val="auto"/>
                <w:sz w:val="15"/>
                <w:szCs w:val="15"/>
                <w:lang w:eastAsia="zh-CN"/>
              </w:rPr>
              <w:t>分局</w:t>
            </w:r>
          </w:p>
        </w:tc>
        <w:tc>
          <w:tcPr>
            <w:tcW w:w="1659"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highlight w:val="none"/>
                <w:lang w:eastAsia="zh-CN"/>
              </w:rPr>
            </w:pPr>
            <w:r>
              <w:rPr>
                <w:rFonts w:hint="default" w:ascii="Times New Roman" w:hAnsi="Times New Roman" w:cs="Times New Roman"/>
                <w:b/>
                <w:bCs w:val="0"/>
                <w:color w:val="auto"/>
                <w:sz w:val="15"/>
                <w:szCs w:val="15"/>
                <w:highlight w:val="none"/>
                <w:lang w:eastAsia="zh-CN"/>
              </w:rPr>
              <w:t>审批文号</w:t>
            </w:r>
          </w:p>
        </w:tc>
        <w:tc>
          <w:tcPr>
            <w:tcW w:w="2977" w:type="dxa"/>
            <w:gridSpan w:val="6"/>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highlight w:val="none"/>
                <w:lang w:eastAsia="zh-CN"/>
              </w:rPr>
            </w:pPr>
            <w:r>
              <w:rPr>
                <w:rFonts w:hint="default" w:ascii="Times New Roman" w:hAnsi="Times New Roman" w:cs="Times New Roman"/>
                <w:b/>
                <w:bCs w:val="0"/>
                <w:color w:val="auto"/>
                <w:sz w:val="15"/>
                <w:szCs w:val="15"/>
                <w:lang w:eastAsia="zh-CN"/>
              </w:rPr>
              <w:t>咸环</w:t>
            </w:r>
            <w:r>
              <w:rPr>
                <w:rFonts w:hint="eastAsia" w:ascii="Times New Roman" w:hAnsi="Times New Roman" w:cs="Times New Roman"/>
                <w:b/>
                <w:bCs w:val="0"/>
                <w:color w:val="auto"/>
                <w:sz w:val="15"/>
                <w:szCs w:val="15"/>
                <w:lang w:eastAsia="zh-CN"/>
              </w:rPr>
              <w:t>兴批复</w:t>
            </w:r>
            <w:r>
              <w:rPr>
                <w:rFonts w:hint="eastAsia" w:ascii="宋体" w:hAnsi="宋体" w:eastAsia="宋体" w:cs="宋体"/>
                <w:b/>
                <w:bCs w:val="0"/>
                <w:color w:val="auto"/>
                <w:sz w:val="15"/>
                <w:szCs w:val="15"/>
                <w:lang w:val="en-US" w:eastAsia="zh-CN"/>
              </w:rPr>
              <w:t>[</w:t>
            </w:r>
            <w:r>
              <w:rPr>
                <w:rFonts w:hint="default" w:ascii="Times New Roman" w:hAnsi="Times New Roman" w:cs="Times New Roman"/>
                <w:b/>
                <w:bCs w:val="0"/>
                <w:color w:val="auto"/>
                <w:sz w:val="15"/>
                <w:szCs w:val="15"/>
                <w:lang w:eastAsia="zh-CN"/>
              </w:rPr>
              <w:t>20</w:t>
            </w:r>
            <w:r>
              <w:rPr>
                <w:rFonts w:hint="default" w:ascii="Times New Roman" w:hAnsi="Times New Roman" w:cs="Times New Roman"/>
                <w:b/>
                <w:bCs w:val="0"/>
                <w:color w:val="auto"/>
                <w:sz w:val="15"/>
                <w:szCs w:val="15"/>
                <w:lang w:val="en-US" w:eastAsia="zh-CN"/>
              </w:rPr>
              <w:t>20</w:t>
            </w:r>
            <w:r>
              <w:rPr>
                <w:rFonts w:hint="eastAsia" w:ascii="宋体" w:hAnsi="宋体" w:eastAsia="宋体" w:cs="宋体"/>
                <w:b/>
                <w:bCs w:val="0"/>
                <w:color w:val="auto"/>
                <w:sz w:val="15"/>
                <w:szCs w:val="15"/>
                <w:lang w:val="en-US" w:eastAsia="zh-CN"/>
              </w:rPr>
              <w:t>]</w:t>
            </w:r>
            <w:r>
              <w:rPr>
                <w:rFonts w:hint="eastAsia" w:ascii="Times New Roman" w:hAnsi="Times New Roman" w:cs="Times New Roman"/>
                <w:b/>
                <w:bCs w:val="0"/>
                <w:color w:val="auto"/>
                <w:sz w:val="15"/>
                <w:szCs w:val="15"/>
                <w:lang w:val="en-US" w:eastAsia="zh-CN"/>
              </w:rPr>
              <w:t>56</w:t>
            </w:r>
            <w:r>
              <w:rPr>
                <w:rFonts w:hint="default" w:ascii="Times New Roman" w:hAnsi="Times New Roman" w:cs="Times New Roman"/>
                <w:b/>
                <w:bCs w:val="0"/>
                <w:color w:val="auto"/>
                <w:sz w:val="15"/>
                <w:szCs w:val="15"/>
                <w:lang w:eastAsia="zh-CN"/>
              </w:rPr>
              <w:t>号</w:t>
            </w:r>
          </w:p>
        </w:tc>
        <w:tc>
          <w:tcPr>
            <w:tcW w:w="1626" w:type="dxa"/>
            <w:gridSpan w:val="5"/>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highlight w:val="none"/>
                <w:lang w:eastAsia="zh-CN"/>
              </w:rPr>
            </w:pPr>
            <w:r>
              <w:rPr>
                <w:rFonts w:hint="default" w:ascii="Times New Roman" w:hAnsi="Times New Roman" w:cs="Times New Roman"/>
                <w:b/>
                <w:bCs w:val="0"/>
                <w:color w:val="auto"/>
                <w:sz w:val="15"/>
                <w:szCs w:val="15"/>
                <w:highlight w:val="none"/>
                <w:lang w:eastAsia="zh-CN"/>
              </w:rPr>
              <w:t>环评文件类型</w:t>
            </w:r>
          </w:p>
        </w:tc>
        <w:tc>
          <w:tcPr>
            <w:tcW w:w="2104" w:type="dxa"/>
            <w:gridSpan w:val="3"/>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lang w:eastAsia="zh-CN"/>
              </w:rPr>
            </w:pPr>
            <w:r>
              <w:rPr>
                <w:rFonts w:hint="default" w:ascii="Times New Roman" w:hAnsi="Times New Roman" w:cs="Times New Roman"/>
                <w:b/>
                <w:color w:val="auto"/>
                <w:sz w:val="15"/>
                <w:szCs w:val="15"/>
                <w:highlight w:val="none"/>
                <w:lang w:eastAsia="zh-CN"/>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9" w:type="dxa"/>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1"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开工日期</w:t>
            </w:r>
          </w:p>
        </w:tc>
        <w:tc>
          <w:tcPr>
            <w:tcW w:w="4370" w:type="dxa"/>
            <w:gridSpan w:val="9"/>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default" w:ascii="Times New Roman" w:hAnsi="Times New Roman" w:cs="Times New Roman"/>
                <w:b/>
                <w:color w:val="auto"/>
                <w:sz w:val="15"/>
                <w:szCs w:val="15"/>
                <w:highlight w:val="none"/>
                <w:lang w:eastAsia="zh-CN"/>
              </w:rPr>
              <w:t>201</w:t>
            </w:r>
            <w:r>
              <w:rPr>
                <w:rFonts w:hint="eastAsia" w:ascii="Times New Roman" w:hAnsi="Times New Roman" w:cs="Times New Roman"/>
                <w:b/>
                <w:color w:val="auto"/>
                <w:sz w:val="15"/>
                <w:szCs w:val="15"/>
                <w:highlight w:val="none"/>
                <w:lang w:val="en-US" w:eastAsia="zh-CN"/>
              </w:rPr>
              <w:t>4</w:t>
            </w:r>
            <w:r>
              <w:rPr>
                <w:rFonts w:hint="default" w:ascii="Times New Roman" w:hAnsi="Times New Roman" w:cs="Times New Roman"/>
                <w:b/>
                <w:color w:val="auto"/>
                <w:sz w:val="15"/>
                <w:szCs w:val="15"/>
                <w:highlight w:val="none"/>
                <w:lang w:eastAsia="zh-CN"/>
              </w:rPr>
              <w:t>年</w:t>
            </w:r>
            <w:r>
              <w:rPr>
                <w:rFonts w:hint="eastAsia" w:ascii="Times New Roman" w:hAnsi="Times New Roman" w:cs="Times New Roman"/>
                <w:b/>
                <w:color w:val="auto"/>
                <w:sz w:val="15"/>
                <w:szCs w:val="15"/>
                <w:highlight w:val="none"/>
                <w:lang w:val="en-US" w:eastAsia="zh-CN"/>
              </w:rPr>
              <w:t>3</w:t>
            </w:r>
            <w:r>
              <w:rPr>
                <w:rFonts w:hint="default" w:ascii="Times New Roman" w:hAnsi="Times New Roman" w:cs="Times New Roman"/>
                <w:b/>
                <w:color w:val="auto"/>
                <w:sz w:val="15"/>
                <w:szCs w:val="15"/>
                <w:highlight w:val="none"/>
                <w:lang w:eastAsia="zh-CN"/>
              </w:rPr>
              <w:t>月</w:t>
            </w:r>
          </w:p>
        </w:tc>
        <w:tc>
          <w:tcPr>
            <w:tcW w:w="1659"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竣工日期</w:t>
            </w:r>
          </w:p>
        </w:tc>
        <w:tc>
          <w:tcPr>
            <w:tcW w:w="2977" w:type="dxa"/>
            <w:gridSpan w:val="6"/>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lang w:eastAsia="zh-CN"/>
              </w:rPr>
              <w:t>20</w:t>
            </w:r>
            <w:r>
              <w:rPr>
                <w:rFonts w:hint="eastAsia" w:ascii="Times New Roman" w:hAnsi="Times New Roman" w:cs="Times New Roman"/>
                <w:b/>
                <w:color w:val="auto"/>
                <w:sz w:val="15"/>
                <w:szCs w:val="15"/>
                <w:highlight w:val="none"/>
                <w:lang w:val="en-US" w:eastAsia="zh-CN"/>
              </w:rPr>
              <w:t>14</w:t>
            </w:r>
            <w:r>
              <w:rPr>
                <w:rFonts w:hint="default" w:ascii="Times New Roman" w:hAnsi="Times New Roman" w:cs="Times New Roman"/>
                <w:b/>
                <w:color w:val="auto"/>
                <w:sz w:val="15"/>
                <w:szCs w:val="15"/>
                <w:highlight w:val="none"/>
                <w:lang w:eastAsia="zh-CN"/>
              </w:rPr>
              <w:t>年</w:t>
            </w:r>
            <w:r>
              <w:rPr>
                <w:rFonts w:hint="default" w:ascii="Times New Roman" w:hAnsi="Times New Roman" w:cs="Times New Roman"/>
                <w:b/>
                <w:color w:val="auto"/>
                <w:sz w:val="15"/>
                <w:szCs w:val="15"/>
                <w:highlight w:val="none"/>
                <w:lang w:val="en-US" w:eastAsia="zh-CN"/>
              </w:rPr>
              <w:t>11</w:t>
            </w:r>
            <w:r>
              <w:rPr>
                <w:rFonts w:hint="default" w:ascii="Times New Roman" w:hAnsi="Times New Roman" w:cs="Times New Roman"/>
                <w:b/>
                <w:color w:val="auto"/>
                <w:sz w:val="15"/>
                <w:szCs w:val="15"/>
                <w:highlight w:val="none"/>
                <w:lang w:eastAsia="zh-CN"/>
              </w:rPr>
              <w:t>月</w:t>
            </w:r>
          </w:p>
        </w:tc>
        <w:tc>
          <w:tcPr>
            <w:tcW w:w="1626" w:type="dxa"/>
            <w:gridSpan w:val="5"/>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排污许可证申领时间</w:t>
            </w:r>
          </w:p>
        </w:tc>
        <w:tc>
          <w:tcPr>
            <w:tcW w:w="2104" w:type="dxa"/>
            <w:gridSpan w:val="3"/>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sz w:val="15"/>
                <w:szCs w:val="15"/>
                <w:lang w:val="en-US" w:eastAsia="zh-CN"/>
              </w:rPr>
            </w:pPr>
            <w:r>
              <w:rPr>
                <w:rFonts w:hint="eastAsia" w:ascii="Times New Roman" w:hAnsi="Times New Roman" w:cs="Times New Roman"/>
                <w:b/>
                <w:color w:val="auto"/>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9" w:type="dxa"/>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1"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环保设施设计单位</w:t>
            </w:r>
          </w:p>
        </w:tc>
        <w:tc>
          <w:tcPr>
            <w:tcW w:w="4370" w:type="dxa"/>
            <w:gridSpan w:val="9"/>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default" w:ascii="Times New Roman" w:hAnsi="Times New Roman" w:cs="Times New Roman"/>
                <w:b/>
                <w:color w:val="auto"/>
                <w:sz w:val="15"/>
                <w:szCs w:val="15"/>
                <w:highlight w:val="none"/>
                <w:lang w:eastAsia="zh-CN"/>
              </w:rPr>
              <w:t>陕西宇泰建筑设计有限公司</w:t>
            </w:r>
          </w:p>
        </w:tc>
        <w:tc>
          <w:tcPr>
            <w:tcW w:w="1659"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环保设施施工单位</w:t>
            </w:r>
          </w:p>
        </w:tc>
        <w:tc>
          <w:tcPr>
            <w:tcW w:w="2977" w:type="dxa"/>
            <w:gridSpan w:val="6"/>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lang w:eastAsia="zh-CN"/>
              </w:rPr>
              <w:t>陕西连腾建工集团有限公司</w:t>
            </w:r>
          </w:p>
        </w:tc>
        <w:tc>
          <w:tcPr>
            <w:tcW w:w="1626" w:type="dxa"/>
            <w:gridSpan w:val="5"/>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rPr>
              <w:t>本工程排污许可证编号</w:t>
            </w:r>
          </w:p>
        </w:tc>
        <w:tc>
          <w:tcPr>
            <w:tcW w:w="2104" w:type="dxa"/>
            <w:gridSpan w:val="3"/>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lang w:val="en-US"/>
              </w:rPr>
            </w:pPr>
            <w:r>
              <w:rPr>
                <w:rFonts w:hint="default" w:ascii="Times New Roman" w:hAnsi="Times New Roman" w:cs="Times New Roman"/>
                <w:b/>
                <w:color w:val="auto"/>
                <w:sz w:val="15"/>
                <w:szCs w:val="15"/>
                <w:highlight w:val="none"/>
                <w:lang w:val="en-US" w:eastAsia="zh-CN"/>
              </w:rPr>
              <w:t>916104</w:t>
            </w:r>
            <w:r>
              <w:rPr>
                <w:rFonts w:hint="eastAsia" w:ascii="Times New Roman" w:hAnsi="Times New Roman" w:cs="Times New Roman"/>
                <w:b/>
                <w:color w:val="auto"/>
                <w:sz w:val="15"/>
                <w:szCs w:val="15"/>
                <w:highlight w:val="none"/>
                <w:lang w:val="en-US" w:eastAsia="zh-CN"/>
              </w:rPr>
              <w:t>81MA6XNJLH8A001Z</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9" w:type="dxa"/>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1"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验收单位</w:t>
            </w:r>
          </w:p>
        </w:tc>
        <w:tc>
          <w:tcPr>
            <w:tcW w:w="4370" w:type="dxa"/>
            <w:gridSpan w:val="9"/>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default" w:ascii="Times New Roman" w:hAnsi="Times New Roman" w:cs="Times New Roman"/>
                <w:b/>
                <w:color w:val="auto"/>
                <w:sz w:val="15"/>
                <w:szCs w:val="15"/>
                <w:highlight w:val="none"/>
                <w:lang w:eastAsia="zh-CN"/>
              </w:rPr>
              <w:t>河北鑫旺工程建设服务有限公司陕西分公司</w:t>
            </w:r>
          </w:p>
        </w:tc>
        <w:tc>
          <w:tcPr>
            <w:tcW w:w="1659"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环保设施监测单位</w:t>
            </w:r>
          </w:p>
        </w:tc>
        <w:tc>
          <w:tcPr>
            <w:tcW w:w="2977" w:type="dxa"/>
            <w:gridSpan w:val="6"/>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sz w:val="15"/>
                <w:szCs w:val="15"/>
                <w:highlight w:val="none"/>
                <w:lang w:eastAsia="zh-CN"/>
              </w:rPr>
            </w:pPr>
            <w:r>
              <w:rPr>
                <w:rFonts w:hint="default" w:ascii="Times New Roman" w:hAnsi="Times New Roman" w:cs="Times New Roman"/>
                <w:b/>
                <w:color w:val="auto"/>
                <w:sz w:val="15"/>
                <w:szCs w:val="15"/>
                <w:highlight w:val="none"/>
              </w:rPr>
              <w:t>陕西</w:t>
            </w:r>
            <w:r>
              <w:rPr>
                <w:rFonts w:hint="default" w:ascii="Times New Roman" w:hAnsi="Times New Roman" w:cs="Times New Roman"/>
                <w:b/>
                <w:color w:val="auto"/>
                <w:sz w:val="15"/>
                <w:szCs w:val="15"/>
                <w:highlight w:val="none"/>
                <w:lang w:eastAsia="zh-CN"/>
              </w:rPr>
              <w:t>安讯环境检测有限公司</w:t>
            </w:r>
          </w:p>
        </w:tc>
        <w:tc>
          <w:tcPr>
            <w:tcW w:w="1626" w:type="dxa"/>
            <w:gridSpan w:val="5"/>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rPr>
              <w:t>验收监测时工况</w:t>
            </w:r>
          </w:p>
        </w:tc>
        <w:tc>
          <w:tcPr>
            <w:tcW w:w="2104" w:type="dxa"/>
            <w:gridSpan w:val="3"/>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rPr>
              <w:t>环保设施均正常运行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9" w:type="dxa"/>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1"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投资总概算（万元）</w:t>
            </w:r>
          </w:p>
        </w:tc>
        <w:tc>
          <w:tcPr>
            <w:tcW w:w="4370" w:type="dxa"/>
            <w:gridSpan w:val="9"/>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default" w:ascii="Times New Roman" w:hAnsi="Times New Roman" w:cs="Times New Roman"/>
                <w:b/>
                <w:color w:val="auto"/>
                <w:sz w:val="15"/>
                <w:szCs w:val="15"/>
                <w:highlight w:val="none"/>
                <w:lang w:val="en-US" w:eastAsia="zh-CN"/>
              </w:rPr>
              <w:t>567.75</w:t>
            </w:r>
          </w:p>
        </w:tc>
        <w:tc>
          <w:tcPr>
            <w:tcW w:w="1659"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环保投资总概算（万元）</w:t>
            </w:r>
          </w:p>
        </w:tc>
        <w:tc>
          <w:tcPr>
            <w:tcW w:w="2977" w:type="dxa"/>
            <w:gridSpan w:val="6"/>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lang w:val="en-US" w:eastAsia="zh-CN"/>
              </w:rPr>
            </w:pPr>
            <w:r>
              <w:rPr>
                <w:rFonts w:hint="default" w:ascii="Times New Roman" w:hAnsi="Times New Roman" w:cs="Times New Roman"/>
                <w:b/>
                <w:color w:val="auto"/>
                <w:sz w:val="15"/>
                <w:szCs w:val="15"/>
                <w:highlight w:val="none"/>
                <w:lang w:val="en-US" w:eastAsia="zh-CN"/>
              </w:rPr>
              <w:t>35.7</w:t>
            </w:r>
          </w:p>
        </w:tc>
        <w:tc>
          <w:tcPr>
            <w:tcW w:w="1626" w:type="dxa"/>
            <w:gridSpan w:val="5"/>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所占比例（%）</w:t>
            </w:r>
          </w:p>
        </w:tc>
        <w:tc>
          <w:tcPr>
            <w:tcW w:w="2104" w:type="dxa"/>
            <w:gridSpan w:val="3"/>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lang w:val="en-US" w:eastAsia="zh-CN"/>
              </w:rPr>
            </w:pPr>
            <w:r>
              <w:rPr>
                <w:rFonts w:hint="default" w:ascii="Times New Roman" w:hAnsi="Times New Roman" w:cs="Times New Roman"/>
                <w:b/>
                <w:color w:val="auto"/>
                <w:sz w:val="15"/>
                <w:szCs w:val="15"/>
                <w:highlight w:val="none"/>
                <w:lang w:val="en-US" w:eastAsia="zh-CN"/>
              </w:rPr>
              <w:t>6.29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9" w:type="dxa"/>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1"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实际总投资（万元）</w:t>
            </w:r>
          </w:p>
        </w:tc>
        <w:tc>
          <w:tcPr>
            <w:tcW w:w="4370" w:type="dxa"/>
            <w:gridSpan w:val="9"/>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default" w:ascii="Times New Roman" w:hAnsi="Times New Roman" w:cs="Times New Roman"/>
                <w:b/>
                <w:color w:val="auto"/>
                <w:sz w:val="15"/>
                <w:szCs w:val="15"/>
                <w:highlight w:val="none"/>
                <w:lang w:val="en-US" w:eastAsia="zh-CN"/>
              </w:rPr>
              <w:t>567.75</w:t>
            </w:r>
          </w:p>
        </w:tc>
        <w:tc>
          <w:tcPr>
            <w:tcW w:w="1659"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实际环保投资（万元）</w:t>
            </w:r>
          </w:p>
        </w:tc>
        <w:tc>
          <w:tcPr>
            <w:tcW w:w="2977" w:type="dxa"/>
            <w:gridSpan w:val="6"/>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36.9</w:t>
            </w:r>
          </w:p>
        </w:tc>
        <w:tc>
          <w:tcPr>
            <w:tcW w:w="1626" w:type="dxa"/>
            <w:gridSpan w:val="5"/>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所占比例（%）</w:t>
            </w:r>
          </w:p>
        </w:tc>
        <w:tc>
          <w:tcPr>
            <w:tcW w:w="2104" w:type="dxa"/>
            <w:gridSpan w:val="3"/>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lang w:val="en-US" w:eastAsia="zh-CN"/>
              </w:rPr>
            </w:pPr>
            <w:r>
              <w:rPr>
                <w:rFonts w:hint="default" w:ascii="Times New Roman" w:hAnsi="Times New Roman" w:cs="Times New Roman"/>
                <w:b/>
                <w:color w:val="auto"/>
                <w:sz w:val="15"/>
                <w:szCs w:val="15"/>
                <w:highlight w:val="none"/>
                <w:lang w:val="en-US" w:eastAsia="zh-CN"/>
              </w:rPr>
              <w:t>6.</w:t>
            </w:r>
            <w:r>
              <w:rPr>
                <w:rFonts w:hint="eastAsia" w:ascii="Times New Roman" w:hAnsi="Times New Roman" w:cs="Times New Roman"/>
                <w:b/>
                <w:color w:val="auto"/>
                <w:sz w:val="15"/>
                <w:szCs w:val="15"/>
                <w:highlight w:val="none"/>
                <w:lang w:val="en-US" w:eastAsia="zh-CN"/>
              </w:rPr>
              <w:t>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0" w:hRule="atLeast"/>
          <w:jc w:val="center"/>
        </w:trPr>
        <w:tc>
          <w:tcPr>
            <w:tcW w:w="399" w:type="dxa"/>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1"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废水治理（万元）</w:t>
            </w:r>
          </w:p>
        </w:tc>
        <w:tc>
          <w:tcPr>
            <w:tcW w:w="888" w:type="dxa"/>
            <w:gridSpan w:val="2"/>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lang w:val="en-US" w:eastAsia="zh-CN"/>
              </w:rPr>
              <w:t>/</w:t>
            </w:r>
          </w:p>
        </w:tc>
        <w:tc>
          <w:tcPr>
            <w:tcW w:w="1449" w:type="dxa"/>
            <w:gridSpan w:val="2"/>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rPr>
              <w:t>废气治理（万元）</w:t>
            </w:r>
          </w:p>
        </w:tc>
        <w:tc>
          <w:tcPr>
            <w:tcW w:w="808" w:type="dxa"/>
            <w:gridSpan w:val="3"/>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lang w:val="en-US" w:eastAsia="zh-CN"/>
              </w:rPr>
              <w:t>2</w:t>
            </w:r>
            <w:r>
              <w:rPr>
                <w:rFonts w:hint="eastAsia" w:ascii="Times New Roman" w:hAnsi="Times New Roman" w:cs="Times New Roman"/>
                <w:b/>
                <w:color w:val="auto"/>
                <w:sz w:val="15"/>
                <w:szCs w:val="15"/>
                <w:lang w:val="en-US" w:eastAsia="zh-CN"/>
              </w:rPr>
              <w:t>1</w:t>
            </w:r>
          </w:p>
        </w:tc>
        <w:tc>
          <w:tcPr>
            <w:tcW w:w="1519" w:type="dxa"/>
            <w:gridSpan w:val="3"/>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rPr>
              <w:t>噪声治理（万元）</w:t>
            </w:r>
          </w:p>
        </w:tc>
        <w:tc>
          <w:tcPr>
            <w:tcW w:w="752" w:type="dxa"/>
            <w:gridSpan w:val="2"/>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lang w:val="en-US" w:eastAsia="zh-CN"/>
              </w:rPr>
              <w:t>2.</w:t>
            </w:r>
            <w:r>
              <w:rPr>
                <w:rFonts w:hint="eastAsia" w:ascii="Times New Roman" w:hAnsi="Times New Roman" w:cs="Times New Roman"/>
                <w:b/>
                <w:color w:val="auto"/>
                <w:sz w:val="15"/>
                <w:szCs w:val="15"/>
                <w:lang w:val="en-US" w:eastAsia="zh-CN"/>
              </w:rPr>
              <w:t>6</w:t>
            </w:r>
          </w:p>
        </w:tc>
        <w:tc>
          <w:tcPr>
            <w:tcW w:w="1669" w:type="dxa"/>
            <w:gridSpan w:val="2"/>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rPr>
              <w:t>固体废物治理（万元）</w:t>
            </w:r>
          </w:p>
        </w:tc>
        <w:tc>
          <w:tcPr>
            <w:tcW w:w="1021" w:type="dxa"/>
            <w:gridSpan w:val="2"/>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lang w:val="en-US" w:eastAsia="zh-CN"/>
              </w:rPr>
              <w:t>3.2</w:t>
            </w:r>
          </w:p>
        </w:tc>
        <w:tc>
          <w:tcPr>
            <w:tcW w:w="1603" w:type="dxa"/>
            <w:gridSpan w:val="5"/>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rPr>
              <w:t>绿化及生态（万元）</w:t>
            </w:r>
          </w:p>
        </w:tc>
        <w:tc>
          <w:tcPr>
            <w:tcW w:w="260" w:type="dxa"/>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kern w:val="2"/>
                <w:sz w:val="15"/>
                <w:szCs w:val="15"/>
                <w:lang w:val="en-US" w:eastAsia="zh-CN" w:bidi="ar-SA"/>
              </w:rPr>
              <w:t>/</w:t>
            </w:r>
          </w:p>
        </w:tc>
        <w:tc>
          <w:tcPr>
            <w:tcW w:w="1803" w:type="dxa"/>
            <w:gridSpan w:val="3"/>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rPr>
              <w:t>其他（万元）</w:t>
            </w:r>
          </w:p>
        </w:tc>
        <w:tc>
          <w:tcPr>
            <w:tcW w:w="964" w:type="dxa"/>
            <w:gridSpan w:val="2"/>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lang w:val="en-US" w:eastAsia="zh-CN"/>
              </w:rPr>
              <w:t>10</w:t>
            </w:r>
            <w:r>
              <w:rPr>
                <w:rFonts w:hint="eastAsia" w:ascii="Times New Roman" w:hAnsi="Times New Roman" w:cs="Times New Roman"/>
                <w:b/>
                <w:color w:val="auto"/>
                <w:sz w:val="15"/>
                <w:szCs w:val="15"/>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9" w:type="dxa"/>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1"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新增废水处理设施能力</w:t>
            </w:r>
          </w:p>
        </w:tc>
        <w:tc>
          <w:tcPr>
            <w:tcW w:w="5117" w:type="dxa"/>
            <w:gridSpan w:val="11"/>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w:t>
            </w:r>
          </w:p>
        </w:tc>
        <w:tc>
          <w:tcPr>
            <w:tcW w:w="1968"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新增废气处理设施能力</w:t>
            </w:r>
          </w:p>
        </w:tc>
        <w:tc>
          <w:tcPr>
            <w:tcW w:w="1658"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w:t>
            </w:r>
          </w:p>
        </w:tc>
        <w:tc>
          <w:tcPr>
            <w:tcW w:w="1226"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年平均工作时</w:t>
            </w:r>
          </w:p>
        </w:tc>
        <w:tc>
          <w:tcPr>
            <w:tcW w:w="2767" w:type="dxa"/>
            <w:gridSpan w:val="5"/>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lang w:val="en-US" w:eastAsia="zh-CN"/>
              </w:rPr>
            </w:pPr>
            <w:r>
              <w:rPr>
                <w:rFonts w:hint="default" w:ascii="Times New Roman" w:hAnsi="Times New Roman" w:cs="Times New Roman"/>
                <w:b/>
                <w:color w:val="auto"/>
                <w:sz w:val="15"/>
                <w:szCs w:val="15"/>
                <w:lang w:val="en-US" w:eastAsia="zh-CN"/>
              </w:rPr>
              <w:t>8760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220"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运营单位</w:t>
            </w:r>
          </w:p>
        </w:tc>
        <w:tc>
          <w:tcPr>
            <w:tcW w:w="3865" w:type="dxa"/>
            <w:gridSpan w:val="8"/>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sz w:val="15"/>
                <w:szCs w:val="15"/>
                <w:lang w:val="en-US" w:eastAsia="zh-CN"/>
              </w:rPr>
            </w:pPr>
            <w:r>
              <w:rPr>
                <w:rFonts w:hint="default" w:ascii="Times New Roman" w:hAnsi="Times New Roman" w:cs="Times New Roman"/>
                <w:b/>
                <w:color w:val="auto"/>
                <w:sz w:val="15"/>
                <w:szCs w:val="15"/>
                <w:lang w:val="en-US" w:eastAsia="zh-CN"/>
              </w:rPr>
              <w:t>陕西省石油化工工业贸易有限公司</w:t>
            </w:r>
            <w:r>
              <w:rPr>
                <w:rFonts w:hint="eastAsia" w:ascii="Times New Roman" w:hAnsi="Times New Roman" w:cs="Times New Roman"/>
                <w:b/>
                <w:color w:val="auto"/>
                <w:sz w:val="15"/>
                <w:szCs w:val="15"/>
                <w:lang w:val="en-US" w:eastAsia="zh-CN"/>
              </w:rPr>
              <w:t>茂陵</w:t>
            </w:r>
            <w:r>
              <w:rPr>
                <w:rFonts w:hint="default" w:ascii="Times New Roman" w:hAnsi="Times New Roman" w:cs="Times New Roman"/>
                <w:b/>
                <w:color w:val="auto"/>
                <w:sz w:val="15"/>
                <w:szCs w:val="15"/>
                <w:lang w:val="en-US" w:eastAsia="zh-CN"/>
              </w:rPr>
              <w:t>服务区</w:t>
            </w:r>
            <w:r>
              <w:rPr>
                <w:rFonts w:hint="eastAsia" w:ascii="Times New Roman" w:hAnsi="Times New Roman" w:cs="Times New Roman"/>
                <w:b/>
                <w:color w:val="auto"/>
                <w:sz w:val="15"/>
                <w:szCs w:val="15"/>
                <w:lang w:val="en-US" w:eastAsia="zh-CN"/>
              </w:rPr>
              <w:t>东</w:t>
            </w:r>
            <w:r>
              <w:rPr>
                <w:rFonts w:hint="default" w:ascii="Times New Roman" w:hAnsi="Times New Roman" w:cs="Times New Roman"/>
                <w:b/>
                <w:color w:val="auto"/>
                <w:sz w:val="15"/>
                <w:szCs w:val="15"/>
                <w:lang w:val="en-US" w:eastAsia="zh-CN"/>
              </w:rPr>
              <w:t>加油站</w:t>
            </w:r>
          </w:p>
        </w:tc>
        <w:tc>
          <w:tcPr>
            <w:tcW w:w="3220" w:type="dxa"/>
            <w:gridSpan w:val="6"/>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运营单位社会统一信用代码（或组织机构代码）</w:t>
            </w:r>
          </w:p>
        </w:tc>
        <w:tc>
          <w:tcPr>
            <w:tcW w:w="1921" w:type="dxa"/>
            <w:gridSpan w:val="5"/>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sz w:val="15"/>
                <w:szCs w:val="15"/>
                <w:highlight w:val="none"/>
                <w:lang w:val="en-US" w:eastAsia="zh-CN"/>
              </w:rPr>
            </w:pPr>
            <w:r>
              <w:rPr>
                <w:rFonts w:hint="default" w:ascii="Times New Roman" w:hAnsi="Times New Roman" w:cs="Times New Roman"/>
                <w:b/>
                <w:color w:val="auto"/>
                <w:sz w:val="15"/>
                <w:szCs w:val="15"/>
                <w:highlight w:val="none"/>
                <w:lang w:val="en-US" w:eastAsia="zh-CN"/>
              </w:rPr>
              <w:t>916104</w:t>
            </w:r>
            <w:r>
              <w:rPr>
                <w:rFonts w:hint="eastAsia" w:ascii="Times New Roman" w:hAnsi="Times New Roman" w:cs="Times New Roman"/>
                <w:b/>
                <w:color w:val="auto"/>
                <w:sz w:val="15"/>
                <w:szCs w:val="15"/>
                <w:highlight w:val="none"/>
                <w:lang w:val="en-US" w:eastAsia="zh-CN"/>
              </w:rPr>
              <w:t>81MA6XNJLH</w:t>
            </w:r>
            <w:r>
              <w:rPr>
                <w:rFonts w:hint="default" w:ascii="Times New Roman" w:hAnsi="Times New Roman" w:eastAsia="宋体" w:cs="Times New Roman"/>
                <w:b/>
                <w:color w:val="auto"/>
                <w:sz w:val="15"/>
                <w:szCs w:val="15"/>
                <w:highlight w:val="none"/>
                <w:lang w:val="en-US" w:eastAsia="zh-CN"/>
              </w:rPr>
              <w:t xml:space="preserve"> </w:t>
            </w:r>
          </w:p>
        </w:tc>
        <w:tc>
          <w:tcPr>
            <w:tcW w:w="963" w:type="dxa"/>
            <w:gridSpan w:val="3"/>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验收时间</w:t>
            </w:r>
          </w:p>
        </w:tc>
        <w:tc>
          <w:tcPr>
            <w:tcW w:w="2767" w:type="dxa"/>
            <w:gridSpan w:val="5"/>
            <w:noWrap w:val="0"/>
            <w:tcMar>
              <w:left w:w="57" w:type="dxa"/>
              <w:right w:w="57" w:type="dxa"/>
            </w:tcMar>
            <w:vAlign w:val="center"/>
          </w:tcPr>
          <w:p>
            <w:pPr>
              <w:pStyle w:val="28"/>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sz w:val="15"/>
                <w:szCs w:val="15"/>
                <w:highlight w:val="none"/>
                <w:lang w:val="en-US" w:eastAsia="zh-CN"/>
              </w:rPr>
            </w:pPr>
            <w:r>
              <w:rPr>
                <w:rFonts w:hint="default" w:ascii="Times New Roman" w:hAnsi="Times New Roman" w:cs="Times New Roman"/>
                <w:b/>
                <w:color w:val="auto"/>
                <w:sz w:val="15"/>
                <w:szCs w:val="15"/>
                <w:highlight w:val="none"/>
              </w:rPr>
              <w:t>20</w:t>
            </w:r>
            <w:r>
              <w:rPr>
                <w:rFonts w:hint="default" w:ascii="Times New Roman" w:hAnsi="Times New Roman" w:cs="Times New Roman"/>
                <w:b/>
                <w:color w:val="auto"/>
                <w:sz w:val="15"/>
                <w:szCs w:val="15"/>
                <w:highlight w:val="none"/>
                <w:lang w:val="en-US" w:eastAsia="zh-CN"/>
              </w:rPr>
              <w:t>20.</w:t>
            </w:r>
            <w:r>
              <w:rPr>
                <w:rFonts w:hint="eastAsia" w:ascii="Times New Roman" w:hAnsi="Times New Roman" w:cs="Times New Roman"/>
                <w:b/>
                <w:color w:val="auto"/>
                <w:sz w:val="15"/>
                <w:szCs w:val="15"/>
                <w:highlight w:val="none"/>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1" w:hRule="atLeast"/>
          <w:jc w:val="center"/>
        </w:trPr>
        <w:tc>
          <w:tcPr>
            <w:tcW w:w="554" w:type="dxa"/>
            <w:gridSpan w:val="2"/>
            <w:vMerge w:val="restart"/>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污染</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物排</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放达</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标与</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总量</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控制（工</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业建</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设项</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r>
              <w:rPr>
                <w:rFonts w:hint="default" w:ascii="Times New Roman" w:hAnsi="Times New Roman" w:cs="Times New Roman"/>
                <w:b/>
                <w:color w:val="auto"/>
                <w:sz w:val="15"/>
                <w:szCs w:val="15"/>
              </w:rPr>
              <w:t>目详填）</w:t>
            </w:r>
          </w:p>
        </w:tc>
        <w:tc>
          <w:tcPr>
            <w:tcW w:w="166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污染物</w:t>
            </w:r>
          </w:p>
        </w:tc>
        <w:tc>
          <w:tcPr>
            <w:tcW w:w="76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原有排</w:t>
            </w:r>
          </w:p>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放量(1)</w:t>
            </w:r>
          </w:p>
        </w:tc>
        <w:tc>
          <w:tcPr>
            <w:tcW w:w="1280"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本期工程实际排放浓度(2)</w:t>
            </w:r>
          </w:p>
        </w:tc>
        <w:tc>
          <w:tcPr>
            <w:tcW w:w="1017"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本期工程允许排放浓度(3)</w:t>
            </w:r>
          </w:p>
        </w:tc>
        <w:tc>
          <w:tcPr>
            <w:tcW w:w="1305"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本期工程产生量(4)</w:t>
            </w:r>
          </w:p>
        </w:tc>
        <w:tc>
          <w:tcPr>
            <w:tcW w:w="747"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本期工程自身削减量(5)</w:t>
            </w:r>
          </w:p>
        </w:tc>
        <w:tc>
          <w:tcPr>
            <w:tcW w:w="912"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本期工程实际排放量(6)</w:t>
            </w:r>
          </w:p>
        </w:tc>
        <w:tc>
          <w:tcPr>
            <w:tcW w:w="1056"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本期工程核定排放总量(7)</w:t>
            </w:r>
          </w:p>
        </w:tc>
        <w:tc>
          <w:tcPr>
            <w:tcW w:w="1346"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本期工程“以新带老”削减量(8)</w:t>
            </w:r>
          </w:p>
        </w:tc>
        <w:tc>
          <w:tcPr>
            <w:tcW w:w="1258"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全厂实际排放总量(9)</w:t>
            </w:r>
          </w:p>
        </w:tc>
        <w:tc>
          <w:tcPr>
            <w:tcW w:w="943"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全厂核定排放总量(10)</w:t>
            </w:r>
          </w:p>
        </w:tc>
        <w:tc>
          <w:tcPr>
            <w:tcW w:w="114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区域平衡替代削减量(11)</w:t>
            </w:r>
          </w:p>
        </w:tc>
        <w:tc>
          <w:tcPr>
            <w:tcW w:w="95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4" w:type="dxa"/>
            <w:gridSpan w:val="2"/>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6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废水</w:t>
            </w:r>
          </w:p>
        </w:tc>
        <w:tc>
          <w:tcPr>
            <w:tcW w:w="76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0"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17"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5"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default" w:ascii="Times New Roman" w:hAnsi="Times New Roman" w:cs="Times New Roman"/>
                <w:b/>
                <w:color w:val="auto"/>
                <w:sz w:val="15"/>
                <w:szCs w:val="15"/>
                <w:highlight w:val="none"/>
                <w:lang w:val="en-US" w:eastAsia="zh-CN"/>
              </w:rPr>
              <w:t>0.0</w:t>
            </w:r>
            <w:r>
              <w:rPr>
                <w:rFonts w:hint="eastAsia" w:ascii="Times New Roman" w:hAnsi="Times New Roman" w:cs="Times New Roman"/>
                <w:b/>
                <w:color w:val="auto"/>
                <w:sz w:val="15"/>
                <w:szCs w:val="15"/>
                <w:highlight w:val="none"/>
                <w:lang w:val="en-US" w:eastAsia="zh-CN"/>
              </w:rPr>
              <w:t>21462</w:t>
            </w:r>
          </w:p>
        </w:tc>
        <w:tc>
          <w:tcPr>
            <w:tcW w:w="747"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default" w:ascii="Times New Roman" w:hAnsi="Times New Roman" w:cs="Times New Roman"/>
                <w:b/>
                <w:color w:val="auto"/>
                <w:sz w:val="15"/>
                <w:szCs w:val="15"/>
                <w:highlight w:val="none"/>
                <w:lang w:val="en-US" w:eastAsia="zh-CN"/>
              </w:rPr>
              <w:t>0.0</w:t>
            </w:r>
            <w:r>
              <w:rPr>
                <w:rFonts w:hint="eastAsia" w:ascii="Times New Roman" w:hAnsi="Times New Roman" w:cs="Times New Roman"/>
                <w:b/>
                <w:color w:val="auto"/>
                <w:sz w:val="15"/>
                <w:szCs w:val="15"/>
                <w:highlight w:val="none"/>
                <w:lang w:val="en-US" w:eastAsia="zh-CN"/>
              </w:rPr>
              <w:t>21462</w:t>
            </w:r>
          </w:p>
        </w:tc>
        <w:tc>
          <w:tcPr>
            <w:tcW w:w="912"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default" w:ascii="Times New Roman" w:hAnsi="Times New Roman" w:cs="Times New Roman"/>
                <w:b/>
                <w:color w:val="auto"/>
                <w:sz w:val="15"/>
                <w:szCs w:val="15"/>
                <w:highlight w:val="none"/>
                <w:lang w:val="en-US" w:eastAsia="zh-CN"/>
              </w:rPr>
              <w:t>0</w:t>
            </w:r>
          </w:p>
        </w:tc>
        <w:tc>
          <w:tcPr>
            <w:tcW w:w="1056"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46"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258"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r>
              <w:rPr>
                <w:rFonts w:hint="default" w:ascii="Times New Roman" w:hAnsi="Times New Roman" w:cs="Times New Roman"/>
                <w:b/>
                <w:color w:val="auto"/>
                <w:sz w:val="15"/>
                <w:szCs w:val="15"/>
                <w:highlight w:val="none"/>
                <w:lang w:val="en-US" w:eastAsia="zh-CN"/>
              </w:rPr>
              <w:t>0</w:t>
            </w:r>
          </w:p>
        </w:tc>
        <w:tc>
          <w:tcPr>
            <w:tcW w:w="943"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14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5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4" w:type="dxa"/>
            <w:gridSpan w:val="2"/>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6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化学需氧量</w:t>
            </w:r>
          </w:p>
        </w:tc>
        <w:tc>
          <w:tcPr>
            <w:tcW w:w="76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0"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17"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5"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47"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12"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56"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46"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258"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43"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14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5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4" w:type="dxa"/>
            <w:gridSpan w:val="2"/>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6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氨氮</w:t>
            </w:r>
          </w:p>
        </w:tc>
        <w:tc>
          <w:tcPr>
            <w:tcW w:w="76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0"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17"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5"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47"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12"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56"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46"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258"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43"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14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5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4" w:type="dxa"/>
            <w:gridSpan w:val="2"/>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6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石油类</w:t>
            </w:r>
          </w:p>
        </w:tc>
        <w:tc>
          <w:tcPr>
            <w:tcW w:w="76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0"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17"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5"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47"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12"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56"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46"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258"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43"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14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5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4" w:type="dxa"/>
            <w:gridSpan w:val="2"/>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6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废气</w:t>
            </w:r>
          </w:p>
        </w:tc>
        <w:tc>
          <w:tcPr>
            <w:tcW w:w="76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0"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17"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5"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47"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12"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56"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46"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258"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43"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14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5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4" w:type="dxa"/>
            <w:gridSpan w:val="2"/>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6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二氧化硫</w:t>
            </w:r>
          </w:p>
        </w:tc>
        <w:tc>
          <w:tcPr>
            <w:tcW w:w="76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0"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17"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5"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47"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12"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56"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46"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58"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43"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14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5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4" w:type="dxa"/>
            <w:gridSpan w:val="2"/>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6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lang w:val="en-US" w:eastAsia="zh-CN"/>
              </w:rPr>
            </w:pPr>
            <w:r>
              <w:rPr>
                <w:rFonts w:hint="default" w:ascii="Times New Roman" w:hAnsi="Times New Roman" w:cs="Times New Roman"/>
                <w:b/>
                <w:color w:val="auto"/>
                <w:sz w:val="15"/>
                <w:szCs w:val="15"/>
              </w:rPr>
              <w:t>烟尘</w:t>
            </w:r>
          </w:p>
        </w:tc>
        <w:tc>
          <w:tcPr>
            <w:tcW w:w="76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0"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17"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5"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47"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12"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56"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46"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58"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43"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14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5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4" w:type="dxa"/>
            <w:gridSpan w:val="2"/>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6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工业粉尘</w:t>
            </w:r>
          </w:p>
        </w:tc>
        <w:tc>
          <w:tcPr>
            <w:tcW w:w="76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0"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17"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5"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47"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12"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56"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46"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58"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43"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14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5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4" w:type="dxa"/>
            <w:gridSpan w:val="2"/>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6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氮氧化物</w:t>
            </w:r>
          </w:p>
        </w:tc>
        <w:tc>
          <w:tcPr>
            <w:tcW w:w="76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0"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17"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5"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47"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12"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56"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46"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58"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43"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14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5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4" w:type="dxa"/>
            <w:gridSpan w:val="2"/>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6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highlight w:val="none"/>
              </w:rPr>
              <w:t>工业固体废物</w:t>
            </w:r>
          </w:p>
        </w:tc>
        <w:tc>
          <w:tcPr>
            <w:tcW w:w="76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0"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17"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5"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47"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12"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56"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46"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58"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43"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14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5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4" w:type="dxa"/>
            <w:gridSpan w:val="2"/>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939" w:type="dxa"/>
            <w:vMerge w:val="restart"/>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与项目有关的其他特征污染物</w:t>
            </w:r>
          </w:p>
        </w:tc>
        <w:tc>
          <w:tcPr>
            <w:tcW w:w="727"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lang w:val="en-US" w:eastAsia="zh-CN"/>
              </w:rPr>
            </w:pPr>
          </w:p>
        </w:tc>
        <w:tc>
          <w:tcPr>
            <w:tcW w:w="76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0"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17"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5"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47"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12"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56"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46"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58"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43"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14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5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4" w:type="dxa"/>
            <w:gridSpan w:val="2"/>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939" w:type="dxa"/>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727"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76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0"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17"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5"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47"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12"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56"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46"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58"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43"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14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5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4" w:type="dxa"/>
            <w:gridSpan w:val="2"/>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939" w:type="dxa"/>
            <w:vMerge w:val="continue"/>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727"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76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0"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17"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5"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47"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12"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56"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46"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58" w:type="dxa"/>
            <w:gridSpan w:val="3"/>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943" w:type="dxa"/>
            <w:gridSpan w:val="4"/>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146" w:type="dxa"/>
            <w:gridSpan w:val="2"/>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58" w:type="dxa"/>
            <w:noWrap w:val="0"/>
            <w:tcMar>
              <w:left w:w="57" w:type="dxa"/>
              <w:right w:w="57" w:type="dxa"/>
            </w:tcMar>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bl>
    <w:p>
      <w:pPr>
        <w:rPr>
          <w:rFonts w:hint="eastAsia" w:eastAsia="宋体"/>
          <w:lang w:val="en-US" w:eastAsia="zh-CN"/>
        </w:rPr>
      </w:pPr>
      <w:r>
        <w:rPr>
          <w:rFonts w:hint="default" w:ascii="Times New Roman" w:hAnsi="Times New Roman" w:cs="Times New Roman"/>
          <w:b/>
          <w:color w:val="auto"/>
          <w:sz w:val="15"/>
          <w:szCs w:val="15"/>
        </w:rPr>
        <w:t>注：1、</w:t>
      </w:r>
      <w:r>
        <w:rPr>
          <w:rFonts w:hint="default" w:ascii="Times New Roman" w:hAnsi="Times New Roman" w:cs="Times New Roman"/>
          <w:b/>
          <w:color w:val="auto"/>
          <w:spacing w:val="-4"/>
          <w:sz w:val="15"/>
          <w:szCs w:val="15"/>
        </w:rPr>
        <w:t>排放增减量：（+）表示增加，（-）表示减少。2、(12)=(6)-(8)-(11)，（9）= (4)-(5)-(8)- (11) +（1）。3、计量单位：废水排放量——万吨/年；废气排放量——万标立方米/年；工业固体废物排放</w:t>
      </w:r>
      <w:r>
        <w:rPr>
          <w:rFonts w:hint="default" w:ascii="Times New Roman" w:hAnsi="Times New Roman" w:cs="Times New Roman"/>
          <w:b/>
          <w:color w:val="auto"/>
          <w:sz w:val="15"/>
          <w:szCs w:val="15"/>
        </w:rPr>
        <w:t>量——万吨/年；水污染物排放浓度——毫克/升</w:t>
      </w:r>
      <w:r>
        <w:rPr>
          <w:rFonts w:hint="eastAsia" w:ascii="Times New Roman" w:hAnsi="Times New Roman" w:cs="Times New Roman"/>
          <w:b/>
          <w:color w:val="auto"/>
          <w:sz w:val="15"/>
          <w:szCs w:val="15"/>
          <w:lang w:eastAsia="zh-CN"/>
        </w:rPr>
        <w:t>。</w:t>
      </w:r>
    </w:p>
    <w:sectPr>
      <w:footerReference r:id="rId7" w:type="default"/>
      <w:pgSz w:w="16838" w:h="11906" w:orient="landscape"/>
      <w:pgMar w:top="923"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EB6588D"/>
    <w:multiLevelType w:val="singleLevel"/>
    <w:tmpl w:val="DEB6588D"/>
    <w:lvl w:ilvl="0" w:tentative="0">
      <w:start w:val="4"/>
      <w:numFmt w:val="chineseCounting"/>
      <w:suff w:val="nothing"/>
      <w:lvlText w:val="%1、"/>
      <w:lvlJc w:val="left"/>
      <w:rPr>
        <w:rFonts w:hint="eastAsia"/>
      </w:rPr>
    </w:lvl>
  </w:abstractNum>
  <w:abstractNum w:abstractNumId="1">
    <w:nsid w:val="E894B8E9"/>
    <w:multiLevelType w:val="singleLevel"/>
    <w:tmpl w:val="E894B8E9"/>
    <w:lvl w:ilvl="0" w:tentative="0">
      <w:start w:val="2"/>
      <w:numFmt w:val="decimal"/>
      <w:suff w:val="nothing"/>
      <w:lvlText w:val="（%1）"/>
      <w:lvlJc w:val="left"/>
    </w:lvl>
  </w:abstractNum>
  <w:abstractNum w:abstractNumId="2">
    <w:nsid w:val="F4550A80"/>
    <w:multiLevelType w:val="singleLevel"/>
    <w:tmpl w:val="F4550A80"/>
    <w:lvl w:ilvl="0" w:tentative="0">
      <w:start w:val="1"/>
      <w:numFmt w:val="decimal"/>
      <w:suff w:val="nothing"/>
      <w:lvlText w:val="%1、"/>
      <w:lvlJc w:val="left"/>
    </w:lvl>
  </w:abstractNum>
  <w:abstractNum w:abstractNumId="3">
    <w:nsid w:val="4725967D"/>
    <w:multiLevelType w:val="singleLevel"/>
    <w:tmpl w:val="4725967D"/>
    <w:lvl w:ilvl="0" w:tentative="0">
      <w:start w:val="3"/>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B00FFA"/>
    <w:rsid w:val="01E14A80"/>
    <w:rsid w:val="02DB565C"/>
    <w:rsid w:val="03785315"/>
    <w:rsid w:val="040857FB"/>
    <w:rsid w:val="048A4AA1"/>
    <w:rsid w:val="04943450"/>
    <w:rsid w:val="05F723DD"/>
    <w:rsid w:val="05FD1489"/>
    <w:rsid w:val="07C42E06"/>
    <w:rsid w:val="0A2732C5"/>
    <w:rsid w:val="0AC30804"/>
    <w:rsid w:val="0B57225F"/>
    <w:rsid w:val="0C3141D3"/>
    <w:rsid w:val="0C8054D7"/>
    <w:rsid w:val="0CD33157"/>
    <w:rsid w:val="0E9212CB"/>
    <w:rsid w:val="0FB03174"/>
    <w:rsid w:val="108E54EB"/>
    <w:rsid w:val="1126732E"/>
    <w:rsid w:val="12084C9B"/>
    <w:rsid w:val="133A340F"/>
    <w:rsid w:val="162A5419"/>
    <w:rsid w:val="17B00FFA"/>
    <w:rsid w:val="18436EAD"/>
    <w:rsid w:val="1C645FC1"/>
    <w:rsid w:val="1C8454B0"/>
    <w:rsid w:val="1CA95C61"/>
    <w:rsid w:val="1D207863"/>
    <w:rsid w:val="1D420CB0"/>
    <w:rsid w:val="1D7D350A"/>
    <w:rsid w:val="1DF74A37"/>
    <w:rsid w:val="1E1039A6"/>
    <w:rsid w:val="1E6A0413"/>
    <w:rsid w:val="1FC6137D"/>
    <w:rsid w:val="205E1044"/>
    <w:rsid w:val="20856E1F"/>
    <w:rsid w:val="219D0017"/>
    <w:rsid w:val="22146892"/>
    <w:rsid w:val="23A271EE"/>
    <w:rsid w:val="253E0C89"/>
    <w:rsid w:val="25780940"/>
    <w:rsid w:val="25A22B5D"/>
    <w:rsid w:val="25C65BEE"/>
    <w:rsid w:val="26523117"/>
    <w:rsid w:val="26F37BE9"/>
    <w:rsid w:val="27207D7C"/>
    <w:rsid w:val="27952AEA"/>
    <w:rsid w:val="28114970"/>
    <w:rsid w:val="28280191"/>
    <w:rsid w:val="28BF48A6"/>
    <w:rsid w:val="2958740A"/>
    <w:rsid w:val="2BF4193F"/>
    <w:rsid w:val="2C41012C"/>
    <w:rsid w:val="2CA91B8E"/>
    <w:rsid w:val="2D0902DB"/>
    <w:rsid w:val="2D4E088C"/>
    <w:rsid w:val="2DA025ED"/>
    <w:rsid w:val="2DE509EC"/>
    <w:rsid w:val="2FCD1E00"/>
    <w:rsid w:val="3069217D"/>
    <w:rsid w:val="31444ABA"/>
    <w:rsid w:val="31456B82"/>
    <w:rsid w:val="31890907"/>
    <w:rsid w:val="31B00630"/>
    <w:rsid w:val="34160CA7"/>
    <w:rsid w:val="35D965CD"/>
    <w:rsid w:val="36015E05"/>
    <w:rsid w:val="361F3F8B"/>
    <w:rsid w:val="368B77AF"/>
    <w:rsid w:val="36C57FE9"/>
    <w:rsid w:val="372C5BED"/>
    <w:rsid w:val="375F019D"/>
    <w:rsid w:val="38452B90"/>
    <w:rsid w:val="3845394B"/>
    <w:rsid w:val="388852E6"/>
    <w:rsid w:val="395056F0"/>
    <w:rsid w:val="3B227352"/>
    <w:rsid w:val="3B600A16"/>
    <w:rsid w:val="3C105B01"/>
    <w:rsid w:val="3C4270A9"/>
    <w:rsid w:val="3D34679E"/>
    <w:rsid w:val="3DE80373"/>
    <w:rsid w:val="3E910715"/>
    <w:rsid w:val="3F964213"/>
    <w:rsid w:val="4038551C"/>
    <w:rsid w:val="40E667BF"/>
    <w:rsid w:val="41057648"/>
    <w:rsid w:val="42713CCC"/>
    <w:rsid w:val="428F741B"/>
    <w:rsid w:val="43313D5A"/>
    <w:rsid w:val="45AC70B0"/>
    <w:rsid w:val="46350E56"/>
    <w:rsid w:val="463D16A1"/>
    <w:rsid w:val="46502926"/>
    <w:rsid w:val="46C85689"/>
    <w:rsid w:val="474915D4"/>
    <w:rsid w:val="49595353"/>
    <w:rsid w:val="49A00876"/>
    <w:rsid w:val="49A057EE"/>
    <w:rsid w:val="4B153B4D"/>
    <w:rsid w:val="4BDA037A"/>
    <w:rsid w:val="4D5A0032"/>
    <w:rsid w:val="4D9324E5"/>
    <w:rsid w:val="4FA911E2"/>
    <w:rsid w:val="4FF11608"/>
    <w:rsid w:val="4FF52438"/>
    <w:rsid w:val="507A6ACD"/>
    <w:rsid w:val="50966503"/>
    <w:rsid w:val="50CA1C44"/>
    <w:rsid w:val="52144DFB"/>
    <w:rsid w:val="52707ABA"/>
    <w:rsid w:val="555B50C3"/>
    <w:rsid w:val="55B001EA"/>
    <w:rsid w:val="55DB1045"/>
    <w:rsid w:val="58210341"/>
    <w:rsid w:val="586E0F43"/>
    <w:rsid w:val="5ACB23D6"/>
    <w:rsid w:val="5B463163"/>
    <w:rsid w:val="5C30582F"/>
    <w:rsid w:val="5C4A4CEE"/>
    <w:rsid w:val="5C6E4E39"/>
    <w:rsid w:val="5E0561F5"/>
    <w:rsid w:val="5E2E019C"/>
    <w:rsid w:val="5F6D3AFC"/>
    <w:rsid w:val="5FD141EC"/>
    <w:rsid w:val="60106C6B"/>
    <w:rsid w:val="60182797"/>
    <w:rsid w:val="62460B2A"/>
    <w:rsid w:val="62592247"/>
    <w:rsid w:val="62DA6C09"/>
    <w:rsid w:val="63B25816"/>
    <w:rsid w:val="63CB4EF5"/>
    <w:rsid w:val="63EF7253"/>
    <w:rsid w:val="65812DAE"/>
    <w:rsid w:val="66716FD4"/>
    <w:rsid w:val="66FE425D"/>
    <w:rsid w:val="67263C0F"/>
    <w:rsid w:val="680B117F"/>
    <w:rsid w:val="69831C4E"/>
    <w:rsid w:val="69BB7F1F"/>
    <w:rsid w:val="6A44607E"/>
    <w:rsid w:val="6A6A7F23"/>
    <w:rsid w:val="6D1B463D"/>
    <w:rsid w:val="6D7274AE"/>
    <w:rsid w:val="6E2F02E9"/>
    <w:rsid w:val="6E437C18"/>
    <w:rsid w:val="6FAF652F"/>
    <w:rsid w:val="700D1A71"/>
    <w:rsid w:val="714028BF"/>
    <w:rsid w:val="71561BA1"/>
    <w:rsid w:val="71F83DDA"/>
    <w:rsid w:val="721C561D"/>
    <w:rsid w:val="72EE027D"/>
    <w:rsid w:val="7336249B"/>
    <w:rsid w:val="7341512D"/>
    <w:rsid w:val="737267BF"/>
    <w:rsid w:val="73A67B1B"/>
    <w:rsid w:val="74475A28"/>
    <w:rsid w:val="74CE637D"/>
    <w:rsid w:val="74EA3674"/>
    <w:rsid w:val="75342E0D"/>
    <w:rsid w:val="75B91960"/>
    <w:rsid w:val="75E21997"/>
    <w:rsid w:val="769321FC"/>
    <w:rsid w:val="76D76404"/>
    <w:rsid w:val="79E33878"/>
    <w:rsid w:val="7A4313F9"/>
    <w:rsid w:val="7AD63EC6"/>
    <w:rsid w:val="7B6F6721"/>
    <w:rsid w:val="7B7E0009"/>
    <w:rsid w:val="7D973AF9"/>
    <w:rsid w:val="7E6C3DB3"/>
    <w:rsid w:val="7E761D77"/>
    <w:rsid w:val="7ED93D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6">
    <w:name w:val="heading 1"/>
    <w:basedOn w:val="1"/>
    <w:next w:val="1"/>
    <w:qFormat/>
    <w:uiPriority w:val="1"/>
    <w:pPr>
      <w:spacing w:before="35"/>
      <w:ind w:left="220"/>
      <w:outlineLvl w:val="1"/>
    </w:pPr>
    <w:rPr>
      <w:rFonts w:ascii="宋体" w:hAnsi="宋体" w:eastAsia="宋体" w:cs="宋体"/>
      <w:sz w:val="28"/>
      <w:szCs w:val="28"/>
      <w:lang w:val="zh-CN" w:eastAsia="zh-CN" w:bidi="zh-CN"/>
    </w:rPr>
  </w:style>
  <w:style w:type="paragraph" w:styleId="7">
    <w:name w:val="heading 2"/>
    <w:basedOn w:val="1"/>
    <w:next w:val="1"/>
    <w:link w:val="21"/>
    <w:qFormat/>
    <w:uiPriority w:val="1"/>
    <w:pPr>
      <w:spacing w:before="222"/>
      <w:ind w:left="220"/>
      <w:outlineLvl w:val="2"/>
    </w:pPr>
    <w:rPr>
      <w:rFonts w:ascii="宋体" w:hAnsi="宋体" w:eastAsia="宋体" w:cs="宋体"/>
      <w:b/>
      <w:bCs/>
      <w:sz w:val="24"/>
      <w:szCs w:val="24"/>
      <w:lang w:val="zh-CN" w:eastAsia="zh-CN" w:bidi="zh-CN"/>
    </w:rPr>
  </w:style>
  <w:style w:type="paragraph" w:styleId="8">
    <w:name w:val="heading 3"/>
    <w:basedOn w:val="1"/>
    <w:next w:val="1"/>
    <w:link w:val="23"/>
    <w:qFormat/>
    <w:uiPriority w:val="0"/>
    <w:pPr>
      <w:keepNext/>
      <w:keepLines/>
      <w:widowControl w:val="0"/>
      <w:spacing w:before="20" w:after="20" w:line="412" w:lineRule="auto"/>
      <w:jc w:val="left"/>
      <w:outlineLvl w:val="2"/>
    </w:pPr>
    <w:rPr>
      <w:rFonts w:ascii="Times New Roman" w:hAnsi="Times New Roman" w:eastAsia="宋体"/>
      <w:bCs/>
      <w:iCs/>
      <w:sz w:val="24"/>
      <w:szCs w:val="32"/>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spacing w:before="0" w:after="120"/>
      <w:ind w:left="200" w:leftChars="200" w:firstLine="200" w:firstLineChars="200"/>
    </w:pPr>
    <w:rPr>
      <w:sz w:val="21"/>
    </w:rPr>
  </w:style>
  <w:style w:type="paragraph" w:styleId="3">
    <w:name w:val="Body Text Indent"/>
    <w:basedOn w:val="1"/>
    <w:qFormat/>
    <w:uiPriority w:val="0"/>
    <w:pPr>
      <w:ind w:firstLine="480"/>
      <w:jc w:val="left"/>
    </w:pPr>
    <w:rPr>
      <w:rFonts w:ascii="楷体_GB2312" w:eastAsia="楷体_GB2312"/>
      <w:sz w:val="24"/>
      <w:szCs w:val="20"/>
    </w:rPr>
  </w:style>
  <w:style w:type="paragraph" w:styleId="4">
    <w:name w:val="Body Text First Indent"/>
    <w:basedOn w:val="5"/>
    <w:qFormat/>
    <w:uiPriority w:val="0"/>
    <w:pPr>
      <w:ind w:firstLine="100" w:firstLineChars="100"/>
      <w:jc w:val="center"/>
    </w:pPr>
    <w:rPr>
      <w:b/>
      <w:sz w:val="21"/>
    </w:rPr>
  </w:style>
  <w:style w:type="paragraph" w:styleId="5">
    <w:name w:val="Body Text"/>
    <w:basedOn w:val="1"/>
    <w:qFormat/>
    <w:uiPriority w:val="1"/>
    <w:rPr>
      <w:rFonts w:ascii="宋体" w:hAnsi="宋体" w:eastAsia="宋体" w:cs="宋体"/>
      <w:sz w:val="24"/>
      <w:szCs w:val="24"/>
      <w:lang w:val="zh-CN" w:eastAsia="zh-CN" w:bidi="zh-CN"/>
    </w:rPr>
  </w:style>
  <w:style w:type="paragraph" w:styleId="9">
    <w:name w:val="Normal Indent"/>
    <w:basedOn w:val="1"/>
    <w:unhideWhenUsed/>
    <w:qFormat/>
    <w:uiPriority w:val="0"/>
    <w:pPr>
      <w:ind w:firstLine="420"/>
    </w:pPr>
    <w:rPr>
      <w:szCs w:val="20"/>
    </w:rPr>
  </w:style>
  <w:style w:type="paragraph" w:styleId="10">
    <w:name w:val="annotation text"/>
    <w:basedOn w:val="1"/>
    <w:qFormat/>
    <w:uiPriority w:val="0"/>
    <w:pPr>
      <w:jc w:val="left"/>
    </w:pPr>
  </w:style>
  <w:style w:type="paragraph" w:styleId="11">
    <w:name w:val="Plain Text"/>
    <w:basedOn w:val="1"/>
    <w:qFormat/>
    <w:uiPriority w:val="0"/>
    <w:rPr>
      <w:rFonts w:ascii="宋体" w:hAnsi="Courier New"/>
      <w:sz w:val="21"/>
    </w:rPr>
  </w:style>
  <w:style w:type="paragraph" w:styleId="12">
    <w:name w:val="footer"/>
    <w:basedOn w:val="1"/>
    <w:qFormat/>
    <w:uiPriority w:val="0"/>
    <w:pPr>
      <w:tabs>
        <w:tab w:val="center" w:pos="4153"/>
        <w:tab w:val="right" w:pos="8306"/>
      </w:tabs>
    </w:pPr>
    <w:rPr>
      <w:rFonts w:ascii="Tahoma" w:hAnsi="Tahoma"/>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1"/>
    <w:pPr>
      <w:spacing w:before="160"/>
      <w:ind w:left="220"/>
    </w:pPr>
    <w:rPr>
      <w:rFonts w:ascii="宋体" w:hAnsi="宋体" w:eastAsia="宋体" w:cs="宋体"/>
      <w:sz w:val="24"/>
      <w:szCs w:val="24"/>
      <w:lang w:val="zh-CN" w:eastAsia="zh-CN" w:bidi="zh-CN"/>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WPSOffice手动目录 1"/>
    <w:qFormat/>
    <w:uiPriority w:val="0"/>
    <w:pPr>
      <w:ind w:leftChars="0"/>
    </w:pPr>
    <w:rPr>
      <w:rFonts w:asciiTheme="minorHAnsi" w:hAnsiTheme="minorHAnsi" w:eastAsiaTheme="minorEastAsia" w:cstheme="minorBidi"/>
      <w:sz w:val="20"/>
      <w:szCs w:val="20"/>
    </w:rPr>
  </w:style>
  <w:style w:type="paragraph" w:customStyle="1" w:styleId="19">
    <w:name w:val="Table Paragraph"/>
    <w:basedOn w:val="1"/>
    <w:qFormat/>
    <w:uiPriority w:val="1"/>
    <w:rPr>
      <w:rFonts w:ascii="宋体" w:hAnsi="宋体" w:eastAsia="宋体" w:cs="宋体"/>
      <w:lang w:val="zh-CN" w:eastAsia="zh-CN" w:bidi="zh-CN"/>
    </w:rPr>
  </w:style>
  <w:style w:type="paragraph" w:styleId="20">
    <w:name w:val="List Paragraph"/>
    <w:basedOn w:val="1"/>
    <w:qFormat/>
    <w:uiPriority w:val="1"/>
    <w:pPr>
      <w:spacing w:before="1"/>
      <w:ind w:left="1301" w:hanging="601"/>
    </w:pPr>
    <w:rPr>
      <w:rFonts w:ascii="宋体" w:hAnsi="宋体" w:eastAsia="宋体" w:cs="宋体"/>
      <w:lang w:val="zh-CN" w:eastAsia="zh-CN" w:bidi="zh-CN"/>
    </w:rPr>
  </w:style>
  <w:style w:type="character" w:customStyle="1" w:styleId="21">
    <w:name w:val="标题 2 Char"/>
    <w:link w:val="7"/>
    <w:qFormat/>
    <w:uiPriority w:val="0"/>
    <w:rPr>
      <w:rFonts w:ascii="宋体" w:hAnsi="宋体" w:eastAsia="宋体" w:cs="宋体"/>
      <w:b/>
      <w:bCs/>
      <w:sz w:val="24"/>
      <w:szCs w:val="24"/>
      <w:lang w:val="zh-CN" w:eastAsia="zh-CN" w:bidi="zh-CN"/>
    </w:rPr>
  </w:style>
  <w:style w:type="paragraph" w:customStyle="1" w:styleId="22">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character" w:customStyle="1" w:styleId="23">
    <w:name w:val="标题 3 Char"/>
    <w:link w:val="8"/>
    <w:qFormat/>
    <w:uiPriority w:val="0"/>
    <w:rPr>
      <w:rFonts w:ascii="Times New Roman" w:hAnsi="Times New Roman" w:eastAsia="宋体"/>
      <w:bCs/>
      <w:iCs/>
      <w:sz w:val="24"/>
      <w:szCs w:val="32"/>
    </w:rPr>
  </w:style>
  <w:style w:type="paragraph" w:customStyle="1" w:styleId="24">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25">
    <w:name w:val="表"/>
    <w:basedOn w:val="1"/>
    <w:qFormat/>
    <w:uiPriority w:val="0"/>
    <w:pPr>
      <w:spacing w:line="240" w:lineRule="auto"/>
      <w:ind w:firstLine="0" w:firstLineChars="0"/>
    </w:pPr>
    <w:rPr>
      <w:rFonts w:ascii="Times New Roman" w:hAnsi="Times New Roman" w:eastAsia="宋体"/>
      <w:kern w:val="0"/>
      <w:sz w:val="24"/>
      <w:szCs w:val="20"/>
    </w:rPr>
  </w:style>
  <w:style w:type="paragraph" w:customStyle="1" w:styleId="26">
    <w:name w:val="Body text|1"/>
    <w:basedOn w:val="1"/>
    <w:qFormat/>
    <w:uiPriority w:val="0"/>
    <w:pPr>
      <w:widowControl w:val="0"/>
      <w:shd w:val="clear" w:color="auto" w:fill="auto"/>
      <w:spacing w:line="420" w:lineRule="auto"/>
      <w:ind w:firstLine="400"/>
    </w:pPr>
    <w:rPr>
      <w:rFonts w:ascii="宋体" w:hAnsi="宋体" w:eastAsia="宋体" w:cs="宋体"/>
      <w:sz w:val="28"/>
      <w:szCs w:val="28"/>
      <w:u w:val="none"/>
      <w:shd w:val="clear" w:color="auto" w:fill="auto"/>
      <w:lang w:val="zh-TW" w:eastAsia="zh-TW" w:bidi="zh-TW"/>
    </w:rPr>
  </w:style>
  <w:style w:type="paragraph" w:customStyle="1" w:styleId="27">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28">
    <w:name w:val="表格内容"/>
    <w:basedOn w:val="1"/>
    <w:qFormat/>
    <w:uiPriority w:val="0"/>
    <w:pPr>
      <w:spacing w:line="320" w:lineRule="exact"/>
      <w:ind w:firstLine="0" w:firstLineChars="0"/>
      <w:jc w:val="center"/>
      <w:textAlignment w:val="baseline"/>
    </w:pPr>
    <w:rPr>
      <w:sz w:val="21"/>
      <w:szCs w:val="20"/>
    </w:rPr>
  </w:style>
  <w:style w:type="character" w:customStyle="1" w:styleId="29">
    <w:name w:val="fontstyle01"/>
    <w:basedOn w:val="17"/>
    <w:qFormat/>
    <w:uiPriority w:val="0"/>
    <w:rPr>
      <w:rFonts w:hint="eastAsia" w:ascii="黑体" w:hAnsi="黑体" w:eastAsia="黑体"/>
      <w:color w:val="000000"/>
      <w:sz w:val="22"/>
      <w:szCs w:val="22"/>
    </w:rPr>
  </w:style>
  <w:style w:type="paragraph" w:customStyle="1" w:styleId="30">
    <w:name w:val="Default"/>
    <w:basedOn w:val="1"/>
    <w:qFormat/>
    <w:uiPriority w:val="0"/>
    <w:pPr>
      <w:keepNext w:val="0"/>
      <w:keepLines w:val="0"/>
      <w:widowControl w:val="0"/>
      <w:suppressLineNumbers w:val="0"/>
      <w:autoSpaceDE w:val="0"/>
      <w:autoSpaceDN w:val="0"/>
      <w:spacing w:before="0" w:beforeAutospacing="0" w:after="0" w:afterAutospacing="0"/>
      <w:ind w:left="0" w:right="0"/>
      <w:jc w:val="left"/>
    </w:pPr>
    <w:rPr>
      <w:rFonts w:hint="eastAsia" w:ascii="宋体" w:hAnsi="Calibri" w:eastAsia="宋体" w:cs="Times New Roman"/>
      <w:color w:val="000000"/>
      <w:kern w:val="0"/>
      <w:sz w:val="24"/>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glossaryDocument" Target="glossary/document.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d514e6a-7749-4a50-a190-d12069f32b5c}"/>
        <w:style w:val=""/>
        <w:category>
          <w:name w:val="常规"/>
          <w:gallery w:val="placeholder"/>
        </w:category>
        <w:types>
          <w:type w:val="bbPlcHdr"/>
        </w:types>
        <w:behaviors>
          <w:behavior w:val="content"/>
        </w:behaviors>
        <w:description w:val=""/>
        <w:guid w:val="{8d514e6a-7749-4a50-a190-d12069f32b5c}"/>
      </w:docPartPr>
      <w:docPartBody>
        <w:p>
          <w:r>
            <w:rPr>
              <w:color w:val="808080"/>
            </w:rPr>
            <w:t>单击此处输入文字。</w:t>
          </w:r>
        </w:p>
      </w:docPartBody>
    </w:docPart>
    <w:docPart>
      <w:docPartPr>
        <w:name w:val="{d9633250-401e-45ef-8ff0-38e8d8599498}"/>
        <w:style w:val=""/>
        <w:category>
          <w:name w:val="常规"/>
          <w:gallery w:val="placeholder"/>
        </w:category>
        <w:types>
          <w:type w:val="bbPlcHdr"/>
        </w:types>
        <w:behaviors>
          <w:behavior w:val="content"/>
        </w:behaviors>
        <w:description w:val=""/>
        <w:guid w:val="{d9633250-401e-45ef-8ff0-38e8d8599498}"/>
      </w:docPartPr>
      <w:docPartBody>
        <w:p>
          <w:r>
            <w:rPr>
              <w:color w:val="808080"/>
            </w:rPr>
            <w:t>单击此处输入文字。</w:t>
          </w:r>
        </w:p>
      </w:docPartBody>
    </w:docPart>
    <w:docPart>
      <w:docPartPr>
        <w:name w:val="{0896d872-8a0a-4f99-a8ee-9add1d5f403c}"/>
        <w:style w:val=""/>
        <w:category>
          <w:name w:val="常规"/>
          <w:gallery w:val="placeholder"/>
        </w:category>
        <w:types>
          <w:type w:val="bbPlcHdr"/>
        </w:types>
        <w:behaviors>
          <w:behavior w:val="content"/>
        </w:behaviors>
        <w:description w:val=""/>
        <w:guid w:val="{0896d872-8a0a-4f99-a8ee-9add1d5f403c}"/>
      </w:docPartPr>
      <w:docPartBody>
        <w:p>
          <w:r>
            <w:rPr>
              <w:color w:val="808080"/>
            </w:rPr>
            <w:t>单击此处输入文字。</w:t>
          </w:r>
        </w:p>
      </w:docPartBody>
    </w:docPart>
    <w:docPart>
      <w:docPartPr>
        <w:name w:val="{82087614-a25e-4a51-aa5d-ebf14fceb841}"/>
        <w:style w:val=""/>
        <w:category>
          <w:name w:val="常规"/>
          <w:gallery w:val="placeholder"/>
        </w:category>
        <w:types>
          <w:type w:val="bbPlcHdr"/>
        </w:types>
        <w:behaviors>
          <w:behavior w:val="content"/>
        </w:behaviors>
        <w:description w:val=""/>
        <w:guid w:val="{82087614-a25e-4a51-aa5d-ebf14fceb841}"/>
      </w:docPartPr>
      <w:docPartBody>
        <w:p>
          <w:r>
            <w:rPr>
              <w:color w:val="808080"/>
            </w:rPr>
            <w:t>单击此处输入文字。</w:t>
          </w:r>
        </w:p>
      </w:docPartBody>
    </w:docPart>
    <w:docPart>
      <w:docPartPr>
        <w:name w:val="{747f086d-deb5-4249-80af-b1521ba9096c}"/>
        <w:style w:val=""/>
        <w:category>
          <w:name w:val="常规"/>
          <w:gallery w:val="placeholder"/>
        </w:category>
        <w:types>
          <w:type w:val="bbPlcHdr"/>
        </w:types>
        <w:behaviors>
          <w:behavior w:val="content"/>
        </w:behaviors>
        <w:description w:val=""/>
        <w:guid w:val="{747f086d-deb5-4249-80af-b1521ba9096c}"/>
      </w:docPartPr>
      <w:docPartBody>
        <w:p>
          <w:r>
            <w:rPr>
              <w:color w:val="808080"/>
            </w:rPr>
            <w:t>单击此处输入文字。</w:t>
          </w:r>
        </w:p>
      </w:docPartBody>
    </w:docPart>
    <w:docPart>
      <w:docPartPr>
        <w:name w:val="{ebd3ac0b-b966-4faa-bfad-8ea959cb3f52}"/>
        <w:style w:val=""/>
        <w:category>
          <w:name w:val="常规"/>
          <w:gallery w:val="placeholder"/>
        </w:category>
        <w:types>
          <w:type w:val="bbPlcHdr"/>
        </w:types>
        <w:behaviors>
          <w:behavior w:val="content"/>
        </w:behaviors>
        <w:description w:val=""/>
        <w:guid w:val="{ebd3ac0b-b966-4faa-bfad-8ea959cb3f52}"/>
      </w:docPartPr>
      <w:docPartBody>
        <w:p>
          <w:r>
            <w:rPr>
              <w:color w:val="808080"/>
            </w:rPr>
            <w:t>单击此处输入文字。</w:t>
          </w:r>
        </w:p>
      </w:docPartBody>
    </w:docPart>
    <w:docPart>
      <w:docPartPr>
        <w:name w:val="{a162ac4f-878d-4964-ae33-1b1861bb13a3}"/>
        <w:style w:val=""/>
        <w:category>
          <w:name w:val="常规"/>
          <w:gallery w:val="placeholder"/>
        </w:category>
        <w:types>
          <w:type w:val="bbPlcHdr"/>
        </w:types>
        <w:behaviors>
          <w:behavior w:val="content"/>
        </w:behaviors>
        <w:description w:val=""/>
        <w:guid w:val="{a162ac4f-878d-4964-ae33-1b1861bb13a3}"/>
      </w:docPartPr>
      <w:docPartBody>
        <w:p>
          <w:r>
            <w:rPr>
              <w:color w:val="808080"/>
            </w:rPr>
            <w:t>单击此处输入文字。</w:t>
          </w:r>
        </w:p>
      </w:docPartBody>
    </w:docPart>
    <w:docPart>
      <w:docPartPr>
        <w:name w:val="{0fb97ee0-ba43-4842-bf0d-24b44b542c3b}"/>
        <w:style w:val=""/>
        <w:category>
          <w:name w:val="常规"/>
          <w:gallery w:val="placeholder"/>
        </w:category>
        <w:types>
          <w:type w:val="bbPlcHdr"/>
        </w:types>
        <w:behaviors>
          <w:behavior w:val="content"/>
        </w:behaviors>
        <w:description w:val=""/>
        <w:guid w:val="{0fb97ee0-ba43-4842-bf0d-24b44b542c3b}"/>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18581</Words>
  <Characters>21364</Characters>
  <Lines>0</Lines>
  <Paragraphs>0</Paragraphs>
  <TotalTime>3</TotalTime>
  <ScaleCrop>false</ScaleCrop>
  <LinksUpToDate>false</LinksUpToDate>
  <CharactersWithSpaces>21709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2019-11-05T05:19:00Z</dcterms:created>
  <dc:creator>一缕阳光</dc:creator>
  <cp:lastModifiedBy>xiaobeiit</cp:lastModifiedBy>
  <cp:lastPrinted>2019-12-13T07:53:00Z</cp:lastPrinted>
  <dcterms:modified xsi:type="dcterms:W3CDTF">2021-01-25T07:32:36Z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